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DA4" w:rsidRDefault="00B32DA4" w:rsidP="00B32DA4">
      <w:pPr>
        <w:ind w:left="360" w:right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Supplementary table 2: Level of endothelial damage markers across the blood types in the Procalcitonin and Survival Study (PASS) cohort - linear regression</w:t>
      </w:r>
    </w:p>
    <w:tbl>
      <w:tblPr>
        <w:tblW w:w="90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22"/>
        <w:gridCol w:w="1414"/>
        <w:gridCol w:w="1274"/>
        <w:gridCol w:w="283"/>
        <w:gridCol w:w="422"/>
        <w:gridCol w:w="227"/>
        <w:gridCol w:w="9"/>
        <w:gridCol w:w="1340"/>
        <w:gridCol w:w="13"/>
        <w:gridCol w:w="1119"/>
        <w:gridCol w:w="813"/>
      </w:tblGrid>
      <w:tr w:rsidR="00B32DA4" w:rsidTr="007D574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Blood type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Univariable</w:t>
            </w:r>
          </w:p>
        </w:tc>
        <w:tc>
          <w:tcPr>
            <w:tcW w:w="2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Multivariable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  <w:t>1</w:t>
            </w: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32DA4" w:rsidRDefault="00B32DA4" w:rsidP="007D574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Mean difference</w:t>
            </w:r>
          </w:p>
          <w:p w:rsidR="00B32DA4" w:rsidRDefault="00B32DA4" w:rsidP="007D574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(ng/mL)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(95%-CI)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32DA4" w:rsidRDefault="00B32DA4" w:rsidP="007D574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vAlign w:val="bottom"/>
          </w:tcPr>
          <w:p w:rsidR="00B32DA4" w:rsidRDefault="00B32DA4" w:rsidP="007D574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32DA4" w:rsidRDefault="00B32DA4" w:rsidP="007D574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Mean difference</w:t>
            </w:r>
          </w:p>
          <w:p w:rsidR="00B32DA4" w:rsidRDefault="00B32DA4" w:rsidP="007D574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(ng/mL)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(95%-CI)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Syndecan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(reference, median)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-27.8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(-51.7 to -3.9)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(-5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-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-27.7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(-12.2 to -43.1)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 0.001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(-4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-1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 0.001</w:t>
            </w: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-22.8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(-58.2 to 12.5)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-21.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(-56.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14.2)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0.24</w:t>
            </w: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Non-B (reference, median)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-14.2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(-37.1 to 8.6)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(-3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6,3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.1 to 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9.5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Thrombomodulin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(reference, median)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(-2.55 to -0.13)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(-2.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-0.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(-1.71 to -0.15)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(-1.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-0.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(-1.14 to 2.44)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(-1.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2.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</w:t>
            </w:r>
            <w:r w:rsidR="00713FD1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B(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reference, median)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DA4" w:rsidTr="007D5744">
        <w:trPr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(-2.11 to -0.20)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(-2.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0.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32DA4" w:rsidRDefault="00B32DA4" w:rsidP="007D57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</w:t>
            </w:r>
            <w:r w:rsidR="00E017F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</w:tr>
    </w:tbl>
    <w:p w:rsidR="00B32DA4" w:rsidRDefault="00B32DA4" w:rsidP="00B32DA4">
      <w:pPr>
        <w:spacing w:line="240" w:lineRule="auto"/>
        <w:ind w:left="-280" w:right="-28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017FA" w:rsidRDefault="00E017FA" w:rsidP="00E017FA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16"/>
          <w:szCs w:val="16"/>
        </w:rPr>
        <w:t xml:space="preserve">djusted for age, sex, ischemic heart disease, previous stroke and whether the patient had a pulmonary infection focus. </w:t>
      </w:r>
    </w:p>
    <w:p w:rsidR="00E017FA" w:rsidRDefault="00E017FA" w:rsidP="00E017FA">
      <w:pPr>
        <w:spacing w:line="240" w:lineRule="auto"/>
        <w:ind w:left="-450" w:right="-28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F5A31" w:rsidRDefault="00BF5A31" w:rsidP="00E017FA">
      <w:pPr>
        <w:spacing w:line="240" w:lineRule="auto"/>
        <w:ind w:left="360" w:right="630"/>
        <w:jc w:val="both"/>
      </w:pPr>
    </w:p>
    <w:sectPr w:rsidR="00BF5A31">
      <w:pgSz w:w="12240" w:h="15840"/>
      <w:pgMar w:top="1440" w:right="1440" w:bottom="1440" w:left="1440" w:header="720" w:footer="720" w:gutter="0"/>
      <w:pgNumType w:start="1"/>
      <w:cols w:space="708" w:equalWidth="0">
        <w:col w:w="99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A4"/>
    <w:rsid w:val="00713FD1"/>
    <w:rsid w:val="00B32DA4"/>
    <w:rsid w:val="00BF5A31"/>
    <w:rsid w:val="00E0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71CAB"/>
  <w15:chartTrackingRefBased/>
  <w15:docId w15:val="{440284C2-0433-41BB-BEB9-8A26BF1D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DA4"/>
    <w:pPr>
      <w:spacing w:after="0" w:line="276" w:lineRule="auto"/>
    </w:pPr>
    <w:rPr>
      <w:rFonts w:ascii="Arial" w:eastAsia="Arial" w:hAnsi="Arial" w:cs="Arial"/>
      <w:lang w:val="en-GB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2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Theis Skovsgaard Itenov</dc:creator>
  <cp:keywords/>
  <dc:description/>
  <cp:lastModifiedBy>Theis Skovsgaard Itenov</cp:lastModifiedBy>
  <cp:revision>3</cp:revision>
  <dcterms:created xsi:type="dcterms:W3CDTF">2021-03-13T11:27:00Z</dcterms:created>
  <dcterms:modified xsi:type="dcterms:W3CDTF">2021-03-13T11:30:00Z</dcterms:modified>
</cp:coreProperties>
</file>