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6A322" w14:textId="77777777" w:rsidR="000256E0" w:rsidRPr="004470A3" w:rsidRDefault="000256E0" w:rsidP="000256E0">
      <w:pPr>
        <w:rPr>
          <w:b/>
        </w:rPr>
      </w:pPr>
      <w:r w:rsidRPr="004470A3">
        <w:rPr>
          <w:b/>
        </w:rPr>
        <w:t>Gender Disparity in Critical Care Publications: a novel Female First Author Index</w:t>
      </w:r>
    </w:p>
    <w:p w14:paraId="043D689A" w14:textId="77777777" w:rsidR="000256E0" w:rsidRPr="004470A3" w:rsidRDefault="000256E0" w:rsidP="000256E0">
      <w:pPr>
        <w:rPr>
          <w:b/>
        </w:rPr>
      </w:pPr>
    </w:p>
    <w:p w14:paraId="6B65A4BA" w14:textId="6A643553" w:rsidR="000256E0" w:rsidRDefault="000256E0" w:rsidP="000256E0">
      <w:r w:rsidRPr="004470A3">
        <w:t>Sowmya Chary,</w:t>
      </w:r>
      <w:r>
        <w:t xml:space="preserve"> </w:t>
      </w:r>
      <w:r w:rsidRPr="004470A3">
        <w:t>Karin Amrein,</w:t>
      </w:r>
      <w:r>
        <w:t xml:space="preserve"> </w:t>
      </w:r>
      <w:r w:rsidRPr="004470A3">
        <w:t>Djøra I. Soeteman</w:t>
      </w:r>
      <w:r>
        <w:t xml:space="preserve">, </w:t>
      </w:r>
      <w:r w:rsidRPr="004470A3">
        <w:t>Sangeeta Mehta,</w:t>
      </w:r>
      <w:r>
        <w:t xml:space="preserve"> </w:t>
      </w:r>
      <w:r w:rsidRPr="004470A3">
        <w:t>Kenneth B. Christopher</w:t>
      </w:r>
    </w:p>
    <w:p w14:paraId="215EA72B" w14:textId="536C4CCE" w:rsidR="000256E0" w:rsidRDefault="000256E0" w:rsidP="000256E0"/>
    <w:p w14:paraId="7CCB6EF9" w14:textId="0BB1D7A3" w:rsidR="000256E0" w:rsidRPr="007C44E1" w:rsidRDefault="003E5BA6" w:rsidP="000256E0">
      <w:pPr>
        <w:rPr>
          <w:b/>
          <w:bCs/>
        </w:rPr>
      </w:pPr>
      <w:r>
        <w:rPr>
          <w:b/>
          <w:bCs/>
        </w:rPr>
        <w:t>Additional</w:t>
      </w:r>
      <w:bookmarkStart w:id="0" w:name="_GoBack"/>
      <w:bookmarkEnd w:id="0"/>
      <w:r w:rsidR="000256E0" w:rsidRPr="007C44E1">
        <w:rPr>
          <w:b/>
          <w:bCs/>
        </w:rPr>
        <w:t xml:space="preserve"> Methods</w:t>
      </w:r>
    </w:p>
    <w:p w14:paraId="67029CE8" w14:textId="140480C2" w:rsidR="000256E0" w:rsidRDefault="000256E0" w:rsidP="000256E0"/>
    <w:p w14:paraId="23E77F78" w14:textId="77777777" w:rsidR="00AE3033" w:rsidRPr="007C44E1" w:rsidRDefault="00AE3033" w:rsidP="00AE3033">
      <w:pPr>
        <w:rPr>
          <w:i/>
          <w:iCs/>
        </w:rPr>
      </w:pPr>
      <w:r w:rsidRPr="007C44E1">
        <w:rPr>
          <w:i/>
          <w:iCs/>
        </w:rPr>
        <w:t>Medical Subject Headings (MeSH) terms</w:t>
      </w:r>
    </w:p>
    <w:p w14:paraId="397EA081" w14:textId="77777777" w:rsidR="007C44E1" w:rsidRDefault="007C44E1" w:rsidP="00AE3033"/>
    <w:p w14:paraId="011B24DD" w14:textId="0D4209CC" w:rsidR="007C44E1" w:rsidRDefault="00AE3033" w:rsidP="00AE3033">
      <w:r>
        <w:t>Critical Care</w:t>
      </w:r>
    </w:p>
    <w:p w14:paraId="5ED16168" w14:textId="77777777" w:rsidR="00AE3033" w:rsidRDefault="00AE3033" w:rsidP="00AE3033">
      <w:r>
        <w:t>Critical Care/Standards</w:t>
      </w:r>
    </w:p>
    <w:p w14:paraId="2192BA30" w14:textId="77777777" w:rsidR="00AE3033" w:rsidRDefault="00AE3033" w:rsidP="00AE3033">
      <w:r>
        <w:t>Critical Illness</w:t>
      </w:r>
    </w:p>
    <w:p w14:paraId="14FD8108" w14:textId="77777777" w:rsidR="00AE3033" w:rsidRDefault="00AE3033" w:rsidP="00AE3033">
      <w:r>
        <w:t>Critical Illness/Mortality</w:t>
      </w:r>
    </w:p>
    <w:p w14:paraId="5C4BCF38" w14:textId="77777777" w:rsidR="00AE3033" w:rsidRDefault="00AE3033" w:rsidP="00AE3033">
      <w:r>
        <w:t>Critical Illness/Therapy</w:t>
      </w:r>
    </w:p>
    <w:p w14:paraId="635983D7" w14:textId="77777777" w:rsidR="00AE3033" w:rsidRDefault="00AE3033" w:rsidP="00AE3033">
      <w:r>
        <w:t>Intensive Care Units</w:t>
      </w:r>
    </w:p>
    <w:p w14:paraId="7C23A98A" w14:textId="77777777" w:rsidR="00AE3033" w:rsidRDefault="00AE3033" w:rsidP="00AE3033">
      <w:r>
        <w:t>Critical Care/methods</w:t>
      </w:r>
    </w:p>
    <w:p w14:paraId="7F2C1C8C" w14:textId="77777777" w:rsidR="00AE3033" w:rsidRDefault="00AE3033" w:rsidP="00AE3033">
      <w:r>
        <w:t>Critical care/utilization</w:t>
      </w:r>
    </w:p>
    <w:p w14:paraId="5A502C28" w14:textId="77777777" w:rsidR="00AE3033" w:rsidRDefault="00AE3033" w:rsidP="00AE3033">
      <w:r>
        <w:t>Intensive Care Units, Neonatal</w:t>
      </w:r>
    </w:p>
    <w:p w14:paraId="50BAD9C4" w14:textId="77777777" w:rsidR="00AE3033" w:rsidRDefault="00AE3033" w:rsidP="00AE3033">
      <w:r>
        <w:t>Intensive Care, Neonatal</w:t>
      </w:r>
    </w:p>
    <w:p w14:paraId="2B4108E0" w14:textId="77777777" w:rsidR="00AE3033" w:rsidRDefault="00AE3033" w:rsidP="00AE3033">
      <w:r>
        <w:t>Intensive Care, Neonatal/methods</w:t>
      </w:r>
    </w:p>
    <w:p w14:paraId="78FE3697" w14:textId="77777777" w:rsidR="00AE3033" w:rsidRDefault="00AE3033" w:rsidP="00AE3033">
      <w:r>
        <w:t>Intensive Care, Neonatal/utilization</w:t>
      </w:r>
    </w:p>
    <w:p w14:paraId="4B81280E" w14:textId="77777777" w:rsidR="00AE3033" w:rsidRDefault="00AE3033" w:rsidP="00AE3033">
      <w:r>
        <w:t>Intensive Care Units, Pediatric</w:t>
      </w:r>
    </w:p>
    <w:p w14:paraId="34EA7BD3" w14:textId="77777777" w:rsidR="00AE3033" w:rsidRDefault="00AE3033" w:rsidP="00AE3033">
      <w:r>
        <w:t>Intensive Care Units</w:t>
      </w:r>
    </w:p>
    <w:p w14:paraId="229D2638" w14:textId="77777777" w:rsidR="00AE3033" w:rsidRDefault="00AE3033" w:rsidP="00AE3033">
      <w:r>
        <w:t>Critical Care/economics</w:t>
      </w:r>
    </w:p>
    <w:p w14:paraId="01D000A6" w14:textId="77777777" w:rsidR="00AE3033" w:rsidRDefault="00AE3033" w:rsidP="00AE3033">
      <w:r>
        <w:t>Critical Illness/economics</w:t>
      </w:r>
    </w:p>
    <w:p w14:paraId="23B58CAA" w14:textId="77777777" w:rsidR="00AE3033" w:rsidRDefault="00AE3033" w:rsidP="00AE3033">
      <w:r>
        <w:t>Critical illness/psychology</w:t>
      </w:r>
    </w:p>
    <w:p w14:paraId="06E21D9F" w14:textId="77777777" w:rsidR="00AE3033" w:rsidRDefault="00AE3033" w:rsidP="00AE3033">
      <w:r>
        <w:t>Intensive Care unit/Statistics &amp; Numerical Data/utilization</w:t>
      </w:r>
    </w:p>
    <w:p w14:paraId="0BCC57CA" w14:textId="5C26138A" w:rsidR="00AE3033" w:rsidRDefault="00AE3033" w:rsidP="00AE3033">
      <w:pPr>
        <w:spacing w:line="480" w:lineRule="auto"/>
      </w:pPr>
      <w:r>
        <w:t xml:space="preserve">Intensive Care unit/Statistics &amp; Numerical Data </w:t>
      </w:r>
    </w:p>
    <w:p w14:paraId="32BF537E" w14:textId="70F2D127" w:rsidR="000256E0" w:rsidRDefault="000256E0" w:rsidP="000256E0"/>
    <w:p w14:paraId="3C077AA3" w14:textId="2D9F80F9" w:rsidR="007C44E1" w:rsidRPr="007C44E1" w:rsidRDefault="007C44E1" w:rsidP="000256E0">
      <w:pPr>
        <w:spacing w:line="480" w:lineRule="auto"/>
        <w:rPr>
          <w:i/>
          <w:iCs/>
        </w:rPr>
      </w:pPr>
      <w:r w:rsidRPr="007C44E1">
        <w:rPr>
          <w:i/>
          <w:iCs/>
        </w:rPr>
        <w:t>Gender API</w:t>
      </w:r>
    </w:p>
    <w:p w14:paraId="3C28106F" w14:textId="49E03856" w:rsidR="000256E0" w:rsidRPr="004470A3" w:rsidRDefault="000256E0" w:rsidP="000256E0">
      <w:pPr>
        <w:spacing w:line="480" w:lineRule="auto"/>
      </w:pPr>
      <w:r w:rsidRPr="004470A3">
        <w:t xml:space="preserve">Using the full author names, gender was then categorized for the first and senior author of each article using an </w:t>
      </w:r>
      <w:bookmarkStart w:id="1" w:name="_Hlk69564672"/>
      <w:r w:rsidRPr="004470A3">
        <w:t xml:space="preserve">application programming interface </w:t>
      </w:r>
      <w:bookmarkEnd w:id="1"/>
      <w:r w:rsidRPr="004470A3">
        <w:t xml:space="preserve">(API) gender determination platform called Gender API </w:t>
      </w:r>
      <w:r w:rsidRPr="004470A3">
        <w:fldChar w:fldCharType="begin"/>
      </w:r>
      <w:r>
        <w:instrText xml:space="preserve"> ADDIN EN.CITE &lt;EndNote&gt;&lt;Cite&gt;&lt;RecNum&gt;5875&lt;/RecNum&gt;&lt;DisplayText&gt;(1)&lt;/DisplayText&gt;&lt;record&gt;&lt;rec-number&gt;5875&lt;/rec-number&gt;&lt;foreign-keys&gt;&lt;key app="EN" db-id="xe9teweaxfp9aee5zt8vxdalxfaa22tvse2v" timestamp="1568591337"&gt;5875&lt;/key&gt;&lt;/foreign-keys&gt;&lt;ref-type name="Web Page"&gt;12&lt;/ref-type&gt;&lt;contributors&gt;&lt;/contributors&gt;&lt;titles&gt;&lt;title&gt;Gender API&lt;/title&gt;&lt;/titles&gt;&lt;dates&gt;&lt;/dates&gt;&lt;urls&gt;&lt;related-urls&gt;&lt;url&gt;https://gender-api.com/&lt;/url&gt;&lt;/related-urls&gt;&lt;/urls&gt;&lt;/record&gt;&lt;/Cite&gt;&lt;/EndNote&gt;</w:instrText>
      </w:r>
      <w:r w:rsidRPr="004470A3">
        <w:fldChar w:fldCharType="separate"/>
      </w:r>
      <w:r>
        <w:rPr>
          <w:noProof/>
        </w:rPr>
        <w:t>(1)</w:t>
      </w:r>
      <w:r w:rsidRPr="004470A3">
        <w:fldChar w:fldCharType="end"/>
      </w:r>
      <w:r w:rsidRPr="004470A3">
        <w:t xml:space="preserve">. Gender API is a web-based software that determines gender from names using a previously imputed database produced from publicly available governmental sources and social networks database of approximately 6 million names from 189 countries. Names are automatically searched in a specific country, then globally, and then using spelling normalizations. Gender API uses a multi-layer, cloud-based infrastructure with a 99.9% availability. </w:t>
      </w:r>
    </w:p>
    <w:p w14:paraId="680B347C" w14:textId="535C17AE" w:rsidR="000256E0" w:rsidRPr="004470A3" w:rsidRDefault="000256E0" w:rsidP="000256E0">
      <w:pPr>
        <w:spacing w:line="480" w:lineRule="auto"/>
      </w:pPr>
      <w:r w:rsidRPr="004470A3">
        <w:lastRenderedPageBreak/>
        <w:t xml:space="preserve">Apart from determining the gender of a given name, Gender API also provides an accuracy percentage for each gender ranging from 50-100%. The accuracy measure per gender assignment is dependent upon the number of data points the platform contains for each individual name. </w:t>
      </w:r>
      <w:bookmarkStart w:id="2" w:name="_Hlk69560698"/>
      <w:r w:rsidRPr="004470A3">
        <w:t>If the Gender API platform is unable to meet the requirements for &gt;50% accuracy, it provides an unknown gender for that author name</w:t>
      </w:r>
      <w:bookmarkEnd w:id="2"/>
      <w:r w:rsidRPr="004470A3">
        <w:t xml:space="preserve">. A reliability analysis of scientific author gender using the five most common and popular gender determining methods found Gender API to generate the most accurate results </w:t>
      </w:r>
      <w:r w:rsidRPr="004470A3">
        <w:fldChar w:fldCharType="begin"/>
      </w:r>
      <w:r>
        <w:instrText xml:space="preserve"> ADDIN EN.CITE &lt;EndNote&gt;&lt;Cite&gt;&lt;Author&gt;Santamaría&lt;/Author&gt;&lt;Year&gt;2018&lt;/Year&gt;&lt;RecNum&gt;5874&lt;/RecNum&gt;&lt;DisplayText&gt;(2)&lt;/DisplayText&gt;&lt;record&gt;&lt;rec-number&gt;5874&lt;/rec-number&gt;&lt;foreign-keys&gt;&lt;key app="EN" db-id="xe9teweaxfp9aee5zt8vxdalxfaa22tvse2v" timestamp="1568588887"&gt;5874&lt;/key&gt;&lt;/foreign-keys&gt;&lt;ref-type name="Journal Article"&gt;17&lt;/ref-type&gt;&lt;contributors&gt;&lt;authors&gt;&lt;author&gt;Santamaría, L.&lt;/author&gt;&lt;author&gt;&lt;style face="normal" font="default" size="100%"&gt;Mihaljevi&lt;/style&gt;&lt;style face="normal" font="default" charset="238" size="100%"&gt;ć&lt;/style&gt;&lt;style face="normal" font="default" size="100%"&gt;, H.&lt;/style&gt;&lt;/author&gt;&lt;/authors&gt;&lt;/contributors&gt;&lt;titles&gt;&lt;title&gt;&lt;style face="normal" font="default" charset="238" size="100%"&gt;Comparison and benchmark of name-to-gender inference services&lt;/style&gt;&lt;/title&gt;&lt;secondary-title&gt;&lt;style face="normal" font="default" charset="238" size="100%"&gt;PeerJComput. Sci&lt;/style&gt;&lt;/secondary-title&gt;&lt;/titles&gt;&lt;periodical&gt;&lt;full-title&gt;PeerJComput. Sci&lt;/full-title&gt;&lt;/periodical&gt;&lt;pages&gt;&lt;style face="normal" font="default" charset="238" size="100%"&gt;e156&lt;/style&gt;&lt;/pages&gt;&lt;volume&gt;&lt;style face="normal" font="default" charset="238" size="100%"&gt;4&lt;/style&gt;&lt;/volume&gt;&lt;dates&gt;&lt;year&gt;2018&lt;/year&gt;&lt;/dates&gt;&lt;urls&gt;&lt;/urls&gt;&lt;/record&gt;&lt;/Cite&gt;&lt;/EndNote&gt;</w:instrText>
      </w:r>
      <w:r w:rsidRPr="004470A3">
        <w:fldChar w:fldCharType="separate"/>
      </w:r>
      <w:r>
        <w:rPr>
          <w:noProof/>
        </w:rPr>
        <w:t>(2)</w:t>
      </w:r>
      <w:r w:rsidRPr="004470A3">
        <w:fldChar w:fldCharType="end"/>
      </w:r>
      <w:r w:rsidRPr="004470A3">
        <w:t xml:space="preserve">. </w:t>
      </w:r>
    </w:p>
    <w:p w14:paraId="2E4EB0D7" w14:textId="77777777" w:rsidR="000256E0" w:rsidRPr="004470A3" w:rsidRDefault="000256E0" w:rsidP="000256E0"/>
    <w:p w14:paraId="5C1F4490" w14:textId="77777777" w:rsidR="000256E0" w:rsidRDefault="000256E0"/>
    <w:p w14:paraId="38194A4F" w14:textId="362BDBDC" w:rsidR="000256E0" w:rsidRDefault="00AE3033">
      <w:r>
        <w:t>References Cited</w:t>
      </w:r>
    </w:p>
    <w:p w14:paraId="4B9E53DF" w14:textId="77777777" w:rsidR="00AE3033" w:rsidRDefault="00AE3033"/>
    <w:p w14:paraId="461112F6" w14:textId="73B2CAC8" w:rsidR="000256E0" w:rsidRPr="000256E0" w:rsidRDefault="000256E0" w:rsidP="000256E0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0256E0">
        <w:t>1.</w:t>
      </w:r>
      <w:r w:rsidRPr="000256E0">
        <w:tab/>
        <w:t xml:space="preserve">Gender API  [Available from: </w:t>
      </w:r>
      <w:hyperlink r:id="rId4" w:history="1">
        <w:r w:rsidRPr="000256E0">
          <w:rPr>
            <w:rStyle w:val="Hyperlink"/>
          </w:rPr>
          <w:t>https://gender-api.com/</w:t>
        </w:r>
      </w:hyperlink>
      <w:r w:rsidRPr="000256E0">
        <w:t>.</w:t>
      </w:r>
    </w:p>
    <w:p w14:paraId="68EDC4B0" w14:textId="77777777" w:rsidR="000256E0" w:rsidRPr="000256E0" w:rsidRDefault="000256E0" w:rsidP="000256E0">
      <w:pPr>
        <w:pStyle w:val="EndNoteBibliography"/>
      </w:pPr>
      <w:r w:rsidRPr="000256E0">
        <w:t>2.</w:t>
      </w:r>
      <w:r w:rsidRPr="000256E0">
        <w:tab/>
        <w:t>Santamaría L, Mihaljević H. Comparison and benchmark of name-to-gender inference services. PeerJComput Sci. 2018;4:e156.</w:t>
      </w:r>
    </w:p>
    <w:p w14:paraId="3753A2DD" w14:textId="181140C0" w:rsidR="00014464" w:rsidRDefault="000256E0">
      <w:r>
        <w:fldChar w:fldCharType="end"/>
      </w:r>
    </w:p>
    <w:sectPr w:rsidR="00014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9teweaxfp9aee5zt8vxdalxfaa22tvse2v&quot;&gt;Master End Note-Converted&lt;record-ids&gt;&lt;item&gt;5874&lt;/item&gt;&lt;item&gt;5875&lt;/item&gt;&lt;/record-ids&gt;&lt;/item&gt;&lt;/Libraries&gt;"/>
  </w:docVars>
  <w:rsids>
    <w:rsidRoot w:val="000256E0"/>
    <w:rsid w:val="000256E0"/>
    <w:rsid w:val="003E5BA6"/>
    <w:rsid w:val="006F2D66"/>
    <w:rsid w:val="007C44E1"/>
    <w:rsid w:val="00AE3033"/>
    <w:rsid w:val="00B73440"/>
    <w:rsid w:val="00D0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2253"/>
  <w15:chartTrackingRefBased/>
  <w15:docId w15:val="{86F179FF-8885-48C8-8545-9E67C1EB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256E0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256E0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256E0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256E0"/>
    <w:rPr>
      <w:rFonts w:ascii="Times New Roman" w:eastAsia="Times New Roman" w:hAnsi="Times New Roman" w:cs="Times New Roman"/>
      <w:noProof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56E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5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nder-ap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christopher</dc:creator>
  <cp:keywords/>
  <dc:description/>
  <cp:lastModifiedBy>Rajeshwari A.</cp:lastModifiedBy>
  <cp:revision>4</cp:revision>
  <dcterms:created xsi:type="dcterms:W3CDTF">2021-06-11T23:40:00Z</dcterms:created>
  <dcterms:modified xsi:type="dcterms:W3CDTF">2021-06-23T17:27:00Z</dcterms:modified>
</cp:coreProperties>
</file>