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FDD" w:rsidRDefault="00342FDD" w:rsidP="00342FDD">
      <w:pPr>
        <w:spacing w:after="0"/>
        <w:jc w:val="center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- Additional file -</w:t>
      </w:r>
    </w:p>
    <w:p w:rsidR="00342FDD" w:rsidRDefault="00342FDD" w:rsidP="00342FDD">
      <w:pPr>
        <w:spacing w:after="120" w:line="240" w:lineRule="auto"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</w:rPr>
        <w:t xml:space="preserve">Procedure related complications </w:t>
      </w:r>
      <w:r>
        <w:rPr>
          <w:rFonts w:ascii="Times New Roman" w:hAnsi="Times New Roman"/>
          <w:b/>
          <w:sz w:val="20"/>
          <w:szCs w:val="20"/>
          <w:lang w:val="en-GB"/>
        </w:rPr>
        <w:t>according to body mass index</w:t>
      </w:r>
    </w:p>
    <w:tbl>
      <w:tblPr>
        <w:tblW w:w="78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20"/>
        <w:gridCol w:w="1020"/>
        <w:gridCol w:w="1020"/>
        <w:gridCol w:w="1020"/>
        <w:gridCol w:w="1020"/>
        <w:gridCol w:w="1020"/>
      </w:tblGrid>
      <w:tr w:rsidR="003C5C87" w:rsidRPr="003C5C87" w:rsidTr="003C5C87">
        <w:trPr>
          <w:trHeight w:val="567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Body mass index [kg/m²]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t xml:space="preserve">16-19 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br/>
              <w:t>(n = 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t xml:space="preserve">20-24 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br/>
              <w:t>(n = 195)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t xml:space="preserve">25-30 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br/>
              <w:t>(n = 294)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t xml:space="preserve">31-40 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br/>
              <w:t>(n = 130)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/>
              </w:rPr>
              <w:t>P-value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bleeding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5 (3)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11 (4)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9 (7)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Postprocedural bleeding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14 (7)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20 (7)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11 (8)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Pneumothorax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Accidental cannula dislocation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3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4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3 (2)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Accidental tubus dislocation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3 (2)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3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Tracheocutaneous fistula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Infection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4 (2)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Granulation at the tracheostoma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2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2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Wound healing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2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O</w:t>
            </w: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position w:val="-4"/>
                <w:sz w:val="20"/>
                <w:szCs w:val="20"/>
                <w:vertAlign w:val="subscript"/>
                <w:lang w:val="de-DE"/>
              </w:rPr>
              <w:t>2</w:t>
            </w: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 desaturation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4 (2)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4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Hypotension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12 (6)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14 (5)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4 (3)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Cardiac arrhytmia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Fracture of tracheal cartilage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2 (6)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7 (4)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12 (4)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6 (5)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Resuscitation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3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5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Death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val="de-DE"/>
              </w:rPr>
              <w:t>ns.</w:t>
            </w:r>
          </w:p>
        </w:tc>
      </w:tr>
    </w:tbl>
    <w:p w:rsidR="00342FDD" w:rsidRPr="00C86747" w:rsidRDefault="00342FDD" w:rsidP="00342FDD">
      <w:pPr>
        <w:spacing w:after="0"/>
        <w:rPr>
          <w:rFonts w:ascii="Times New Roman" w:hAnsi="Times New Roman"/>
          <w:b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  <w:r w:rsidRPr="003743E5">
        <w:rPr>
          <w:rFonts w:ascii="Times New Roman" w:hAnsi="Times New Roman"/>
          <w:b/>
          <w:sz w:val="20"/>
          <w:szCs w:val="20"/>
          <w:lang w:val="en-GB"/>
        </w:rPr>
        <w:t xml:space="preserve">Table </w:t>
      </w:r>
      <w:r>
        <w:rPr>
          <w:rFonts w:ascii="Times New Roman" w:hAnsi="Times New Roman"/>
          <w:b/>
          <w:sz w:val="20"/>
          <w:szCs w:val="20"/>
          <w:lang w:val="en-GB"/>
        </w:rPr>
        <w:t>S1</w:t>
      </w:r>
      <w:r w:rsidRPr="003743E5">
        <w:rPr>
          <w:rFonts w:ascii="Times New Roman" w:hAnsi="Times New Roman"/>
          <w:b/>
          <w:sz w:val="20"/>
          <w:szCs w:val="20"/>
          <w:lang w:val="en-GB"/>
        </w:rPr>
        <w:t>.</w:t>
      </w:r>
      <w:r w:rsidRPr="003743E5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>Complications during and after PDT differentiated by body mass index (BMI). p-values &lt; 0.05 were considered as significant; ns: non-significant.</w:t>
      </w:r>
      <w:r>
        <w:rPr>
          <w:rFonts w:ascii="Times New Roman" w:hAnsi="Times New Roman"/>
          <w:bCs/>
          <w:sz w:val="20"/>
          <w:szCs w:val="20"/>
          <w:lang w:val="en-GB"/>
        </w:rPr>
        <w:t xml:space="preserve"> Of note, there were 9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 xml:space="preserve"> patients </w:t>
      </w:r>
      <w:r>
        <w:rPr>
          <w:rFonts w:ascii="Times New Roman" w:hAnsi="Times New Roman"/>
          <w:bCs/>
          <w:sz w:val="20"/>
          <w:szCs w:val="20"/>
          <w:lang w:val="en-GB"/>
        </w:rPr>
        <w:t xml:space="preserve">with BMI value &lt; 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 xml:space="preserve">16 </w:t>
      </w:r>
      <w:r>
        <w:rPr>
          <w:rFonts w:ascii="Times New Roman" w:hAnsi="Times New Roman"/>
          <w:bCs/>
          <w:sz w:val="20"/>
          <w:szCs w:val="20"/>
          <w:lang w:val="en-GB"/>
        </w:rPr>
        <w:t>kg/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>m</w:t>
      </w:r>
      <w:r w:rsidRPr="00EC0BDF">
        <w:rPr>
          <w:rFonts w:ascii="Times New Roman" w:hAnsi="Times New Roman"/>
          <w:bCs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bCs/>
          <w:sz w:val="20"/>
          <w:szCs w:val="20"/>
          <w:vertAlign w:val="superscript"/>
          <w:lang w:val="en-GB"/>
        </w:rPr>
        <w:t xml:space="preserve"> 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 xml:space="preserve">and 12 </w:t>
      </w:r>
      <w:r>
        <w:rPr>
          <w:rFonts w:ascii="Times New Roman" w:hAnsi="Times New Roman"/>
          <w:bCs/>
          <w:sz w:val="20"/>
          <w:szCs w:val="20"/>
          <w:lang w:val="en-GB"/>
        </w:rPr>
        <w:t>patients with BMI value &gt; 40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en-GB"/>
        </w:rPr>
        <w:t>kg/</w:t>
      </w:r>
      <w:r w:rsidRPr="00EC0BDF">
        <w:rPr>
          <w:rFonts w:ascii="Times New Roman" w:hAnsi="Times New Roman"/>
          <w:bCs/>
          <w:sz w:val="20"/>
          <w:szCs w:val="20"/>
          <w:lang w:val="en-GB"/>
        </w:rPr>
        <w:t>m</w:t>
      </w:r>
      <w:r w:rsidRPr="00EC0BDF">
        <w:rPr>
          <w:rFonts w:ascii="Times New Roman" w:hAnsi="Times New Roman"/>
          <w:bCs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bCs/>
          <w:sz w:val="20"/>
          <w:szCs w:val="20"/>
          <w:vertAlign w:val="superscript"/>
          <w:lang w:val="en-GB"/>
        </w:rPr>
        <w:t xml:space="preserve"> </w:t>
      </w:r>
      <w:r w:rsidRPr="00285AD3">
        <w:rPr>
          <w:rFonts w:ascii="Times New Roman" w:hAnsi="Times New Roman"/>
          <w:bCs/>
          <w:sz w:val="20"/>
          <w:szCs w:val="20"/>
          <w:lang w:val="en-GB"/>
        </w:rPr>
        <w:t>who were not</w:t>
      </w:r>
      <w:r>
        <w:rPr>
          <w:rFonts w:ascii="Times New Roman" w:hAnsi="Times New Roman"/>
          <w:bCs/>
          <w:sz w:val="20"/>
          <w:szCs w:val="20"/>
          <w:vertAlign w:val="superscript"/>
          <w:lang w:val="en-GB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en-GB"/>
        </w:rPr>
        <w:t>included.</w:t>
      </w: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342FDD" w:rsidRDefault="00342FDD" w:rsidP="00342FDD">
      <w:pPr>
        <w:spacing w:line="360" w:lineRule="auto"/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spacing w:after="120" w:line="240" w:lineRule="auto"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en-GB"/>
        </w:rPr>
        <w:lastRenderedPageBreak/>
        <w:t>B</w:t>
      </w:r>
      <w:r w:rsidRPr="008F07F7">
        <w:rPr>
          <w:rFonts w:ascii="Times New Roman" w:hAnsi="Times New Roman"/>
          <w:b/>
          <w:sz w:val="20"/>
          <w:szCs w:val="20"/>
          <w:lang w:val="en-GB"/>
        </w:rPr>
        <w:t xml:space="preserve">aseline characteristics </w:t>
      </w:r>
      <w:r>
        <w:rPr>
          <w:rFonts w:ascii="Times New Roman" w:hAnsi="Times New Roman"/>
          <w:b/>
          <w:sz w:val="20"/>
          <w:szCs w:val="20"/>
          <w:lang w:val="en-GB"/>
        </w:rPr>
        <w:t xml:space="preserve">(based on seven treatment groups) 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56"/>
        <w:gridCol w:w="1185"/>
        <w:gridCol w:w="862"/>
        <w:gridCol w:w="919"/>
        <w:gridCol w:w="862"/>
        <w:gridCol w:w="862"/>
        <w:gridCol w:w="862"/>
        <w:gridCol w:w="840"/>
        <w:gridCol w:w="862"/>
        <w:gridCol w:w="862"/>
      </w:tblGrid>
      <w:tr w:rsidR="003C5C87" w:rsidRPr="003C5C87" w:rsidTr="003C5C87">
        <w:trPr>
          <w:trHeight w:val="1134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Treatment group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Heparin (prophylactic dosage) (I)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101)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Heparin (therapeutic dosage) (II) 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131)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Aspirin and heparin (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prophylactic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dosage)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 (III)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46)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Aspirin and heparin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(therapeutic dosage)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 (IV)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106)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P2Y12 receptor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and heparin (therapeutic dosage) (V)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24)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DAPT with heparin (prophylactic dosage) (VI)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114)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DAPT with heparin (therapeutic dosage) (triple therapy) (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VII)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149)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Overall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671)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Age [years]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55±16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64±13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65±10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66±12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75±11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65±12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70±12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65±14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Gender [male]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56 (55)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80 (61)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33 (72)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70 (66)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18 (75)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87 (76)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99 (66)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444 (66)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Body mass index [kg/m²]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26.02±5.67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27.87±+5.39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27.18±5.18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27.36±5.74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27.73±5.85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26.84±4.77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26.99±4.68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27.08±5.25</w:t>
            </w:r>
          </w:p>
        </w:tc>
      </w:tr>
      <w:tr w:rsidR="003C5C87" w:rsidRPr="003C5C87" w:rsidTr="003C5C87">
        <w:trPr>
          <w:trHeight w:val="699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Reason for hospitalization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Acute respiratory failure (ARDS, COPD, Pneumonia)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br/>
              <w:t>n (%)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38 (38)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32 (24)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18 (39)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24 (23)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 (4)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119 (18)</w:t>
            </w:r>
          </w:p>
        </w:tc>
      </w:tr>
      <w:tr w:rsidR="003C5C87" w:rsidRPr="003C5C87" w:rsidTr="003C5C87">
        <w:trPr>
          <w:trHeight w:val="349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Sepsis n (%)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12 (12)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 (8)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 (6)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(5)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39 (6)</w:t>
            </w:r>
          </w:p>
        </w:tc>
      </w:tr>
      <w:tr w:rsidR="003C5C87" w:rsidRPr="003C5C87" w:rsidTr="003C5C87">
        <w:trPr>
          <w:trHeight w:val="34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Acute myocardial infarciation </w:t>
            </w: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br/>
              <w:t>n (%)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(2)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(13)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74 (65)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77 (52)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155 (23)</w:t>
            </w:r>
          </w:p>
        </w:tc>
      </w:tr>
      <w:tr w:rsidR="003C5C87" w:rsidRPr="003C5C87" w:rsidTr="003C5C87">
        <w:trPr>
          <w:trHeight w:val="349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Shock (cardiogenic/septic/ hemorrhagic) n (%)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28 (28)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34 (26)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(15)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 (13)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 (33)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19 (17)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23 (15)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133 (20)</w:t>
            </w:r>
          </w:p>
        </w:tc>
      </w:tr>
      <w:tr w:rsidR="003C5C87" w:rsidRPr="003C5C87" w:rsidTr="003C5C87">
        <w:trPr>
          <w:trHeight w:val="349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Others n (%)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23 (23)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54 (41)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18 (39)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62 (58)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 (46)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21 (18)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36 (24)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225 (34)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Hypertension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49 (49)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78 (60)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34 (74)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74 (70)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24 (100)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80 (70)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116 (78)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455 (68)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Diabetes mellitus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15 (15)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38 (29)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 (30)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36 (34)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12 (50)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27 (24)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55 (37)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197 (29)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Current smoker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19 (19)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34 (26)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15 (33)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19 (18)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(29)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60 (53)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42 (28)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196 (29)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Chronic kidney disease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24 (24)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54 (41)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 (24)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34 (32)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 (58)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31 (27)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50 (34)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219 (33)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Previous Stroke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(5)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 (11)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 (20)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17 (16)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(13)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13 (11)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21 (14)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82 (12)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lastRenderedPageBreak/>
              <w:t xml:space="preserve">Atrial fibrillation  n (%)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 (8)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90 (69)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(15)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70 (66)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21 (88)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 (8)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105 (70)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310 (46)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Aspirin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106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415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P2Y12 inhibitor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287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Creatinine [mg/dl]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1.38±0.87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1.63±0.95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1.45±0.83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1.68±0.96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1.85±0.96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1.54±0.94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1.52±0.85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1.57±0.95</w:t>
            </w:r>
          </w:p>
        </w:tc>
      </w:tr>
      <w:tr w:rsidR="003C5C87" w:rsidRPr="003C5C87" w:rsidTr="003C5C87">
        <w:trPr>
          <w:trHeight w:val="349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Hemoglobin [g/dl]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9.26±1.55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9.28±1.75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9.24±1.66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9.34±1.39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8.40±0.87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9.43±1.49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9.34±1.33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9.29±1.51</w:t>
            </w:r>
          </w:p>
        </w:tc>
      </w:tr>
      <w:tr w:rsidR="003C5C87" w:rsidRPr="003C5C87" w:rsidTr="003C5C87">
        <w:trPr>
          <w:trHeight w:val="363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Platelet count [G/l]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216±150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222±131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238±164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192±111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175±98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228±135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249±130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223±134</w:t>
            </w:r>
          </w:p>
        </w:tc>
      </w:tr>
      <w:tr w:rsidR="003C5C87" w:rsidRPr="003C5C87" w:rsidTr="003C5C87"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INR 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1.21±0.42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1.23±0.33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1.12±0.17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1.19±0.27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1.31±0.71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1.14±0.20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1.24±0.25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1.20±0.32</w:t>
            </w:r>
          </w:p>
        </w:tc>
      </w:tr>
      <w:tr w:rsidR="003C5C87" w:rsidRPr="003C5C87" w:rsidTr="003C5C87">
        <w:trPr>
          <w:trHeight w:val="264"/>
        </w:trPr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aPTT [sec] mean ± SD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37.99±15.68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48.645±22.96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35.50±10.72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44.16±17.70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43.48±12.92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34.93±9.51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47.66±16.82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42.68±17.58</w:t>
            </w:r>
          </w:p>
        </w:tc>
      </w:tr>
    </w:tbl>
    <w:p w:rsidR="00342FDD" w:rsidRDefault="00342FDD" w:rsidP="00342FDD">
      <w:pPr>
        <w:spacing w:after="0" w:line="360" w:lineRule="auto"/>
        <w:rPr>
          <w:rFonts w:ascii="Times New Roman" w:hAnsi="Times New Roman"/>
          <w:sz w:val="20"/>
          <w:szCs w:val="20"/>
          <w:lang w:val="en-GB"/>
        </w:rPr>
      </w:pPr>
      <w:r w:rsidRPr="00F10CBA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Pr="003743E5">
        <w:rPr>
          <w:rFonts w:ascii="Times New Roman" w:hAnsi="Times New Roman"/>
          <w:b/>
          <w:sz w:val="20"/>
          <w:szCs w:val="20"/>
          <w:lang w:val="en-GB"/>
        </w:rPr>
        <w:t xml:space="preserve">Table </w:t>
      </w:r>
      <w:r w:rsidR="00EC32D0">
        <w:rPr>
          <w:rFonts w:ascii="Times New Roman" w:hAnsi="Times New Roman"/>
          <w:b/>
          <w:sz w:val="20"/>
          <w:szCs w:val="20"/>
          <w:lang w:val="en-GB"/>
        </w:rPr>
        <w:t>S</w:t>
      </w:r>
      <w:r>
        <w:rPr>
          <w:rFonts w:ascii="Times New Roman" w:hAnsi="Times New Roman"/>
          <w:b/>
          <w:sz w:val="20"/>
          <w:szCs w:val="20"/>
          <w:lang w:val="en-GB"/>
        </w:rPr>
        <w:t>2</w:t>
      </w:r>
      <w:r w:rsidRPr="003743E5">
        <w:rPr>
          <w:rFonts w:ascii="Times New Roman" w:hAnsi="Times New Roman"/>
          <w:b/>
          <w:sz w:val="20"/>
          <w:szCs w:val="20"/>
          <w:lang w:val="en-GB"/>
        </w:rPr>
        <w:t xml:space="preserve">. </w:t>
      </w:r>
      <w:r w:rsidRPr="003743E5">
        <w:rPr>
          <w:rFonts w:ascii="Times New Roman" w:hAnsi="Times New Roman"/>
          <w:sz w:val="20"/>
          <w:szCs w:val="20"/>
          <w:lang w:val="en-GB"/>
        </w:rPr>
        <w:t xml:space="preserve">Baseline </w:t>
      </w:r>
      <w:r w:rsidRPr="002B41BA">
        <w:rPr>
          <w:rFonts w:ascii="Times New Roman" w:hAnsi="Times New Roman"/>
          <w:sz w:val="20"/>
          <w:szCs w:val="20"/>
          <w:lang w:val="en-GB"/>
        </w:rPr>
        <w:t>characteristics (based on seven treatment groups):</w:t>
      </w:r>
      <w:r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Pr="00C3617C">
        <w:rPr>
          <w:rFonts w:ascii="Times New Roman" w:hAnsi="Times New Roman"/>
          <w:sz w:val="20"/>
          <w:szCs w:val="20"/>
          <w:lang w:val="en-GB"/>
        </w:rPr>
        <w:t>I) Int</w:t>
      </w:r>
      <w:r>
        <w:rPr>
          <w:rFonts w:ascii="Times New Roman" w:hAnsi="Times New Roman"/>
          <w:sz w:val="20"/>
          <w:szCs w:val="20"/>
          <w:lang w:val="en-GB"/>
        </w:rPr>
        <w:t xml:space="preserve">ravenous unfractionated heparin (iUFH) 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(prophylactic dosage), II) </w:t>
      </w:r>
      <w:r>
        <w:rPr>
          <w:rFonts w:ascii="Times New Roman" w:hAnsi="Times New Roman"/>
          <w:sz w:val="20"/>
          <w:szCs w:val="20"/>
          <w:lang w:val="en-GB"/>
        </w:rPr>
        <w:t>iUFH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 (therapeutic dosage), III) aspirin (100 mg/day) and </w:t>
      </w:r>
      <w:r>
        <w:rPr>
          <w:rFonts w:ascii="Times New Roman" w:hAnsi="Times New Roman"/>
          <w:sz w:val="20"/>
          <w:szCs w:val="20"/>
          <w:lang w:val="en-GB"/>
        </w:rPr>
        <w:t>iUFH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 (prophylactic dosage) IV) aspirin (100 mg/day) and </w:t>
      </w:r>
      <w:r>
        <w:rPr>
          <w:rFonts w:ascii="Times New Roman" w:hAnsi="Times New Roman"/>
          <w:sz w:val="20"/>
          <w:szCs w:val="20"/>
          <w:lang w:val="en-GB"/>
        </w:rPr>
        <w:t>iUFH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 (therapeutic dosage), V) P2Y12 receptor inhibitor, i.e. clopidogrel (75 mg/day), prasugrel (10 mg/day) or ticagrelor (90 mg twice daily) with </w:t>
      </w:r>
      <w:r>
        <w:rPr>
          <w:rFonts w:ascii="Times New Roman" w:hAnsi="Times New Roman"/>
          <w:sz w:val="20"/>
          <w:szCs w:val="20"/>
          <w:lang w:val="en-GB"/>
        </w:rPr>
        <w:t>iUFH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 (therapeutic dosage), VI) DAPT including aspirin (100 mg/day) and a</w:t>
      </w:r>
      <w:r>
        <w:rPr>
          <w:rFonts w:ascii="Times New Roman" w:hAnsi="Times New Roman"/>
          <w:sz w:val="20"/>
          <w:szCs w:val="20"/>
          <w:lang w:val="en-GB"/>
        </w:rPr>
        <w:t xml:space="preserve"> P2Y12 receptor inhibitor with iUFH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 (prophylactic dosage) and VII) DAPT with </w:t>
      </w:r>
      <w:r>
        <w:rPr>
          <w:rFonts w:ascii="Times New Roman" w:hAnsi="Times New Roman"/>
          <w:sz w:val="20"/>
          <w:szCs w:val="20"/>
          <w:lang w:val="en-GB"/>
        </w:rPr>
        <w:t>iUFH</w:t>
      </w:r>
      <w:r w:rsidRPr="00C3617C">
        <w:rPr>
          <w:rFonts w:ascii="Times New Roman" w:hAnsi="Times New Roman"/>
          <w:sz w:val="20"/>
          <w:szCs w:val="20"/>
          <w:lang w:val="en-GB"/>
        </w:rPr>
        <w:t xml:space="preserve"> (therapeutic dosage), i.e. </w:t>
      </w:r>
      <w:r>
        <w:rPr>
          <w:rFonts w:ascii="Times New Roman" w:hAnsi="Times New Roman"/>
          <w:sz w:val="20"/>
          <w:szCs w:val="20"/>
          <w:lang w:val="en-GB"/>
        </w:rPr>
        <w:t>triple therapy</w:t>
      </w:r>
      <w:r w:rsidRPr="00C3617C">
        <w:rPr>
          <w:rFonts w:ascii="Times New Roman" w:hAnsi="Times New Roman"/>
          <w:sz w:val="20"/>
          <w:szCs w:val="20"/>
          <w:lang w:val="en-GB"/>
        </w:rPr>
        <w:t>. All</w:t>
      </w:r>
      <w:r w:rsidRPr="003743E5">
        <w:rPr>
          <w:rFonts w:ascii="Times New Roman" w:hAnsi="Times New Roman"/>
          <w:sz w:val="20"/>
          <w:szCs w:val="20"/>
          <w:lang w:val="en-GB"/>
        </w:rPr>
        <w:t xml:space="preserve"> displayed laboratory values were</w:t>
      </w:r>
      <w:r>
        <w:rPr>
          <w:rFonts w:ascii="Times New Roman" w:hAnsi="Times New Roman"/>
          <w:sz w:val="20"/>
          <w:szCs w:val="20"/>
          <w:lang w:val="en-GB"/>
        </w:rPr>
        <w:t xml:space="preserve"> recorded on the day of PDT 4 </w:t>
      </w:r>
      <w:r w:rsidRPr="00525F7B">
        <w:rPr>
          <w:rFonts w:ascii="Times New Roman" w:hAnsi="Times New Roman"/>
          <w:sz w:val="20"/>
          <w:szCs w:val="20"/>
          <w:lang w:val="en-GB"/>
        </w:rPr>
        <w:t>hours prior to procedure</w:t>
      </w:r>
      <w:r>
        <w:rPr>
          <w:rFonts w:ascii="Times New Roman" w:hAnsi="Times New Roman"/>
          <w:sz w:val="20"/>
          <w:szCs w:val="20"/>
          <w:lang w:val="en-GB"/>
        </w:rPr>
        <w:t xml:space="preserve">. </w:t>
      </w:r>
      <w:r w:rsidRPr="003743E5">
        <w:rPr>
          <w:rFonts w:ascii="Times New Roman" w:hAnsi="Times New Roman"/>
          <w:sz w:val="20"/>
          <w:szCs w:val="20"/>
          <w:lang w:val="en-GB"/>
        </w:rPr>
        <w:t>ARDS, acute respiratory distress syndrome; COPD,</w:t>
      </w:r>
      <w:r w:rsidRPr="003743E5">
        <w:t xml:space="preserve"> </w:t>
      </w:r>
      <w:r w:rsidRPr="003743E5">
        <w:rPr>
          <w:rFonts w:ascii="Times New Roman" w:hAnsi="Times New Roman"/>
          <w:sz w:val="20"/>
          <w:szCs w:val="20"/>
          <w:lang w:val="en-GB"/>
        </w:rPr>
        <w:t>chronic obstructive pulmonary disease; INR, International Normalized Ratio; aPTT, activated Partial Thromboplastin Time</w:t>
      </w:r>
      <w:r>
        <w:rPr>
          <w:rFonts w:ascii="Times New Roman" w:hAnsi="Times New Roman"/>
          <w:sz w:val="20"/>
          <w:szCs w:val="20"/>
          <w:lang w:val="en-GB"/>
        </w:rPr>
        <w:t xml:space="preserve">; SD, standard deviation. </w:t>
      </w: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rPr>
          <w:rFonts w:ascii="Times New Roman" w:hAnsi="Times New Roman"/>
          <w:sz w:val="20"/>
          <w:szCs w:val="20"/>
          <w:lang w:val="en-GB"/>
        </w:rPr>
      </w:pPr>
    </w:p>
    <w:p w:rsidR="00342FDD" w:rsidRDefault="00342FDD" w:rsidP="00342FDD">
      <w:pPr>
        <w:spacing w:after="120" w:line="240" w:lineRule="auto"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</w:rPr>
        <w:t xml:space="preserve">Procedure related complications </w:t>
      </w:r>
      <w:r>
        <w:rPr>
          <w:rFonts w:ascii="Times New Roman" w:hAnsi="Times New Roman"/>
          <w:b/>
          <w:sz w:val="20"/>
          <w:szCs w:val="20"/>
          <w:lang w:val="en-GB"/>
        </w:rPr>
        <w:t>(based on seven treatment groups)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06"/>
        <w:gridCol w:w="958"/>
        <w:gridCol w:w="889"/>
        <w:gridCol w:w="958"/>
        <w:gridCol w:w="889"/>
        <w:gridCol w:w="889"/>
        <w:gridCol w:w="958"/>
        <w:gridCol w:w="889"/>
        <w:gridCol w:w="733"/>
        <w:gridCol w:w="603"/>
      </w:tblGrid>
      <w:tr w:rsidR="003C5C87" w:rsidRPr="003C5C87" w:rsidTr="003C5C87">
        <w:trPr>
          <w:trHeight w:val="227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_GoBack"/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Complication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Heparin (prophylactic dosage) (I)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101)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Heparin (therapeutic dosage) (II) 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131)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Aspirin and heparin (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prophylactic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dosage)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 (III)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46)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Aspirin and heparin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(therapeutic dosage)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 (IV)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106)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P2Y12 receptor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and heparin (therapeutic dosage) (V)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24)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DAPT with heparin (prophylactic dosage) (VI)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114)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DAPT with heparin (therapeutic dosage) (triple therapy) (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VII) </w:t>
            </w:r>
          </w:p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>(n = 149)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Overall </w:t>
            </w: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br/>
              <w:t>(n = 671)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de-DE"/>
              </w:rPr>
              <w:t xml:space="preserve">P-value 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bleeding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(13)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(6)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26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71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lastRenderedPageBreak/>
              <w:t xml:space="preserve">Postprocedural bleeding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 (9)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 (7)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(11)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 (8)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 (5)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 (7)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48 (7)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71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Intra-/postproceddural </w:t>
            </w:r>
          </w:p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bleeding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14 (14)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13 (10)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(11)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11 (11)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(13)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13 (11)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15 (10)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74 (11)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Intra-/postproceddural </w:t>
            </w:r>
          </w:p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Pneumothorax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accidental cannula dislocation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13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accidental tubus dislocation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8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Postprocedural tracheocutaneous fistula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Postprocedural infection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Postprocedural granulation at the tracheostoma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0 (0)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Postprocedural wound healing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Intraprocedural O</w:t>
            </w: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position w:val="-4"/>
                <w:sz w:val="20"/>
                <w:szCs w:val="20"/>
                <w:vertAlign w:val="subscript"/>
                <w:lang w:val="de-DE"/>
              </w:rPr>
              <w:t>2</w:t>
            </w: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 desaturation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10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hypotension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(11)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4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(6)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30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cardiac arrhytmia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fracture of tracheal </w:t>
            </w: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lastRenderedPageBreak/>
              <w:t xml:space="preserve">cartilage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lastRenderedPageBreak/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9 (7)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7 (7)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6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29 (4)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rPr>
          <w:trHeight w:val="349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Intraprocedural resuscitation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1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2 (2)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5 (1)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  <w:tr w:rsidR="003C5C87" w:rsidRPr="003C5C87" w:rsidTr="003C5C87"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3C5C87" w:rsidRPr="003C5C87" w:rsidRDefault="003C5C87" w:rsidP="003C5C8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Intra/Postprocedural death </w:t>
            </w: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 xml:space="preserve">n (%)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0 (0)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C5C87" w:rsidRPr="003C5C87" w:rsidRDefault="003C5C87" w:rsidP="003C5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C5C8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de-DE"/>
              </w:rPr>
              <w:t>ns.</w:t>
            </w:r>
          </w:p>
        </w:tc>
      </w:tr>
    </w:tbl>
    <w:bookmarkEnd w:id="0"/>
    <w:p w:rsidR="00342FDD" w:rsidRDefault="00342FDD" w:rsidP="00342FDD">
      <w:pPr>
        <w:spacing w:after="0" w:line="360" w:lineRule="auto"/>
        <w:rPr>
          <w:rFonts w:ascii="Times New Roman" w:hAnsi="Times New Roman"/>
          <w:sz w:val="20"/>
          <w:szCs w:val="20"/>
          <w:lang w:val="en-GB"/>
        </w:rPr>
      </w:pPr>
      <w:r w:rsidRPr="002B41BA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Pr="003743E5">
        <w:rPr>
          <w:rFonts w:ascii="Times New Roman" w:hAnsi="Times New Roman"/>
          <w:b/>
          <w:sz w:val="20"/>
          <w:szCs w:val="20"/>
          <w:lang w:val="en-GB"/>
        </w:rPr>
        <w:t xml:space="preserve">Table </w:t>
      </w:r>
      <w:r w:rsidR="00EC32D0">
        <w:rPr>
          <w:rFonts w:ascii="Times New Roman" w:hAnsi="Times New Roman"/>
          <w:b/>
          <w:sz w:val="20"/>
          <w:szCs w:val="20"/>
          <w:lang w:val="en-GB"/>
        </w:rPr>
        <w:t>S</w:t>
      </w:r>
      <w:r>
        <w:rPr>
          <w:rFonts w:ascii="Times New Roman" w:hAnsi="Times New Roman"/>
          <w:b/>
          <w:sz w:val="20"/>
          <w:szCs w:val="20"/>
          <w:lang w:val="en-GB"/>
        </w:rPr>
        <w:t>3</w:t>
      </w:r>
      <w:r w:rsidRPr="003743E5">
        <w:rPr>
          <w:rFonts w:ascii="Times New Roman" w:hAnsi="Times New Roman"/>
          <w:b/>
          <w:sz w:val="20"/>
          <w:szCs w:val="20"/>
          <w:lang w:val="en-GB"/>
        </w:rPr>
        <w:t xml:space="preserve">. </w:t>
      </w:r>
      <w:r>
        <w:rPr>
          <w:rFonts w:ascii="Times New Roman" w:hAnsi="Times New Roman"/>
          <w:sz w:val="20"/>
          <w:szCs w:val="20"/>
          <w:lang w:val="en-GB"/>
        </w:rPr>
        <w:t>Procedural related c</w:t>
      </w:r>
      <w:r w:rsidRPr="003743E5">
        <w:rPr>
          <w:rFonts w:ascii="Times New Roman" w:hAnsi="Times New Roman"/>
          <w:sz w:val="20"/>
          <w:szCs w:val="20"/>
          <w:lang w:val="en-GB"/>
        </w:rPr>
        <w:t xml:space="preserve">omplications during and after PDT </w:t>
      </w:r>
      <w:r w:rsidRPr="002B41BA">
        <w:rPr>
          <w:rFonts w:ascii="Times New Roman" w:hAnsi="Times New Roman"/>
          <w:sz w:val="20"/>
          <w:szCs w:val="20"/>
          <w:lang w:val="en-GB"/>
        </w:rPr>
        <w:t>(based on seven treatment groups)</w:t>
      </w:r>
      <w:r>
        <w:rPr>
          <w:rFonts w:ascii="Times New Roman" w:hAnsi="Times New Roman"/>
          <w:sz w:val="20"/>
          <w:szCs w:val="20"/>
          <w:lang w:val="en-GB"/>
        </w:rPr>
        <w:t>. p</w:t>
      </w:r>
      <w:r w:rsidRPr="001D57C7">
        <w:rPr>
          <w:rFonts w:ascii="Times New Roman" w:hAnsi="Times New Roman"/>
          <w:sz w:val="20"/>
          <w:szCs w:val="20"/>
          <w:lang w:val="en-GB"/>
        </w:rPr>
        <w:t>-values &lt; 0.05 were considered as significant; ns: non-significant.</w:t>
      </w:r>
    </w:p>
    <w:p w:rsidR="00342FDD" w:rsidRPr="00D32E84" w:rsidRDefault="00342FDD" w:rsidP="00342FDD">
      <w:pPr>
        <w:spacing w:after="0" w:line="360" w:lineRule="auto"/>
        <w:rPr>
          <w:noProof/>
          <w:lang w:val="en-GB" w:eastAsia="de-DE"/>
        </w:rPr>
      </w:pPr>
    </w:p>
    <w:p w:rsidR="0059247E" w:rsidRDefault="0059247E"/>
    <w:sectPr w:rsidR="0059247E" w:rsidSect="0021187D">
      <w:footerReference w:type="default" r:id="rId6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C5C87">
      <w:pPr>
        <w:spacing w:after="0" w:line="240" w:lineRule="auto"/>
      </w:pPr>
      <w:r>
        <w:separator/>
      </w:r>
    </w:p>
  </w:endnote>
  <w:endnote w:type="continuationSeparator" w:id="0">
    <w:p w:rsidR="00000000" w:rsidRDefault="003C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4530100"/>
      <w:docPartObj>
        <w:docPartGallery w:val="Page Numbers (Bottom of Page)"/>
        <w:docPartUnique/>
      </w:docPartObj>
    </w:sdtPr>
    <w:sdtEndPr/>
    <w:sdtContent>
      <w:p w:rsidR="008A716D" w:rsidRDefault="00EC32D0">
        <w:pPr>
          <w:pStyle w:val="Footer"/>
          <w:jc w:val="center"/>
        </w:pPr>
        <w:r w:rsidRPr="00104B3C">
          <w:rPr>
            <w:sz w:val="16"/>
            <w:szCs w:val="16"/>
          </w:rPr>
          <w:fldChar w:fldCharType="begin"/>
        </w:r>
        <w:r w:rsidRPr="00104B3C">
          <w:rPr>
            <w:sz w:val="16"/>
            <w:szCs w:val="16"/>
          </w:rPr>
          <w:instrText>PAGE   \* MERGEFORMAT</w:instrText>
        </w:r>
        <w:r w:rsidRPr="00104B3C">
          <w:rPr>
            <w:sz w:val="16"/>
            <w:szCs w:val="16"/>
          </w:rPr>
          <w:fldChar w:fldCharType="separate"/>
        </w:r>
        <w:r w:rsidR="003C5C87" w:rsidRPr="003C5C87">
          <w:rPr>
            <w:noProof/>
            <w:sz w:val="16"/>
            <w:szCs w:val="16"/>
            <w:lang w:val="de-DE"/>
          </w:rPr>
          <w:t>5</w:t>
        </w:r>
        <w:r w:rsidRPr="00104B3C">
          <w:rPr>
            <w:sz w:val="16"/>
            <w:szCs w:val="16"/>
          </w:rPr>
          <w:fldChar w:fldCharType="end"/>
        </w:r>
      </w:p>
    </w:sdtContent>
  </w:sdt>
  <w:p w:rsidR="008A716D" w:rsidRDefault="003C5C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C5C87">
      <w:pPr>
        <w:spacing w:after="0" w:line="240" w:lineRule="auto"/>
      </w:pPr>
      <w:r>
        <w:separator/>
      </w:r>
    </w:p>
  </w:footnote>
  <w:footnote w:type="continuationSeparator" w:id="0">
    <w:p w:rsidR="00000000" w:rsidRDefault="003C5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DD"/>
    <w:rsid w:val="00024037"/>
    <w:rsid w:val="00032362"/>
    <w:rsid w:val="000428B2"/>
    <w:rsid w:val="00052BE7"/>
    <w:rsid w:val="00072524"/>
    <w:rsid w:val="00081883"/>
    <w:rsid w:val="00091F5C"/>
    <w:rsid w:val="000945A0"/>
    <w:rsid w:val="000B2C89"/>
    <w:rsid w:val="000B6249"/>
    <w:rsid w:val="000D663D"/>
    <w:rsid w:val="000E175F"/>
    <w:rsid w:val="00104EC2"/>
    <w:rsid w:val="001148C5"/>
    <w:rsid w:val="00160B6B"/>
    <w:rsid w:val="00175F9D"/>
    <w:rsid w:val="00186002"/>
    <w:rsid w:val="00186BE8"/>
    <w:rsid w:val="001967DE"/>
    <w:rsid w:val="001C6F19"/>
    <w:rsid w:val="001D384B"/>
    <w:rsid w:val="001F36CC"/>
    <w:rsid w:val="001F7F30"/>
    <w:rsid w:val="002077C6"/>
    <w:rsid w:val="002403C2"/>
    <w:rsid w:val="00245002"/>
    <w:rsid w:val="002664F2"/>
    <w:rsid w:val="0027442D"/>
    <w:rsid w:val="00283E52"/>
    <w:rsid w:val="00290C35"/>
    <w:rsid w:val="002A21CC"/>
    <w:rsid w:val="002A6D48"/>
    <w:rsid w:val="002C12B8"/>
    <w:rsid w:val="002E0EFD"/>
    <w:rsid w:val="002E2F57"/>
    <w:rsid w:val="003206D3"/>
    <w:rsid w:val="0032333F"/>
    <w:rsid w:val="0032666D"/>
    <w:rsid w:val="00334AC5"/>
    <w:rsid w:val="003374FD"/>
    <w:rsid w:val="00342FDD"/>
    <w:rsid w:val="00351EE2"/>
    <w:rsid w:val="0036072A"/>
    <w:rsid w:val="0037714F"/>
    <w:rsid w:val="00390F0C"/>
    <w:rsid w:val="00393640"/>
    <w:rsid w:val="003B2668"/>
    <w:rsid w:val="003C5C87"/>
    <w:rsid w:val="00403AB9"/>
    <w:rsid w:val="00407DAF"/>
    <w:rsid w:val="00423A1A"/>
    <w:rsid w:val="0042687E"/>
    <w:rsid w:val="00446415"/>
    <w:rsid w:val="00460235"/>
    <w:rsid w:val="00480CB6"/>
    <w:rsid w:val="00484757"/>
    <w:rsid w:val="004969DF"/>
    <w:rsid w:val="004B2B58"/>
    <w:rsid w:val="004C2587"/>
    <w:rsid w:val="004E53F7"/>
    <w:rsid w:val="004F0C0D"/>
    <w:rsid w:val="004F2504"/>
    <w:rsid w:val="00534E6C"/>
    <w:rsid w:val="005479F0"/>
    <w:rsid w:val="005605EF"/>
    <w:rsid w:val="00591D2B"/>
    <w:rsid w:val="0059247E"/>
    <w:rsid w:val="00597C2F"/>
    <w:rsid w:val="005D2424"/>
    <w:rsid w:val="005D3B64"/>
    <w:rsid w:val="005E3565"/>
    <w:rsid w:val="005E65C6"/>
    <w:rsid w:val="005F7324"/>
    <w:rsid w:val="00613D1D"/>
    <w:rsid w:val="00622F0F"/>
    <w:rsid w:val="00625139"/>
    <w:rsid w:val="0064054B"/>
    <w:rsid w:val="00652745"/>
    <w:rsid w:val="00666681"/>
    <w:rsid w:val="0067598D"/>
    <w:rsid w:val="006761D6"/>
    <w:rsid w:val="006779B1"/>
    <w:rsid w:val="006934F5"/>
    <w:rsid w:val="00696925"/>
    <w:rsid w:val="006970DD"/>
    <w:rsid w:val="006C0F0E"/>
    <w:rsid w:val="006D17EE"/>
    <w:rsid w:val="006F7333"/>
    <w:rsid w:val="00703636"/>
    <w:rsid w:val="007051E1"/>
    <w:rsid w:val="007111B9"/>
    <w:rsid w:val="007149EF"/>
    <w:rsid w:val="00724E93"/>
    <w:rsid w:val="0074238B"/>
    <w:rsid w:val="00745C15"/>
    <w:rsid w:val="00764F7E"/>
    <w:rsid w:val="00767E9D"/>
    <w:rsid w:val="00780DF3"/>
    <w:rsid w:val="007A6CCB"/>
    <w:rsid w:val="007C6E77"/>
    <w:rsid w:val="007D524B"/>
    <w:rsid w:val="00812618"/>
    <w:rsid w:val="008172E8"/>
    <w:rsid w:val="00822E25"/>
    <w:rsid w:val="00833C92"/>
    <w:rsid w:val="00835775"/>
    <w:rsid w:val="00836E89"/>
    <w:rsid w:val="00862B6E"/>
    <w:rsid w:val="00876B98"/>
    <w:rsid w:val="00894E1C"/>
    <w:rsid w:val="008A57AB"/>
    <w:rsid w:val="008C23B5"/>
    <w:rsid w:val="00905278"/>
    <w:rsid w:val="00911A63"/>
    <w:rsid w:val="00917BB8"/>
    <w:rsid w:val="00926892"/>
    <w:rsid w:val="009357C0"/>
    <w:rsid w:val="00967359"/>
    <w:rsid w:val="00977E38"/>
    <w:rsid w:val="00982116"/>
    <w:rsid w:val="009910DB"/>
    <w:rsid w:val="009D3E0E"/>
    <w:rsid w:val="009F7569"/>
    <w:rsid w:val="00A216A7"/>
    <w:rsid w:val="00A34AD0"/>
    <w:rsid w:val="00A7271F"/>
    <w:rsid w:val="00A75B26"/>
    <w:rsid w:val="00A83FFB"/>
    <w:rsid w:val="00A96776"/>
    <w:rsid w:val="00AB6908"/>
    <w:rsid w:val="00AC4DF5"/>
    <w:rsid w:val="00AC548D"/>
    <w:rsid w:val="00AC7EA1"/>
    <w:rsid w:val="00B02E28"/>
    <w:rsid w:val="00B11C7E"/>
    <w:rsid w:val="00B255BE"/>
    <w:rsid w:val="00B2669C"/>
    <w:rsid w:val="00B27BC3"/>
    <w:rsid w:val="00B45A4B"/>
    <w:rsid w:val="00B825DF"/>
    <w:rsid w:val="00B94457"/>
    <w:rsid w:val="00BE23D1"/>
    <w:rsid w:val="00BF406E"/>
    <w:rsid w:val="00C150F6"/>
    <w:rsid w:val="00C22993"/>
    <w:rsid w:val="00C722C0"/>
    <w:rsid w:val="00CE1D60"/>
    <w:rsid w:val="00CF6FCF"/>
    <w:rsid w:val="00CF7CCE"/>
    <w:rsid w:val="00D11F98"/>
    <w:rsid w:val="00D15A77"/>
    <w:rsid w:val="00D23EA6"/>
    <w:rsid w:val="00D27280"/>
    <w:rsid w:val="00D43A24"/>
    <w:rsid w:val="00D9248D"/>
    <w:rsid w:val="00DC2789"/>
    <w:rsid w:val="00E06BB7"/>
    <w:rsid w:val="00E158C9"/>
    <w:rsid w:val="00E620D3"/>
    <w:rsid w:val="00E92A31"/>
    <w:rsid w:val="00EC32D0"/>
    <w:rsid w:val="00ED2142"/>
    <w:rsid w:val="00EE2906"/>
    <w:rsid w:val="00F06B84"/>
    <w:rsid w:val="00F21CD5"/>
    <w:rsid w:val="00F23283"/>
    <w:rsid w:val="00F267AD"/>
    <w:rsid w:val="00F43384"/>
    <w:rsid w:val="00F60C5D"/>
    <w:rsid w:val="00FE6175"/>
    <w:rsid w:val="00FF0578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2DBB45-D9F0-4A5F-AB3B-67A780FB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42FDD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Calibri" w:hAnsi="Arial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42FDD"/>
    <w:rPr>
      <w:rFonts w:ascii="Arial" w:eastAsia="Calibri" w:hAnsi="Arial" w:cs="Times New Roman"/>
    </w:rPr>
  </w:style>
  <w:style w:type="paragraph" w:styleId="NormalWeb">
    <w:name w:val="Normal (Web)"/>
    <w:basedOn w:val="Normal"/>
    <w:uiPriority w:val="99"/>
    <w:semiHidden/>
    <w:unhideWhenUsed/>
    <w:rsid w:val="003C5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1020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Jayapriya V.</dc:creator>
  <cp:keywords/>
  <dc:description/>
  <cp:lastModifiedBy>Jayapriya V.</cp:lastModifiedBy>
  <cp:revision>3</cp:revision>
  <dcterms:created xsi:type="dcterms:W3CDTF">2021-07-19T23:49:00Z</dcterms:created>
  <dcterms:modified xsi:type="dcterms:W3CDTF">2021-07-20T00:23:00Z</dcterms:modified>
</cp:coreProperties>
</file>