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5E2" w:rsidRPr="00E85CC4" w:rsidRDefault="003B25E2" w:rsidP="003B25E2">
      <w:pPr>
        <w:jc w:val="both"/>
        <w:rPr>
          <w:lang w:val="en-US"/>
        </w:rPr>
      </w:pPr>
      <w:r>
        <w:rPr>
          <w:b/>
          <w:lang w:val="en-US"/>
        </w:rPr>
        <w:t>Additional file</w:t>
      </w:r>
      <w:r w:rsidRPr="00E85CC4">
        <w:rPr>
          <w:b/>
          <w:lang w:val="en-US"/>
        </w:rPr>
        <w:t xml:space="preserve"> </w:t>
      </w:r>
      <w:r w:rsidR="00D03A8D">
        <w:rPr>
          <w:rFonts w:cstheme="minorHAnsi"/>
          <w:b/>
          <w:lang w:val="en-US"/>
        </w:rPr>
        <w:t>1</w:t>
      </w:r>
      <w:bookmarkStart w:id="0" w:name="_GoBack"/>
      <w:r w:rsidR="00D03A8D" w:rsidRPr="00D03A8D">
        <w:rPr>
          <w:rFonts w:cstheme="minorHAnsi"/>
          <w:b/>
          <w:color w:val="0070C0"/>
          <w:lang w:val="en-US"/>
        </w:rPr>
        <w:t>2</w:t>
      </w:r>
      <w:bookmarkEnd w:id="0"/>
      <w:r w:rsidRPr="00E85CC4">
        <w:rPr>
          <w:rFonts w:cstheme="minorHAnsi"/>
          <w:b/>
          <w:lang w:val="en-US"/>
        </w:rPr>
        <w:t xml:space="preserve">: </w:t>
      </w:r>
      <w:r w:rsidRPr="00E85CC4">
        <w:rPr>
          <w:rFonts w:cstheme="minorHAnsi"/>
          <w:lang w:val="en-US"/>
        </w:rPr>
        <w:t xml:space="preserve">Continuous net reclassification improvement (NRI) and IDI when adding admission myoglobin and CK to 2 established models of post-traumatic AKI prediction  </w:t>
      </w:r>
    </w:p>
    <w:p w:rsidR="003B25E2" w:rsidRPr="00D03A8D" w:rsidRDefault="003B25E2" w:rsidP="003B25E2">
      <w:pPr>
        <w:rPr>
          <w:lang w:val="en-US"/>
        </w:rPr>
      </w:pPr>
    </w:p>
    <w:tbl>
      <w:tblPr>
        <w:tblStyle w:val="Grilledutableau1"/>
        <w:tblW w:w="10491" w:type="dxa"/>
        <w:tblInd w:w="-993" w:type="dxa"/>
        <w:tblLook w:val="04A0" w:firstRow="1" w:lastRow="0" w:firstColumn="1" w:lastColumn="0" w:noHBand="0" w:noVBand="1"/>
      </w:tblPr>
      <w:tblGrid>
        <w:gridCol w:w="1831"/>
        <w:gridCol w:w="852"/>
        <w:gridCol w:w="1696"/>
        <w:gridCol w:w="1717"/>
        <w:gridCol w:w="851"/>
        <w:gridCol w:w="1843"/>
        <w:gridCol w:w="1701"/>
      </w:tblGrid>
      <w:tr w:rsidR="003B25E2" w:rsidRPr="00E85CC4" w:rsidTr="003F0088">
        <w:trPr>
          <w:trHeight w:val="251"/>
        </w:trPr>
        <w:tc>
          <w:tcPr>
            <w:tcW w:w="1831" w:type="dxa"/>
            <w:tcBorders>
              <w:top w:val="single" w:sz="8" w:space="0" w:color="auto"/>
              <w:left w:val="nil"/>
              <w:bottom w:val="single" w:sz="8" w:space="0" w:color="auto"/>
              <w:right w:val="nil"/>
            </w:tcBorders>
          </w:tcPr>
          <w:p w:rsidR="003B25E2" w:rsidRPr="00D03A8D" w:rsidRDefault="003B25E2" w:rsidP="003F0088">
            <w:pPr>
              <w:rPr>
                <w:lang w:val="en-US"/>
              </w:rPr>
            </w:pPr>
          </w:p>
        </w:tc>
        <w:tc>
          <w:tcPr>
            <w:tcW w:w="4265" w:type="dxa"/>
            <w:gridSpan w:val="3"/>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Model 1</w:t>
            </w:r>
          </w:p>
        </w:tc>
        <w:tc>
          <w:tcPr>
            <w:tcW w:w="4395" w:type="dxa"/>
            <w:gridSpan w:val="3"/>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Model 2</w:t>
            </w:r>
          </w:p>
        </w:tc>
      </w:tr>
      <w:tr w:rsidR="003B25E2" w:rsidRPr="00E85CC4" w:rsidTr="003F0088">
        <w:trPr>
          <w:trHeight w:val="240"/>
        </w:trPr>
        <w:tc>
          <w:tcPr>
            <w:tcW w:w="1831" w:type="dxa"/>
            <w:tcBorders>
              <w:top w:val="single" w:sz="8" w:space="0" w:color="auto"/>
              <w:left w:val="nil"/>
              <w:bottom w:val="single" w:sz="8" w:space="0" w:color="auto"/>
              <w:right w:val="nil"/>
            </w:tcBorders>
          </w:tcPr>
          <w:p w:rsidR="003B25E2" w:rsidRPr="00E85CC4" w:rsidRDefault="003B25E2" w:rsidP="003F0088"/>
        </w:tc>
        <w:tc>
          <w:tcPr>
            <w:tcW w:w="852" w:type="dxa"/>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Base</w:t>
            </w:r>
          </w:p>
        </w:tc>
        <w:tc>
          <w:tcPr>
            <w:tcW w:w="1696" w:type="dxa"/>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Myoglobin</w:t>
            </w:r>
          </w:p>
        </w:tc>
        <w:tc>
          <w:tcPr>
            <w:tcW w:w="1717" w:type="dxa"/>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CK</w:t>
            </w:r>
          </w:p>
        </w:tc>
        <w:tc>
          <w:tcPr>
            <w:tcW w:w="851" w:type="dxa"/>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Base</w:t>
            </w:r>
          </w:p>
        </w:tc>
        <w:tc>
          <w:tcPr>
            <w:tcW w:w="1843" w:type="dxa"/>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Myoglobin</w:t>
            </w:r>
          </w:p>
        </w:tc>
        <w:tc>
          <w:tcPr>
            <w:tcW w:w="1701" w:type="dxa"/>
            <w:tcBorders>
              <w:top w:val="single" w:sz="8" w:space="0" w:color="auto"/>
              <w:left w:val="nil"/>
              <w:bottom w:val="single" w:sz="8" w:space="0" w:color="auto"/>
              <w:right w:val="nil"/>
            </w:tcBorders>
          </w:tcPr>
          <w:p w:rsidR="003B25E2" w:rsidRPr="00E85CC4" w:rsidRDefault="003B25E2" w:rsidP="003F0088">
            <w:pPr>
              <w:jc w:val="center"/>
              <w:rPr>
                <w:b/>
              </w:rPr>
            </w:pPr>
            <w:r w:rsidRPr="00E85CC4">
              <w:rPr>
                <w:b/>
              </w:rPr>
              <w:t>CK</w:t>
            </w:r>
          </w:p>
        </w:tc>
      </w:tr>
      <w:tr w:rsidR="003B25E2" w:rsidRPr="00D03A8D" w:rsidTr="003F0088">
        <w:trPr>
          <w:trHeight w:val="200"/>
        </w:trPr>
        <w:tc>
          <w:tcPr>
            <w:tcW w:w="10491" w:type="dxa"/>
            <w:gridSpan w:val="7"/>
            <w:tcBorders>
              <w:top w:val="single" w:sz="8" w:space="0" w:color="auto"/>
              <w:left w:val="nil"/>
              <w:bottom w:val="nil"/>
              <w:right w:val="nil"/>
            </w:tcBorders>
            <w:shd w:val="pct20" w:color="auto" w:fill="auto"/>
          </w:tcPr>
          <w:p w:rsidR="003B25E2" w:rsidRPr="00E85CC4" w:rsidRDefault="003B25E2" w:rsidP="003F0088">
            <w:pPr>
              <w:rPr>
                <w:sz w:val="20"/>
                <w:szCs w:val="20"/>
                <w:lang w:val="en-US"/>
              </w:rPr>
            </w:pPr>
            <w:r w:rsidRPr="00E85CC4">
              <w:rPr>
                <w:b/>
                <w:sz w:val="20"/>
                <w:szCs w:val="20"/>
                <w:lang w:val="en-US"/>
              </w:rPr>
              <w:t>Baseline creatinine = creatinine calculated with MDRD</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 (95% CI)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0.325 (0.121-0.528)</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0.298 (0.094-0.502)</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0.002</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0.004</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w:t>
            </w:r>
            <w:r w:rsidRPr="00E85CC4">
              <w:rPr>
                <w:rFonts w:cstheme="minorHAnsi"/>
                <w:b/>
                <w:sz w:val="16"/>
                <w:szCs w:val="16"/>
                <w:vertAlign w:val="subscript"/>
              </w:rPr>
              <w:t>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-0.098 (-0.292-0.096)</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-0.098 (-0.286-0.095)</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r w:rsidRPr="00E85CC4">
              <w:rPr>
                <w:rFonts w:cstheme="minorHAnsi"/>
                <w:b/>
                <w:sz w:val="16"/>
                <w:szCs w:val="16"/>
                <w:vertAlign w:val="subscript"/>
              </w:rPr>
              <w:t>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0.172</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0.177</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w:t>
            </w:r>
            <w:r w:rsidRPr="00E85CC4">
              <w:rPr>
                <w:rFonts w:cstheme="minorHAnsi"/>
                <w:b/>
                <w:sz w:val="16"/>
                <w:szCs w:val="16"/>
                <w:vertAlign w:val="subscript"/>
              </w:rPr>
              <w:t>non-event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0.423 (0.360-0.486)</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0.396 (0.329-0.360)</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r w:rsidRPr="00E85CC4">
              <w:rPr>
                <w:rFonts w:cstheme="minorHAnsi"/>
                <w:b/>
                <w:sz w:val="16"/>
                <w:szCs w:val="16"/>
                <w:vertAlign w:val="subscript"/>
              </w:rPr>
              <w:t>non-event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&lt;0.001</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&lt;0.001</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IDI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0.008 (-0.003-0.018)</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0.027 (0.006-0.048)</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IDI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0.143</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0.01</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200"/>
        </w:trPr>
        <w:tc>
          <w:tcPr>
            <w:tcW w:w="10491" w:type="dxa"/>
            <w:gridSpan w:val="7"/>
            <w:tcBorders>
              <w:top w:val="nil"/>
              <w:left w:val="nil"/>
              <w:bottom w:val="nil"/>
              <w:right w:val="nil"/>
            </w:tcBorders>
            <w:shd w:val="pct15" w:color="auto" w:fill="auto"/>
          </w:tcPr>
          <w:p w:rsidR="003B25E2" w:rsidRPr="00E85CC4" w:rsidRDefault="003B25E2" w:rsidP="003F0088">
            <w:pPr>
              <w:rPr>
                <w:sz w:val="20"/>
                <w:szCs w:val="20"/>
                <w:lang w:val="en-US"/>
              </w:rPr>
            </w:pPr>
            <w:r w:rsidRPr="00E85CC4">
              <w:rPr>
                <w:b/>
                <w:sz w:val="20"/>
                <w:szCs w:val="20"/>
                <w:lang w:val="en-US"/>
              </w:rPr>
              <w:t>Baseline creatinine = creatinine on admission</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 (95% CI)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0.201 (0.001-0.403)</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0.050</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w:t>
            </w:r>
            <w:r w:rsidRPr="00E85CC4">
              <w:rPr>
                <w:rFonts w:cstheme="minorHAnsi"/>
                <w:b/>
                <w:sz w:val="16"/>
                <w:szCs w:val="16"/>
                <w:vertAlign w:val="subscript"/>
              </w:rPr>
              <w:t>event</w:t>
            </w:r>
            <w:r w:rsidRPr="00E85CC4">
              <w:rPr>
                <w:rFonts w:cstheme="minorHAnsi"/>
                <w:b/>
                <w:sz w:val="16"/>
                <w:szCs w:val="16"/>
              </w:rPr>
              <w:t xml:space="preserve"> </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-0.176(-0.369-0.019)</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r w:rsidRPr="00E85CC4">
              <w:rPr>
                <w:rFonts w:cstheme="minorHAnsi"/>
                <w:b/>
                <w:sz w:val="16"/>
                <w:szCs w:val="16"/>
                <w:vertAlign w:val="subscript"/>
              </w:rPr>
              <w:t>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0.086</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w:t>
            </w:r>
            <w:r w:rsidRPr="00E85CC4">
              <w:rPr>
                <w:rFonts w:cstheme="minorHAnsi"/>
                <w:b/>
                <w:sz w:val="16"/>
                <w:szCs w:val="16"/>
                <w:vertAlign w:val="subscript"/>
              </w:rPr>
              <w:t>non-event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0.377 (0.311-0.342)</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r w:rsidRPr="00E85CC4">
              <w:rPr>
                <w:rFonts w:cstheme="minorHAnsi"/>
                <w:b/>
                <w:sz w:val="16"/>
                <w:szCs w:val="16"/>
                <w:vertAlign w:val="subscript"/>
              </w:rPr>
              <w:t>non-event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&lt;0.001</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IDI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br/>
              <w:t>0.011 (-0.005-0.028)</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34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IDI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0.185</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r>
      <w:tr w:rsidR="003B25E2" w:rsidRPr="00E85CC4" w:rsidTr="003F0088">
        <w:trPr>
          <w:trHeight w:val="200"/>
        </w:trPr>
        <w:tc>
          <w:tcPr>
            <w:tcW w:w="10491" w:type="dxa"/>
            <w:gridSpan w:val="7"/>
            <w:tcBorders>
              <w:top w:val="nil"/>
              <w:left w:val="nil"/>
              <w:bottom w:val="nil"/>
              <w:right w:val="nil"/>
            </w:tcBorders>
            <w:shd w:val="pct15" w:color="auto" w:fill="auto"/>
          </w:tcPr>
          <w:p w:rsidR="003B25E2" w:rsidRPr="00E85CC4" w:rsidRDefault="003B25E2" w:rsidP="003F0088">
            <w:pPr>
              <w:rPr>
                <w:sz w:val="20"/>
                <w:szCs w:val="20"/>
                <w:lang w:val="en-US"/>
              </w:rPr>
            </w:pPr>
            <w:r w:rsidRPr="00E85CC4">
              <w:rPr>
                <w:b/>
                <w:sz w:val="20"/>
                <w:szCs w:val="20"/>
                <w:lang w:val="en-US"/>
              </w:rPr>
              <w:t>Baseline creatinine = lowest creatinine over the first 5 days</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 (95% CI)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0.323 (0.119-0.527)</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0.158 (-0.042-0.358)</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0.381 (0.176-0.586)</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0.097 (-0.185-0.205)</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0.002</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0.121</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&lt;0.001</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0.922</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w:t>
            </w:r>
            <w:r w:rsidRPr="00E85CC4">
              <w:rPr>
                <w:rFonts w:cstheme="minorHAnsi"/>
                <w:b/>
                <w:sz w:val="16"/>
                <w:szCs w:val="16"/>
                <w:vertAlign w:val="subscript"/>
              </w:rPr>
              <w:t>event</w:t>
            </w:r>
            <w:r w:rsidRPr="00E85CC4">
              <w:rPr>
                <w:rFonts w:cstheme="minorHAnsi"/>
                <w:b/>
                <w:sz w:val="16"/>
                <w:szCs w:val="16"/>
              </w:rPr>
              <w:t xml:space="preserve"> </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-0.078(-0.265-0.123)</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-0.235(-0.420--0.237)</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0.020 (-0.169-0.208)</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-0.333 (-0.515—0.144)</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r w:rsidRPr="00E85CC4">
              <w:rPr>
                <w:rFonts w:cstheme="minorHAnsi"/>
                <w:b/>
                <w:sz w:val="16"/>
                <w:szCs w:val="16"/>
                <w:vertAlign w:val="subscript"/>
              </w:rPr>
              <w:t>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0.229</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0.02</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0.620</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0.002</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NRI</w:t>
            </w:r>
            <w:r w:rsidRPr="00E85CC4">
              <w:rPr>
                <w:rFonts w:cstheme="minorHAnsi"/>
                <w:b/>
                <w:sz w:val="16"/>
                <w:szCs w:val="16"/>
                <w:vertAlign w:val="subscript"/>
              </w:rPr>
              <w:t>non-event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0.401(0.339-0.464)</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0.393(0.327-0.459)</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0.361(0.293-0.426)</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0.343 (0.279-0.408)</w:t>
            </w: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NRI</w:t>
            </w:r>
            <w:r w:rsidRPr="00E85CC4">
              <w:rPr>
                <w:rFonts w:cstheme="minorHAnsi"/>
                <w:b/>
                <w:sz w:val="16"/>
                <w:szCs w:val="16"/>
                <w:vertAlign w:val="subscript"/>
              </w:rPr>
              <w:t>non-event</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&lt;0.001</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&lt;0.001</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&lt;0.001</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p>
        </w:tc>
      </w:tr>
      <w:tr w:rsidR="003B25E2" w:rsidRPr="00E85CC4" w:rsidTr="003F0088">
        <w:trPr>
          <w:trHeight w:val="331"/>
        </w:trPr>
        <w:tc>
          <w:tcPr>
            <w:tcW w:w="1831" w:type="dxa"/>
            <w:tcBorders>
              <w:top w:val="nil"/>
              <w:left w:val="nil"/>
              <w:bottom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IDI</w:t>
            </w:r>
          </w:p>
        </w:tc>
        <w:tc>
          <w:tcPr>
            <w:tcW w:w="852"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0.036 (0.001-0.072)</w:t>
            </w:r>
          </w:p>
        </w:tc>
        <w:tc>
          <w:tcPr>
            <w:tcW w:w="1717"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-0.006 (-0.026-0.012)</w:t>
            </w:r>
          </w:p>
        </w:tc>
        <w:tc>
          <w:tcPr>
            <w:tcW w:w="851"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bottom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0.039 (0.015-0.064)</w:t>
            </w:r>
          </w:p>
        </w:tc>
        <w:tc>
          <w:tcPr>
            <w:tcW w:w="1701" w:type="dxa"/>
            <w:tcBorders>
              <w:top w:val="nil"/>
              <w:bottom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0.002 (-0.011-0.014)</w:t>
            </w:r>
          </w:p>
        </w:tc>
      </w:tr>
      <w:tr w:rsidR="003B25E2" w:rsidRPr="00E85CC4" w:rsidTr="003F0088">
        <w:trPr>
          <w:trHeight w:val="331"/>
        </w:trPr>
        <w:tc>
          <w:tcPr>
            <w:tcW w:w="1831" w:type="dxa"/>
            <w:tcBorders>
              <w:top w:val="nil"/>
              <w:left w:val="nil"/>
            </w:tcBorders>
            <w:vAlign w:val="center"/>
          </w:tcPr>
          <w:p w:rsidR="003B25E2" w:rsidRPr="00E85CC4" w:rsidRDefault="003B25E2" w:rsidP="003F0088">
            <w:pPr>
              <w:jc w:val="right"/>
              <w:rPr>
                <w:rFonts w:cstheme="minorHAnsi"/>
                <w:b/>
                <w:sz w:val="16"/>
                <w:szCs w:val="16"/>
              </w:rPr>
            </w:pPr>
            <w:r w:rsidRPr="00E85CC4">
              <w:rPr>
                <w:rFonts w:cstheme="minorHAnsi"/>
                <w:b/>
                <w:sz w:val="16"/>
                <w:szCs w:val="16"/>
              </w:rPr>
              <w:t>p-value IDI</w:t>
            </w:r>
          </w:p>
        </w:tc>
        <w:tc>
          <w:tcPr>
            <w:tcW w:w="852" w:type="dxa"/>
            <w:tcBorders>
              <w:top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696" w:type="dxa"/>
            <w:tcBorders>
              <w:top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0.04</w:t>
            </w:r>
          </w:p>
        </w:tc>
        <w:tc>
          <w:tcPr>
            <w:tcW w:w="1717" w:type="dxa"/>
            <w:tcBorders>
              <w:top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0.513</w:t>
            </w:r>
          </w:p>
        </w:tc>
        <w:tc>
          <w:tcPr>
            <w:tcW w:w="851" w:type="dxa"/>
            <w:tcBorders>
              <w:top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w:t>
            </w:r>
          </w:p>
        </w:tc>
        <w:tc>
          <w:tcPr>
            <w:tcW w:w="1843" w:type="dxa"/>
            <w:tcBorders>
              <w:top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0.002</w:t>
            </w:r>
          </w:p>
        </w:tc>
        <w:tc>
          <w:tcPr>
            <w:tcW w:w="1701" w:type="dxa"/>
            <w:tcBorders>
              <w:top w:val="nil"/>
              <w:right w:val="nil"/>
            </w:tcBorders>
            <w:vAlign w:val="center"/>
          </w:tcPr>
          <w:p w:rsidR="003B25E2" w:rsidRPr="00E85CC4" w:rsidRDefault="003B25E2" w:rsidP="003F0088">
            <w:pPr>
              <w:jc w:val="center"/>
              <w:rPr>
                <w:rFonts w:cstheme="minorHAnsi"/>
                <w:sz w:val="16"/>
                <w:szCs w:val="16"/>
              </w:rPr>
            </w:pPr>
            <w:r w:rsidRPr="00E85CC4">
              <w:rPr>
                <w:rFonts w:cstheme="minorHAnsi"/>
                <w:sz w:val="16"/>
                <w:szCs w:val="16"/>
              </w:rPr>
              <w:t>0.780</w:t>
            </w:r>
          </w:p>
        </w:tc>
      </w:tr>
    </w:tbl>
    <w:p w:rsidR="003B25E2" w:rsidRPr="00E85CC4" w:rsidRDefault="003B25E2" w:rsidP="003B25E2">
      <w:pPr>
        <w:snapToGrid w:val="0"/>
        <w:rPr>
          <w:rFonts w:hAnsi="Calibri"/>
          <w:color w:val="000000" w:themeColor="text1"/>
          <w:kern w:val="24"/>
          <w:sz w:val="18"/>
          <w:szCs w:val="18"/>
          <w:lang w:val="en-US"/>
        </w:rPr>
      </w:pPr>
      <w:r w:rsidRPr="00E85CC4">
        <w:rPr>
          <w:sz w:val="18"/>
          <w:szCs w:val="18"/>
          <w:lang w:val="en-US"/>
        </w:rPr>
        <w:t>Base model 1 is the model established by Haynes et al.</w:t>
      </w:r>
      <w:r w:rsidRPr="00E85CC4">
        <w:rPr>
          <w:sz w:val="18"/>
          <w:szCs w:val="18"/>
          <w:lang w:val="en-US"/>
        </w:rPr>
        <w:fldChar w:fldCharType="begin"/>
      </w:r>
      <w:r w:rsidRPr="00E85CC4">
        <w:rPr>
          <w:sz w:val="18"/>
          <w:szCs w:val="18"/>
          <w:lang w:val="en-US"/>
        </w:rPr>
        <w:instrText xml:space="preserve"> ADDIN ZOTERO_ITEM CSL_CITATION {"citationID":"zQqDtbkC","properties":{"formattedCitation":"\\super 4\\nosupersub{}","plainCitation":"4","noteIndex":0},"citationItems":[{"id":1014,"uris":["http://zotero.org/users/local/9tQQ6fJ0/items/WMUS2AHQ"],"uri":["http://zotero.org/users/local/9tQQ6fJ0/items/WMUS2AHQ"],"itemData":{"id":1014,"type":"article-journal","abstract":"Acute Kidney Injury (AKI) complicating major trauma is associated with increased mortality and morbidity. Traumatic AKI has specific risk factors and predictable time-course facilitating diagnostic modelling. In a single centre, retrospective observational study we developed risk prediction models for AKI after trauma based on data around intensive care admission. Models predicting AKI were developed using data from 830 patients, using data reduction followed by logistic regression, and were independently validated in a further 564 patients. AKI occurred in 163/830 (19.6%) with 42 (5.1%) receiving renal replacement therapy (RRT). First serum creatinine and phosphate, units of blood transfused in first 24 h, age and Charlson score discriminated need for RRT and AKI early after trauma. For RRT c-statistics were good to excellent: development: 0.92 (0.88-0.96), validation: 0.91 (0.86-0.97). Modelling AKI stage 2-3, c-statistics were also good, development: 0.81 (0.75-0.88) and validation: 0.83 (0.74-0.92). The model predicting AKI stage 1-3 performed moderately, development: c-statistic 0.77 (0.72-0.81), validation: 0.70 (0.64-0.77). Despite good discrimination of need for RRT, positive predictive values (PPV) at the optimal cut-off were only 23.0% (13.7-42.7) in development. However, PPV for the alternative endpoint of RRT and/or death improved to 41.2% (34.8-48.1) highlighting death as a clinically relevant endpoint to RRT.","container-title":"Scientific Reports","DOI":"10.1038/s41598-018-21929-2","ISSN":"2045-2322","issue":"1","journalAbbreviation":"Sci Rep","language":"eng","note":"PMID: 29483607\nPMCID: PMC5827665","page":"3665","source":"PubMed","title":"Acute Kidney Injury in Trauma Patients Admitted to Critical Care: Development and Validation of a Diagnostic Prediction Model","title-short":"Acute Kidney Injury in Trauma Patients Admitted to Critical Care","volume":"8","author":[{"family":"Haines","given":"Ryan W."},{"family":"Lin","given":"Shih-Pin"},{"family":"Hewson","given":"Russell"},{"family":"Kirwan","given":"Christopher J."},{"family":"Torrance","given":"Hew D."},{"family":"O'Dwyer","given":"Michael J."},{"family":"West","given":"Anita"},{"family":"Brohi","given":"Karim"},{"family":"Pearse","given":"Rupert M."},{"family":"Zolfaghari","given":"Parjam"},{"family":"Prowle","given":"John R."}],"issued":{"date-parts":[["2018",2,26]]}}}],"schema":"https://github.com/citation-style-language/schema/raw/master/csl-citation.json"} </w:instrText>
      </w:r>
      <w:r w:rsidRPr="00E85CC4">
        <w:rPr>
          <w:sz w:val="18"/>
          <w:szCs w:val="18"/>
          <w:lang w:val="en-US"/>
        </w:rPr>
        <w:fldChar w:fldCharType="separate"/>
      </w:r>
      <w:r w:rsidRPr="00E85CC4">
        <w:rPr>
          <w:rFonts w:ascii="Calibri" w:cs="Calibri"/>
          <w:sz w:val="18"/>
          <w:vertAlign w:val="superscript"/>
        </w:rPr>
        <w:t>4</w:t>
      </w:r>
      <w:r w:rsidRPr="00E85CC4">
        <w:rPr>
          <w:sz w:val="18"/>
          <w:szCs w:val="18"/>
          <w:lang w:val="en-US"/>
        </w:rPr>
        <w:fldChar w:fldCharType="end"/>
      </w:r>
      <w:r w:rsidRPr="00E85CC4">
        <w:rPr>
          <w:sz w:val="18"/>
          <w:szCs w:val="18"/>
          <w:lang w:val="en-US"/>
        </w:rPr>
        <w:t xml:space="preserve"> that includes age, admission phosphate, admission creatinine and hemorrhagic shock as independent variables. Base model 2 is the model established by Harrois et al. </w:t>
      </w:r>
      <w:r w:rsidRPr="00E85CC4">
        <w:rPr>
          <w:sz w:val="18"/>
          <w:szCs w:val="18"/>
          <w:lang w:val="en-US"/>
        </w:rPr>
        <w:fldChar w:fldCharType="begin"/>
      </w:r>
      <w:r w:rsidRPr="00E85CC4">
        <w:rPr>
          <w:sz w:val="18"/>
          <w:szCs w:val="18"/>
          <w:lang w:val="en-US"/>
        </w:rPr>
        <w:instrText xml:space="preserve"> ADDIN ZOTERO_ITEM CSL_CITATION {"citationID":"7XDIOfIs","properties":{"formattedCitation":"\\super 3\\nosupersub{}","plainCitation":"3","noteIndex":0},"citationItems":[{"id":782,"uris":["http://zotero.org/users/local/9tQQ6fJ0/items/8XWI6FSC"],"uri":["http://zotero.org/users/local/9tQQ6fJ0/items/8XWI6FSC"],"itemData":{"id":782,"type":"article-journal","abstract":"BACKGROUND: Organ failure, including acute kidney injury (AKI), is the third leading cause of death after bleeding and brain injury in trauma patients. We sought to assess the prevalence, the risk factors and the impact of AKI on outcome after trauma.\nMETHODS: We performed a retrospective analysis of prospectively collected data from a multicenter trauma registry. AKI was defined according to the risk, injury, failure, loss of kidney function and end-stage kidney disease (RIFLE) classification from serum creatinine only. Prehospital and early hospital risk factors for AKI were identified using logistic regression analysis. The predictive models were internally validated using bootstrapping resampling technique.\nRESULTS: We included 3111 patients in the analysis. The incidence of AKI was 13% including 7% stage R, 3.7% stage I and 2.3% stage F. AKI incidence rose to 42.5% in patients presenting with hemorrhagic shock; 96% of AKI occurred within the 5 first days after trauma. In multivariate analysis, prehospital variables including minimum prehospital mean arterial pressure, maximum prehospital heart rate, secondary transfer to the trauma center and data early collected after hospital admission including injury severity score, renal trauma, blood lactate and hemorrhagic shock were independent risk factors in the models predicting AKI. The model had good discrimination with area under the receiver operating characteristic curve of 0.85 (0.82-0.88) to predict AKI stage I or F and 0.80 (0.77-0.83) to predict AKI of all stages. Rhabdomyolysis severity, assessed by the creatine kinase peak, was an additional independent risk factor for AKI when it was forced into the model (OR 1.041 (1.015-1.069) per step of 1000 U/mL, p &lt; 0.001). AKI was independently associated with a twofold increase in ICU mortality.\nCONCLUSIONS: AKI has an early onset and is independently associated with mortality in trauma patients. Its prevalence varies by a factor 3 according to the severity of injuries and hemorrhage. Prehospital and early hospital risk factors can provide good performance for early prediction of AKI after trauma. Hence, studies aiming to prevent AKI should target patients at high risk of AKI and investigate therapies early in the course of trauma care.","container-title":"Critical Care (London, England)","DOI":"10.1186/s13054-018-2265-9","ISSN":"1466-609X","issue":"1","journalAbbreviation":"Crit Care","language":"eng","note":"PMID: 30563549\nPMCID: PMC6299611","page":"344","source":"PubMed","title":"Prevalence and risk factors for acute kidney injury among trauma patients: a multicenter cohort study","title-short":"Prevalence and risk factors for acute kidney injury among trauma patients","volume":"22","author":[{"family":"Harrois","given":"Anatole"},{"family":"Soyer","given":"Benjamin"},{"family":"Gauss","given":"Tobias"},{"family":"Hamada","given":"Sophie"},{"family":"Raux","given":"Mathieu"},{"family":"Duranteau","given":"Jacques"},{"literal":"Traumabase® Group"}],"issued":{"date-parts":[["2018"]],"season":"18"}}}],"schema":"https://github.com/citation-style-language/schema/raw/master/csl-citation.json"} </w:instrText>
      </w:r>
      <w:r w:rsidRPr="00E85CC4">
        <w:rPr>
          <w:sz w:val="18"/>
          <w:szCs w:val="18"/>
          <w:lang w:val="en-US"/>
        </w:rPr>
        <w:fldChar w:fldCharType="separate"/>
      </w:r>
      <w:r w:rsidRPr="00E85CC4">
        <w:rPr>
          <w:rFonts w:ascii="Calibri" w:cs="Calibri"/>
          <w:sz w:val="18"/>
          <w:vertAlign w:val="superscript"/>
        </w:rPr>
        <w:t>3</w:t>
      </w:r>
      <w:r w:rsidRPr="00E85CC4">
        <w:rPr>
          <w:sz w:val="18"/>
          <w:szCs w:val="18"/>
          <w:lang w:val="en-US"/>
        </w:rPr>
        <w:fldChar w:fldCharType="end"/>
      </w:r>
      <w:r w:rsidRPr="00E85CC4">
        <w:rPr>
          <w:sz w:val="18"/>
          <w:szCs w:val="18"/>
          <w:lang w:val="en-US"/>
        </w:rPr>
        <w:t xml:space="preserve"> that includes maximum prehospital heart rate, minimum systolic blood pressure, admission lactate, injury severity score (ISS) and hemorrhagic shock. Models were constructed for 3 AKI definitions that differ according to baseline creatinine definition. NRI and IDI were calculated only if </w:t>
      </w:r>
      <w:r w:rsidRPr="00E85CC4">
        <w:rPr>
          <w:rFonts w:cstheme="minorHAnsi"/>
          <w:sz w:val="18"/>
          <w:szCs w:val="18"/>
          <w:lang w:val="en-US"/>
        </w:rPr>
        <w:t xml:space="preserve">the model coefficient of myoglobin or CK was statistically significant. CK = Creatine Kinase, CI = Confidence Interval, IDI = </w:t>
      </w:r>
      <w:r w:rsidRPr="00E85CC4">
        <w:rPr>
          <w:rFonts w:eastAsia="Times New Roman" w:cstheme="minorHAnsi"/>
          <w:sz w:val="18"/>
          <w:szCs w:val="18"/>
          <w:lang w:eastAsia="fr-FR"/>
        </w:rPr>
        <w:t xml:space="preserve">Integrated Discrimination Improvement, </w:t>
      </w:r>
      <w:r w:rsidRPr="00E85CC4">
        <w:rPr>
          <w:rFonts w:hAnsi="Calibri"/>
          <w:color w:val="000000" w:themeColor="text1"/>
          <w:kern w:val="24"/>
          <w:sz w:val="18"/>
          <w:szCs w:val="18"/>
          <w:lang w:val="en-US"/>
        </w:rPr>
        <w:t>MDRD = Modification of Diet in Renal Disease.</w:t>
      </w:r>
    </w:p>
    <w:p w:rsidR="003B25E2" w:rsidRPr="00E85CC4" w:rsidRDefault="003B25E2" w:rsidP="003B25E2">
      <w:pPr>
        <w:snapToGrid w:val="0"/>
        <w:jc w:val="both"/>
        <w:rPr>
          <w:rFonts w:cstheme="minorHAnsi"/>
          <w:sz w:val="18"/>
          <w:szCs w:val="18"/>
          <w:lang w:val="en-US"/>
        </w:rPr>
      </w:pPr>
      <w:r w:rsidRPr="00E85CC4">
        <w:rPr>
          <w:rFonts w:cstheme="minorHAnsi"/>
          <w:sz w:val="18"/>
          <w:szCs w:val="18"/>
          <w:lang w:val="en-US"/>
        </w:rPr>
        <w:t>NRI</w:t>
      </w:r>
      <w:r w:rsidRPr="00E85CC4">
        <w:rPr>
          <w:rFonts w:cstheme="minorHAnsi"/>
          <w:sz w:val="18"/>
          <w:szCs w:val="18"/>
          <w:vertAlign w:val="subscript"/>
          <w:lang w:val="en-US"/>
        </w:rPr>
        <w:t>event</w:t>
      </w:r>
      <w:r w:rsidRPr="00E85CC4">
        <w:rPr>
          <w:rFonts w:cstheme="minorHAnsi"/>
          <w:sz w:val="18"/>
          <w:szCs w:val="18"/>
          <w:lang w:val="en-US"/>
        </w:rPr>
        <w:t xml:space="preserve">  = proportion of AKI subjects with an increased risk of AKI (as calculated in the model including myoglobin versus the base model) - proportion of AKI subjects with a decreased risk of AKI (in the model including myoglobin versus the base model)</w:t>
      </w:r>
    </w:p>
    <w:p w:rsidR="003B25E2" w:rsidRPr="00E85CC4" w:rsidRDefault="003B25E2" w:rsidP="003B25E2">
      <w:pPr>
        <w:snapToGrid w:val="0"/>
        <w:jc w:val="both"/>
        <w:rPr>
          <w:rFonts w:cstheme="minorHAnsi"/>
          <w:sz w:val="18"/>
          <w:szCs w:val="18"/>
          <w:lang w:val="en-US"/>
        </w:rPr>
      </w:pPr>
      <w:r w:rsidRPr="00E85CC4">
        <w:rPr>
          <w:rFonts w:cstheme="minorHAnsi"/>
          <w:sz w:val="18"/>
          <w:szCs w:val="18"/>
          <w:lang w:val="en-US"/>
        </w:rPr>
        <w:t>NRI</w:t>
      </w:r>
      <w:r w:rsidRPr="00E85CC4">
        <w:rPr>
          <w:rFonts w:cstheme="minorHAnsi"/>
          <w:sz w:val="18"/>
          <w:szCs w:val="18"/>
          <w:vertAlign w:val="subscript"/>
          <w:lang w:val="en-US"/>
        </w:rPr>
        <w:t>non-event</w:t>
      </w:r>
      <w:r w:rsidRPr="00E85CC4">
        <w:rPr>
          <w:rFonts w:cstheme="minorHAnsi"/>
          <w:sz w:val="18"/>
          <w:szCs w:val="18"/>
          <w:lang w:val="en-US"/>
        </w:rPr>
        <w:t xml:space="preserve">  = proportion of non-AKI subjects with a decreased risk of AKI (as calculated in the model including myoglobin (or CK) versus the base model) - proportion of non-AKI subjects with an increased risk of AKI (in the model including myoglobin (or CK) versus the base model)</w:t>
      </w:r>
    </w:p>
    <w:p w:rsidR="003B25E2" w:rsidRPr="00E85CC4" w:rsidRDefault="003B25E2" w:rsidP="003B25E2">
      <w:pPr>
        <w:snapToGrid w:val="0"/>
        <w:jc w:val="both"/>
        <w:rPr>
          <w:rFonts w:cstheme="minorHAnsi"/>
          <w:sz w:val="18"/>
          <w:szCs w:val="18"/>
          <w:lang w:val="en-US"/>
        </w:rPr>
      </w:pPr>
      <w:r w:rsidRPr="00E85CC4">
        <w:rPr>
          <w:rFonts w:cstheme="minorHAnsi"/>
          <w:sz w:val="18"/>
          <w:szCs w:val="18"/>
          <w:lang w:val="en-US"/>
        </w:rPr>
        <w:t>NRI= continuous Net Reclassification Improvement. NRI is equal to (NRI</w:t>
      </w:r>
      <w:r w:rsidRPr="00E85CC4">
        <w:rPr>
          <w:rFonts w:cstheme="minorHAnsi"/>
          <w:sz w:val="18"/>
          <w:szCs w:val="18"/>
          <w:vertAlign w:val="subscript"/>
          <w:lang w:val="en-US"/>
        </w:rPr>
        <w:t xml:space="preserve">event </w:t>
      </w:r>
      <w:r w:rsidRPr="00E85CC4">
        <w:rPr>
          <w:rFonts w:cstheme="minorHAnsi"/>
          <w:sz w:val="18"/>
          <w:szCs w:val="18"/>
          <w:lang w:val="en-US"/>
        </w:rPr>
        <w:t>+ NRI</w:t>
      </w:r>
      <w:r w:rsidRPr="00E85CC4">
        <w:rPr>
          <w:rFonts w:cstheme="minorHAnsi"/>
          <w:sz w:val="18"/>
          <w:szCs w:val="18"/>
          <w:vertAlign w:val="subscript"/>
          <w:lang w:val="en-US"/>
        </w:rPr>
        <w:t>non-event</w:t>
      </w:r>
      <w:r w:rsidRPr="00E85CC4">
        <w:rPr>
          <w:rFonts w:cstheme="minorHAnsi"/>
          <w:sz w:val="18"/>
          <w:szCs w:val="18"/>
          <w:lang w:val="en-US"/>
        </w:rPr>
        <w:t>).</w:t>
      </w:r>
    </w:p>
    <w:p w:rsidR="00AC7AF1" w:rsidRPr="003B25E2" w:rsidRDefault="00AC7AF1">
      <w:pPr>
        <w:rPr>
          <w:rFonts w:hAnsi="Calibri"/>
          <w:color w:val="000000" w:themeColor="text1"/>
          <w:kern w:val="24"/>
          <w:sz w:val="18"/>
          <w:szCs w:val="18"/>
          <w:lang w:val="en-US"/>
        </w:rPr>
      </w:pPr>
    </w:p>
    <w:sectPr w:rsidR="00AC7AF1" w:rsidRPr="003B25E2" w:rsidSect="002B3A9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5E2"/>
    <w:rsid w:val="00004274"/>
    <w:rsid w:val="00015E28"/>
    <w:rsid w:val="000318A1"/>
    <w:rsid w:val="000323CC"/>
    <w:rsid w:val="00050812"/>
    <w:rsid w:val="00076647"/>
    <w:rsid w:val="000832D7"/>
    <w:rsid w:val="00087DA1"/>
    <w:rsid w:val="00094D98"/>
    <w:rsid w:val="00095112"/>
    <w:rsid w:val="000B1A3C"/>
    <w:rsid w:val="000C2C1B"/>
    <w:rsid w:val="000D234C"/>
    <w:rsid w:val="000E1C3B"/>
    <w:rsid w:val="000F312C"/>
    <w:rsid w:val="00106E61"/>
    <w:rsid w:val="00112ED0"/>
    <w:rsid w:val="0011367A"/>
    <w:rsid w:val="001553CE"/>
    <w:rsid w:val="00157207"/>
    <w:rsid w:val="00196176"/>
    <w:rsid w:val="001A4A5A"/>
    <w:rsid w:val="001A4BC6"/>
    <w:rsid w:val="001C2DCB"/>
    <w:rsid w:val="00206A6F"/>
    <w:rsid w:val="00207739"/>
    <w:rsid w:val="0021343B"/>
    <w:rsid w:val="00223160"/>
    <w:rsid w:val="002252F7"/>
    <w:rsid w:val="00230999"/>
    <w:rsid w:val="00240F45"/>
    <w:rsid w:val="00242A28"/>
    <w:rsid w:val="002500BB"/>
    <w:rsid w:val="00292F7E"/>
    <w:rsid w:val="002A5468"/>
    <w:rsid w:val="002B3A98"/>
    <w:rsid w:val="002B4D45"/>
    <w:rsid w:val="002B7D57"/>
    <w:rsid w:val="002C17BE"/>
    <w:rsid w:val="002D4877"/>
    <w:rsid w:val="002F5BDC"/>
    <w:rsid w:val="00305213"/>
    <w:rsid w:val="00334B78"/>
    <w:rsid w:val="00336A6A"/>
    <w:rsid w:val="003420D9"/>
    <w:rsid w:val="00347DFD"/>
    <w:rsid w:val="003508C2"/>
    <w:rsid w:val="00361B93"/>
    <w:rsid w:val="003731C2"/>
    <w:rsid w:val="0038443F"/>
    <w:rsid w:val="00392486"/>
    <w:rsid w:val="003A5533"/>
    <w:rsid w:val="003B25E2"/>
    <w:rsid w:val="003B71B0"/>
    <w:rsid w:val="003C1EC5"/>
    <w:rsid w:val="003D2366"/>
    <w:rsid w:val="003F040B"/>
    <w:rsid w:val="00420ECA"/>
    <w:rsid w:val="00453499"/>
    <w:rsid w:val="00453A09"/>
    <w:rsid w:val="004634C8"/>
    <w:rsid w:val="004643A4"/>
    <w:rsid w:val="00480176"/>
    <w:rsid w:val="004D1E48"/>
    <w:rsid w:val="004D4271"/>
    <w:rsid w:val="004E2AD4"/>
    <w:rsid w:val="004E3AD1"/>
    <w:rsid w:val="004E78A9"/>
    <w:rsid w:val="00530392"/>
    <w:rsid w:val="00541D77"/>
    <w:rsid w:val="00564819"/>
    <w:rsid w:val="0059564E"/>
    <w:rsid w:val="005A403F"/>
    <w:rsid w:val="005A5823"/>
    <w:rsid w:val="005B3317"/>
    <w:rsid w:val="005B3878"/>
    <w:rsid w:val="005C4572"/>
    <w:rsid w:val="005D7DF2"/>
    <w:rsid w:val="005E4D99"/>
    <w:rsid w:val="005E79E5"/>
    <w:rsid w:val="005F39C4"/>
    <w:rsid w:val="006272D2"/>
    <w:rsid w:val="0062776D"/>
    <w:rsid w:val="006451E8"/>
    <w:rsid w:val="00647009"/>
    <w:rsid w:val="00650A45"/>
    <w:rsid w:val="006531F5"/>
    <w:rsid w:val="00682342"/>
    <w:rsid w:val="006B0FEF"/>
    <w:rsid w:val="006B24A7"/>
    <w:rsid w:val="006C1E87"/>
    <w:rsid w:val="006D2CCA"/>
    <w:rsid w:val="006D4FFB"/>
    <w:rsid w:val="0074532B"/>
    <w:rsid w:val="0074776A"/>
    <w:rsid w:val="00752E38"/>
    <w:rsid w:val="0076416C"/>
    <w:rsid w:val="0076502A"/>
    <w:rsid w:val="00772B74"/>
    <w:rsid w:val="00785144"/>
    <w:rsid w:val="00787A79"/>
    <w:rsid w:val="007A4757"/>
    <w:rsid w:val="007A61D5"/>
    <w:rsid w:val="007B1223"/>
    <w:rsid w:val="007B2D6C"/>
    <w:rsid w:val="007C08D5"/>
    <w:rsid w:val="007E7716"/>
    <w:rsid w:val="007F78D9"/>
    <w:rsid w:val="008338FD"/>
    <w:rsid w:val="00844274"/>
    <w:rsid w:val="00845E2E"/>
    <w:rsid w:val="008671F1"/>
    <w:rsid w:val="0087576F"/>
    <w:rsid w:val="00880CB6"/>
    <w:rsid w:val="0089083A"/>
    <w:rsid w:val="008954DE"/>
    <w:rsid w:val="008B355C"/>
    <w:rsid w:val="008C01E3"/>
    <w:rsid w:val="008F16AE"/>
    <w:rsid w:val="008F44D2"/>
    <w:rsid w:val="009010BC"/>
    <w:rsid w:val="009757F0"/>
    <w:rsid w:val="009A1741"/>
    <w:rsid w:val="009A72E9"/>
    <w:rsid w:val="009B488E"/>
    <w:rsid w:val="00A05AD1"/>
    <w:rsid w:val="00A23C82"/>
    <w:rsid w:val="00A304B1"/>
    <w:rsid w:val="00A46B72"/>
    <w:rsid w:val="00A619A2"/>
    <w:rsid w:val="00A6525F"/>
    <w:rsid w:val="00A75BC8"/>
    <w:rsid w:val="00A771DB"/>
    <w:rsid w:val="00A9239A"/>
    <w:rsid w:val="00AB70E9"/>
    <w:rsid w:val="00AC7AF1"/>
    <w:rsid w:val="00AD11A0"/>
    <w:rsid w:val="00AD765E"/>
    <w:rsid w:val="00AE1802"/>
    <w:rsid w:val="00AE3239"/>
    <w:rsid w:val="00AF0D6F"/>
    <w:rsid w:val="00B13746"/>
    <w:rsid w:val="00B14FA6"/>
    <w:rsid w:val="00B366ED"/>
    <w:rsid w:val="00B41838"/>
    <w:rsid w:val="00B52A82"/>
    <w:rsid w:val="00B77143"/>
    <w:rsid w:val="00B84E39"/>
    <w:rsid w:val="00BC6F8C"/>
    <w:rsid w:val="00BD1237"/>
    <w:rsid w:val="00BE0608"/>
    <w:rsid w:val="00C05AE1"/>
    <w:rsid w:val="00C071B8"/>
    <w:rsid w:val="00C33435"/>
    <w:rsid w:val="00C92AF3"/>
    <w:rsid w:val="00CA1440"/>
    <w:rsid w:val="00CA4BFB"/>
    <w:rsid w:val="00CE1B6B"/>
    <w:rsid w:val="00D02A7C"/>
    <w:rsid w:val="00D03A8D"/>
    <w:rsid w:val="00D31B60"/>
    <w:rsid w:val="00D47FD1"/>
    <w:rsid w:val="00D823D5"/>
    <w:rsid w:val="00D845F5"/>
    <w:rsid w:val="00D852B6"/>
    <w:rsid w:val="00D9381D"/>
    <w:rsid w:val="00DB287B"/>
    <w:rsid w:val="00DB2DD1"/>
    <w:rsid w:val="00DB5332"/>
    <w:rsid w:val="00E277DE"/>
    <w:rsid w:val="00E36314"/>
    <w:rsid w:val="00E75CC0"/>
    <w:rsid w:val="00E8536C"/>
    <w:rsid w:val="00E9317B"/>
    <w:rsid w:val="00E96648"/>
    <w:rsid w:val="00EA5BB3"/>
    <w:rsid w:val="00EB0D10"/>
    <w:rsid w:val="00EB159F"/>
    <w:rsid w:val="00EC4F0F"/>
    <w:rsid w:val="00EE5F77"/>
    <w:rsid w:val="00F012C3"/>
    <w:rsid w:val="00F20E59"/>
    <w:rsid w:val="00F30FF5"/>
    <w:rsid w:val="00F32541"/>
    <w:rsid w:val="00F34B7B"/>
    <w:rsid w:val="00F73F0A"/>
    <w:rsid w:val="00F830B5"/>
    <w:rsid w:val="00FA6B9D"/>
    <w:rsid w:val="00FB71A7"/>
    <w:rsid w:val="00FC6FE6"/>
    <w:rsid w:val="00FF4A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AAF7104"/>
  <w15:chartTrackingRefBased/>
  <w15:docId w15:val="{EB987BD4-199E-F944-9782-4B6B26E7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25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59"/>
    <w:rsid w:val="003B2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3B2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1441</Words>
  <Characters>7931</Characters>
  <Application>Microsoft Office Word</Application>
  <DocSecurity>0</DocSecurity>
  <Lines>66</Lines>
  <Paragraphs>18</Paragraphs>
  <ScaleCrop>false</ScaleCrop>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Anatole Harrois</cp:lastModifiedBy>
  <cp:revision>4</cp:revision>
  <dcterms:created xsi:type="dcterms:W3CDTF">2020-07-03T16:03:00Z</dcterms:created>
  <dcterms:modified xsi:type="dcterms:W3CDTF">2021-09-05T14:30:00Z</dcterms:modified>
</cp:coreProperties>
</file>