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FAF" w:rsidRPr="00E85CC4" w:rsidRDefault="00FA5FAF" w:rsidP="00FA5FAF">
      <w:pPr>
        <w:snapToGrid w:val="0"/>
        <w:outlineLvl w:val="0"/>
        <w:rPr>
          <w:rFonts w:hAnsi="Calibri"/>
          <w:b/>
          <w:color w:val="000000" w:themeColor="text1"/>
          <w:kern w:val="24"/>
          <w:lang w:val="en-US"/>
        </w:rPr>
      </w:pPr>
      <w:r>
        <w:rPr>
          <w:b/>
          <w:lang w:val="en-US"/>
        </w:rPr>
        <w:t>Additional file</w:t>
      </w:r>
      <w:bookmarkStart w:id="0" w:name="_GoBack"/>
      <w:bookmarkEnd w:id="0"/>
      <w:r w:rsidRPr="00E85CC4">
        <w:rPr>
          <w:b/>
          <w:lang w:val="en-US"/>
        </w:rPr>
        <w:t xml:space="preserve"> 2 : </w:t>
      </w:r>
      <w:r w:rsidRPr="00E85CC4">
        <w:rPr>
          <w:lang w:val="en-US"/>
        </w:rPr>
        <w:t>Sample size calculation</w:t>
      </w:r>
    </w:p>
    <w:p w:rsidR="00FA5FAF" w:rsidRPr="00E85CC4" w:rsidRDefault="00FA5FAF" w:rsidP="00FA5FAF">
      <w:pPr>
        <w:spacing w:line="360" w:lineRule="auto"/>
        <w:jc w:val="both"/>
        <w:outlineLvl w:val="0"/>
        <w:rPr>
          <w:b/>
          <w:sz w:val="20"/>
          <w:szCs w:val="20"/>
          <w:lang w:val="en-US"/>
        </w:rPr>
      </w:pPr>
    </w:p>
    <w:p w:rsidR="00FA5FAF" w:rsidRPr="00E85CC4" w:rsidRDefault="00FA5FAF" w:rsidP="00FA5FAF">
      <w:pPr>
        <w:spacing w:line="360" w:lineRule="auto"/>
        <w:jc w:val="both"/>
        <w:rPr>
          <w:sz w:val="20"/>
          <w:szCs w:val="20"/>
          <w:lang w:val="en-US"/>
        </w:rPr>
      </w:pPr>
      <w:r w:rsidRPr="00E85CC4">
        <w:rPr>
          <w:sz w:val="20"/>
          <w:szCs w:val="20"/>
          <w:lang w:val="en-US"/>
        </w:rPr>
        <w:t xml:space="preserve">Sample size calculation was done according to the method described by Obuchowski et al </w:t>
      </w:r>
      <w:r w:rsidRPr="00E85CC4">
        <w:rPr>
          <w:sz w:val="20"/>
          <w:szCs w:val="20"/>
          <w:lang w:val="en-US"/>
        </w:rPr>
        <w:fldChar w:fldCharType="begin"/>
      </w:r>
      <w:r w:rsidRPr="00E85CC4">
        <w:rPr>
          <w:sz w:val="20"/>
          <w:szCs w:val="20"/>
          <w:lang w:val="en-US"/>
        </w:rPr>
        <w:instrText xml:space="preserve"> ADDIN ZOTERO_ITEM CSL_CITATION {"citationID":"ImYHcFqb","properties":{"formattedCitation":"\\super 1\\nosupersub{}","plainCitation":"1","noteIndex":0},"citationItems":[{"id":2026,"uris":["http://zotero.org/users/local/9tQQ6fJ0/items/YDZ6ZJP2"],"uri":["http://zotero.org/users/local/9tQQ6fJ0/items/YDZ6ZJP2"],"itemData":{"id":2026,"type":"article-journal","abstract":"Receiver operating characteristic (ROC) curves and their associated indices are valuable tools for the assessment of the accuracy of diagnostic tests. The area under the ROC curve is a popular summary measure of the accuracy of a test. The full area under the ROC curve, however, has been criticized because it gives equal weight to all false positive error rates. Alternative indices include the area under the ROC curve in a particular range of false positive rates ('partial' area) and the sensitivity of the test for a single fixed false positive rate (FPR). We present a unified approach for computing sample size for binormal ROC curves and their indices. Our method uses Taylor series expansions to derive approximate large-sample estimates of the variance and covariance of binormal ROC curve parameters. Several examples from diagnostic radiology illustrate the proposed method.","container-title":"Statistics in Medicine","ISSN":"0277-6715","issue":"13","journalAbbreviation":"Stat Med","language":"eng","note":"PMID: 9249923","page":"1529-1542","source":"PubMed","title":"Sample size determination for diagnostic accuracy studies involving binormal ROC curve indices","volume":"16","author":[{"family":"Obuchowski","given":"N. A."},{"family":"McClish","given":"D. K."}],"issued":{"date-parts":[["1997",7,15]]}}}],"schema":"https://github.com/citation-style-language/schema/raw/master/csl-citation.json"} </w:instrText>
      </w:r>
      <w:r w:rsidRPr="00E85CC4">
        <w:rPr>
          <w:sz w:val="20"/>
          <w:szCs w:val="20"/>
          <w:lang w:val="en-US"/>
        </w:rPr>
        <w:fldChar w:fldCharType="separate"/>
      </w:r>
      <w:r w:rsidRPr="00E85CC4">
        <w:rPr>
          <w:rFonts w:ascii="Calibri" w:cs="Calibri"/>
          <w:sz w:val="20"/>
          <w:vertAlign w:val="superscript"/>
        </w:rPr>
        <w:t>1</w:t>
      </w:r>
      <w:r w:rsidRPr="00E85CC4">
        <w:rPr>
          <w:sz w:val="20"/>
          <w:szCs w:val="20"/>
          <w:lang w:val="en-US"/>
        </w:rPr>
        <w:fldChar w:fldCharType="end"/>
      </w:r>
      <w:r w:rsidRPr="00E85CC4">
        <w:rPr>
          <w:sz w:val="20"/>
          <w:szCs w:val="20"/>
          <w:lang w:val="en-US"/>
        </w:rPr>
        <w:t xml:space="preserve"> by using power.roc.test function in R pROC package </w:t>
      </w:r>
      <w:r w:rsidRPr="00E85CC4">
        <w:rPr>
          <w:sz w:val="20"/>
          <w:szCs w:val="20"/>
          <w:lang w:val="en-US"/>
        </w:rPr>
        <w:fldChar w:fldCharType="begin"/>
      </w:r>
      <w:r w:rsidRPr="00E85CC4">
        <w:rPr>
          <w:sz w:val="20"/>
          <w:szCs w:val="20"/>
          <w:lang w:val="en-US"/>
        </w:rPr>
        <w:instrText xml:space="preserve"> ADDIN ZOTERO_ITEM CSL_CITATION {"citationID":"YUEBCyzT","properties":{"formattedCitation":"\\super 2\\nosupersub{}","plainCitation":"2","noteIndex":0},"citationItems":[{"id":2346,"uris":["http://zotero.org/users/local/9tQQ6fJ0/items/9ESH3AJU"],"uri":["http://zotero.org/users/local/9tQQ6fJ0/items/9ESH3AJU"],"itemData":{"id":2346,"type":"article-journal","container-title":"BMC Bioinformatics","DOI":"10.1186/1471-2105-12-77","ISSN":"1471-2105","issue":"1","language":"en","source":"Crossref","title":"pROC: an open-source package for R and S+ to analyze and compare ROC curves","title-short":"pROC","URL":"https://bmcbioinformatics.biomedcentral.com/articles/10.1186/1471-2105-12-77","volume":"12","author":[{"family":"Robin","given":"Xavier"},{"family":"Turck","given":"Natacha"},{"family":"Hainard","given":"Alexandre"},{"family":"Tiberti","given":"Natalia"},{"family":"Lisacek","given":"Frédérique"},{"family":"Sanchez","given":"Jean-Charles"},{"family":"Müller","given":"Markus"}],"accessed":{"date-parts":[["2019",8,11]]},"issued":{"date-parts":[["2011",12]]}}}],"schema":"https://github.com/citation-style-language/schema/raw/master/csl-citation.json"} </w:instrText>
      </w:r>
      <w:r w:rsidRPr="00E85CC4">
        <w:rPr>
          <w:sz w:val="20"/>
          <w:szCs w:val="20"/>
          <w:lang w:val="en-US"/>
        </w:rPr>
        <w:fldChar w:fldCharType="separate"/>
      </w:r>
      <w:r w:rsidRPr="00E85CC4">
        <w:rPr>
          <w:rFonts w:ascii="Calibri" w:cs="Calibri"/>
          <w:sz w:val="20"/>
          <w:vertAlign w:val="superscript"/>
        </w:rPr>
        <w:t>2</w:t>
      </w:r>
      <w:r w:rsidRPr="00E85CC4">
        <w:rPr>
          <w:sz w:val="20"/>
          <w:szCs w:val="20"/>
          <w:lang w:val="en-US"/>
        </w:rPr>
        <w:fldChar w:fldCharType="end"/>
      </w:r>
      <w:r w:rsidRPr="00E85CC4">
        <w:rPr>
          <w:sz w:val="20"/>
          <w:szCs w:val="20"/>
          <w:lang w:val="en-US"/>
        </w:rPr>
        <w:t xml:space="preserve">. Since no empirical ROC curve is known for AKI prediction either by initial myoglobin or initial CK level in trauma patients, we used data from a previous prospective study that included 40 trauma patients with concomitant measurements of initial myoglobin and CK (communication, Congress of the French Society of Anaesthesiology and Intensive Care 2017 (Société Française d’Anesthésie-Réanimation)). From this small sample study, we extracted binormal parameters A and B for the ability of myoglobin and CK to predict AKI </w:t>
      </w:r>
      <w:r w:rsidRPr="00E85CC4">
        <w:rPr>
          <w:rFonts w:cstheme="minorHAnsi"/>
          <w:sz w:val="20"/>
          <w:szCs w:val="20"/>
          <w:lang w:val="en-US"/>
        </w:rPr>
        <w:t>(any stage of KDIGO classification) (where A</w:t>
      </w:r>
      <w:proofErr w:type="gramStart"/>
      <w:r w:rsidRPr="00E85CC4">
        <w:rPr>
          <w:rFonts w:cstheme="minorHAnsi"/>
          <w:sz w:val="20"/>
          <w:szCs w:val="20"/>
          <w:lang w:val="en-US"/>
        </w:rPr>
        <w:t>=(</w:t>
      </w:r>
      <w:proofErr w:type="gramEnd"/>
      <w:r w:rsidRPr="00E85CC4">
        <w:rPr>
          <w:rFonts w:cstheme="minorHAnsi"/>
          <w:sz w:val="20"/>
          <w:szCs w:val="20"/>
          <w:lang w:val="en-US"/>
        </w:rPr>
        <w:sym w:font="Symbol" w:char="F06D"/>
      </w:r>
      <w:r w:rsidRPr="00E85CC4">
        <w:rPr>
          <w:rFonts w:cstheme="minorHAnsi"/>
          <w:sz w:val="20"/>
          <w:szCs w:val="20"/>
          <w:vertAlign w:val="subscript"/>
          <w:lang w:val="en-US"/>
        </w:rPr>
        <w:t>AKI</w:t>
      </w:r>
      <w:r w:rsidRPr="00E85CC4">
        <w:rPr>
          <w:rFonts w:cstheme="minorHAnsi"/>
          <w:sz w:val="20"/>
          <w:szCs w:val="20"/>
          <w:lang w:val="en-US"/>
        </w:rPr>
        <w:t xml:space="preserve"> -  </w:t>
      </w:r>
      <w:r w:rsidRPr="00E85CC4">
        <w:rPr>
          <w:rFonts w:cstheme="minorHAnsi"/>
          <w:sz w:val="20"/>
          <w:szCs w:val="20"/>
          <w:lang w:val="en-US"/>
        </w:rPr>
        <w:sym w:font="Symbol" w:char="F06D"/>
      </w:r>
      <w:r w:rsidRPr="00E85CC4">
        <w:rPr>
          <w:rFonts w:cstheme="minorHAnsi"/>
          <w:sz w:val="20"/>
          <w:szCs w:val="20"/>
          <w:vertAlign w:val="subscript"/>
          <w:lang w:val="en-US"/>
        </w:rPr>
        <w:t>no AKI</w:t>
      </w:r>
      <w:r w:rsidRPr="00E85CC4">
        <w:rPr>
          <w:rFonts w:cstheme="minorHAnsi"/>
          <w:sz w:val="20"/>
          <w:szCs w:val="20"/>
          <w:lang w:val="en-US"/>
        </w:rPr>
        <w:t>)/</w:t>
      </w:r>
      <w:r w:rsidRPr="00E85CC4">
        <w:rPr>
          <w:rFonts w:cstheme="minorHAnsi"/>
          <w:sz w:val="20"/>
          <w:szCs w:val="20"/>
          <w:lang w:val="en-US"/>
        </w:rPr>
        <w:sym w:font="Symbol" w:char="F073"/>
      </w:r>
      <w:r w:rsidRPr="00E85CC4">
        <w:rPr>
          <w:rFonts w:cstheme="minorHAnsi"/>
          <w:sz w:val="20"/>
          <w:szCs w:val="20"/>
          <w:vertAlign w:val="subscript"/>
          <w:lang w:val="en-US"/>
        </w:rPr>
        <w:t>AKI</w:t>
      </w:r>
      <w:r w:rsidRPr="00E85CC4">
        <w:rPr>
          <w:rFonts w:cstheme="minorHAnsi"/>
          <w:sz w:val="20"/>
          <w:szCs w:val="20"/>
          <w:lang w:val="en-US"/>
        </w:rPr>
        <w:t xml:space="preserve"> and B=</w:t>
      </w:r>
      <w:r w:rsidRPr="00E85CC4">
        <w:rPr>
          <w:rFonts w:cstheme="minorHAnsi"/>
          <w:sz w:val="20"/>
          <w:szCs w:val="20"/>
          <w:lang w:val="en-US"/>
        </w:rPr>
        <w:sym w:font="Symbol" w:char="F073"/>
      </w:r>
      <w:r w:rsidRPr="00E85CC4">
        <w:rPr>
          <w:rFonts w:cstheme="minorHAnsi"/>
          <w:sz w:val="20"/>
          <w:szCs w:val="20"/>
          <w:vertAlign w:val="subscript"/>
          <w:lang w:val="en-US"/>
        </w:rPr>
        <w:t>no AKI</w:t>
      </w:r>
      <w:r w:rsidRPr="00E85CC4">
        <w:rPr>
          <w:rFonts w:cstheme="minorHAnsi"/>
          <w:sz w:val="20"/>
          <w:szCs w:val="20"/>
          <w:lang w:val="en-US"/>
        </w:rPr>
        <w:t>/</w:t>
      </w:r>
      <w:r w:rsidRPr="00E85CC4">
        <w:rPr>
          <w:rFonts w:cstheme="minorHAnsi"/>
          <w:sz w:val="20"/>
          <w:szCs w:val="20"/>
          <w:lang w:val="en-US"/>
        </w:rPr>
        <w:sym w:font="Symbol" w:char="F073"/>
      </w:r>
      <w:r w:rsidRPr="00E85CC4">
        <w:rPr>
          <w:rFonts w:cstheme="minorHAnsi"/>
          <w:sz w:val="20"/>
          <w:szCs w:val="20"/>
          <w:vertAlign w:val="subscript"/>
          <w:lang w:val="en-US"/>
        </w:rPr>
        <w:t>AKI</w:t>
      </w:r>
      <w:r w:rsidRPr="00E85CC4">
        <w:rPr>
          <w:rFonts w:cstheme="minorHAnsi"/>
          <w:sz w:val="20"/>
          <w:szCs w:val="20"/>
          <w:lang w:val="en-US"/>
        </w:rPr>
        <w:t xml:space="preserve"> with </w:t>
      </w:r>
      <w:r w:rsidRPr="00E85CC4">
        <w:rPr>
          <w:rFonts w:cstheme="minorHAnsi"/>
          <w:sz w:val="20"/>
          <w:szCs w:val="20"/>
          <w:lang w:val="en-US"/>
        </w:rPr>
        <w:sym w:font="Symbol" w:char="F06D"/>
      </w:r>
      <w:r w:rsidRPr="00E85CC4">
        <w:rPr>
          <w:rFonts w:cstheme="minorHAnsi"/>
          <w:sz w:val="20"/>
          <w:szCs w:val="20"/>
          <w:lang w:val="en-US"/>
        </w:rPr>
        <w:t xml:space="preserve"> and </w:t>
      </w:r>
      <w:r w:rsidRPr="00E85CC4">
        <w:rPr>
          <w:rFonts w:cstheme="minorHAnsi"/>
          <w:sz w:val="20"/>
          <w:szCs w:val="20"/>
          <w:lang w:val="en-US"/>
        </w:rPr>
        <w:sym w:font="Symbol" w:char="F073"/>
      </w:r>
      <w:r w:rsidRPr="00E85CC4">
        <w:rPr>
          <w:rFonts w:cstheme="minorHAnsi"/>
          <w:sz w:val="20"/>
          <w:szCs w:val="20"/>
          <w:lang w:val="en-US"/>
        </w:rPr>
        <w:t xml:space="preserve"> being the mean and standard deviation of the measured variables (myoglobin and CK) in the AKI and non AKI group) (see Table below). The correlation between </w:t>
      </w:r>
      <w:r w:rsidRPr="00E85CC4">
        <w:rPr>
          <w:sz w:val="20"/>
          <w:szCs w:val="20"/>
          <w:lang w:val="en-US"/>
        </w:rPr>
        <w:t>myoglobin and CK variables were also calculated for patients with AKI (rA) and patient without AKI (rN) (</w:t>
      </w:r>
      <w:r w:rsidRPr="00E85CC4">
        <w:rPr>
          <w:rFonts w:cstheme="minorHAnsi"/>
          <w:sz w:val="20"/>
          <w:szCs w:val="20"/>
          <w:lang w:val="en-US"/>
        </w:rPr>
        <w:t>see Table below)</w:t>
      </w:r>
      <w:r w:rsidRPr="00E85CC4">
        <w:rPr>
          <w:sz w:val="20"/>
          <w:szCs w:val="20"/>
          <w:lang w:val="en-US"/>
        </w:rPr>
        <w:t xml:space="preserve">. In a second study done by our group, prevalence of AKI any stage was 12% </w:t>
      </w:r>
      <w:r w:rsidRPr="00E85CC4">
        <w:rPr>
          <w:sz w:val="20"/>
          <w:szCs w:val="20"/>
          <w:lang w:val="en-US"/>
        </w:rPr>
        <w:fldChar w:fldCharType="begin"/>
      </w:r>
      <w:r w:rsidRPr="00E85CC4">
        <w:rPr>
          <w:sz w:val="20"/>
          <w:szCs w:val="20"/>
          <w:lang w:val="en-US"/>
        </w:rPr>
        <w:instrText xml:space="preserve"> ADDIN ZOTERO_ITEM CSL_CITATION {"citationID":"aHnB9rfD","properties":{"formattedCitation":"\\super 3\\nosupersub{}","plainCitation":"3","noteIndex":0},"citationItems":[{"id":782,"uris":["http://zotero.org/users/local/9tQQ6fJ0/items/8XWI6FSC"],"uri":["http://zotero.org/users/local/9tQQ6fJ0/items/8XWI6FSC"],"itemData":{"id":782,"type":"article-journal","abstract":"BACKGROUND: Organ failure, including acute kidney injury (AKI), is the third leading cause of death after bleeding and brain injury in trauma patients. We sought to assess the prevalence, the risk factors and the impact of AKI on outcome after trauma.\nMETHODS: We performed a retrospective analysis of prospectively collected data from a multicenter trauma registry. AKI was defined according to the risk, injury, failure, loss of kidney function and end-stage kidney disease (RIFLE) classification from serum creatinine only. Prehospital and early hospital risk factors for AKI were identified using logistic regression analysis. The predictive models were internally validated using bootstrapping resampling technique.\nRESULTS: We included 3111 patients in the analysis. The incidence of AKI was 13% including 7% stage R, 3.7% stage I and 2.3% stage F. AKI incidence rose to 42.5% in patients presenting with hemorrhagic shock; 96% of AKI occurred within the 5 first days after trauma. In multivariate analysis, prehospital variables including minimum prehospital mean arterial pressure, maximum prehospital heart rate, secondary transfer to the trauma center and data early collected after hospital admission including injury severity score, renal trauma, blood lactate and hemorrhagic shock were independent risk factors in the models predicting AKI. The model had good discrimination with area under the receiver operating characteristic curve of 0.85 (0.82-0.88) to predict AKI stage I or F and 0.80 (0.77-0.83) to predict AKI of all stages. Rhabdomyolysis severity, assessed by the creatine kinase peak, was an additional independent risk factor for AKI when it was forced into the model (OR 1.041 (1.015-1.069) per step of 1000 U/mL, p &lt; 0.001). AKI was independently associated with a twofold increase in ICU mortality.\nCONCLUSIONS: AKI has an early onset and is independently associated with mortality in trauma patients. Its prevalence varies by a factor 3 according to the severity of injuries and hemorrhage. Prehospital and early hospital risk factors can provide good performance for early prediction of AKI after trauma. Hence, studies aiming to prevent AKI should target patients at high risk of AKI and investigate therapies early in the course of trauma care.","container-title":"Critical Care (London, England)","DOI":"10.1186/s13054-018-2265-9","ISSN":"1466-609X","issue":"1","journalAbbreviation":"Crit Care","language":"eng","note":"PMID: 30563549\nPMCID: PMC6299611","page":"344","source":"PubMed","title":"Prevalence and risk factors for acute kidney injury among trauma patients: a multicenter cohort study","title-short":"Prevalence and risk factors for acute kidney injury among trauma patients","volume":"22","author":[{"family":"Harrois","given":"Anatole"},{"family":"Soyer","given":"Benjamin"},{"family":"Gauss","given":"Tobias"},{"family":"Hamada","given":"Sophie"},{"family":"Raux","given":"Mathieu"},{"family":"Duranteau","given":"Jacques"},{"literal":"Traumabase® Group"}],"issued":{"date-parts":[["2018"]],"season":"18"}}}],"schema":"https://github.com/citation-style-language/schema/raw/master/csl-citation.json"} </w:instrText>
      </w:r>
      <w:r w:rsidRPr="00E85CC4">
        <w:rPr>
          <w:sz w:val="20"/>
          <w:szCs w:val="20"/>
          <w:lang w:val="en-US"/>
        </w:rPr>
        <w:fldChar w:fldCharType="separate"/>
      </w:r>
      <w:r w:rsidRPr="00E85CC4">
        <w:rPr>
          <w:rFonts w:ascii="Calibri" w:cs="Calibri"/>
          <w:sz w:val="20"/>
          <w:vertAlign w:val="superscript"/>
        </w:rPr>
        <w:t>3</w:t>
      </w:r>
      <w:r w:rsidRPr="00E85CC4">
        <w:rPr>
          <w:sz w:val="20"/>
          <w:szCs w:val="20"/>
          <w:lang w:val="en-US"/>
        </w:rPr>
        <w:fldChar w:fldCharType="end"/>
      </w:r>
      <w:r w:rsidRPr="00E85CC4">
        <w:rPr>
          <w:sz w:val="20"/>
          <w:szCs w:val="20"/>
          <w:lang w:val="en-US"/>
        </w:rPr>
        <w:t xml:space="preserve"> (lower limit of CI) in patients having CK/myoglobin measurement on arrival at hospital. To show a difference of 0.08 in the AUC-ROC of myoglobin and CK to predict AKI with a power of 90% and </w:t>
      </w:r>
      <w:r w:rsidRPr="00E85CC4">
        <w:rPr>
          <w:sz w:val="20"/>
          <w:szCs w:val="20"/>
          <w:lang w:val="en-US"/>
        </w:rPr>
        <w:sym w:font="Symbol" w:char="F061"/>
      </w:r>
      <w:r w:rsidRPr="00E85CC4">
        <w:rPr>
          <w:sz w:val="20"/>
          <w:szCs w:val="20"/>
          <w:lang w:val="en-US"/>
        </w:rPr>
        <w:t>=0.05, we calculated that at least 825 patients should be included in the study (see R script below).</w:t>
      </w:r>
    </w:p>
    <w:p w:rsidR="00FA5FAF" w:rsidRPr="00E85CC4" w:rsidRDefault="00FA5FAF" w:rsidP="00FA5FAF">
      <w:pPr>
        <w:jc w:val="both"/>
        <w:rPr>
          <w:lang w:val="en-US"/>
        </w:rPr>
      </w:pPr>
    </w:p>
    <w:p w:rsidR="00FA5FAF" w:rsidRPr="00E85CC4" w:rsidRDefault="00FA5FAF" w:rsidP="00FA5FAF">
      <w:pPr>
        <w:jc w:val="both"/>
        <w:rPr>
          <w:rFonts w:cstheme="minorHAnsi"/>
          <w:b/>
          <w:sz w:val="20"/>
          <w:szCs w:val="20"/>
          <w:lang w:val="en-US"/>
        </w:rPr>
      </w:pPr>
    </w:p>
    <w:p w:rsidR="00FA5FAF" w:rsidRPr="00E85CC4" w:rsidRDefault="00FA5FAF" w:rsidP="00FA5FAF">
      <w:pPr>
        <w:jc w:val="both"/>
        <w:rPr>
          <w:b/>
          <w:sz w:val="20"/>
          <w:szCs w:val="20"/>
          <w:lang w:val="en-US"/>
        </w:rPr>
      </w:pPr>
      <w:r w:rsidRPr="00E85CC4">
        <w:rPr>
          <w:rFonts w:cstheme="minorHAnsi"/>
          <w:b/>
          <w:sz w:val="20"/>
          <w:szCs w:val="20"/>
          <w:lang w:val="en-US"/>
        </w:rPr>
        <w:t xml:space="preserve">Table describing Binormal parameters for </w:t>
      </w:r>
      <w:r w:rsidRPr="00E85CC4">
        <w:rPr>
          <w:b/>
          <w:sz w:val="20"/>
          <w:szCs w:val="20"/>
          <w:lang w:val="en-US"/>
        </w:rPr>
        <w:t>the ability of myoglobin and CK to predict AKI</w:t>
      </w:r>
    </w:p>
    <w:p w:rsidR="00FA5FAF" w:rsidRPr="00E85CC4" w:rsidRDefault="00FA5FAF" w:rsidP="00FA5FAF">
      <w:pPr>
        <w:jc w:val="both"/>
        <w:rPr>
          <w:b/>
          <w:sz w:val="20"/>
          <w:szCs w:val="20"/>
          <w:lang w:val="en-US"/>
        </w:rPr>
      </w:pPr>
    </w:p>
    <w:tbl>
      <w:tblPr>
        <w:tblStyle w:val="Grilledutableau"/>
        <w:tblW w:w="0" w:type="auto"/>
        <w:tblInd w:w="709" w:type="dxa"/>
        <w:tblLook w:val="04A0" w:firstRow="1" w:lastRow="0" w:firstColumn="1" w:lastColumn="0" w:noHBand="0" w:noVBand="1"/>
      </w:tblPr>
      <w:tblGrid>
        <w:gridCol w:w="1293"/>
        <w:gridCol w:w="1293"/>
        <w:gridCol w:w="1294"/>
        <w:gridCol w:w="1294"/>
        <w:gridCol w:w="1294"/>
        <w:gridCol w:w="1294"/>
      </w:tblGrid>
      <w:tr w:rsidR="00FA5FAF" w:rsidRPr="00E85CC4" w:rsidTr="003F0088">
        <w:tc>
          <w:tcPr>
            <w:tcW w:w="1293" w:type="dxa"/>
            <w:tcBorders>
              <w:top w:val="single" w:sz="12" w:space="0" w:color="auto"/>
              <w:left w:val="nil"/>
              <w:bottom w:val="single" w:sz="12" w:space="0" w:color="auto"/>
              <w:right w:val="nil"/>
            </w:tcBorders>
          </w:tcPr>
          <w:p w:rsidR="00FA5FAF" w:rsidRPr="00E85CC4" w:rsidRDefault="00FA5FAF" w:rsidP="003F0088">
            <w:pPr>
              <w:jc w:val="both"/>
              <w:rPr>
                <w:lang w:val="en-US"/>
              </w:rPr>
            </w:pPr>
          </w:p>
        </w:tc>
        <w:tc>
          <w:tcPr>
            <w:tcW w:w="1293" w:type="dxa"/>
            <w:tcBorders>
              <w:top w:val="single" w:sz="12" w:space="0" w:color="auto"/>
              <w:left w:val="nil"/>
              <w:bottom w:val="single" w:sz="12" w:space="0" w:color="auto"/>
              <w:right w:val="nil"/>
            </w:tcBorders>
          </w:tcPr>
          <w:p w:rsidR="00FA5FAF" w:rsidRPr="00E85CC4" w:rsidRDefault="00FA5FAF" w:rsidP="003F0088">
            <w:pPr>
              <w:jc w:val="center"/>
              <w:rPr>
                <w:b/>
                <w:lang w:val="en-US"/>
              </w:rPr>
            </w:pPr>
            <w:r w:rsidRPr="00E85CC4">
              <w:rPr>
                <w:b/>
                <w:lang w:val="en-US"/>
              </w:rPr>
              <w:t>A</w:t>
            </w:r>
          </w:p>
        </w:tc>
        <w:tc>
          <w:tcPr>
            <w:tcW w:w="1294" w:type="dxa"/>
            <w:tcBorders>
              <w:top w:val="single" w:sz="12" w:space="0" w:color="auto"/>
              <w:left w:val="nil"/>
              <w:bottom w:val="single" w:sz="12" w:space="0" w:color="auto"/>
              <w:right w:val="nil"/>
            </w:tcBorders>
          </w:tcPr>
          <w:p w:rsidR="00FA5FAF" w:rsidRPr="00E85CC4" w:rsidRDefault="00FA5FAF" w:rsidP="003F0088">
            <w:pPr>
              <w:jc w:val="center"/>
              <w:rPr>
                <w:b/>
                <w:lang w:val="en-US"/>
              </w:rPr>
            </w:pPr>
            <w:r w:rsidRPr="00E85CC4">
              <w:rPr>
                <w:b/>
                <w:lang w:val="en-US"/>
              </w:rPr>
              <w:t>B</w:t>
            </w:r>
          </w:p>
        </w:tc>
        <w:tc>
          <w:tcPr>
            <w:tcW w:w="1294" w:type="dxa"/>
            <w:tcBorders>
              <w:top w:val="single" w:sz="12" w:space="0" w:color="auto"/>
              <w:left w:val="nil"/>
              <w:bottom w:val="single" w:sz="12" w:space="0" w:color="auto"/>
              <w:right w:val="nil"/>
            </w:tcBorders>
          </w:tcPr>
          <w:p w:rsidR="00FA5FAF" w:rsidRPr="00E85CC4" w:rsidRDefault="00FA5FAF" w:rsidP="003F0088">
            <w:pPr>
              <w:jc w:val="center"/>
              <w:rPr>
                <w:b/>
                <w:lang w:val="en-US"/>
              </w:rPr>
            </w:pPr>
            <w:r w:rsidRPr="00E85CC4">
              <w:rPr>
                <w:b/>
                <w:lang w:val="en-US"/>
              </w:rPr>
              <w:t>rA</w:t>
            </w:r>
          </w:p>
        </w:tc>
        <w:tc>
          <w:tcPr>
            <w:tcW w:w="1294" w:type="dxa"/>
            <w:tcBorders>
              <w:top w:val="single" w:sz="12" w:space="0" w:color="auto"/>
              <w:left w:val="nil"/>
              <w:bottom w:val="single" w:sz="12" w:space="0" w:color="auto"/>
              <w:right w:val="nil"/>
            </w:tcBorders>
          </w:tcPr>
          <w:p w:rsidR="00FA5FAF" w:rsidRPr="00E85CC4" w:rsidRDefault="00FA5FAF" w:rsidP="003F0088">
            <w:pPr>
              <w:jc w:val="center"/>
              <w:rPr>
                <w:b/>
                <w:lang w:val="en-US"/>
              </w:rPr>
            </w:pPr>
            <w:r w:rsidRPr="00E85CC4">
              <w:rPr>
                <w:b/>
                <w:lang w:val="en-US"/>
              </w:rPr>
              <w:t>rN</w:t>
            </w:r>
          </w:p>
        </w:tc>
        <w:tc>
          <w:tcPr>
            <w:tcW w:w="1294" w:type="dxa"/>
            <w:tcBorders>
              <w:top w:val="single" w:sz="12" w:space="0" w:color="auto"/>
              <w:left w:val="nil"/>
              <w:bottom w:val="single" w:sz="12" w:space="0" w:color="auto"/>
              <w:right w:val="nil"/>
            </w:tcBorders>
          </w:tcPr>
          <w:p w:rsidR="00FA5FAF" w:rsidRPr="00E85CC4" w:rsidRDefault="00FA5FAF" w:rsidP="003F0088">
            <w:pPr>
              <w:jc w:val="center"/>
              <w:rPr>
                <w:b/>
                <w:lang w:val="en-US"/>
              </w:rPr>
            </w:pPr>
            <w:r w:rsidRPr="00E85CC4">
              <w:rPr>
                <w:b/>
                <w:lang w:val="en-US"/>
              </w:rPr>
              <w:t>Kappa</w:t>
            </w:r>
          </w:p>
        </w:tc>
      </w:tr>
      <w:tr w:rsidR="00FA5FAF" w:rsidRPr="00E85CC4" w:rsidTr="003F0088">
        <w:trPr>
          <w:trHeight w:val="535"/>
        </w:trPr>
        <w:tc>
          <w:tcPr>
            <w:tcW w:w="1293" w:type="dxa"/>
            <w:tcBorders>
              <w:top w:val="single" w:sz="12" w:space="0" w:color="auto"/>
              <w:left w:val="nil"/>
              <w:bottom w:val="nil"/>
              <w:right w:val="nil"/>
            </w:tcBorders>
            <w:vAlign w:val="center"/>
          </w:tcPr>
          <w:p w:rsidR="00FA5FAF" w:rsidRPr="00E85CC4" w:rsidRDefault="00FA5FAF" w:rsidP="003F0088">
            <w:pPr>
              <w:rPr>
                <w:b/>
                <w:lang w:val="en-US"/>
              </w:rPr>
            </w:pPr>
            <w:r w:rsidRPr="00E85CC4">
              <w:rPr>
                <w:b/>
                <w:lang w:val="en-US"/>
              </w:rPr>
              <w:t>CK</w:t>
            </w:r>
          </w:p>
        </w:tc>
        <w:tc>
          <w:tcPr>
            <w:tcW w:w="1293" w:type="dxa"/>
            <w:tcBorders>
              <w:top w:val="single" w:sz="12" w:space="0" w:color="auto"/>
              <w:left w:val="nil"/>
              <w:bottom w:val="nil"/>
              <w:right w:val="nil"/>
            </w:tcBorders>
            <w:vAlign w:val="center"/>
          </w:tcPr>
          <w:p w:rsidR="00FA5FAF" w:rsidRPr="00E85CC4" w:rsidRDefault="00FA5FAF" w:rsidP="003F0088">
            <w:pPr>
              <w:jc w:val="center"/>
              <w:rPr>
                <w:lang w:val="en-US"/>
              </w:rPr>
            </w:pPr>
            <w:r w:rsidRPr="00E85CC4">
              <w:rPr>
                <w:lang w:val="en-US"/>
              </w:rPr>
              <w:t>0.39</w:t>
            </w:r>
          </w:p>
        </w:tc>
        <w:tc>
          <w:tcPr>
            <w:tcW w:w="1294" w:type="dxa"/>
            <w:tcBorders>
              <w:top w:val="single" w:sz="12" w:space="0" w:color="auto"/>
              <w:left w:val="nil"/>
              <w:bottom w:val="nil"/>
              <w:right w:val="nil"/>
            </w:tcBorders>
            <w:vAlign w:val="center"/>
          </w:tcPr>
          <w:p w:rsidR="00FA5FAF" w:rsidRPr="00E85CC4" w:rsidRDefault="00FA5FAF" w:rsidP="003F0088">
            <w:pPr>
              <w:jc w:val="center"/>
              <w:rPr>
                <w:lang w:val="en-US"/>
              </w:rPr>
            </w:pPr>
            <w:r w:rsidRPr="00E85CC4">
              <w:rPr>
                <w:lang w:val="en-US"/>
              </w:rPr>
              <w:t>0.23</w:t>
            </w:r>
          </w:p>
        </w:tc>
        <w:tc>
          <w:tcPr>
            <w:tcW w:w="1294" w:type="dxa"/>
            <w:vMerge w:val="restart"/>
            <w:tcBorders>
              <w:top w:val="single" w:sz="12" w:space="0" w:color="auto"/>
              <w:left w:val="nil"/>
              <w:bottom w:val="nil"/>
              <w:right w:val="nil"/>
            </w:tcBorders>
            <w:vAlign w:val="center"/>
          </w:tcPr>
          <w:p w:rsidR="00FA5FAF" w:rsidRPr="00E85CC4" w:rsidRDefault="00FA5FAF" w:rsidP="003F0088">
            <w:pPr>
              <w:jc w:val="center"/>
              <w:rPr>
                <w:lang w:val="en-US"/>
              </w:rPr>
            </w:pPr>
            <w:r w:rsidRPr="00E85CC4">
              <w:rPr>
                <w:lang w:val="en-US"/>
              </w:rPr>
              <w:t>0.78</w:t>
            </w:r>
          </w:p>
        </w:tc>
        <w:tc>
          <w:tcPr>
            <w:tcW w:w="1294" w:type="dxa"/>
            <w:vMerge w:val="restart"/>
            <w:tcBorders>
              <w:top w:val="single" w:sz="12" w:space="0" w:color="auto"/>
              <w:left w:val="nil"/>
              <w:bottom w:val="nil"/>
              <w:right w:val="nil"/>
            </w:tcBorders>
            <w:vAlign w:val="center"/>
          </w:tcPr>
          <w:p w:rsidR="00FA5FAF" w:rsidRPr="00E85CC4" w:rsidRDefault="00FA5FAF" w:rsidP="003F0088">
            <w:pPr>
              <w:jc w:val="center"/>
              <w:rPr>
                <w:lang w:val="en-US"/>
              </w:rPr>
            </w:pPr>
            <w:r w:rsidRPr="00E85CC4">
              <w:rPr>
                <w:lang w:val="en-US"/>
              </w:rPr>
              <w:t>0.92</w:t>
            </w:r>
          </w:p>
        </w:tc>
        <w:tc>
          <w:tcPr>
            <w:tcW w:w="1294" w:type="dxa"/>
            <w:vMerge w:val="restart"/>
            <w:tcBorders>
              <w:top w:val="single" w:sz="12" w:space="0" w:color="auto"/>
              <w:left w:val="nil"/>
              <w:bottom w:val="nil"/>
              <w:right w:val="nil"/>
            </w:tcBorders>
            <w:vAlign w:val="center"/>
          </w:tcPr>
          <w:p w:rsidR="00FA5FAF" w:rsidRPr="00E85CC4" w:rsidRDefault="00FA5FAF" w:rsidP="003F0088">
            <w:pPr>
              <w:jc w:val="center"/>
              <w:rPr>
                <w:lang w:val="en-US"/>
              </w:rPr>
            </w:pPr>
            <w:r w:rsidRPr="00E85CC4">
              <w:rPr>
                <w:lang w:val="en-US"/>
              </w:rPr>
              <w:t>Ratio controls over cases (1/0.12=8)</w:t>
            </w:r>
          </w:p>
        </w:tc>
      </w:tr>
      <w:tr w:rsidR="00FA5FAF" w:rsidRPr="00E85CC4" w:rsidTr="003F0088">
        <w:tc>
          <w:tcPr>
            <w:tcW w:w="1293" w:type="dxa"/>
            <w:tcBorders>
              <w:top w:val="nil"/>
              <w:left w:val="nil"/>
              <w:bottom w:val="single" w:sz="12" w:space="0" w:color="auto"/>
              <w:right w:val="nil"/>
            </w:tcBorders>
            <w:vAlign w:val="center"/>
          </w:tcPr>
          <w:p w:rsidR="00FA5FAF" w:rsidRPr="00E85CC4" w:rsidRDefault="00FA5FAF" w:rsidP="003F0088">
            <w:pPr>
              <w:rPr>
                <w:b/>
                <w:lang w:val="en-US"/>
              </w:rPr>
            </w:pPr>
            <w:r w:rsidRPr="00E85CC4">
              <w:rPr>
                <w:b/>
                <w:lang w:val="en-US"/>
              </w:rPr>
              <w:t>Myoglobin</w:t>
            </w:r>
          </w:p>
        </w:tc>
        <w:tc>
          <w:tcPr>
            <w:tcW w:w="1293" w:type="dxa"/>
            <w:tcBorders>
              <w:top w:val="nil"/>
              <w:left w:val="nil"/>
              <w:bottom w:val="single" w:sz="12" w:space="0" w:color="auto"/>
              <w:right w:val="nil"/>
            </w:tcBorders>
            <w:vAlign w:val="center"/>
          </w:tcPr>
          <w:p w:rsidR="00FA5FAF" w:rsidRPr="00E85CC4" w:rsidRDefault="00FA5FAF" w:rsidP="003F0088">
            <w:pPr>
              <w:jc w:val="center"/>
              <w:rPr>
                <w:lang w:val="en-US"/>
              </w:rPr>
            </w:pPr>
            <w:r w:rsidRPr="00E85CC4">
              <w:rPr>
                <w:lang w:val="en-US"/>
              </w:rPr>
              <w:t>0.6</w:t>
            </w:r>
          </w:p>
        </w:tc>
        <w:tc>
          <w:tcPr>
            <w:tcW w:w="1294" w:type="dxa"/>
            <w:tcBorders>
              <w:top w:val="nil"/>
              <w:left w:val="nil"/>
              <w:bottom w:val="single" w:sz="12" w:space="0" w:color="auto"/>
              <w:right w:val="nil"/>
            </w:tcBorders>
            <w:vAlign w:val="center"/>
          </w:tcPr>
          <w:p w:rsidR="00FA5FAF" w:rsidRPr="00E85CC4" w:rsidRDefault="00FA5FAF" w:rsidP="003F0088">
            <w:pPr>
              <w:jc w:val="center"/>
              <w:rPr>
                <w:lang w:val="en-US"/>
              </w:rPr>
            </w:pPr>
            <w:r w:rsidRPr="00E85CC4">
              <w:rPr>
                <w:lang w:val="en-US"/>
              </w:rPr>
              <w:t>0.37</w:t>
            </w:r>
          </w:p>
        </w:tc>
        <w:tc>
          <w:tcPr>
            <w:tcW w:w="1294" w:type="dxa"/>
            <w:vMerge/>
            <w:tcBorders>
              <w:top w:val="nil"/>
              <w:left w:val="nil"/>
              <w:bottom w:val="single" w:sz="12" w:space="0" w:color="auto"/>
              <w:right w:val="nil"/>
            </w:tcBorders>
            <w:vAlign w:val="center"/>
          </w:tcPr>
          <w:p w:rsidR="00FA5FAF" w:rsidRPr="00E85CC4" w:rsidRDefault="00FA5FAF" w:rsidP="003F0088">
            <w:pPr>
              <w:jc w:val="center"/>
              <w:rPr>
                <w:lang w:val="en-US"/>
              </w:rPr>
            </w:pPr>
          </w:p>
        </w:tc>
        <w:tc>
          <w:tcPr>
            <w:tcW w:w="1294" w:type="dxa"/>
            <w:vMerge/>
            <w:tcBorders>
              <w:top w:val="nil"/>
              <w:left w:val="nil"/>
              <w:bottom w:val="single" w:sz="12" w:space="0" w:color="auto"/>
              <w:right w:val="nil"/>
            </w:tcBorders>
            <w:vAlign w:val="center"/>
          </w:tcPr>
          <w:p w:rsidR="00FA5FAF" w:rsidRPr="00E85CC4" w:rsidRDefault="00FA5FAF" w:rsidP="003F0088">
            <w:pPr>
              <w:jc w:val="center"/>
              <w:rPr>
                <w:lang w:val="en-US"/>
              </w:rPr>
            </w:pPr>
          </w:p>
        </w:tc>
        <w:tc>
          <w:tcPr>
            <w:tcW w:w="1294" w:type="dxa"/>
            <w:vMerge/>
            <w:tcBorders>
              <w:top w:val="nil"/>
              <w:left w:val="nil"/>
              <w:bottom w:val="single" w:sz="12" w:space="0" w:color="auto"/>
              <w:right w:val="nil"/>
            </w:tcBorders>
            <w:vAlign w:val="center"/>
          </w:tcPr>
          <w:p w:rsidR="00FA5FAF" w:rsidRPr="00E85CC4" w:rsidRDefault="00FA5FAF" w:rsidP="003F0088">
            <w:pPr>
              <w:jc w:val="center"/>
              <w:rPr>
                <w:lang w:val="en-US"/>
              </w:rPr>
            </w:pPr>
          </w:p>
        </w:tc>
      </w:tr>
    </w:tbl>
    <w:p w:rsidR="00FA5FAF" w:rsidRPr="00E85CC4" w:rsidRDefault="00FA5FAF" w:rsidP="00FA5FAF">
      <w:pPr>
        <w:jc w:val="both"/>
        <w:rPr>
          <w:lang w:val="en-US"/>
        </w:rPr>
      </w:pPr>
    </w:p>
    <w:p w:rsidR="00FA5FAF" w:rsidRPr="00E85CC4" w:rsidRDefault="00FA5FAF" w:rsidP="00FA5FAF">
      <w:pPr>
        <w:spacing w:line="360" w:lineRule="auto"/>
        <w:jc w:val="both"/>
        <w:rPr>
          <w:b/>
          <w:lang w:val="en-US"/>
        </w:rPr>
      </w:pPr>
    </w:p>
    <w:p w:rsidR="00FA5FAF" w:rsidRPr="00E85CC4" w:rsidRDefault="00FA5FAF" w:rsidP="00FA5FAF">
      <w:pPr>
        <w:spacing w:line="360" w:lineRule="auto"/>
        <w:jc w:val="both"/>
        <w:rPr>
          <w:b/>
          <w:sz w:val="20"/>
          <w:szCs w:val="20"/>
          <w:lang w:val="en-US"/>
        </w:rPr>
      </w:pPr>
      <w:r w:rsidRPr="00E85CC4">
        <w:rPr>
          <w:b/>
          <w:sz w:val="20"/>
          <w:szCs w:val="20"/>
          <w:lang w:val="en-US"/>
        </w:rPr>
        <w:t>R script used to calculate the sample-size</w:t>
      </w:r>
    </w:p>
    <w:p w:rsidR="00FA5FAF" w:rsidRPr="00E85CC4" w:rsidRDefault="00FA5FAF" w:rsidP="00FA5FAF">
      <w:pPr>
        <w:spacing w:line="360" w:lineRule="auto"/>
        <w:jc w:val="both"/>
        <w:rPr>
          <w:sz w:val="20"/>
          <w:szCs w:val="20"/>
          <w:lang w:val="en-US"/>
        </w:rPr>
      </w:pPr>
      <w:r w:rsidRPr="00E85CC4">
        <w:rPr>
          <w:sz w:val="20"/>
          <w:szCs w:val="20"/>
          <w:lang w:val="en-US"/>
        </w:rPr>
        <w:t>Library(pROC)</w:t>
      </w:r>
    </w:p>
    <w:p w:rsidR="00FA5FAF" w:rsidRPr="00E85CC4" w:rsidRDefault="00FA5FAF" w:rsidP="00FA5FAF">
      <w:pPr>
        <w:spacing w:line="360" w:lineRule="auto"/>
        <w:jc w:val="both"/>
        <w:rPr>
          <w:sz w:val="20"/>
          <w:szCs w:val="20"/>
          <w:lang w:val="en-US"/>
        </w:rPr>
      </w:pPr>
      <w:proofErr w:type="gramStart"/>
      <w:r w:rsidRPr="00E85CC4">
        <w:rPr>
          <w:sz w:val="20"/>
          <w:szCs w:val="20"/>
          <w:lang w:val="en-US"/>
        </w:rPr>
        <w:t>ob.param</w:t>
      </w:r>
      <w:proofErr w:type="gramEnd"/>
      <w:r w:rsidRPr="00E85CC4">
        <w:rPr>
          <w:sz w:val="20"/>
          <w:szCs w:val="20"/>
          <w:lang w:val="en-US"/>
        </w:rPr>
        <w:t>&lt;-list(A1=0.60, B1=0.37, A2=0.39, B2=0.23, rn=0.92, ra=0.78,delta=0.08)</w:t>
      </w:r>
    </w:p>
    <w:p w:rsidR="00FA5FAF" w:rsidRPr="00E85CC4" w:rsidRDefault="00FA5FAF" w:rsidP="00FA5FAF">
      <w:pPr>
        <w:spacing w:line="360" w:lineRule="auto"/>
        <w:jc w:val="both"/>
        <w:rPr>
          <w:sz w:val="20"/>
          <w:szCs w:val="20"/>
          <w:lang w:val="en-US"/>
        </w:rPr>
      </w:pPr>
      <w:r w:rsidRPr="00E85CC4">
        <w:rPr>
          <w:sz w:val="20"/>
          <w:szCs w:val="20"/>
          <w:lang w:val="en-US"/>
        </w:rPr>
        <w:t>power.roc.</w:t>
      </w:r>
      <w:proofErr w:type="gramStart"/>
      <w:r w:rsidRPr="00E85CC4">
        <w:rPr>
          <w:sz w:val="20"/>
          <w:szCs w:val="20"/>
          <w:lang w:val="en-US"/>
        </w:rPr>
        <w:t>test(</w:t>
      </w:r>
      <w:proofErr w:type="gramEnd"/>
      <w:r w:rsidRPr="00E85CC4">
        <w:rPr>
          <w:sz w:val="20"/>
          <w:szCs w:val="20"/>
          <w:lang w:val="en-US"/>
        </w:rPr>
        <w:t>ob.param, sig.level=0.05, power=0.9, alternative="two.sided", kappa=8, ncases=NULL, ncontrols=NULL)</w:t>
      </w:r>
    </w:p>
    <w:p w:rsidR="00AC7AF1" w:rsidRDefault="00AC7AF1"/>
    <w:sectPr w:rsidR="00AC7AF1" w:rsidSect="002B3A9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AF"/>
    <w:rsid w:val="00004274"/>
    <w:rsid w:val="00015E28"/>
    <w:rsid w:val="000318A1"/>
    <w:rsid w:val="000323CC"/>
    <w:rsid w:val="00050812"/>
    <w:rsid w:val="00076647"/>
    <w:rsid w:val="000832D7"/>
    <w:rsid w:val="00087DA1"/>
    <w:rsid w:val="00094D98"/>
    <w:rsid w:val="00095112"/>
    <w:rsid w:val="000B1A3C"/>
    <w:rsid w:val="000C2C1B"/>
    <w:rsid w:val="000D234C"/>
    <w:rsid w:val="000E1C3B"/>
    <w:rsid w:val="000F312C"/>
    <w:rsid w:val="00106E61"/>
    <w:rsid w:val="00112ED0"/>
    <w:rsid w:val="0011367A"/>
    <w:rsid w:val="001553CE"/>
    <w:rsid w:val="00157207"/>
    <w:rsid w:val="00196176"/>
    <w:rsid w:val="001A4A5A"/>
    <w:rsid w:val="001A4BC6"/>
    <w:rsid w:val="001C2DCB"/>
    <w:rsid w:val="00206A6F"/>
    <w:rsid w:val="00207739"/>
    <w:rsid w:val="0021343B"/>
    <w:rsid w:val="00223160"/>
    <w:rsid w:val="002252F7"/>
    <w:rsid w:val="00230999"/>
    <w:rsid w:val="00240F45"/>
    <w:rsid w:val="00242A28"/>
    <w:rsid w:val="002500BB"/>
    <w:rsid w:val="00292F7E"/>
    <w:rsid w:val="002A5468"/>
    <w:rsid w:val="002B3A98"/>
    <w:rsid w:val="002B4D45"/>
    <w:rsid w:val="002B7D57"/>
    <w:rsid w:val="002C17BE"/>
    <w:rsid w:val="002D4877"/>
    <w:rsid w:val="002F5BDC"/>
    <w:rsid w:val="00305213"/>
    <w:rsid w:val="00334B78"/>
    <w:rsid w:val="00336A6A"/>
    <w:rsid w:val="003420D9"/>
    <w:rsid w:val="00347DFD"/>
    <w:rsid w:val="003508C2"/>
    <w:rsid w:val="00361B93"/>
    <w:rsid w:val="003731C2"/>
    <w:rsid w:val="0038443F"/>
    <w:rsid w:val="00392486"/>
    <w:rsid w:val="003A5533"/>
    <w:rsid w:val="003B71B0"/>
    <w:rsid w:val="003C1EC5"/>
    <w:rsid w:val="003D2366"/>
    <w:rsid w:val="003F040B"/>
    <w:rsid w:val="00420ECA"/>
    <w:rsid w:val="00453499"/>
    <w:rsid w:val="00453A09"/>
    <w:rsid w:val="004634C8"/>
    <w:rsid w:val="004643A4"/>
    <w:rsid w:val="00480176"/>
    <w:rsid w:val="004D1E48"/>
    <w:rsid w:val="004D4271"/>
    <w:rsid w:val="004E2AD4"/>
    <w:rsid w:val="004E3AD1"/>
    <w:rsid w:val="004E78A9"/>
    <w:rsid w:val="00530392"/>
    <w:rsid w:val="00564819"/>
    <w:rsid w:val="0059564E"/>
    <w:rsid w:val="005A403F"/>
    <w:rsid w:val="005A5823"/>
    <w:rsid w:val="005B3317"/>
    <w:rsid w:val="005B3878"/>
    <w:rsid w:val="005C4572"/>
    <w:rsid w:val="005D7DF2"/>
    <w:rsid w:val="005E4D99"/>
    <w:rsid w:val="005E79E5"/>
    <w:rsid w:val="005F39C4"/>
    <w:rsid w:val="006272D2"/>
    <w:rsid w:val="0062776D"/>
    <w:rsid w:val="006451E8"/>
    <w:rsid w:val="00647009"/>
    <w:rsid w:val="00650A45"/>
    <w:rsid w:val="006531F5"/>
    <w:rsid w:val="00682342"/>
    <w:rsid w:val="006B0FEF"/>
    <w:rsid w:val="006B24A7"/>
    <w:rsid w:val="006C1E87"/>
    <w:rsid w:val="006D2CCA"/>
    <w:rsid w:val="006D4FFB"/>
    <w:rsid w:val="0074532B"/>
    <w:rsid w:val="0074776A"/>
    <w:rsid w:val="00752E38"/>
    <w:rsid w:val="0076416C"/>
    <w:rsid w:val="0076502A"/>
    <w:rsid w:val="00772B74"/>
    <w:rsid w:val="00785144"/>
    <w:rsid w:val="00787A79"/>
    <w:rsid w:val="007A4757"/>
    <w:rsid w:val="007A61D5"/>
    <w:rsid w:val="007B1223"/>
    <w:rsid w:val="007B2D6C"/>
    <w:rsid w:val="007C08D5"/>
    <w:rsid w:val="007E7716"/>
    <w:rsid w:val="007F78D9"/>
    <w:rsid w:val="008338FD"/>
    <w:rsid w:val="00844274"/>
    <w:rsid w:val="00845E2E"/>
    <w:rsid w:val="008671F1"/>
    <w:rsid w:val="0087576F"/>
    <w:rsid w:val="00880CB6"/>
    <w:rsid w:val="0089083A"/>
    <w:rsid w:val="008954DE"/>
    <w:rsid w:val="008B355C"/>
    <w:rsid w:val="008C01E3"/>
    <w:rsid w:val="008F16AE"/>
    <w:rsid w:val="008F44D2"/>
    <w:rsid w:val="009010BC"/>
    <w:rsid w:val="009757F0"/>
    <w:rsid w:val="009A1741"/>
    <w:rsid w:val="009A72E9"/>
    <w:rsid w:val="009B488E"/>
    <w:rsid w:val="00A05AD1"/>
    <w:rsid w:val="00A23C82"/>
    <w:rsid w:val="00A304B1"/>
    <w:rsid w:val="00A46B72"/>
    <w:rsid w:val="00A619A2"/>
    <w:rsid w:val="00A6525F"/>
    <w:rsid w:val="00A75BC8"/>
    <w:rsid w:val="00A771DB"/>
    <w:rsid w:val="00A9239A"/>
    <w:rsid w:val="00AB70E9"/>
    <w:rsid w:val="00AC7AF1"/>
    <w:rsid w:val="00AD11A0"/>
    <w:rsid w:val="00AD765E"/>
    <w:rsid w:val="00AE1802"/>
    <w:rsid w:val="00AE3239"/>
    <w:rsid w:val="00AF0D6F"/>
    <w:rsid w:val="00B13746"/>
    <w:rsid w:val="00B14FA6"/>
    <w:rsid w:val="00B366ED"/>
    <w:rsid w:val="00B41838"/>
    <w:rsid w:val="00B52A82"/>
    <w:rsid w:val="00B77143"/>
    <w:rsid w:val="00B84E39"/>
    <w:rsid w:val="00BC6F8C"/>
    <w:rsid w:val="00BD1237"/>
    <w:rsid w:val="00BE0608"/>
    <w:rsid w:val="00C05AE1"/>
    <w:rsid w:val="00C071B8"/>
    <w:rsid w:val="00C33435"/>
    <w:rsid w:val="00C92AF3"/>
    <w:rsid w:val="00CA1440"/>
    <w:rsid w:val="00CA4BFB"/>
    <w:rsid w:val="00CE1B6B"/>
    <w:rsid w:val="00D02A7C"/>
    <w:rsid w:val="00D47FD1"/>
    <w:rsid w:val="00D823D5"/>
    <w:rsid w:val="00D845F5"/>
    <w:rsid w:val="00D852B6"/>
    <w:rsid w:val="00D9381D"/>
    <w:rsid w:val="00DB287B"/>
    <w:rsid w:val="00DB2DD1"/>
    <w:rsid w:val="00DB5332"/>
    <w:rsid w:val="00E277DE"/>
    <w:rsid w:val="00E36314"/>
    <w:rsid w:val="00E75CC0"/>
    <w:rsid w:val="00E8536C"/>
    <w:rsid w:val="00E9317B"/>
    <w:rsid w:val="00E96648"/>
    <w:rsid w:val="00EA5BB3"/>
    <w:rsid w:val="00EB0D10"/>
    <w:rsid w:val="00EB159F"/>
    <w:rsid w:val="00EC4F0F"/>
    <w:rsid w:val="00EE5F77"/>
    <w:rsid w:val="00F012C3"/>
    <w:rsid w:val="00F20E59"/>
    <w:rsid w:val="00F30FF5"/>
    <w:rsid w:val="00F32541"/>
    <w:rsid w:val="00F34B7B"/>
    <w:rsid w:val="00F73F0A"/>
    <w:rsid w:val="00F830B5"/>
    <w:rsid w:val="00FA5FAF"/>
    <w:rsid w:val="00FA6B9D"/>
    <w:rsid w:val="00FB71A7"/>
    <w:rsid w:val="00FC6FE6"/>
    <w:rsid w:val="00FF4A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8C4B9C5"/>
  <w15:chartTrackingRefBased/>
  <w15:docId w15:val="{1F4248A8-6625-9544-9A27-A993CA2D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A5FA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A5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1289</Words>
  <Characters>7090</Characters>
  <Application>Microsoft Office Word</Application>
  <DocSecurity>0</DocSecurity>
  <Lines>59</Lines>
  <Paragraphs>16</Paragraphs>
  <ScaleCrop>false</ScaleCrop>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Utilisateur Microsoft Office</cp:lastModifiedBy>
  <cp:revision>1</cp:revision>
  <dcterms:created xsi:type="dcterms:W3CDTF">2020-07-03T15:59:00Z</dcterms:created>
  <dcterms:modified xsi:type="dcterms:W3CDTF">2020-07-03T15:59:00Z</dcterms:modified>
</cp:coreProperties>
</file>