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CDE" w:rsidRPr="00C23C55" w:rsidRDefault="007D1CDF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Additional file </w:t>
      </w:r>
      <w:r w:rsidR="00C23C55" w:rsidRPr="00C23C55">
        <w:rPr>
          <w:b/>
          <w:sz w:val="24"/>
          <w:szCs w:val="24"/>
          <w:lang w:val="en-US"/>
        </w:rPr>
        <w:t xml:space="preserve">Table </w:t>
      </w:r>
      <w:r w:rsidR="00C23C55">
        <w:rPr>
          <w:b/>
          <w:sz w:val="24"/>
          <w:szCs w:val="24"/>
          <w:lang w:val="en-US"/>
        </w:rPr>
        <w:t>S</w:t>
      </w:r>
      <w:r w:rsidR="001A4663" w:rsidRPr="00C23C55">
        <w:rPr>
          <w:b/>
          <w:sz w:val="24"/>
          <w:szCs w:val="24"/>
          <w:lang w:val="en-US"/>
        </w:rPr>
        <w:t>1</w:t>
      </w:r>
      <w:r w:rsidR="00132CDE" w:rsidRPr="00C23C55">
        <w:rPr>
          <w:b/>
          <w:sz w:val="24"/>
          <w:szCs w:val="24"/>
          <w:lang w:val="en-US"/>
        </w:rPr>
        <w:t>: comparison of patients excluded due to absence of baseline brain CT and patients included in the</w:t>
      </w:r>
      <w:bookmarkStart w:id="0" w:name="_GoBack"/>
      <w:bookmarkEnd w:id="0"/>
      <w:r w:rsidR="00132CDE" w:rsidRPr="00C23C55">
        <w:rPr>
          <w:b/>
          <w:sz w:val="24"/>
          <w:szCs w:val="24"/>
          <w:lang w:val="en-US"/>
        </w:rPr>
        <w:t xml:space="preserve"> cohort</w:t>
      </w:r>
    </w:p>
    <w:tbl>
      <w:tblPr>
        <w:tblStyle w:val="TableGrid"/>
        <w:tblW w:w="4994" w:type="pct"/>
        <w:tblLook w:val="0420" w:firstRow="1" w:lastRow="0" w:firstColumn="0" w:lastColumn="0" w:noHBand="0" w:noVBand="1"/>
      </w:tblPr>
      <w:tblGrid>
        <w:gridCol w:w="4291"/>
        <w:gridCol w:w="2311"/>
        <w:gridCol w:w="2529"/>
        <w:gridCol w:w="1538"/>
      </w:tblGrid>
      <w:tr w:rsidR="00C23C55" w:rsidRPr="00C23C55" w:rsidTr="00C23C55">
        <w:trPr>
          <w:trHeight w:val="437"/>
        </w:trPr>
        <w:tc>
          <w:tcPr>
            <w:tcW w:w="2011" w:type="pct"/>
            <w:noWrap/>
          </w:tcPr>
          <w:p w:rsidR="000705A1" w:rsidRPr="00C23C55" w:rsidRDefault="000705A1">
            <w:pPr>
              <w:rPr>
                <w:b/>
                <w:sz w:val="20"/>
                <w:szCs w:val="20"/>
              </w:rPr>
            </w:pPr>
            <w:r w:rsidRPr="00C23C55">
              <w:rPr>
                <w:b/>
                <w:sz w:val="20"/>
                <w:szCs w:val="20"/>
              </w:rPr>
              <w:t>Characteristics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23C55">
              <w:rPr>
                <w:b/>
                <w:sz w:val="20"/>
                <w:szCs w:val="20"/>
                <w:lang w:val="en-US"/>
              </w:rPr>
              <w:t>Patients with baseline brain-CT included in the cohort (n=156)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23C55">
              <w:rPr>
                <w:b/>
                <w:sz w:val="20"/>
                <w:szCs w:val="20"/>
                <w:lang w:val="en-US"/>
              </w:rPr>
              <w:t>Patients excluded due to missing baseline brain CT (n=42)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b/>
                <w:sz w:val="20"/>
                <w:szCs w:val="20"/>
              </w:rPr>
            </w:pPr>
            <w:r w:rsidRPr="00C23C55">
              <w:rPr>
                <w:b/>
                <w:sz w:val="20"/>
                <w:szCs w:val="20"/>
              </w:rPr>
              <w:t>p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>
            <w:pPr>
              <w:rPr>
                <w:b/>
                <w:sz w:val="20"/>
                <w:szCs w:val="20"/>
              </w:rPr>
            </w:pPr>
            <w:r w:rsidRPr="00C23C55">
              <w:rPr>
                <w:b/>
                <w:sz w:val="20"/>
                <w:szCs w:val="20"/>
              </w:rPr>
              <w:t>Demography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Age (years)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63 [54-70]</w:t>
            </w:r>
          </w:p>
        </w:tc>
        <w:tc>
          <w:tcPr>
            <w:tcW w:w="1185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65 [56-76]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0.1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Male sex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110 (71%)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30 (71%)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0.9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>
            <w:pPr>
              <w:rPr>
                <w:b/>
                <w:sz w:val="20"/>
                <w:szCs w:val="20"/>
              </w:rPr>
            </w:pPr>
            <w:r w:rsidRPr="00C23C55">
              <w:rPr>
                <w:b/>
                <w:sz w:val="20"/>
                <w:szCs w:val="20"/>
              </w:rPr>
              <w:t>Pre-existing conditions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Charlson score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 [0-3]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2 [0-3]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0.06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Diabetes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46 (30%)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12 (29%)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0.9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Chronic kidney disease (a)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30 (19%)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6 (14%)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0.4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Immunosuppression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27 (17%)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13 (31%)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0.08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IV drug use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7 (5%)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2 (5%)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0.9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050C82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Stroke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12 (8%)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3 (7%)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0.5</w:t>
            </w:r>
          </w:p>
        </w:tc>
      </w:tr>
      <w:tr w:rsidR="00C23C55" w:rsidRPr="00C23C55" w:rsidTr="00C23C55">
        <w:trPr>
          <w:trHeight w:val="256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Anticoagulant treatment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48 (31%)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8 (20%)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0.2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Antiplatelet treatment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34 (22%)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12 (30%)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0.3</w:t>
            </w:r>
          </w:p>
        </w:tc>
      </w:tr>
      <w:tr w:rsidR="00C23C55" w:rsidRPr="00C23C55" w:rsidTr="00C23C55">
        <w:trPr>
          <w:trHeight w:val="256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CIED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14 (9%)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 (2%)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0.2</w:t>
            </w:r>
          </w:p>
        </w:tc>
      </w:tr>
      <w:tr w:rsidR="00C23C55" w:rsidRPr="00C23C55" w:rsidTr="00C23C55">
        <w:trPr>
          <w:trHeight w:val="813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Valvular predisposition</w:t>
            </w:r>
          </w:p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 xml:space="preserve">     prosthetic valve</w:t>
            </w:r>
          </w:p>
          <w:p w:rsidR="000705A1" w:rsidRPr="00C23C55" w:rsidRDefault="000705A1" w:rsidP="00A55EEA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 xml:space="preserve">     other valvular disease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66 (42%)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44 (28%)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22 (14%)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17 (41%)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10 (24%)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7 (17%)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0.9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0.8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0.6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b/>
                <w:sz w:val="20"/>
                <w:szCs w:val="20"/>
              </w:rPr>
            </w:pPr>
            <w:r w:rsidRPr="00C23C55">
              <w:rPr>
                <w:b/>
                <w:sz w:val="20"/>
                <w:szCs w:val="20"/>
              </w:rPr>
              <w:t>IE characteristics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</w:p>
        </w:tc>
      </w:tr>
      <w:tr w:rsidR="00C23C55" w:rsidRPr="00C23C55" w:rsidTr="00C23C55">
        <w:trPr>
          <w:trHeight w:val="242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Staphylococcus Aureus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84 (54%)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10 (24%)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0.001</w:t>
            </w:r>
          </w:p>
        </w:tc>
      </w:tr>
      <w:tr w:rsidR="00C23C55" w:rsidRPr="00C23C55" w:rsidTr="00C23C55">
        <w:trPr>
          <w:trHeight w:val="256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Enterococcus sp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15 (10%)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2 (5%)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0.3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B27A87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Other Streptococci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34 (22%)</w:t>
            </w:r>
          </w:p>
        </w:tc>
        <w:tc>
          <w:tcPr>
            <w:tcW w:w="1185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15 (37%)</w:t>
            </w:r>
          </w:p>
        </w:tc>
        <w:tc>
          <w:tcPr>
            <w:tcW w:w="721" w:type="pct"/>
          </w:tcPr>
          <w:p w:rsidR="000705A1" w:rsidRPr="00C23C55" w:rsidRDefault="000705A1" w:rsidP="007F4476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0.06</w:t>
            </w:r>
          </w:p>
        </w:tc>
      </w:tr>
      <w:tr w:rsidR="00C23C55" w:rsidRPr="00C23C55" w:rsidTr="00C23C55">
        <w:trPr>
          <w:trHeight w:val="256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Other pathogen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17 (11%)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11 (26%)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0.01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Blood culture negative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6 (4%)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2 (5%)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0.7</w:t>
            </w:r>
          </w:p>
        </w:tc>
      </w:tr>
      <w:tr w:rsidR="00C23C55" w:rsidRPr="00C23C55" w:rsidTr="00C23C55">
        <w:trPr>
          <w:trHeight w:val="256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Prosthetic valve IE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38 (24%)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9 (22%)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0.8</w:t>
            </w:r>
          </w:p>
        </w:tc>
      </w:tr>
      <w:tr w:rsidR="00C23C55" w:rsidRPr="00C23C55" w:rsidTr="00C23C55">
        <w:trPr>
          <w:trHeight w:val="1085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IE topography</w:t>
            </w:r>
          </w:p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 xml:space="preserve">             Mitral</w:t>
            </w:r>
          </w:p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 xml:space="preserve">             Aortic</w:t>
            </w:r>
          </w:p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 xml:space="preserve">             Both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75 (48%)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61 (39%)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19 (12%)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14 (34%)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19 (46%)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8 (20%)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0.1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0.4</w:t>
            </w:r>
          </w:p>
          <w:p w:rsidR="000705A1" w:rsidRPr="00C23C55" w:rsidRDefault="000705A1" w:rsidP="00C60DBE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0.2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Community acquired</w:t>
            </w:r>
          </w:p>
        </w:tc>
        <w:tc>
          <w:tcPr>
            <w:tcW w:w="1083" w:type="pct"/>
          </w:tcPr>
          <w:p w:rsidR="000705A1" w:rsidRPr="00C23C55" w:rsidRDefault="000705A1" w:rsidP="00C60DBE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105 (67%)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31 (73%)</w:t>
            </w:r>
          </w:p>
        </w:tc>
        <w:tc>
          <w:tcPr>
            <w:tcW w:w="721" w:type="pct"/>
          </w:tcPr>
          <w:p w:rsidR="000705A1" w:rsidRPr="00C23C55" w:rsidRDefault="000705A1" w:rsidP="00C60DBE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0.5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Vegetation &gt;15mm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69 (44%)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17 (42%)</w:t>
            </w:r>
          </w:p>
        </w:tc>
        <w:tc>
          <w:tcPr>
            <w:tcW w:w="721" w:type="pct"/>
          </w:tcPr>
          <w:p w:rsidR="000705A1" w:rsidRPr="00C23C55" w:rsidRDefault="000705A1" w:rsidP="00C60DBE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0.7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Severe regurgitation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64 (41%)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29 (71%)</w:t>
            </w:r>
          </w:p>
        </w:tc>
        <w:tc>
          <w:tcPr>
            <w:tcW w:w="721" w:type="pct"/>
          </w:tcPr>
          <w:p w:rsidR="000705A1" w:rsidRPr="00C23C55" w:rsidRDefault="000705A1" w:rsidP="00C60DBE">
            <w:pPr>
              <w:jc w:val="center"/>
              <w:rPr>
                <w:sz w:val="20"/>
                <w:szCs w:val="20"/>
              </w:rPr>
            </w:pPr>
            <w:r w:rsidRPr="00C23C55">
              <w:rPr>
                <w:sz w:val="20"/>
                <w:szCs w:val="20"/>
              </w:rPr>
              <w:t>0.001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8702B1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Cardiac abscess or fistula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42 (27%)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11 (27%)</w:t>
            </w:r>
          </w:p>
        </w:tc>
        <w:tc>
          <w:tcPr>
            <w:tcW w:w="721" w:type="pct"/>
          </w:tcPr>
          <w:p w:rsidR="000705A1" w:rsidRPr="00C23C55" w:rsidRDefault="000705A1" w:rsidP="00C60DBE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0.9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Extra-neurological CT-defined embolism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70 (55%)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8 (36%)</w:t>
            </w:r>
          </w:p>
        </w:tc>
        <w:tc>
          <w:tcPr>
            <w:tcW w:w="721" w:type="pct"/>
          </w:tcPr>
          <w:p w:rsidR="000705A1" w:rsidRPr="00C23C55" w:rsidRDefault="000705A1" w:rsidP="00C60DBE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0.1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b/>
                <w:sz w:val="20"/>
                <w:szCs w:val="20"/>
                <w:lang w:val="en-US"/>
              </w:rPr>
            </w:pPr>
            <w:r w:rsidRPr="00C23C55">
              <w:rPr>
                <w:b/>
                <w:sz w:val="20"/>
                <w:szCs w:val="20"/>
                <w:lang w:val="en-US"/>
              </w:rPr>
              <w:t>Baseline clinical characteristics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 xml:space="preserve">SOFA 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7 [4-10]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6 [4-10]</w:t>
            </w:r>
          </w:p>
        </w:tc>
        <w:tc>
          <w:tcPr>
            <w:tcW w:w="721" w:type="pct"/>
          </w:tcPr>
          <w:p w:rsidR="000705A1" w:rsidRPr="00C23C55" w:rsidRDefault="000705A1" w:rsidP="00C60DBE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0.6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“non-neurological” SOFA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6 [3-9]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6 [4-8]</w:t>
            </w:r>
          </w:p>
        </w:tc>
        <w:tc>
          <w:tcPr>
            <w:tcW w:w="721" w:type="pct"/>
          </w:tcPr>
          <w:p w:rsidR="000705A1" w:rsidRPr="00C23C55" w:rsidRDefault="000705A1" w:rsidP="00C60DBE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0.8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Mechanical ventilation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89 (57%)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25 (61%)</w:t>
            </w:r>
          </w:p>
        </w:tc>
        <w:tc>
          <w:tcPr>
            <w:tcW w:w="721" w:type="pct"/>
          </w:tcPr>
          <w:p w:rsidR="000705A1" w:rsidRPr="00C23C55" w:rsidRDefault="000705A1" w:rsidP="00C60DBE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0.2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IV catecholamines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65 (42%)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18 (43%)</w:t>
            </w:r>
          </w:p>
        </w:tc>
        <w:tc>
          <w:tcPr>
            <w:tcW w:w="721" w:type="pct"/>
          </w:tcPr>
          <w:p w:rsidR="000705A1" w:rsidRPr="00C23C55" w:rsidRDefault="000705A1" w:rsidP="00132CDE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0.9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Lactate&gt;2mmol/L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40 (26%)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12 (29%)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0.6</w:t>
            </w:r>
          </w:p>
        </w:tc>
      </w:tr>
      <w:tr w:rsidR="00C23C55" w:rsidRPr="00C23C55" w:rsidTr="00C23C55">
        <w:trPr>
          <w:trHeight w:val="542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GCS</w:t>
            </w:r>
          </w:p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 xml:space="preserve">     GCS&lt;10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14 [12-15]</w:t>
            </w:r>
          </w:p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30 (19%)</w:t>
            </w:r>
          </w:p>
        </w:tc>
        <w:tc>
          <w:tcPr>
            <w:tcW w:w="1185" w:type="pct"/>
          </w:tcPr>
          <w:p w:rsidR="000705A1" w:rsidRPr="00C23C55" w:rsidRDefault="000705A1" w:rsidP="00A32E43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15 [13-15]</w:t>
            </w:r>
          </w:p>
          <w:p w:rsidR="000705A1" w:rsidRPr="00C23C55" w:rsidRDefault="000705A1" w:rsidP="00A32E43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8 (20%)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0.4</w:t>
            </w:r>
          </w:p>
          <w:p w:rsidR="000705A1" w:rsidRPr="00C23C55" w:rsidRDefault="000705A1" w:rsidP="00C60DBE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0.9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2124EC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Patients referred from another center</w:t>
            </w:r>
          </w:p>
        </w:tc>
        <w:tc>
          <w:tcPr>
            <w:tcW w:w="1083" w:type="pct"/>
          </w:tcPr>
          <w:p w:rsidR="000705A1" w:rsidRPr="00C23C55" w:rsidRDefault="000705A1" w:rsidP="002124EC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96 (62%)</w:t>
            </w:r>
          </w:p>
        </w:tc>
        <w:tc>
          <w:tcPr>
            <w:tcW w:w="1185" w:type="pct"/>
          </w:tcPr>
          <w:p w:rsidR="000705A1" w:rsidRPr="00C23C55" w:rsidRDefault="000705A1" w:rsidP="002124EC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28 (67%)</w:t>
            </w:r>
          </w:p>
        </w:tc>
        <w:tc>
          <w:tcPr>
            <w:tcW w:w="721" w:type="pct"/>
          </w:tcPr>
          <w:p w:rsidR="000705A1" w:rsidRPr="00C23C55" w:rsidRDefault="000705A1" w:rsidP="00132CDE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0.5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AC1524">
            <w:pPr>
              <w:rPr>
                <w:b/>
                <w:sz w:val="20"/>
                <w:szCs w:val="20"/>
              </w:rPr>
            </w:pPr>
            <w:r w:rsidRPr="00C23C55">
              <w:rPr>
                <w:b/>
                <w:sz w:val="20"/>
                <w:szCs w:val="20"/>
              </w:rPr>
              <w:t>Treatments</w:t>
            </w:r>
          </w:p>
        </w:tc>
        <w:tc>
          <w:tcPr>
            <w:tcW w:w="1083" w:type="pct"/>
          </w:tcPr>
          <w:p w:rsidR="000705A1" w:rsidRPr="00C23C55" w:rsidRDefault="000705A1" w:rsidP="00AC15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pct"/>
          </w:tcPr>
          <w:p w:rsidR="000705A1" w:rsidRPr="00C23C55" w:rsidRDefault="000705A1" w:rsidP="00AC15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pct"/>
          </w:tcPr>
          <w:p w:rsidR="000705A1" w:rsidRPr="00C23C55" w:rsidRDefault="000705A1" w:rsidP="00AC1524">
            <w:pPr>
              <w:jc w:val="center"/>
              <w:rPr>
                <w:sz w:val="20"/>
                <w:szCs w:val="20"/>
              </w:rPr>
            </w:pP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Surgical indication identified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133 (85%)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37 (90%)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0.4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No surgery despite indication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28 (21%)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8 (22%)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0.9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Operated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108 (69%)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29 (71%)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0.8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Delay diagnosis-surgery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7 [4-15]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4 [2-12]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0.07</w:t>
            </w:r>
          </w:p>
        </w:tc>
      </w:tr>
      <w:tr w:rsidR="00C23C55" w:rsidRPr="00C23C55" w:rsidTr="00C23C55">
        <w:trPr>
          <w:trHeight w:val="256"/>
        </w:trPr>
        <w:tc>
          <w:tcPr>
            <w:tcW w:w="2011" w:type="pct"/>
            <w:noWrap/>
          </w:tcPr>
          <w:p w:rsidR="000705A1" w:rsidRPr="00C23C55" w:rsidRDefault="000705A1" w:rsidP="00AC1524">
            <w:pPr>
              <w:rPr>
                <w:b/>
                <w:sz w:val="20"/>
                <w:szCs w:val="20"/>
              </w:rPr>
            </w:pPr>
            <w:r w:rsidRPr="00C23C55"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1083" w:type="pct"/>
          </w:tcPr>
          <w:p w:rsidR="000705A1" w:rsidRPr="00C23C55" w:rsidRDefault="000705A1" w:rsidP="00AC15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pct"/>
          </w:tcPr>
          <w:p w:rsidR="000705A1" w:rsidRPr="00C23C55" w:rsidRDefault="000705A1" w:rsidP="00AC15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pct"/>
          </w:tcPr>
          <w:p w:rsidR="000705A1" w:rsidRPr="00C23C55" w:rsidRDefault="000705A1" w:rsidP="00AC1524">
            <w:pPr>
              <w:jc w:val="center"/>
              <w:rPr>
                <w:sz w:val="20"/>
                <w:szCs w:val="20"/>
              </w:rPr>
            </w:pP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132CDE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Favorable outcome (mRS 0-3) at one year</w:t>
            </w:r>
          </w:p>
        </w:tc>
        <w:tc>
          <w:tcPr>
            <w:tcW w:w="1083" w:type="pct"/>
          </w:tcPr>
          <w:p w:rsidR="000705A1" w:rsidRPr="00C23C55" w:rsidRDefault="000705A1" w:rsidP="00AC1524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69 (45%)</w:t>
            </w:r>
          </w:p>
        </w:tc>
        <w:tc>
          <w:tcPr>
            <w:tcW w:w="1185" w:type="pct"/>
          </w:tcPr>
          <w:p w:rsidR="000705A1" w:rsidRPr="00C23C55" w:rsidRDefault="000705A1" w:rsidP="00AC1524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15 (37%)</w:t>
            </w:r>
          </w:p>
        </w:tc>
        <w:tc>
          <w:tcPr>
            <w:tcW w:w="721" w:type="pct"/>
          </w:tcPr>
          <w:p w:rsidR="000705A1" w:rsidRPr="00C23C55" w:rsidRDefault="000705A1" w:rsidP="00AC1524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0.3</w:t>
            </w:r>
          </w:p>
        </w:tc>
      </w:tr>
      <w:tr w:rsidR="00C23C55" w:rsidRPr="00C23C55" w:rsidTr="00C23C55">
        <w:trPr>
          <w:trHeight w:val="271"/>
        </w:trPr>
        <w:tc>
          <w:tcPr>
            <w:tcW w:w="2011" w:type="pct"/>
            <w:noWrap/>
          </w:tcPr>
          <w:p w:rsidR="000705A1" w:rsidRPr="00C23C55" w:rsidRDefault="000705A1" w:rsidP="007C73DB">
            <w:pPr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Survival at one year</w:t>
            </w:r>
          </w:p>
        </w:tc>
        <w:tc>
          <w:tcPr>
            <w:tcW w:w="1083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74 (48%)</w:t>
            </w:r>
          </w:p>
        </w:tc>
        <w:tc>
          <w:tcPr>
            <w:tcW w:w="1185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15 (37%)</w:t>
            </w:r>
          </w:p>
        </w:tc>
        <w:tc>
          <w:tcPr>
            <w:tcW w:w="721" w:type="pct"/>
          </w:tcPr>
          <w:p w:rsidR="000705A1" w:rsidRPr="00C23C55" w:rsidRDefault="000705A1">
            <w:pPr>
              <w:jc w:val="center"/>
              <w:rPr>
                <w:sz w:val="20"/>
                <w:szCs w:val="20"/>
                <w:lang w:val="en-US"/>
              </w:rPr>
            </w:pPr>
            <w:r w:rsidRPr="00C23C55">
              <w:rPr>
                <w:sz w:val="20"/>
                <w:szCs w:val="20"/>
                <w:lang w:val="en-US"/>
              </w:rPr>
              <w:t>0.19</w:t>
            </w:r>
          </w:p>
        </w:tc>
      </w:tr>
    </w:tbl>
    <w:p w:rsidR="007C73DB" w:rsidRPr="00C23C55" w:rsidRDefault="007C73DB" w:rsidP="00132CDE">
      <w:pPr>
        <w:pStyle w:val="ListParagraph"/>
        <w:numPr>
          <w:ilvl w:val="0"/>
          <w:numId w:val="1"/>
        </w:numPr>
        <w:rPr>
          <w:sz w:val="20"/>
          <w:szCs w:val="20"/>
          <w:lang w:val="en-US"/>
        </w:rPr>
      </w:pPr>
      <w:r w:rsidRPr="00C23C55">
        <w:rPr>
          <w:sz w:val="20"/>
          <w:szCs w:val="20"/>
          <w:lang w:val="en-US"/>
        </w:rPr>
        <w:lastRenderedPageBreak/>
        <w:t>eGFR&lt;60mL.min</w:t>
      </w:r>
      <w:r w:rsidRPr="00C23C55">
        <w:rPr>
          <w:sz w:val="20"/>
          <w:szCs w:val="20"/>
          <w:vertAlign w:val="superscript"/>
          <w:lang w:val="en-US"/>
        </w:rPr>
        <w:t>-1</w:t>
      </w:r>
      <w:r w:rsidRPr="00C23C55">
        <w:rPr>
          <w:sz w:val="20"/>
          <w:szCs w:val="20"/>
          <w:lang w:val="en-US"/>
        </w:rPr>
        <w:t>.1.73m</w:t>
      </w:r>
      <w:r w:rsidRPr="00C23C55">
        <w:rPr>
          <w:sz w:val="20"/>
          <w:szCs w:val="20"/>
          <w:vertAlign w:val="superscript"/>
          <w:lang w:val="en-US"/>
        </w:rPr>
        <w:t xml:space="preserve">-2 </w:t>
      </w:r>
      <w:r w:rsidRPr="00C23C55">
        <w:rPr>
          <w:sz w:val="20"/>
          <w:szCs w:val="20"/>
          <w:lang w:val="en-US"/>
        </w:rPr>
        <w:t>for &gt;3 months</w:t>
      </w:r>
    </w:p>
    <w:p w:rsidR="000705A1" w:rsidRPr="00C23C55" w:rsidRDefault="000705A1" w:rsidP="00664319">
      <w:pPr>
        <w:spacing w:after="100" w:line="240" w:lineRule="auto"/>
        <w:ind w:left="360"/>
        <w:rPr>
          <w:i/>
          <w:sz w:val="20"/>
          <w:szCs w:val="20"/>
          <w:lang w:val="en-US"/>
        </w:rPr>
      </w:pPr>
      <w:r w:rsidRPr="00C23C55">
        <w:rPr>
          <w:i/>
          <w:sz w:val="20"/>
          <w:szCs w:val="20"/>
          <w:lang w:val="en-US"/>
        </w:rPr>
        <w:t>IE: infective endocarditis, IV: Intra-venous, CIED: cardiac implantable electronic device, LVEF: left ventricular ejection fraction, CT: computed tomography, SOFA: sequential organ failure assessment, GCS: Glasgow coma scale</w:t>
      </w:r>
    </w:p>
    <w:sectPr w:rsidR="000705A1" w:rsidRPr="00C23C55" w:rsidSect="002124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4C2" w:rsidRDefault="008F04C2" w:rsidP="00132CDE">
      <w:pPr>
        <w:spacing w:after="0" w:line="240" w:lineRule="auto"/>
      </w:pPr>
      <w:r>
        <w:separator/>
      </w:r>
    </w:p>
  </w:endnote>
  <w:endnote w:type="continuationSeparator" w:id="0">
    <w:p w:rsidR="008F04C2" w:rsidRDefault="008F04C2" w:rsidP="0013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4C2" w:rsidRDefault="008F04C2" w:rsidP="00132CDE">
      <w:pPr>
        <w:spacing w:after="0" w:line="240" w:lineRule="auto"/>
      </w:pPr>
      <w:r>
        <w:separator/>
      </w:r>
    </w:p>
  </w:footnote>
  <w:footnote w:type="continuationSeparator" w:id="0">
    <w:p w:rsidR="008F04C2" w:rsidRDefault="008F04C2" w:rsidP="00132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43C27"/>
    <w:multiLevelType w:val="hybridMultilevel"/>
    <w:tmpl w:val="BFDE31C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26334"/>
    <w:multiLevelType w:val="hybridMultilevel"/>
    <w:tmpl w:val="E2FC76E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revisionView w:markup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1C"/>
    <w:rsid w:val="00050C82"/>
    <w:rsid w:val="00057C4B"/>
    <w:rsid w:val="000705A1"/>
    <w:rsid w:val="000A7886"/>
    <w:rsid w:val="00132CDE"/>
    <w:rsid w:val="001A4663"/>
    <w:rsid w:val="002124EC"/>
    <w:rsid w:val="003379E2"/>
    <w:rsid w:val="00361245"/>
    <w:rsid w:val="00383381"/>
    <w:rsid w:val="00384820"/>
    <w:rsid w:val="00391484"/>
    <w:rsid w:val="00392137"/>
    <w:rsid w:val="004037B3"/>
    <w:rsid w:val="00433CC8"/>
    <w:rsid w:val="00576A1C"/>
    <w:rsid w:val="00664319"/>
    <w:rsid w:val="007C73DB"/>
    <w:rsid w:val="007D1CDF"/>
    <w:rsid w:val="007F4476"/>
    <w:rsid w:val="008702B1"/>
    <w:rsid w:val="008B1591"/>
    <w:rsid w:val="008E07CA"/>
    <w:rsid w:val="008F04C2"/>
    <w:rsid w:val="00961A8A"/>
    <w:rsid w:val="00973C22"/>
    <w:rsid w:val="00A32E43"/>
    <w:rsid w:val="00A55EEA"/>
    <w:rsid w:val="00AB7EFE"/>
    <w:rsid w:val="00AE6A00"/>
    <w:rsid w:val="00B27A87"/>
    <w:rsid w:val="00B921F8"/>
    <w:rsid w:val="00BA6781"/>
    <w:rsid w:val="00BE0218"/>
    <w:rsid w:val="00C23C55"/>
    <w:rsid w:val="00C60DBE"/>
    <w:rsid w:val="00D97EFD"/>
    <w:rsid w:val="00E7522E"/>
    <w:rsid w:val="00F24C21"/>
    <w:rsid w:val="00F4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443716-9A7C-4364-ABCE-B9CFC07C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576A1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76A1C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7C73DB"/>
    <w:pPr>
      <w:tabs>
        <w:tab w:val="left" w:pos="384"/>
      </w:tabs>
      <w:spacing w:after="240" w:line="240" w:lineRule="auto"/>
      <w:ind w:left="384" w:hanging="384"/>
    </w:pPr>
  </w:style>
  <w:style w:type="paragraph" w:styleId="Header">
    <w:name w:val="header"/>
    <w:basedOn w:val="Normal"/>
    <w:link w:val="HeaderChar"/>
    <w:uiPriority w:val="99"/>
    <w:semiHidden/>
    <w:unhideWhenUsed/>
    <w:rsid w:val="00132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2CDE"/>
  </w:style>
  <w:style w:type="paragraph" w:styleId="Footer">
    <w:name w:val="footer"/>
    <w:basedOn w:val="Normal"/>
    <w:link w:val="FooterChar"/>
    <w:uiPriority w:val="99"/>
    <w:semiHidden/>
    <w:unhideWhenUsed/>
    <w:rsid w:val="00132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2CDE"/>
  </w:style>
  <w:style w:type="table" w:styleId="TableGrid">
    <w:name w:val="Table Grid"/>
    <w:basedOn w:val="TableNormal"/>
    <w:uiPriority w:val="59"/>
    <w:rsid w:val="00C23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Rambaud</dc:creator>
  <cp:lastModifiedBy>Deepikas Sakthivel</cp:lastModifiedBy>
  <cp:revision>5</cp:revision>
  <dcterms:created xsi:type="dcterms:W3CDTF">2021-11-26T11:39:00Z</dcterms:created>
  <dcterms:modified xsi:type="dcterms:W3CDTF">2022-11-28T07:15:00Z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zotero-version="5.0.91"&gt;&lt;session id="7kZRlE0R"/&gt;&lt;style id="http://www.zotero.org/styles/neurology" hasBibliography="1" bibliographyStyleHasBeenSet="1"/&gt;&lt;prefs&gt;&lt;pref name="fieldType" value="Field"/&gt;&lt;pref name="automaticJournalAbbrevi</vt:lpwstr>
  </property>
  <property fmtid="{D5CDD505-2E9C-101B-9397-08002B2CF9AE}" pid="3" name="ZOTERO_PREF_2">
    <vt:lpwstr>ations" value="true"/&gt;&lt;/prefs&gt;&lt;/data&gt;</vt:lpwstr>
  </property>
</Properties>
</file>