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2D8" w:rsidRPr="0099710C" w:rsidRDefault="003432D8">
      <w:pPr>
        <w:rPr>
          <w:lang w:val="en-US"/>
        </w:rPr>
      </w:pPr>
      <w:r w:rsidRPr="0099710C">
        <w:rPr>
          <w:noProof/>
          <w:lang w:val="en-IN" w:eastAsia="en-IN"/>
        </w:rPr>
        <w:drawing>
          <wp:inline distT="0" distB="0" distL="0" distR="0" wp14:anchorId="5E88BC7C" wp14:editId="3EB3C7EC">
            <wp:extent cx="4435202" cy="312821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229" cy="313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2D8" w:rsidRPr="0099710C" w:rsidRDefault="003432D8">
      <w:pPr>
        <w:rPr>
          <w:lang w:val="en-US"/>
        </w:rPr>
      </w:pPr>
    </w:p>
    <w:p w:rsidR="003432D8" w:rsidRPr="0099710C" w:rsidRDefault="003432D8" w:rsidP="003432D8">
      <w:pPr>
        <w:spacing w:line="360" w:lineRule="auto"/>
        <w:jc w:val="both"/>
        <w:rPr>
          <w:b/>
          <w:bCs/>
          <w:sz w:val="20"/>
          <w:szCs w:val="20"/>
          <w:lang w:val="en-US"/>
        </w:rPr>
      </w:pPr>
      <w:r w:rsidRPr="0099710C">
        <w:rPr>
          <w:b/>
          <w:bCs/>
          <w:sz w:val="20"/>
          <w:szCs w:val="20"/>
          <w:lang w:val="en-US"/>
        </w:rPr>
        <w:t>Figure S</w:t>
      </w:r>
      <w:r w:rsidR="008D512F" w:rsidRPr="0099710C">
        <w:rPr>
          <w:b/>
          <w:bCs/>
          <w:sz w:val="20"/>
          <w:szCs w:val="20"/>
          <w:lang w:val="en-US"/>
        </w:rPr>
        <w:t>2</w:t>
      </w:r>
      <w:r w:rsidRPr="0099710C">
        <w:rPr>
          <w:b/>
          <w:bCs/>
          <w:sz w:val="20"/>
          <w:szCs w:val="20"/>
          <w:lang w:val="en-US"/>
        </w:rPr>
        <w:t xml:space="preserve">: Evolution of BSI and BC </w:t>
      </w:r>
      <w:r w:rsidR="00724016" w:rsidRPr="0099710C">
        <w:rPr>
          <w:b/>
          <w:bCs/>
          <w:sz w:val="20"/>
          <w:szCs w:val="20"/>
          <w:lang w:val="en-US"/>
        </w:rPr>
        <w:t>contamination rate</w:t>
      </w:r>
      <w:r w:rsidRPr="0099710C">
        <w:rPr>
          <w:b/>
          <w:bCs/>
          <w:sz w:val="20"/>
          <w:szCs w:val="20"/>
          <w:lang w:val="en-US"/>
        </w:rPr>
        <w:t xml:space="preserve"> during the MS and UBC periods.</w:t>
      </w:r>
    </w:p>
    <w:p w:rsidR="00317B58" w:rsidRPr="0099710C" w:rsidRDefault="003432D8" w:rsidP="003432D8">
      <w:pPr>
        <w:spacing w:line="360" w:lineRule="auto"/>
        <w:jc w:val="both"/>
        <w:rPr>
          <w:sz w:val="20"/>
          <w:szCs w:val="20"/>
          <w:lang w:val="en-US"/>
        </w:rPr>
      </w:pPr>
      <w:r w:rsidRPr="0099710C">
        <w:rPr>
          <w:sz w:val="20"/>
          <w:szCs w:val="20"/>
          <w:lang w:val="en-US"/>
        </w:rPr>
        <w:t>The rate of BSI and BCC are represented for 100 patients with at least one BC collected.</w:t>
      </w:r>
    </w:p>
    <w:p w:rsidR="003432D8" w:rsidRPr="0099710C" w:rsidRDefault="003432D8" w:rsidP="003432D8">
      <w:pPr>
        <w:spacing w:line="360" w:lineRule="auto"/>
        <w:jc w:val="both"/>
        <w:rPr>
          <w:sz w:val="20"/>
          <w:szCs w:val="20"/>
          <w:lang w:val="en-US"/>
        </w:rPr>
      </w:pPr>
      <w:r w:rsidRPr="0099710C">
        <w:rPr>
          <w:sz w:val="20"/>
          <w:szCs w:val="20"/>
          <w:lang w:val="en-US"/>
        </w:rPr>
        <w:t>BSI: Bloodstream infections; BCC: Blood culture contaminant.</w:t>
      </w:r>
    </w:p>
    <w:p w:rsidR="00317B58" w:rsidRPr="0099710C" w:rsidRDefault="00317B58">
      <w:pPr>
        <w:rPr>
          <w:sz w:val="20"/>
          <w:szCs w:val="20"/>
          <w:lang w:val="en-US"/>
        </w:rPr>
      </w:pPr>
      <w:r w:rsidRPr="0099710C">
        <w:rPr>
          <w:sz w:val="20"/>
          <w:szCs w:val="20"/>
          <w:lang w:val="en-US"/>
        </w:rPr>
        <w:br w:type="page"/>
      </w:r>
    </w:p>
    <w:p w:rsidR="009C6514" w:rsidRPr="0099710C" w:rsidRDefault="009C6514">
      <w:pPr>
        <w:rPr>
          <w:sz w:val="20"/>
          <w:szCs w:val="20"/>
          <w:lang w:val="en-US"/>
        </w:rPr>
      </w:pPr>
      <w:r w:rsidRPr="0099710C">
        <w:rPr>
          <w:noProof/>
          <w:sz w:val="20"/>
          <w:szCs w:val="20"/>
          <w:lang w:val="en-IN" w:eastAsia="en-IN"/>
        </w:rPr>
        <w:drawing>
          <wp:inline distT="0" distB="0" distL="0" distR="0">
            <wp:extent cx="4814285" cy="3288632"/>
            <wp:effectExtent l="0" t="0" r="0" b="127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6197" cy="33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514" w:rsidRPr="0099710C" w:rsidRDefault="009C6514">
      <w:pPr>
        <w:rPr>
          <w:sz w:val="20"/>
          <w:szCs w:val="20"/>
          <w:lang w:val="en-US"/>
        </w:rPr>
      </w:pPr>
    </w:p>
    <w:p w:rsidR="009C6514" w:rsidRPr="0099710C" w:rsidRDefault="009C6514" w:rsidP="009C6514">
      <w:pPr>
        <w:spacing w:line="360" w:lineRule="auto"/>
        <w:jc w:val="both"/>
        <w:rPr>
          <w:b/>
          <w:bCs/>
          <w:sz w:val="20"/>
          <w:szCs w:val="20"/>
          <w:lang w:val="en-US"/>
        </w:rPr>
      </w:pPr>
      <w:r w:rsidRPr="0099710C">
        <w:rPr>
          <w:b/>
          <w:bCs/>
          <w:sz w:val="20"/>
          <w:szCs w:val="20"/>
          <w:lang w:val="en-US"/>
        </w:rPr>
        <w:t>Figure S</w:t>
      </w:r>
      <w:r w:rsidR="008D512F" w:rsidRPr="0099710C">
        <w:rPr>
          <w:b/>
          <w:bCs/>
          <w:sz w:val="20"/>
          <w:szCs w:val="20"/>
          <w:lang w:val="en-US"/>
        </w:rPr>
        <w:t>3</w:t>
      </w:r>
      <w:r w:rsidRPr="0099710C">
        <w:rPr>
          <w:b/>
          <w:bCs/>
          <w:sz w:val="20"/>
          <w:szCs w:val="20"/>
          <w:lang w:val="en-US"/>
        </w:rPr>
        <w:t xml:space="preserve">: Proportion of pathogen and contaminant among positive BC. </w:t>
      </w:r>
    </w:p>
    <w:p w:rsidR="003432D8" w:rsidRPr="0099710C" w:rsidRDefault="003432D8">
      <w:pPr>
        <w:rPr>
          <w:lang w:val="en-US"/>
        </w:rPr>
      </w:pPr>
      <w:r w:rsidRPr="0099710C">
        <w:rPr>
          <w:lang w:val="en-US"/>
        </w:rPr>
        <w:br w:type="page"/>
      </w:r>
    </w:p>
    <w:p w:rsidR="0054797E" w:rsidRPr="0099710C" w:rsidRDefault="0054797E">
      <w:pPr>
        <w:rPr>
          <w:lang w:val="en-US"/>
        </w:rPr>
      </w:pPr>
    </w:p>
    <w:p w:rsidR="0054797E" w:rsidRPr="0099710C" w:rsidRDefault="0054797E">
      <w:pPr>
        <w:rPr>
          <w:lang w:val="en-US"/>
        </w:rPr>
      </w:pPr>
    </w:p>
    <w:p w:rsidR="0054797E" w:rsidRPr="0099710C" w:rsidRDefault="0054797E">
      <w:pPr>
        <w:rPr>
          <w:lang w:val="en-US"/>
        </w:rPr>
      </w:pPr>
    </w:p>
    <w:p w:rsidR="009C6514" w:rsidRPr="0099710C" w:rsidRDefault="009C6514">
      <w:pPr>
        <w:rPr>
          <w:lang w:val="en-US"/>
        </w:rPr>
      </w:pPr>
    </w:p>
    <w:p w:rsidR="003432D8" w:rsidRPr="0099710C" w:rsidRDefault="003432D8">
      <w:pPr>
        <w:rPr>
          <w:lang w:val="en-US"/>
        </w:rPr>
      </w:pPr>
    </w:p>
    <w:tbl>
      <w:tblPr>
        <w:tblpPr w:leftFromText="141" w:rightFromText="141" w:vertAnchor="page" w:horzAnchor="margin" w:tblpY="1824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1701"/>
        <w:gridCol w:w="1418"/>
        <w:gridCol w:w="1412"/>
        <w:gridCol w:w="1139"/>
      </w:tblGrid>
      <w:tr w:rsidR="0099710C" w:rsidRPr="0099710C" w:rsidTr="0054797E">
        <w:trPr>
          <w:trHeight w:val="300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bottom"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Table S</w:t>
            </w:r>
            <w:r w:rsidR="00317B58" w:rsidRPr="0099710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4</w:t>
            </w:r>
            <w:r w:rsidRPr="0099710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: Site of acquisition, source of infection and pathogen identifications of BSI</w:t>
            </w: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Characteristics of BSI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Overall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MS period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UBC period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fr-FR"/>
              </w:rPr>
              <w:t>p-value</w:t>
            </w: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Site of acquisition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412" w:type="dxa"/>
          </w:tcPr>
          <w:p w:rsidR="003432D8" w:rsidRPr="0099710C" w:rsidRDefault="003432D8" w:rsidP="005479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0.3</w:t>
            </w: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Community-acquired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285 (48.1%)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171 (49.1%)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114 (46.7%)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Hospital-acquired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122 (20.6%)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64 (18.3%)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58 (23.8%)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ICU acquired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185 (31.3%)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113 (32.5%)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72 (29.5%)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Source of infection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0.03</w:t>
            </w: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Abdomen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120 (20.3%)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66 (19%)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54 (22.1%)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Lung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100 (16.9%)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62 (17.8%)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38 (15.6%)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</w:t>
            </w:r>
            <w:r w:rsidR="009233C3"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Primary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96 (16.2%)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64 (18.4%)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32 (13.1%)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Central line-associated BSI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92 (15.5%)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47 (13.5%)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45 (18.4%)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Urinary tract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84 (14.2%)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57 (16.4%)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27 (11.1%)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Endocarditis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42 (7.1%)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28 (8%)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14 (5.7%)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Cutaneous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35 (5.9%)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14 (4%)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21 (8.6%)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Oral and upper airway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21 (3.5%)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10 (2.9%)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11 (4.5%)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Other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 (0.3%)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 (0.8%)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Pathogens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</w:t>
            </w: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</w:t>
            </w:r>
            <w:proofErr w:type="spellStart"/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Enterobacteriaceae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177 (29.8%)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104 (29.9%)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73 (29.9%)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 xml:space="preserve">      Staphylococcus aureus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114 (19.2%)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66 (19%)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48 (19.7%)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 xml:space="preserve">      Streptococcus spp.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75 (12.6%)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43 (12.4%)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32 (13.1%)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</w:t>
            </w:r>
            <w:proofErr w:type="spellStart"/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Polymicrobial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50 (8.4%)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27 (7.8%)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23 (9.4%)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Anaerobes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40 (6.7%)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24 (6.9%)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16 (6.6%)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 xml:space="preserve">      Enterococcus spp.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30 (5.1%)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20 (5.7%)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10 (4.1%)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 xml:space="preserve">      Pseudomonas aeruginosa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19 (3.2%)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12 (3.4%)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 (2.9%)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Yeast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21 (3.5%)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11 (3.2%)</w:t>
            </w:r>
          </w:p>
        </w:tc>
        <w:tc>
          <w:tcPr>
            <w:tcW w:w="1412" w:type="dxa"/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10 (4.1%)</w:t>
            </w:r>
          </w:p>
        </w:tc>
        <w:tc>
          <w:tcPr>
            <w:tcW w:w="1139" w:type="dxa"/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Coagulase negative staphylococcus*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30 (5.1%)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16 (4.6%)</w:t>
            </w:r>
          </w:p>
        </w:tc>
        <w:tc>
          <w:tcPr>
            <w:tcW w:w="1412" w:type="dxa"/>
            <w:tcBorders>
              <w:bottom w:val="nil"/>
            </w:tcBorders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13 (5.3%)</w:t>
            </w:r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339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    Other† 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37 (6.2%)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25 (7.2%)</w:t>
            </w: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vAlign w:val="bottom"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12 (4.9%)</w:t>
            </w:r>
          </w:p>
        </w:tc>
        <w:tc>
          <w:tcPr>
            <w:tcW w:w="113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2D8" w:rsidRPr="0099710C" w:rsidRDefault="003432D8" w:rsidP="0054797E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</w:tr>
      <w:tr w:rsidR="0099710C" w:rsidRPr="0099710C" w:rsidTr="0054797E">
        <w:trPr>
          <w:trHeight w:val="300"/>
        </w:trPr>
        <w:tc>
          <w:tcPr>
            <w:tcW w:w="906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*only </w:t>
            </w:r>
            <w:proofErr w:type="spellStart"/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CoNS</w:t>
            </w:r>
            <w:proofErr w:type="spellEnd"/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considered as pathogens (with definitive antimicrobial therapy</w:t>
            </w:r>
          </w:p>
          <w:p w:rsidR="003432D8" w:rsidRPr="0099710C" w:rsidRDefault="003432D8" w:rsidP="0054797E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† Include </w:t>
            </w:r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 xml:space="preserve">Acinetobacter </w:t>
            </w:r>
            <w:proofErr w:type="spellStart"/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>calcoaceticus-baumannii</w:t>
            </w:r>
            <w:proofErr w:type="spellEnd"/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 xml:space="preserve"> complex (n=4)</w:t>
            </w: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, </w:t>
            </w:r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 xml:space="preserve">Campylobacter spp. (n=5), </w:t>
            </w:r>
            <w:proofErr w:type="spellStart"/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>Haemophilus</w:t>
            </w:r>
            <w:proofErr w:type="spellEnd"/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 xml:space="preserve"> </w:t>
            </w:r>
            <w:proofErr w:type="spellStart"/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>influenzae</w:t>
            </w:r>
            <w:proofErr w:type="spellEnd"/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 xml:space="preserve"> (n=6), Listeria monocytogenes (n=3), </w:t>
            </w:r>
            <w:proofErr w:type="spellStart"/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>Gemella</w:t>
            </w:r>
            <w:proofErr w:type="spellEnd"/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 xml:space="preserve"> </w:t>
            </w:r>
            <w:proofErr w:type="spellStart"/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>spp</w:t>
            </w:r>
            <w:proofErr w:type="spellEnd"/>
            <w:r w:rsidRPr="0099710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fr-FR"/>
              </w:rPr>
              <w:t xml:space="preserve"> (n=5) (other species with n &lt; 3 are not shown)</w:t>
            </w:r>
            <w:r w:rsidRPr="0099710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  </w:t>
            </w:r>
          </w:p>
        </w:tc>
      </w:tr>
    </w:tbl>
    <w:p w:rsidR="003432D8" w:rsidRPr="0099710C" w:rsidRDefault="003432D8">
      <w:pPr>
        <w:rPr>
          <w:lang w:val="en-US"/>
        </w:rPr>
      </w:pPr>
      <w:r w:rsidRPr="0099710C">
        <w:rPr>
          <w:lang w:val="en-US"/>
        </w:rPr>
        <w:br w:type="page"/>
      </w:r>
    </w:p>
    <w:p w:rsidR="00317B58" w:rsidRPr="0099710C" w:rsidRDefault="00317B58" w:rsidP="00317B58">
      <w:pPr>
        <w:spacing w:line="360" w:lineRule="auto"/>
        <w:rPr>
          <w:b/>
          <w:bCs/>
          <w:lang w:val="en-US"/>
        </w:rPr>
      </w:pPr>
    </w:p>
    <w:p w:rsidR="00317B58" w:rsidRPr="0099710C" w:rsidRDefault="00317B58" w:rsidP="00317B58">
      <w:pPr>
        <w:spacing w:line="360" w:lineRule="auto"/>
        <w:rPr>
          <w:b/>
          <w:bCs/>
          <w:lang w:val="en-US"/>
        </w:rPr>
      </w:pPr>
    </w:p>
    <w:p w:rsidR="00317B58" w:rsidRPr="0099710C" w:rsidRDefault="00317B58" w:rsidP="00317B58">
      <w:pPr>
        <w:spacing w:line="360" w:lineRule="auto"/>
        <w:rPr>
          <w:b/>
          <w:bCs/>
          <w:lang w:val="en-US"/>
        </w:rPr>
      </w:pPr>
      <w:r w:rsidRPr="0099710C">
        <w:rPr>
          <w:b/>
          <w:bCs/>
          <w:noProof/>
          <w:lang w:val="en-IN" w:eastAsia="en-IN"/>
        </w:rPr>
        <w:drawing>
          <wp:inline distT="0" distB="0" distL="0" distR="0">
            <wp:extent cx="5756910" cy="337883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B58" w:rsidRPr="0099710C" w:rsidRDefault="00317B58" w:rsidP="00317B58">
      <w:pPr>
        <w:spacing w:line="360" w:lineRule="auto"/>
        <w:rPr>
          <w:b/>
          <w:bCs/>
          <w:lang w:val="en-US"/>
        </w:rPr>
      </w:pPr>
    </w:p>
    <w:p w:rsidR="00317B58" w:rsidRPr="0099710C" w:rsidRDefault="00317B58" w:rsidP="00317B58">
      <w:pPr>
        <w:spacing w:line="360" w:lineRule="auto"/>
        <w:rPr>
          <w:b/>
          <w:bCs/>
          <w:sz w:val="20"/>
          <w:szCs w:val="20"/>
          <w:lang w:val="en-US"/>
        </w:rPr>
      </w:pPr>
      <w:r w:rsidRPr="0099710C">
        <w:rPr>
          <w:b/>
          <w:bCs/>
          <w:sz w:val="20"/>
          <w:szCs w:val="20"/>
          <w:lang w:val="en-US"/>
        </w:rPr>
        <w:t>Figure S4: Comparative changes in the mean volume of blood collected per bottle during the MS and UBC periods in the ICU and in the emergency department (ED).</w:t>
      </w:r>
    </w:p>
    <w:p w:rsidR="00317B58" w:rsidRPr="0099710C" w:rsidRDefault="00317B58" w:rsidP="00317B58">
      <w:pPr>
        <w:spacing w:line="360" w:lineRule="auto"/>
        <w:rPr>
          <w:sz w:val="20"/>
          <w:szCs w:val="20"/>
          <w:lang w:val="en-US"/>
        </w:rPr>
      </w:pPr>
      <w:proofErr w:type="gramStart"/>
      <w:r w:rsidRPr="0099710C">
        <w:rPr>
          <w:sz w:val="20"/>
          <w:szCs w:val="20"/>
          <w:lang w:val="en-US"/>
        </w:rPr>
        <w:t>The I</w:t>
      </w:r>
      <w:proofErr w:type="gramEnd"/>
      <w:r w:rsidRPr="0099710C">
        <w:rPr>
          <w:sz w:val="20"/>
          <w:szCs w:val="20"/>
          <w:lang w:val="en-US"/>
        </w:rPr>
        <w:t xml:space="preserve"> bars represent 95% confidence intervals. MS: multi-sampling; UBC: Unique blood culture.</w:t>
      </w:r>
    </w:p>
    <w:p w:rsidR="00317B58" w:rsidRPr="0099710C" w:rsidRDefault="00317B58">
      <w:pPr>
        <w:rPr>
          <w:lang w:val="en-US"/>
        </w:rPr>
      </w:pPr>
      <w:r w:rsidRPr="0099710C">
        <w:rPr>
          <w:lang w:val="en-US"/>
        </w:rPr>
        <w:br w:type="page"/>
      </w:r>
    </w:p>
    <w:p w:rsidR="00317B58" w:rsidRPr="0099710C" w:rsidRDefault="00317B58" w:rsidP="00317B58">
      <w:pPr>
        <w:spacing w:line="360" w:lineRule="auto"/>
        <w:rPr>
          <w:b/>
          <w:bCs/>
          <w:lang w:val="en-US"/>
        </w:rPr>
      </w:pPr>
      <w:r w:rsidRPr="0099710C">
        <w:rPr>
          <w:b/>
          <w:bCs/>
          <w:noProof/>
          <w:lang w:val="en-IN" w:eastAsia="en-IN"/>
        </w:rPr>
        <w:drawing>
          <wp:inline distT="0" distB="0" distL="0" distR="0">
            <wp:extent cx="5756910" cy="4109663"/>
            <wp:effectExtent l="0" t="0" r="0" b="571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 6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5"/>
                    <a:stretch/>
                  </pic:blipFill>
                  <pic:spPr bwMode="auto">
                    <a:xfrm>
                      <a:off x="0" y="0"/>
                      <a:ext cx="5756910" cy="4109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7B58" w:rsidRPr="0099710C" w:rsidRDefault="00317B58" w:rsidP="00317B58">
      <w:pPr>
        <w:spacing w:line="360" w:lineRule="auto"/>
        <w:rPr>
          <w:b/>
          <w:bCs/>
          <w:lang w:val="en-US"/>
        </w:rPr>
      </w:pPr>
    </w:p>
    <w:p w:rsidR="00317B58" w:rsidRPr="0099710C" w:rsidRDefault="00317B58" w:rsidP="00317B58">
      <w:pPr>
        <w:spacing w:line="360" w:lineRule="auto"/>
        <w:rPr>
          <w:b/>
          <w:bCs/>
          <w:sz w:val="20"/>
          <w:szCs w:val="20"/>
          <w:lang w:val="en-US"/>
        </w:rPr>
      </w:pPr>
      <w:r w:rsidRPr="0099710C">
        <w:rPr>
          <w:b/>
          <w:bCs/>
          <w:sz w:val="20"/>
          <w:szCs w:val="20"/>
          <w:lang w:val="en-US"/>
        </w:rPr>
        <w:t xml:space="preserve">Figure S5: Proportion of bacteremia identified according to different volume of blood collected </w:t>
      </w:r>
    </w:p>
    <w:p w:rsidR="00317B58" w:rsidRPr="0099710C" w:rsidRDefault="00317B58">
      <w:pPr>
        <w:rPr>
          <w:lang w:val="en-US"/>
        </w:rPr>
      </w:pPr>
    </w:p>
    <w:p w:rsidR="00971226" w:rsidRPr="0099710C" w:rsidRDefault="0099710C">
      <w:pPr>
        <w:rPr>
          <w:lang w:val="en-US"/>
        </w:rPr>
      </w:pPr>
    </w:p>
    <w:p w:rsidR="006E28F4" w:rsidRPr="0099710C" w:rsidRDefault="006E28F4">
      <w:pPr>
        <w:rPr>
          <w:lang w:val="en-US"/>
        </w:rPr>
      </w:pPr>
    </w:p>
    <w:p w:rsidR="006E28F4" w:rsidRPr="0099710C" w:rsidRDefault="006E28F4" w:rsidP="006E28F4">
      <w:pPr>
        <w:rPr>
          <w:lang w:val="en-US"/>
        </w:rPr>
      </w:pPr>
      <w:r w:rsidRPr="0099710C">
        <w:rPr>
          <w:noProof/>
          <w:lang w:val="en-IN" w:eastAsia="en-IN"/>
        </w:rPr>
        <w:drawing>
          <wp:inline distT="0" distB="0" distL="0" distR="0" wp14:anchorId="594828BD" wp14:editId="404FB04E">
            <wp:extent cx="4800600" cy="42926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 S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8F4" w:rsidRPr="0099710C" w:rsidRDefault="006E28F4" w:rsidP="006E28F4">
      <w:pPr>
        <w:rPr>
          <w:lang w:val="en-US"/>
        </w:rPr>
      </w:pPr>
    </w:p>
    <w:p w:rsidR="006E28F4" w:rsidRPr="0099710C" w:rsidRDefault="006E28F4" w:rsidP="006E28F4">
      <w:pPr>
        <w:rPr>
          <w:lang w:val="en-US"/>
        </w:rPr>
      </w:pPr>
    </w:p>
    <w:p w:rsidR="006E28F4" w:rsidRPr="0099710C" w:rsidRDefault="006E28F4" w:rsidP="006E28F4">
      <w:pPr>
        <w:rPr>
          <w:b/>
          <w:bCs/>
          <w:sz w:val="20"/>
          <w:szCs w:val="20"/>
          <w:lang w:val="en-US"/>
        </w:rPr>
      </w:pPr>
      <w:r w:rsidRPr="0099710C">
        <w:rPr>
          <w:b/>
          <w:bCs/>
          <w:sz w:val="20"/>
          <w:szCs w:val="20"/>
          <w:lang w:val="en-US"/>
        </w:rPr>
        <w:t>Figure S</w:t>
      </w:r>
      <w:r w:rsidR="00317B58" w:rsidRPr="0099710C">
        <w:rPr>
          <w:b/>
          <w:bCs/>
          <w:sz w:val="20"/>
          <w:szCs w:val="20"/>
          <w:lang w:val="en-US"/>
        </w:rPr>
        <w:t>6</w:t>
      </w:r>
      <w:r w:rsidRPr="0099710C">
        <w:rPr>
          <w:b/>
          <w:bCs/>
          <w:sz w:val="20"/>
          <w:szCs w:val="20"/>
          <w:lang w:val="en-US"/>
        </w:rPr>
        <w:t xml:space="preserve">: Mean rate of </w:t>
      </w:r>
      <w:r w:rsidR="00724016" w:rsidRPr="0099710C">
        <w:rPr>
          <w:b/>
          <w:bCs/>
          <w:sz w:val="20"/>
          <w:szCs w:val="20"/>
          <w:lang w:val="en-US"/>
        </w:rPr>
        <w:t>correct</w:t>
      </w:r>
      <w:r w:rsidRPr="0099710C">
        <w:rPr>
          <w:b/>
          <w:bCs/>
          <w:sz w:val="20"/>
          <w:szCs w:val="20"/>
          <w:lang w:val="en-US"/>
        </w:rPr>
        <w:t xml:space="preserve"> answer for each question of the survey about </w:t>
      </w:r>
      <w:proofErr w:type="spellStart"/>
      <w:r w:rsidRPr="0099710C">
        <w:rPr>
          <w:b/>
          <w:bCs/>
          <w:sz w:val="20"/>
          <w:szCs w:val="20"/>
          <w:lang w:val="en-US"/>
        </w:rPr>
        <w:t>bloodculture</w:t>
      </w:r>
      <w:bookmarkStart w:id="0" w:name="_GoBack"/>
      <w:bookmarkEnd w:id="0"/>
      <w:proofErr w:type="spellEnd"/>
    </w:p>
    <w:p w:rsidR="00724016" w:rsidRPr="0099710C" w:rsidRDefault="00724016" w:rsidP="00724016">
      <w:pPr>
        <w:rPr>
          <w:sz w:val="20"/>
          <w:szCs w:val="20"/>
          <w:lang w:val="en-US"/>
        </w:rPr>
      </w:pPr>
      <w:r w:rsidRPr="0099710C">
        <w:rPr>
          <w:sz w:val="20"/>
          <w:szCs w:val="20"/>
          <w:lang w:val="en-US"/>
        </w:rPr>
        <w:t>No significant difference was observed in the rate of correct answers between the two baseline evaluations (66% and 70% for baseline 1 and 2, respectively; p = 0.6). The mean rate of correct answers increased after the educational program to 83% at the 6-month evaluation (p &lt; 0.001).</w:t>
      </w:r>
    </w:p>
    <w:p w:rsidR="006E28F4" w:rsidRPr="0099710C" w:rsidRDefault="006E28F4">
      <w:pPr>
        <w:rPr>
          <w:sz w:val="20"/>
          <w:szCs w:val="20"/>
          <w:lang w:val="en-US"/>
        </w:rPr>
      </w:pPr>
    </w:p>
    <w:sectPr w:rsidR="006E28F4" w:rsidRPr="0099710C" w:rsidSect="0099710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F9"/>
    <w:rsid w:val="00317B58"/>
    <w:rsid w:val="003432D8"/>
    <w:rsid w:val="00407A76"/>
    <w:rsid w:val="00477113"/>
    <w:rsid w:val="00521AE9"/>
    <w:rsid w:val="0054797E"/>
    <w:rsid w:val="006514F9"/>
    <w:rsid w:val="006E28F4"/>
    <w:rsid w:val="00724016"/>
    <w:rsid w:val="007A4A7C"/>
    <w:rsid w:val="008D512F"/>
    <w:rsid w:val="009233C3"/>
    <w:rsid w:val="009654B1"/>
    <w:rsid w:val="0099710C"/>
    <w:rsid w:val="009C6514"/>
    <w:rsid w:val="009F66BF"/>
    <w:rsid w:val="00B830C8"/>
    <w:rsid w:val="00D46325"/>
    <w:rsid w:val="00DC598C"/>
    <w:rsid w:val="00F7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090CB9-822B-0D48-A049-590780AC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A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28F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8F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Mahieu</dc:creator>
  <cp:keywords/>
  <dc:description/>
  <cp:lastModifiedBy>Chitram Mohan</cp:lastModifiedBy>
  <cp:revision>3</cp:revision>
  <dcterms:created xsi:type="dcterms:W3CDTF">2022-08-29T08:29:00Z</dcterms:created>
  <dcterms:modified xsi:type="dcterms:W3CDTF">2023-02-08T09:48:00Z</dcterms:modified>
</cp:coreProperties>
</file>