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247" w:rsidRPr="00625A03" w:rsidRDefault="00040247" w:rsidP="00040247">
      <w:pPr>
        <w:pStyle w:val="Heading3"/>
        <w:spacing w:line="480" w:lineRule="auto"/>
        <w:rPr>
          <w:b/>
          <w:bCs/>
        </w:rPr>
      </w:pPr>
      <w:r w:rsidRPr="00625A03">
        <w:rPr>
          <w:b/>
          <w:bCs/>
          <w:color w:val="auto"/>
        </w:rPr>
        <w:t>Management of conflict of interests (COI)</w:t>
      </w:r>
    </w:p>
    <w:p w:rsidR="00040247" w:rsidRDefault="00040247" w:rsidP="00040247">
      <w:pPr>
        <w:autoSpaceDE w:val="0"/>
        <w:autoSpaceDN w:val="0"/>
        <w:adjustRightInd w:val="0"/>
        <w:spacing w:after="0" w:line="480" w:lineRule="auto"/>
        <w:ind w:right="-248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Guidelines chair (MA) and co-chairs (WA, MSA) have no </w:t>
      </w:r>
      <w:r w:rsidRPr="009D2109">
        <w:rPr>
          <w:rFonts w:eastAsia="Times New Roman" w:cstheme="minorHAnsi"/>
          <w:color w:val="000000"/>
          <w:sz w:val="24"/>
          <w:szCs w:val="24"/>
        </w:rPr>
        <w:t>identified COI related to the topic of the proposed guidelines</w:t>
      </w:r>
      <w:r>
        <w:rPr>
          <w:rFonts w:eastAsia="Times New Roman" w:cstheme="minorHAnsi"/>
          <w:color w:val="000000"/>
          <w:sz w:val="24"/>
          <w:szCs w:val="24"/>
        </w:rPr>
        <w:t>.</w:t>
      </w:r>
      <w:r w:rsidRPr="009D2109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DB11A0">
        <w:rPr>
          <w:rFonts w:eastAsia="Times New Roman" w:cstheme="minorHAnsi"/>
          <w:color w:val="000000"/>
          <w:sz w:val="24"/>
          <w:szCs w:val="24"/>
        </w:rPr>
        <w:t>All panel members completed a COI form prior to</w:t>
      </w:r>
      <w:r>
        <w:rPr>
          <w:rFonts w:eastAsia="Times New Roman" w:cstheme="minorHAnsi"/>
          <w:color w:val="000000"/>
          <w:sz w:val="24"/>
          <w:szCs w:val="24"/>
        </w:rPr>
        <w:t xml:space="preserve"> participation (see table below).</w:t>
      </w:r>
      <w:r w:rsidRPr="006A2D97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 xml:space="preserve">The </w:t>
      </w:r>
      <w:r w:rsidRPr="00DB11A0">
        <w:rPr>
          <w:rFonts w:eastAsia="Times New Roman" w:cstheme="minorHAnsi"/>
          <w:color w:val="000000"/>
          <w:sz w:val="24"/>
          <w:szCs w:val="24"/>
        </w:rPr>
        <w:t>panel members</w:t>
      </w:r>
      <w:r>
        <w:rPr>
          <w:rFonts w:eastAsia="Times New Roman" w:cstheme="minorHAnsi"/>
          <w:color w:val="000000"/>
          <w:sz w:val="24"/>
          <w:szCs w:val="24"/>
        </w:rPr>
        <w:t xml:space="preserve"> were also asked to disclose relevant COI before voting on recommendations and at the start of manuscript writing. </w:t>
      </w:r>
    </w:p>
    <w:p w:rsidR="00040247" w:rsidRDefault="00040247" w:rsidP="00040247">
      <w:pPr>
        <w:autoSpaceDE w:val="0"/>
        <w:autoSpaceDN w:val="0"/>
        <w:adjustRightInd w:val="0"/>
        <w:spacing w:after="0" w:line="480" w:lineRule="auto"/>
        <w:ind w:right="-24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9D2109">
        <w:rPr>
          <w:rFonts w:cstheme="minorHAnsi"/>
          <w:sz w:val="24"/>
          <w:szCs w:val="24"/>
        </w:rPr>
        <w:t>o ensure the integrity of the guidelines</w:t>
      </w:r>
      <w:r>
        <w:rPr>
          <w:rFonts w:cstheme="minorHAnsi"/>
          <w:sz w:val="24"/>
          <w:szCs w:val="24"/>
        </w:rPr>
        <w:t>, g</w:t>
      </w:r>
      <w:r w:rsidRPr="009D2109">
        <w:rPr>
          <w:rFonts w:cstheme="minorHAnsi"/>
          <w:sz w:val="24"/>
          <w:szCs w:val="24"/>
        </w:rPr>
        <w:t xml:space="preserve">uidelines chair (MA) and co-chairs (WA, MSA) </w:t>
      </w:r>
      <w:r w:rsidRPr="00DB11A0">
        <w:rPr>
          <w:rFonts w:cstheme="minorHAnsi"/>
          <w:sz w:val="24"/>
          <w:szCs w:val="24"/>
        </w:rPr>
        <w:t xml:space="preserve">reviewed </w:t>
      </w:r>
      <w:r>
        <w:rPr>
          <w:rFonts w:cstheme="minorHAnsi"/>
          <w:sz w:val="24"/>
          <w:szCs w:val="24"/>
        </w:rPr>
        <w:t xml:space="preserve">all disclosures and adjudicated any potential conflicts </w:t>
      </w:r>
      <w:r w:rsidRPr="00DB11A0">
        <w:rPr>
          <w:rFonts w:cstheme="minorHAnsi"/>
          <w:sz w:val="24"/>
          <w:szCs w:val="24"/>
        </w:rPr>
        <w:t xml:space="preserve">prior to </w:t>
      </w:r>
      <w:r>
        <w:rPr>
          <w:rFonts w:cstheme="minorHAnsi"/>
          <w:sz w:val="24"/>
          <w:szCs w:val="24"/>
        </w:rPr>
        <w:t>assigning panel members to different subgroups according to guidelines questions</w:t>
      </w:r>
      <w:r w:rsidRPr="00DB11A0">
        <w:rPr>
          <w:rFonts w:cstheme="minorHAnsi"/>
          <w:sz w:val="24"/>
          <w:szCs w:val="24"/>
        </w:rPr>
        <w:t xml:space="preserve">. </w:t>
      </w:r>
      <w:r w:rsidRPr="006A2D97">
        <w:rPr>
          <w:rFonts w:cstheme="minorHAnsi"/>
          <w:sz w:val="24"/>
          <w:szCs w:val="24"/>
        </w:rPr>
        <w:t>These included financial,</w:t>
      </w:r>
      <w:r>
        <w:rPr>
          <w:rFonts w:cstheme="minorHAnsi"/>
          <w:sz w:val="24"/>
          <w:szCs w:val="24"/>
        </w:rPr>
        <w:t xml:space="preserve"> </w:t>
      </w:r>
      <w:r w:rsidRPr="006A2D97">
        <w:rPr>
          <w:rFonts w:cstheme="minorHAnsi"/>
          <w:sz w:val="24"/>
          <w:szCs w:val="24"/>
        </w:rPr>
        <w:t>intellectual, and personal COI.</w:t>
      </w:r>
      <w:r>
        <w:rPr>
          <w:rFonts w:cstheme="minorHAnsi"/>
          <w:sz w:val="24"/>
          <w:szCs w:val="24"/>
        </w:rPr>
        <w:t xml:space="preserve"> </w:t>
      </w:r>
      <w:r w:rsidRPr="006A2D97">
        <w:rPr>
          <w:rFonts w:eastAsia="Times New Roman" w:cstheme="minorHAnsi"/>
          <w:color w:val="000000"/>
          <w:sz w:val="24"/>
          <w:szCs w:val="24"/>
        </w:rPr>
        <w:t>Direct</w:t>
      </w:r>
      <w:r w:rsidRPr="00DB11A0">
        <w:rPr>
          <w:rFonts w:cstheme="minorHAnsi"/>
          <w:sz w:val="24"/>
          <w:szCs w:val="24"/>
        </w:rPr>
        <w:t xml:space="preserve"> financial and industry-related COI were not permitted. </w:t>
      </w:r>
      <w:r>
        <w:rPr>
          <w:rFonts w:cstheme="minorHAnsi"/>
          <w:sz w:val="24"/>
          <w:szCs w:val="24"/>
        </w:rPr>
        <w:t>We defined i</w:t>
      </w:r>
      <w:r w:rsidRPr="00DB11A0">
        <w:rPr>
          <w:rFonts w:cstheme="minorHAnsi"/>
          <w:sz w:val="24"/>
          <w:szCs w:val="24"/>
        </w:rPr>
        <w:t xml:space="preserve">ntellectual COI as leading clinical </w:t>
      </w:r>
      <w:r>
        <w:rPr>
          <w:rFonts w:cstheme="minorHAnsi"/>
          <w:sz w:val="24"/>
          <w:szCs w:val="24"/>
        </w:rPr>
        <w:t>research</w:t>
      </w:r>
      <w:r w:rsidRPr="00DB11A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that is directly </w:t>
      </w:r>
      <w:r w:rsidRPr="00DB11A0">
        <w:rPr>
          <w:rFonts w:cstheme="minorHAnsi"/>
          <w:sz w:val="24"/>
          <w:szCs w:val="24"/>
        </w:rPr>
        <w:t xml:space="preserve">relevant to </w:t>
      </w:r>
      <w:r>
        <w:rPr>
          <w:rFonts w:cstheme="minorHAnsi"/>
          <w:sz w:val="24"/>
          <w:szCs w:val="24"/>
        </w:rPr>
        <w:t>a given</w:t>
      </w:r>
      <w:r w:rsidRPr="00DB11A0">
        <w:rPr>
          <w:rFonts w:cstheme="minorHAnsi"/>
          <w:sz w:val="24"/>
          <w:szCs w:val="24"/>
        </w:rPr>
        <w:t xml:space="preserve"> recommendation</w:t>
      </w:r>
      <w:r>
        <w:rPr>
          <w:rFonts w:cstheme="minorHAnsi"/>
          <w:sz w:val="24"/>
          <w:szCs w:val="24"/>
        </w:rPr>
        <w:t>/topic</w:t>
      </w:r>
      <w:r w:rsidRPr="00DB11A0">
        <w:rPr>
          <w:rFonts w:cstheme="minorHAnsi"/>
          <w:sz w:val="24"/>
          <w:szCs w:val="24"/>
        </w:rPr>
        <w:t>. Panel members</w:t>
      </w:r>
      <w:r>
        <w:rPr>
          <w:rFonts w:cstheme="minorHAnsi"/>
          <w:sz w:val="24"/>
          <w:szCs w:val="24"/>
        </w:rPr>
        <w:t xml:space="preserve"> with possible intellectual COI</w:t>
      </w:r>
      <w:r w:rsidRPr="00DB11A0">
        <w:rPr>
          <w:rFonts w:cstheme="minorHAnsi"/>
          <w:sz w:val="24"/>
          <w:szCs w:val="24"/>
        </w:rPr>
        <w:t xml:space="preserve"> were not permitted to vote on </w:t>
      </w:r>
      <w:r>
        <w:rPr>
          <w:rFonts w:cstheme="minorHAnsi"/>
          <w:sz w:val="24"/>
          <w:szCs w:val="24"/>
        </w:rPr>
        <w:t xml:space="preserve">corresponding </w:t>
      </w:r>
      <w:r w:rsidRPr="00DB11A0">
        <w:rPr>
          <w:rFonts w:cstheme="minorHAnsi"/>
          <w:sz w:val="24"/>
          <w:szCs w:val="24"/>
        </w:rPr>
        <w:t>recommendations.</w:t>
      </w:r>
      <w:r w:rsidRPr="00016A97">
        <w:t xml:space="preserve"> </w:t>
      </w:r>
      <w:r w:rsidRPr="00016A97">
        <w:rPr>
          <w:rFonts w:cstheme="minorHAnsi"/>
          <w:sz w:val="24"/>
          <w:szCs w:val="24"/>
        </w:rPr>
        <w:t>All reported/adjudicated COIs were secondary and were managed in accordance with</w:t>
      </w:r>
      <w:r>
        <w:rPr>
          <w:rFonts w:cstheme="minorHAnsi"/>
          <w:sz w:val="24"/>
          <w:szCs w:val="24"/>
        </w:rPr>
        <w:t xml:space="preserve"> the</w:t>
      </w:r>
      <w:r w:rsidRPr="00016A9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Saudi Critical Care Society</w:t>
      </w:r>
      <w:r w:rsidRPr="00016A97">
        <w:rPr>
          <w:rFonts w:cstheme="minorHAnsi"/>
          <w:sz w:val="24"/>
          <w:szCs w:val="24"/>
        </w:rPr>
        <w:t xml:space="preserve"> COI policy</w:t>
      </w:r>
      <w:r>
        <w:rPr>
          <w:rFonts w:cstheme="minorHAnsi"/>
          <w:sz w:val="24"/>
          <w:szCs w:val="24"/>
        </w:rPr>
        <w:t xml:space="preserve"> and </w:t>
      </w:r>
      <w:r w:rsidRPr="000064A1">
        <w:t>guiding principles</w:t>
      </w:r>
      <w:r>
        <w:t xml:space="preserve"> for disclosure of COI (1-5).</w:t>
      </w:r>
    </w:p>
    <w:p w:rsidR="00040247" w:rsidRDefault="00040247" w:rsidP="00040247">
      <w:pPr>
        <w:autoSpaceDE w:val="0"/>
        <w:autoSpaceDN w:val="0"/>
        <w:adjustRightInd w:val="0"/>
        <w:spacing w:after="0" w:line="480" w:lineRule="auto"/>
        <w:ind w:right="-338"/>
        <w:rPr>
          <w:rFonts w:cstheme="minorHAnsi"/>
          <w:b/>
          <w:bCs/>
          <w:sz w:val="24"/>
          <w:szCs w:val="24"/>
        </w:rPr>
      </w:pPr>
    </w:p>
    <w:p w:rsidR="00040247" w:rsidRDefault="00040247" w:rsidP="00040247">
      <w:pPr>
        <w:autoSpaceDE w:val="0"/>
        <w:autoSpaceDN w:val="0"/>
        <w:adjustRightInd w:val="0"/>
        <w:spacing w:after="0" w:line="480" w:lineRule="auto"/>
        <w:ind w:right="-338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Pertinent COI and r</w:t>
      </w:r>
      <w:r w:rsidRPr="009D2109">
        <w:rPr>
          <w:rFonts w:cstheme="minorHAnsi"/>
          <w:b/>
          <w:bCs/>
          <w:sz w:val="24"/>
          <w:szCs w:val="24"/>
        </w:rPr>
        <w:t xml:space="preserve">esolution </w:t>
      </w:r>
      <w:r>
        <w:rPr>
          <w:rFonts w:cstheme="minorHAnsi"/>
          <w:b/>
          <w:bCs/>
          <w:sz w:val="24"/>
          <w:szCs w:val="24"/>
        </w:rPr>
        <w:t xml:space="preserve">of COI: </w:t>
      </w:r>
      <w:r w:rsidRPr="009D2109">
        <w:rPr>
          <w:rFonts w:cstheme="minorHAnsi"/>
          <w:sz w:val="24"/>
          <w:szCs w:val="24"/>
        </w:rPr>
        <w:t>YA is a principal</w:t>
      </w:r>
      <w:r w:rsidRPr="00F17FF2">
        <w:rPr>
          <w:rFonts w:cstheme="minorHAnsi"/>
          <w:sz w:val="24"/>
          <w:szCs w:val="24"/>
        </w:rPr>
        <w:t xml:space="preserve"> investigator for US Screening </w:t>
      </w:r>
      <w:r>
        <w:rPr>
          <w:rFonts w:cstheme="minorHAnsi"/>
          <w:sz w:val="24"/>
          <w:szCs w:val="24"/>
        </w:rPr>
        <w:t>trial</w:t>
      </w:r>
      <w:r w:rsidRPr="00F17FF2">
        <w:rPr>
          <w:rFonts w:cstheme="minorHAnsi"/>
          <w:sz w:val="24"/>
          <w:szCs w:val="24"/>
        </w:rPr>
        <w:t xml:space="preserve"> (DETECT-NCT05112705),</w:t>
      </w:r>
      <w:r>
        <w:rPr>
          <w:rFonts w:cstheme="minorHAnsi"/>
          <w:sz w:val="24"/>
          <w:szCs w:val="24"/>
        </w:rPr>
        <w:t xml:space="preserve"> </w:t>
      </w:r>
      <w:r w:rsidRPr="00F17FF2">
        <w:rPr>
          <w:rFonts w:cstheme="minorHAnsi"/>
          <w:sz w:val="24"/>
          <w:szCs w:val="24"/>
        </w:rPr>
        <w:t xml:space="preserve">PREVENT </w:t>
      </w:r>
      <w:r>
        <w:rPr>
          <w:rFonts w:cstheme="minorHAnsi"/>
          <w:sz w:val="24"/>
          <w:szCs w:val="24"/>
        </w:rPr>
        <w:t>trial</w:t>
      </w:r>
      <w:r w:rsidRPr="00F17FF2">
        <w:rPr>
          <w:rFonts w:cstheme="minorHAnsi"/>
          <w:sz w:val="24"/>
          <w:szCs w:val="24"/>
        </w:rPr>
        <w:t xml:space="preserve"> (NCT02040103) and PREVENT sub-study. </w:t>
      </w:r>
      <w:r>
        <w:rPr>
          <w:rFonts w:cstheme="minorHAnsi"/>
          <w:sz w:val="24"/>
          <w:szCs w:val="24"/>
        </w:rPr>
        <w:t>This was considered as i</w:t>
      </w:r>
      <w:r w:rsidRPr="00DB11A0">
        <w:rPr>
          <w:rFonts w:cstheme="minorHAnsi"/>
          <w:sz w:val="24"/>
          <w:szCs w:val="24"/>
        </w:rPr>
        <w:t>ntellectual COI</w:t>
      </w:r>
      <w:r>
        <w:rPr>
          <w:rFonts w:cstheme="minorHAnsi"/>
          <w:sz w:val="24"/>
          <w:szCs w:val="24"/>
        </w:rPr>
        <w:t xml:space="preserve"> and resolved by a</w:t>
      </w:r>
      <w:r w:rsidRPr="009D2109">
        <w:rPr>
          <w:rFonts w:cstheme="minorHAnsi"/>
          <w:sz w:val="24"/>
          <w:szCs w:val="24"/>
        </w:rPr>
        <w:t>bstaining from voting on a matter related to the conflict</w:t>
      </w:r>
      <w:r>
        <w:rPr>
          <w:rFonts w:cstheme="minorHAnsi"/>
          <w:sz w:val="24"/>
          <w:szCs w:val="24"/>
        </w:rPr>
        <w:t xml:space="preserve">. </w:t>
      </w:r>
    </w:p>
    <w:p w:rsidR="00040247" w:rsidRDefault="00040247" w:rsidP="00040247">
      <w:pPr>
        <w:autoSpaceDE w:val="0"/>
        <w:autoSpaceDN w:val="0"/>
        <w:adjustRightInd w:val="0"/>
        <w:spacing w:after="0" w:line="480" w:lineRule="auto"/>
        <w:ind w:right="-33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Pr="00DC5D33">
        <w:rPr>
          <w:rFonts w:cstheme="minorHAnsi"/>
          <w:sz w:val="24"/>
          <w:szCs w:val="24"/>
        </w:rPr>
        <w:t xml:space="preserve">he remaining </w:t>
      </w:r>
      <w:r>
        <w:rPr>
          <w:rFonts w:cstheme="minorHAnsi"/>
          <w:sz w:val="24"/>
          <w:szCs w:val="24"/>
        </w:rPr>
        <w:t>panel members</w:t>
      </w:r>
      <w:r w:rsidRPr="00DC5D33">
        <w:rPr>
          <w:rFonts w:cstheme="minorHAnsi"/>
          <w:sz w:val="24"/>
          <w:szCs w:val="24"/>
        </w:rPr>
        <w:t xml:space="preserve"> declare that they have no competing interests</w:t>
      </w:r>
      <w:r>
        <w:rPr>
          <w:rFonts w:cstheme="minorHAnsi"/>
          <w:sz w:val="24"/>
          <w:szCs w:val="24"/>
        </w:rPr>
        <w:t xml:space="preserve">. </w:t>
      </w:r>
      <w:r w:rsidRPr="004E7440">
        <w:rPr>
          <w:rFonts w:cstheme="minorHAnsi"/>
          <w:sz w:val="24"/>
          <w:szCs w:val="24"/>
        </w:rPr>
        <w:t>All panelists without COI have the opportunity to provide input on the final recommendations.</w:t>
      </w:r>
      <w:r w:rsidRPr="004E7440">
        <w:t xml:space="preserve"> </w:t>
      </w:r>
      <w:r>
        <w:t xml:space="preserve">We defined </w:t>
      </w:r>
      <w:r>
        <w:rPr>
          <w:rFonts w:cstheme="minorHAnsi"/>
          <w:sz w:val="24"/>
          <w:szCs w:val="24"/>
        </w:rPr>
        <w:t>c</w:t>
      </w:r>
      <w:r w:rsidRPr="004E7440">
        <w:rPr>
          <w:rFonts w:cstheme="minorHAnsi"/>
          <w:sz w:val="24"/>
          <w:szCs w:val="24"/>
        </w:rPr>
        <w:t xml:space="preserve">onsensus </w:t>
      </w:r>
      <w:r>
        <w:rPr>
          <w:rFonts w:cstheme="minorHAnsi"/>
          <w:sz w:val="24"/>
          <w:szCs w:val="24"/>
        </w:rPr>
        <w:t>as</w:t>
      </w:r>
      <w:r w:rsidRPr="004E7440">
        <w:rPr>
          <w:rFonts w:cstheme="minorHAnsi"/>
          <w:sz w:val="24"/>
          <w:szCs w:val="24"/>
        </w:rPr>
        <w:t xml:space="preserve"> ≥ 80% agreement rate and ≥ 7</w:t>
      </w:r>
      <w:r>
        <w:rPr>
          <w:rFonts w:cstheme="minorHAnsi"/>
          <w:sz w:val="24"/>
          <w:szCs w:val="24"/>
        </w:rPr>
        <w:t>5</w:t>
      </w:r>
      <w:r w:rsidRPr="004E7440">
        <w:rPr>
          <w:rFonts w:cstheme="minorHAnsi"/>
          <w:sz w:val="24"/>
          <w:szCs w:val="24"/>
        </w:rPr>
        <w:t>% response rate.</w:t>
      </w:r>
      <w:r>
        <w:rPr>
          <w:rFonts w:cstheme="minorHAnsi"/>
          <w:sz w:val="24"/>
          <w:szCs w:val="24"/>
        </w:rPr>
        <w:t xml:space="preserve"> </w:t>
      </w:r>
      <w:r w:rsidRPr="003240E8">
        <w:rPr>
          <w:rFonts w:cstheme="minorHAnsi"/>
          <w:sz w:val="24"/>
          <w:szCs w:val="24"/>
        </w:rPr>
        <w:t xml:space="preserve">Voters could provide </w:t>
      </w:r>
      <w:r w:rsidRPr="003240E8">
        <w:rPr>
          <w:rFonts w:cstheme="minorHAnsi"/>
          <w:sz w:val="24"/>
          <w:szCs w:val="24"/>
        </w:rPr>
        <w:lastRenderedPageBreak/>
        <w:t xml:space="preserve">feedback for consideration in revising statements that did not receive consensus in up to three rounds of voting. However, we achieved approval </w:t>
      </w:r>
      <w:r>
        <w:rPr>
          <w:rFonts w:cstheme="minorHAnsi"/>
          <w:sz w:val="24"/>
          <w:szCs w:val="24"/>
        </w:rPr>
        <w:t xml:space="preserve">and agreement </w:t>
      </w:r>
      <w:r w:rsidRPr="003240E8">
        <w:rPr>
          <w:rFonts w:cstheme="minorHAnsi"/>
          <w:sz w:val="24"/>
          <w:szCs w:val="24"/>
        </w:rPr>
        <w:t>on all recommendations after a single round of voting.</w:t>
      </w:r>
    </w:p>
    <w:p w:rsidR="00040247" w:rsidRPr="00DA2870" w:rsidRDefault="00040247" w:rsidP="00040247">
      <w:pPr>
        <w:rPr>
          <w:rFonts w:cstheme="minorHAnsi"/>
          <w:sz w:val="24"/>
          <w:szCs w:val="24"/>
        </w:rPr>
      </w:pPr>
    </w:p>
    <w:tbl>
      <w:tblPr>
        <w:tblW w:w="15030" w:type="dxa"/>
        <w:tblInd w:w="-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13862"/>
      </w:tblGrid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Panel Member</w:t>
            </w:r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CoI</w:t>
            </w:r>
            <w:proofErr w:type="spellEnd"/>
            <w:r w:rsidRPr="00DA287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link</w:t>
            </w:r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Faisal Al-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Suwaidan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7" w:anchor="who-coi-preview/p_wzk505_40dca86f-6cb6-47bb-9233-73763ee4982a_7b780f12-134b-4b43-ac31-7f1d13793421_79eba7dc-5718-489d-868a-c3baaf8a28a0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https://gdt.gradepro.org/forms/#who-coi-preview/p_wzk505_40dca86f-6cb6-47bb-9233-73763ee4982a_7b780f12-134b-4b43-ac31-7f1d13793421_79eba7dc-5718-489d-868a-c3baaf8a28a0/sections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Ali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Alaklabi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8" w:anchor="who-coi-preview/p_wzk505_40dca86f-6cb6-47bb-9233-73763ee4982a_844acf86-0895-4afe-9f92-f6ff67b2838a_951f729e-63af-41f4-a14d-1832fca24adc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https://gdt.gradepro.org/forms/#who-coi-preview/p_wzk505_40dca86f-6cb6-47bb-9233-73763ee4982a_844acf86-0895-4afe-9f92-f6ff67b2838a_951f729e-63af-41f4-a14d-1832fca24adc/sections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Muneerah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Albugami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9" w:anchor="who-coi-preview/p_wzk505_40dca86f-6cb6-47bb-9233-73763ee4982a_d5c9ea79-a9de-4136-9546-4c0c6e529b0d_21f20e5e-a7d2-47f5-bbe6-691ebed40d5a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https://gdt.gradepro.org/forms/#who-coi-preview/p_wzk505_40dca86f-6cb6-47bb-9233-73763ee4982a_d5c9ea79-a9de-4136-9546-4c0c6e529b0d_21f20e5e-a7d2-47f5-bbe6-691ebed40d5a/sections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Ahmed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Aljedai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0" w:anchor="who-coi-preview/p_wzk505_40dca86f-6cb6-47bb-9233-73763ee4982a_2c30f0d2-c722-473c-a0db-707b7a57987c_cbedb776-3496-4819-863e-da931d9cc0a9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https://gdt.gradepro.org/forms/#who-coi-preview/p_wzk505_40dca86f-6cb6-47bb-9233-73763ee4982a_2c30f0d2-c722-473c-a0db-707b7a57987c_cbedb776-3496-4819-863e-da931d9cc0a9/sections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Hosam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Aljehani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1" w:anchor="who-coi-preview/p_wzk505_40dca86f-6cb6-47bb-9233-73763ee4982a_727e4ea9-27d9-4acf-bdc6-da877e2bd4f5_facc0449-8e97-4806-b65a-09cce0d1fe95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https://gdt.gradepro.org/forms/#who-coi-preview/p_wzk505_40dca86f-6cb6-47bb-9233-73763ee4982a_727e4ea9-27d9-4acf-bdc6-da877e2bd4f5_facc0449-8e97-4806-b65a-09cce0d1fe95/sections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Maha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Aljuaid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2" w:anchor="who-coi-preview/p_wzk505_40dca86f-6cb6-47bb-9233-73763ee4982a_a6282bf2-4d31-43c8-8d92-0a60023ce862_93fcc38f-1076-4b62-8dea-b84c4bf7bb93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https://gdt.gradepro.org/forms/#who-coi-preview/p_wzk505_40dca86f-6cb6-47bb-9233-73763ee4982a_a6282bf2-4d31-43c8-8d92-0a60023ce862_93fcc38f-1076-4b62-8dea-b84c4bf7bb93/sections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Mohammad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Alsenani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3" w:anchor="who-coi-preview/p_wzk505_40dca86f-6cb6-47bb-9233-73763ee4982a_66cdca38-8cb5-4be6-8ea2-c7f8695726ee_7cd9c91e-4f41-4605-a01c-60d43072320e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https://gdt.gradepro.org/forms/#who-coi-preview/p_wzk505_40dca86f-6cb6-47bb-9233-73763ee4982a_66cdca38-8cb5-4be6-8ea2-c7f8695726ee_7cd9c91e-4f41-4605-a01c-60d43072320e/sections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Mohammed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Alshahrani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4" w:anchor="who-coi-preview/p_wzk505_40dca86f-6cb6-47bb-9233-73763ee4982a_a44eec89-c959-4ce1-a6be-2055e9d3072d_47e533ec-0db6-4195-aa0f-ce4583edfd11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https://gdt.gradepro.org/forms/#who-coi-preview/p_wzk505_40dca86f-6cb6-47bb-9233-73763ee4982a_a44eec89-c959-4ce1-a6be-2055e9d3072d_47e533ec-0db6-4195-aa0f-ce4583edfd11/sections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Thamer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Alshammary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5" w:anchor="who-coi-preview/p_wzk505_40dca86f-6cb6-47bb-9233-73763ee4982a_5cf07279-d127-43d1-a33b-64f6be1913a9_096a7f3e-a5ac-45bb-a1ca-eab31813b265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https://gdt.gradepro.org/forms/#who-coi-preview/p_wzk505_40dca86f-6cb6-47bb-9233-73763ee4982a_5cf07279-d127-43d1-a33b-64f6be1913a9_096a7f3e-a5ac-45bb-a1ca-eab31813b265/sections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Abdulaziz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Alsharydah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6" w:anchor="who-coi-preview/p_wzk505_40dca86f-6cb6-47bb-9233-73763ee4982a_4dea45cf-0ccb-47df-8c89-7239af23f64d_d214ecc1-2d62-494f-a228-dd00b954f42c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https://gdt.gradepro.org/forms/#who-coi-preview/p_wzk505_40dca86f-6cb6-47bb-9233-73763ee4982a_4dea45cf-0ccb-47df-8c89-7239af23f64d_d214ecc1-2d62-494f-a228-dd00b954f42c/sections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Norah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Alsubaie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7" w:anchor="who-coi-preview/p_wzk505_40dca86f-6cb6-47bb-9233-73763ee4982a_2acdf406-3649-4543-aa42-e3fc2a8292dc_ea792c42-666e-40cf-8321-783caeae2b1a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https://gdt.gradepro.org/forms/#who-coi-preview/p_wzk505_40dca86f-6cb6-47bb-9233-73763ee4982a_2acdf406-3649-4543-aa42-e3fc2a8292dc_ea792c42-666e-40cf-8321-783caeae2b1a/sections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Marwa Amer</w:t>
            </w:r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8" w:anchor="who-coi-preview/p_wzk505_40dca86f-6cb6-47bb-9233-73763ee4982a_8fea6bee-d4c2-4ed4-865b-95be35021593_5b2dd861-cc60-4df4-aad0-249efb77e97c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https://gdt.gradepro.org/forms/#who-coi-preview/p_wzk505_40dca86f-6cb6-47bb-9233-73763ee4982a_8fea6bee-d4c2-4ed4-865b-95be35021593_5b2dd861-cc60-4df4-aad0-249efb77e97c/sections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Yaseen Arabi</w:t>
            </w:r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19" w:anchor="who-coi-preview/p_wzk505_40dca86f-6cb6-47bb-9233-73763ee4982a_6a7456c1-bf5f-4594-9e59-3998aba98273_1ba9d166-3caa-4b65-8456-b954afcf43ca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https://gdt.gradepro.org/forms/#who-coi-preview/p_wzk505_40dca86f-6cb6-47bb-9233-73763ee4982a_6a7456c1-bf5f-4594-9e59-3998aba98273_1ba9d166-3caa-4b65-8456-b954afcf43ca/sections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Samaher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Hashim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0" w:anchor="who-coi-preview/p_wzk505_40dca86f-6cb6-47bb-9233-73763ee4982a_ee75e123-c4a6-4b2f-881c-791845519e63_61cf95fd-1ad4-4bef-a3ad-df6e77c8f5b8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https://gdt.gradepro.org/forms/#who-coi-preview/p_wzk505_40dca86f-6cb6-47bb-9233-73763ee4982a_ee75e123-c4a6-4b2f-881c-791845519e63_61cf95fd-1ad4-4bef-a3ad-df6e77c8f5b8/sections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Nadia Ismail</w:t>
            </w:r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1" w:anchor="who-coi-preview/p_wzk505_40dca86f-6cb6-47bb-9233-73763ee4982a_93ec9432-9258-4dd8-88bf-bf920ed566bf_46899f52-fc84-4f4e-a7c6-f912aa312a20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https://gdt.gradepro.org/forms/#who-coi-preview/p_wzk505_40dca86f-6cb6-47bb-9233-73763ee4982a_93ec9432-9258-4dd8-88bf-bf920ed566bf_46899f52-fc84-4f4e-a7c6-f912aa312a20/sections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Hassan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Mashbari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2" w:anchor="who-coi-preview/p_wzk505_40dca86f-6cb6-47bb-9233-73763ee4982a_4d472406-e1cb-46f4-be8e-f6c8873e5087_dc8e1181-b34f-421a-98aa-fb490217743e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https://gdt.gradepro.org/forms/#who-coi-preview/p_wzk505_40dca86f-6cb6-47bb-9233-73763ee4982a_4d472406-e1cb-46f4-be8e-f6c8873e5087_dc8e1181-b34f-421a-98aa-fb490217743e/sections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Thamer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Nouh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3" w:anchor="who-coi-preview/p_wzk505_40dca86f-6cb6-47bb-9233-73763ee4982a_e6b6a081-8bd5-407c-a1e0-7c3a48cf289c_6a9980dc-5f8a-4362-8470-d9db91ffde19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https://gdt.gradepro.org/forms/#who-coi-preview/p_wzk505_40dca86f-6cb6-47bb-9233-73763ee4982a_e6b6a081-8bd5-407c-a1e0-7c3a48cf289c_6a9980dc-5f8a-4362-8470-d9db91ffde19/sections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Alqahtani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Saad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4" w:anchor="who-coi-preview/p_wzk505_40dca86f-6cb6-47bb-9233-73763ee4982a_028f4938-d15d-4694-8844-54571c741fd1_714d7a07-cbc8-49b2-be76-75dc23cf8a0b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https://gdt.gradepro.org/forms/#who-coi-preview/p_wzk505_40dca86f-6cb6-47bb-9233-73763ee4982a_028f4938-d15d-4694-8844-54571c741fd1_714d7a07-cbc8-49b2-be76-75dc23cf8a0b/sections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Wail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Tashkandi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5" w:anchor="who-coi-preview/p_wzk505_40dca86f-6cb6-47bb-9233-73763ee4982a_0add1bc7-7dda-4a78-9aca-651349f1dec3_248c049f-f3af-4e9a-bf12-ab1af9351007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https://gdt.gradepro.org/forms/#who-coi-preview/p_wzk505_40dca86f-6cb6-47bb-9233-73763ee4982a_0add1bc7-7dda-4a78-9aca-651349f1dec3_248c049f-f3af-4e9a-bf12-ab1af9351007/sections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Haifa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algethamy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6" w:anchor="who-coi-preview/p_wzk505_40dca86f-6cb6-47bb-9233-73763ee4982a_16d2c875-4b5b-4945-8ec6-43e81d75e973_fee4c389-7eea-455e-ac5f-6909914ae2fa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https://gdt.gradepro.org/forms/#who-coi-preview/p_wzk505_40dca86f-6cb6-47bb-9233-73763ee4982a_16d2c875-4b5b-4945-8ec6-43e81d75e973_fee4c389-7eea-455e-ac5f-6909914ae2fa/sections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Hassan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alshaqaq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7" w:anchor="who-coi-preview/p_wzk505_40dca86f-6cb6-47bb-9233-73763ee4982a_eef6e93a-22a6-4bd7-a26e-a347b16c85f1_5100e2cd-d7ce-40af-be53-036368a51f57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https://gdt.gradepro.org/forms/#who-coi-preview/p_wzk505_40dca86f-6cb6-47bb-9233-73763ee4982a_eef6e93a-22a6-4bd7-a26e-a347b16c85f1_5100e2cd-d7ce-40af-be53-036368a51f57/sections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Alyaa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elhazmi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8" w:anchor="who-coi-preview/p_wzk505_40dca86f-6cb6-47bb-9233-73763ee4982a_c276ec17-4453-4370-8d6b-b52d40562b49_3de29dcd-c243-4c6c-ba9e-d485b74e0b77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https://gdt.gradepro.org/forms/#who-coi-preview/p_wzk505_40dca86f-6cb6-47bb-9233-73763ee4982a_c276ec17-4453-4370-8d6b-b52d40562b49_3de29dcd-c243-4c6c-ba9e-d485b74e0b77/sections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Khalid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maghrabi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29" w:anchor="who-coi-preview/p_wzk505_40dca86f-6cb6-47bb-9233-73763ee4982a_6e030270-7268-4bdc-88bc-465b9011b7fa_37038b6d-3c81-41fd-9c37-95f185e18e50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https://gdt.gradepro.org/forms/#who-coi-preview/p_wzk505_40dca86f-6cb6-47bb-9233-73763ee4982a_6e030270-7268-4bdc-88bc-465b9011b7fa_37038b6d-3c81-41fd-9c37-95f185e18e50/sections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ahmed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nahhas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30" w:anchor="who-coi-preview/p_wzk505_40dca86f-6cb6-47bb-9233-73763ee4982a_dbd9df0c-b154-44c2-9b49-ba851c39eaac_5b56a642-024c-4e0f-9b9c-dac5ce857e2d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https://gdt.gradepro.org/forms/#who-coi-preview/p_wzk505_40dca86f-6cb6-47bb-9233-73763ee4982a_dbd9df0c-b154-44c2-9b49-ba851c39eaac_5b56a642-024c-4e0f-9b9c-dac5ce857e2d/sections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Esraa</w:t>
            </w:r>
            <w:proofErr w:type="spellEnd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taweel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31" w:anchor="who-coi-preview/p_wzk505_40dca86f-6cb6-47bb-9233-73763ee4982a_63d11c5f-75c2-4a91-b845-296ff00bf147_b1bc3291-7607-48ab-88b0-64cc6e923f59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https://gdt.gradepro.org/forms/#who-coi-preview/p_wzk505_40dca86f-6cb6-47bb-9233-73763ee4982a_63d11c5f-75c2-4a91-b845-296ff00bf147_b1bc3291-7607-48ab-88b0-64cc6e923f59/sections</w:t>
              </w:r>
            </w:hyperlink>
          </w:p>
        </w:tc>
      </w:tr>
      <w:tr w:rsidR="00040247" w:rsidRPr="00DA2870" w:rsidTr="001E4749">
        <w:trPr>
          <w:trHeight w:val="315"/>
        </w:trPr>
        <w:tc>
          <w:tcPr>
            <w:tcW w:w="1168" w:type="dxa"/>
            <w:shd w:val="clear" w:color="auto" w:fill="auto"/>
            <w:noWrap/>
            <w:vAlign w:val="bottom"/>
            <w:hideMark/>
          </w:tcPr>
          <w:p w:rsidR="00040247" w:rsidRPr="00DA2870" w:rsidRDefault="00040247" w:rsidP="001E47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waleed.al-</w:t>
            </w:r>
            <w:proofErr w:type="spellStart"/>
            <w:r w:rsidRPr="00DA2870">
              <w:rPr>
                <w:rFonts w:eastAsia="Times New Roman" w:cstheme="minorHAnsi"/>
                <w:color w:val="000000"/>
                <w:sz w:val="24"/>
                <w:szCs w:val="24"/>
              </w:rPr>
              <w:t>hazzani</w:t>
            </w:r>
            <w:proofErr w:type="spellEnd"/>
          </w:p>
        </w:tc>
        <w:tc>
          <w:tcPr>
            <w:tcW w:w="13862" w:type="dxa"/>
            <w:shd w:val="clear" w:color="auto" w:fill="auto"/>
            <w:noWrap/>
            <w:vAlign w:val="bottom"/>
            <w:hideMark/>
          </w:tcPr>
          <w:p w:rsidR="00040247" w:rsidRPr="00DA2870" w:rsidRDefault="00647F6C" w:rsidP="001E4749">
            <w:pPr>
              <w:spacing w:after="0" w:line="240" w:lineRule="auto"/>
              <w:rPr>
                <w:rFonts w:eastAsia="Times New Roman" w:cstheme="minorHAnsi"/>
                <w:color w:val="0000FF"/>
                <w:sz w:val="24"/>
                <w:szCs w:val="24"/>
                <w:u w:val="single"/>
              </w:rPr>
            </w:pPr>
            <w:hyperlink r:id="rId32" w:anchor="who-coi-preview/p_wzk505_40dca86f-6cb6-47bb-9233-73763ee4982a_1ce16e0f-3080-4bac-95f3-1331cb1b047d_4ce236b2-63dd-477e-961e-1a4a6fe05197/sections" w:history="1">
              <w:r w:rsidR="00040247" w:rsidRPr="00DA2870">
                <w:rPr>
                  <w:rFonts w:eastAsia="Times New Roman" w:cstheme="minorHAnsi"/>
                  <w:color w:val="0000FF"/>
                  <w:sz w:val="24"/>
                  <w:szCs w:val="24"/>
                  <w:u w:val="single"/>
                </w:rPr>
                <w:t>https://gdt.gradepro.org/forms/#who-coi-preview/p_wzk505_40dca86f-6cb6-47bb-9233-73763ee4982a_1ce16e0f-3080-4bac-95f3-1331cb1b047d_4ce236b2-63dd-477e-961e-1a4a6fe05197/sections</w:t>
              </w:r>
            </w:hyperlink>
          </w:p>
        </w:tc>
      </w:tr>
    </w:tbl>
    <w:p w:rsidR="00040247" w:rsidRDefault="00040247" w:rsidP="00040247">
      <w:pPr>
        <w:tabs>
          <w:tab w:val="left" w:pos="2607"/>
        </w:tabs>
        <w:rPr>
          <w:rFonts w:cstheme="minorHAnsi"/>
          <w:sz w:val="24"/>
          <w:szCs w:val="24"/>
        </w:rPr>
      </w:pPr>
    </w:p>
    <w:p w:rsidR="00040247" w:rsidRPr="00625A03" w:rsidRDefault="00040247" w:rsidP="00040247">
      <w:pPr>
        <w:rPr>
          <w:rFonts w:cstheme="minorHAnsi"/>
          <w:b/>
          <w:bCs/>
          <w:sz w:val="24"/>
          <w:szCs w:val="24"/>
        </w:rPr>
      </w:pPr>
      <w:r w:rsidRPr="00625A03">
        <w:rPr>
          <w:rFonts w:cstheme="minorHAnsi"/>
          <w:b/>
          <w:bCs/>
          <w:sz w:val="24"/>
          <w:szCs w:val="24"/>
        </w:rPr>
        <w:lastRenderedPageBreak/>
        <w:t xml:space="preserve">References: </w:t>
      </w:r>
    </w:p>
    <w:p w:rsidR="00040247" w:rsidRPr="000064A1" w:rsidRDefault="00040247" w:rsidP="00040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0064A1">
        <w:rPr>
          <w:rFonts w:cstheme="minorHAnsi"/>
          <w:sz w:val="24"/>
          <w:szCs w:val="24"/>
        </w:rPr>
        <w:t>Traversy</w:t>
      </w:r>
      <w:proofErr w:type="spellEnd"/>
      <w:r w:rsidRPr="000064A1">
        <w:rPr>
          <w:rFonts w:cstheme="minorHAnsi"/>
          <w:sz w:val="24"/>
          <w:szCs w:val="24"/>
        </w:rPr>
        <w:t xml:space="preserve"> G, </w:t>
      </w:r>
      <w:proofErr w:type="spellStart"/>
      <w:r w:rsidRPr="000064A1">
        <w:rPr>
          <w:rFonts w:cstheme="minorHAnsi"/>
          <w:sz w:val="24"/>
          <w:szCs w:val="24"/>
        </w:rPr>
        <w:t>Barnieh</w:t>
      </w:r>
      <w:proofErr w:type="spellEnd"/>
      <w:r w:rsidRPr="000064A1">
        <w:rPr>
          <w:rFonts w:cstheme="minorHAnsi"/>
          <w:sz w:val="24"/>
          <w:szCs w:val="24"/>
        </w:rPr>
        <w:t xml:space="preserve"> L, </w:t>
      </w:r>
      <w:proofErr w:type="spellStart"/>
      <w:r w:rsidRPr="000064A1">
        <w:rPr>
          <w:rFonts w:cstheme="minorHAnsi"/>
          <w:sz w:val="24"/>
          <w:szCs w:val="24"/>
        </w:rPr>
        <w:t>Akl</w:t>
      </w:r>
      <w:proofErr w:type="spellEnd"/>
      <w:r w:rsidRPr="000064A1">
        <w:rPr>
          <w:rFonts w:cstheme="minorHAnsi"/>
          <w:sz w:val="24"/>
          <w:szCs w:val="24"/>
        </w:rPr>
        <w:t xml:space="preserve"> EA, et al. Managing conflicts of interest in the development of health guidelines. CMAJ 2021;193:E49-54.</w:t>
      </w:r>
    </w:p>
    <w:p w:rsidR="00040247" w:rsidRPr="000064A1" w:rsidRDefault="00040247" w:rsidP="00040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0064A1">
        <w:rPr>
          <w:rFonts w:cstheme="minorHAnsi"/>
          <w:sz w:val="24"/>
          <w:szCs w:val="24"/>
        </w:rPr>
        <w:t>Schünemann</w:t>
      </w:r>
      <w:proofErr w:type="spellEnd"/>
      <w:r w:rsidRPr="000064A1">
        <w:rPr>
          <w:rFonts w:cstheme="minorHAnsi"/>
          <w:sz w:val="24"/>
          <w:szCs w:val="24"/>
        </w:rPr>
        <w:t xml:space="preserve"> H, Al-</w:t>
      </w:r>
      <w:proofErr w:type="spellStart"/>
      <w:r w:rsidRPr="000064A1">
        <w:rPr>
          <w:rFonts w:cstheme="minorHAnsi"/>
          <w:sz w:val="24"/>
          <w:szCs w:val="24"/>
        </w:rPr>
        <w:t>Ansary</w:t>
      </w:r>
      <w:proofErr w:type="spellEnd"/>
      <w:r w:rsidRPr="000064A1">
        <w:rPr>
          <w:rFonts w:cstheme="minorHAnsi"/>
          <w:sz w:val="24"/>
          <w:szCs w:val="24"/>
        </w:rPr>
        <w:t xml:space="preserve"> LA, </w:t>
      </w:r>
      <w:proofErr w:type="spellStart"/>
      <w:r w:rsidRPr="000064A1">
        <w:rPr>
          <w:rFonts w:cstheme="minorHAnsi"/>
          <w:sz w:val="24"/>
          <w:szCs w:val="24"/>
        </w:rPr>
        <w:t>Forland</w:t>
      </w:r>
      <w:proofErr w:type="spellEnd"/>
      <w:r w:rsidRPr="000064A1">
        <w:rPr>
          <w:rFonts w:cstheme="minorHAnsi"/>
          <w:sz w:val="24"/>
          <w:szCs w:val="24"/>
        </w:rPr>
        <w:t xml:space="preserve"> F, </w:t>
      </w:r>
      <w:bookmarkStart w:id="0" w:name="_GoBack"/>
      <w:bookmarkEnd w:id="0"/>
      <w:r w:rsidRPr="000064A1">
        <w:rPr>
          <w:rFonts w:cstheme="minorHAnsi"/>
          <w:sz w:val="24"/>
          <w:szCs w:val="24"/>
        </w:rPr>
        <w:t>et al. Guidelines International Network: Principles for disclosure of interests and management of conflicts in guidelines. Ann Int Med 2015; 163:548-553.</w:t>
      </w:r>
    </w:p>
    <w:p w:rsidR="00040247" w:rsidRPr="000064A1" w:rsidRDefault="00040247" w:rsidP="00040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DA2870">
        <w:t>Alhazzani</w:t>
      </w:r>
      <w:proofErr w:type="spellEnd"/>
      <w:r w:rsidRPr="00DA2870">
        <w:t xml:space="preserve"> W, Lewis K, </w:t>
      </w:r>
      <w:proofErr w:type="spellStart"/>
      <w:r w:rsidRPr="00DA2870">
        <w:t>Jaeschke</w:t>
      </w:r>
      <w:proofErr w:type="spellEnd"/>
      <w:r w:rsidRPr="00DA2870">
        <w:t xml:space="preserve"> R, </w:t>
      </w:r>
      <w:proofErr w:type="spellStart"/>
      <w:r w:rsidRPr="00DA2870">
        <w:t>Rochwerg</w:t>
      </w:r>
      <w:proofErr w:type="spellEnd"/>
      <w:r w:rsidRPr="00DA2870">
        <w:t xml:space="preserve"> B, Moller MH, Evans L, et al. Conflicts of interest disclosure forms and management in critical care clinical practice guidelines. Intensive Care Med. 2018;44:1691–8.</w:t>
      </w:r>
    </w:p>
    <w:p w:rsidR="00040247" w:rsidRDefault="00040247" w:rsidP="00040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0064A1">
        <w:rPr>
          <w:rFonts w:cstheme="minorHAnsi"/>
          <w:sz w:val="24"/>
          <w:szCs w:val="24"/>
        </w:rPr>
        <w:t>Agoritsas</w:t>
      </w:r>
      <w:proofErr w:type="spellEnd"/>
      <w:r w:rsidRPr="000064A1">
        <w:rPr>
          <w:rFonts w:cstheme="minorHAnsi"/>
          <w:sz w:val="24"/>
          <w:szCs w:val="24"/>
        </w:rPr>
        <w:t xml:space="preserve"> T, Neumann I, Mendoza C, </w:t>
      </w:r>
      <w:proofErr w:type="spellStart"/>
      <w:r w:rsidRPr="000064A1">
        <w:rPr>
          <w:rFonts w:cstheme="minorHAnsi"/>
          <w:sz w:val="24"/>
          <w:szCs w:val="24"/>
        </w:rPr>
        <w:t>Guyatt</w:t>
      </w:r>
      <w:proofErr w:type="spellEnd"/>
      <w:r w:rsidRPr="000064A1">
        <w:rPr>
          <w:rFonts w:cstheme="minorHAnsi"/>
          <w:sz w:val="24"/>
          <w:szCs w:val="24"/>
        </w:rPr>
        <w:t xml:space="preserve"> GH. Guideline conflict of interest management and methodology heavily impacts on the strength of recommendations: comparison between two iterations of the American College of Chest Physicians Antithrombotic Guidelines. J Clin</w:t>
      </w:r>
      <w:r>
        <w:rPr>
          <w:rFonts w:cstheme="minorHAnsi"/>
          <w:sz w:val="24"/>
          <w:szCs w:val="24"/>
        </w:rPr>
        <w:t xml:space="preserve"> Epidemiol 2017;81:141-143. </w:t>
      </w:r>
    </w:p>
    <w:p w:rsidR="00040247" w:rsidRDefault="00040247" w:rsidP="0004024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0064A1">
        <w:rPr>
          <w:rFonts w:cstheme="minorHAnsi"/>
          <w:sz w:val="24"/>
          <w:szCs w:val="24"/>
        </w:rPr>
        <w:t>Schünemann</w:t>
      </w:r>
      <w:proofErr w:type="spellEnd"/>
      <w:r w:rsidRPr="000064A1">
        <w:rPr>
          <w:rFonts w:cstheme="minorHAnsi"/>
          <w:sz w:val="24"/>
          <w:szCs w:val="24"/>
        </w:rPr>
        <w:t xml:space="preserve"> H, Osborne M, Moss J, et al. An official American Society policy statement: Managing Conflict of Interest in professional societies. Am J Respir Crit Care Med 2009;180:5</w:t>
      </w:r>
      <w:r>
        <w:rPr>
          <w:rFonts w:cstheme="minorHAnsi"/>
          <w:sz w:val="24"/>
          <w:szCs w:val="24"/>
        </w:rPr>
        <w:t xml:space="preserve">64-580. </w:t>
      </w:r>
    </w:p>
    <w:p w:rsidR="000B1ABE" w:rsidRDefault="00647F6C"/>
    <w:sectPr w:rsidR="000B1ABE" w:rsidSect="00040247">
      <w:headerReference w:type="default" r:id="rId3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AF2" w:rsidRDefault="006B3AF2" w:rsidP="00B8719D">
      <w:pPr>
        <w:spacing w:after="0" w:line="240" w:lineRule="auto"/>
      </w:pPr>
      <w:r>
        <w:separator/>
      </w:r>
    </w:p>
  </w:endnote>
  <w:endnote w:type="continuationSeparator" w:id="0">
    <w:p w:rsidR="006B3AF2" w:rsidRDefault="006B3AF2" w:rsidP="00B8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AF2" w:rsidRDefault="006B3AF2" w:rsidP="00B8719D">
      <w:pPr>
        <w:spacing w:after="0" w:line="240" w:lineRule="auto"/>
      </w:pPr>
      <w:r>
        <w:separator/>
      </w:r>
    </w:p>
  </w:footnote>
  <w:footnote w:type="continuationSeparator" w:id="0">
    <w:p w:rsidR="006B3AF2" w:rsidRDefault="006B3AF2" w:rsidP="00B87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19D" w:rsidRPr="00B8719D" w:rsidRDefault="00647F6C">
    <w:pPr>
      <w:pStyle w:val="Header"/>
      <w:rPr>
        <w:b/>
        <w:bCs/>
      </w:rPr>
    </w:pPr>
    <w:r>
      <w:rPr>
        <w:b/>
        <w:bCs/>
      </w:rPr>
      <w:t>Additional</w:t>
    </w:r>
    <w:r w:rsidR="00B8719D" w:rsidRPr="00B8719D">
      <w:rPr>
        <w:b/>
        <w:bCs/>
      </w:rPr>
      <w:t xml:space="preserve"> Appendix 3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401CF0"/>
    <w:multiLevelType w:val="hybridMultilevel"/>
    <w:tmpl w:val="EF7041B8"/>
    <w:lvl w:ilvl="0" w:tplc="8FF4FB28">
      <w:start w:val="1"/>
      <w:numFmt w:val="decimal"/>
      <w:lvlText w:val="%1-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247"/>
    <w:rsid w:val="00040247"/>
    <w:rsid w:val="00647F6C"/>
    <w:rsid w:val="006B3AF2"/>
    <w:rsid w:val="008B316E"/>
    <w:rsid w:val="00B8719D"/>
    <w:rsid w:val="00E5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372C5-EB75-441A-82F8-6A37394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24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02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402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402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7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19D"/>
  </w:style>
  <w:style w:type="paragraph" w:styleId="Footer">
    <w:name w:val="footer"/>
    <w:basedOn w:val="Normal"/>
    <w:link w:val="FooterChar"/>
    <w:uiPriority w:val="99"/>
    <w:unhideWhenUsed/>
    <w:rsid w:val="00B87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t.gradepro.org/forms/" TargetMode="External"/><Relationship Id="rId13" Type="http://schemas.openxmlformats.org/officeDocument/2006/relationships/hyperlink" Target="https://gdt.gradepro.org/forms/" TargetMode="External"/><Relationship Id="rId18" Type="http://schemas.openxmlformats.org/officeDocument/2006/relationships/hyperlink" Target="https://gdt.gradepro.org/forms/" TargetMode="External"/><Relationship Id="rId26" Type="http://schemas.openxmlformats.org/officeDocument/2006/relationships/hyperlink" Target="https://gdt.gradepro.org/form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dt.gradepro.org/form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gdt.gradepro.org/forms/" TargetMode="External"/><Relationship Id="rId12" Type="http://schemas.openxmlformats.org/officeDocument/2006/relationships/hyperlink" Target="https://gdt.gradepro.org/forms/" TargetMode="External"/><Relationship Id="rId17" Type="http://schemas.openxmlformats.org/officeDocument/2006/relationships/hyperlink" Target="https://gdt.gradepro.org/forms/" TargetMode="External"/><Relationship Id="rId25" Type="http://schemas.openxmlformats.org/officeDocument/2006/relationships/hyperlink" Target="https://gdt.gradepro.org/forms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gdt.gradepro.org/forms/" TargetMode="External"/><Relationship Id="rId20" Type="http://schemas.openxmlformats.org/officeDocument/2006/relationships/hyperlink" Target="https://gdt.gradepro.org/forms/" TargetMode="External"/><Relationship Id="rId29" Type="http://schemas.openxmlformats.org/officeDocument/2006/relationships/hyperlink" Target="https://gdt.gradepro.org/form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dt.gradepro.org/forms/" TargetMode="External"/><Relationship Id="rId24" Type="http://schemas.openxmlformats.org/officeDocument/2006/relationships/hyperlink" Target="https://gdt.gradepro.org/forms/" TargetMode="External"/><Relationship Id="rId32" Type="http://schemas.openxmlformats.org/officeDocument/2006/relationships/hyperlink" Target="https://gdt.gradepro.org/form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dt.gradepro.org/forms/" TargetMode="External"/><Relationship Id="rId23" Type="http://schemas.openxmlformats.org/officeDocument/2006/relationships/hyperlink" Target="https://gdt.gradepro.org/forms/" TargetMode="External"/><Relationship Id="rId28" Type="http://schemas.openxmlformats.org/officeDocument/2006/relationships/hyperlink" Target="https://gdt.gradepro.org/forms/" TargetMode="External"/><Relationship Id="rId10" Type="http://schemas.openxmlformats.org/officeDocument/2006/relationships/hyperlink" Target="https://gdt.gradepro.org/forms/" TargetMode="External"/><Relationship Id="rId19" Type="http://schemas.openxmlformats.org/officeDocument/2006/relationships/hyperlink" Target="https://gdt.gradepro.org/forms/" TargetMode="External"/><Relationship Id="rId31" Type="http://schemas.openxmlformats.org/officeDocument/2006/relationships/hyperlink" Target="https://gdt.gradepro.org/form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dt.gradepro.org/forms/" TargetMode="External"/><Relationship Id="rId14" Type="http://schemas.openxmlformats.org/officeDocument/2006/relationships/hyperlink" Target="https://gdt.gradepro.org/forms/" TargetMode="External"/><Relationship Id="rId22" Type="http://schemas.openxmlformats.org/officeDocument/2006/relationships/hyperlink" Target="https://gdt.gradepro.org/forms/" TargetMode="External"/><Relationship Id="rId27" Type="http://schemas.openxmlformats.org/officeDocument/2006/relationships/hyperlink" Target="https://gdt.gradepro.org/forms/" TargetMode="External"/><Relationship Id="rId30" Type="http://schemas.openxmlformats.org/officeDocument/2006/relationships/hyperlink" Target="https://gdt.gradepro.org/forms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1959</Words>
  <Characters>11168</Characters>
  <Application>Microsoft Office Word</Application>
  <DocSecurity>0</DocSecurity>
  <Lines>93</Lines>
  <Paragraphs>26</Paragraphs>
  <ScaleCrop>false</ScaleCrop>
  <Company/>
  <LinksUpToDate>false</LinksUpToDate>
  <CharactersWithSpaces>13101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AMER, MARWA RIDHA</dc:creator>
  <cp:keywords/>
  <dc:description/>
  <cp:lastModifiedBy>Rajeshwari Arumugam</cp:lastModifiedBy>
  <cp:revision>3</cp:revision>
  <dcterms:created xsi:type="dcterms:W3CDTF">2022-12-27T11:34:00Z</dcterms:created>
  <dcterms:modified xsi:type="dcterms:W3CDTF">2023-04-26T16:27:00Z</dcterms:modified>
</cp:coreProperties>
</file>