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3CC84" w14:textId="4B1606E6" w:rsidR="00187750" w:rsidRPr="002D5811" w:rsidRDefault="0033266F" w:rsidP="00187750">
      <w:pPr>
        <w:shd w:val="clear" w:color="auto" w:fill="FDFDFD"/>
        <w:spacing w:after="0" w:line="360" w:lineRule="auto"/>
        <w:jc w:val="both"/>
        <w:rPr>
          <w:rFonts w:cstheme="minorHAnsi"/>
          <w:color w:val="000000" w:themeColor="text1"/>
          <w:sz w:val="24"/>
          <w:szCs w:val="24"/>
          <w:lang w:val="en-GB"/>
        </w:rPr>
      </w:pPr>
      <w:r w:rsidRPr="0033266F">
        <w:rPr>
          <w:rFonts w:cstheme="minorHAnsi"/>
          <w:color w:val="000000" w:themeColor="text1"/>
          <w:sz w:val="24"/>
          <w:szCs w:val="24"/>
          <w:lang w:val="en-GB"/>
        </w:rPr>
        <w:t>AOIC-D-24-00247 R1</w:t>
      </w:r>
    </w:p>
    <w:p w14:paraId="4BA964C1" w14:textId="6854C1A7" w:rsidR="00187750" w:rsidRPr="0033266F" w:rsidRDefault="0033266F" w:rsidP="00187750">
      <w:pPr>
        <w:shd w:val="clear" w:color="auto" w:fill="FDFDFD"/>
        <w:spacing w:after="0" w:line="360" w:lineRule="auto"/>
        <w:jc w:val="both"/>
        <w:rPr>
          <w:rFonts w:cstheme="minorHAnsi"/>
          <w:color w:val="000000" w:themeColor="text1"/>
          <w:sz w:val="24"/>
          <w:szCs w:val="24"/>
          <w:lang w:val="en-GB"/>
        </w:rPr>
      </w:pPr>
      <w:r w:rsidRPr="0033266F">
        <w:rPr>
          <w:rFonts w:cstheme="minorHAnsi"/>
          <w:color w:val="000000" w:themeColor="text1"/>
          <w:sz w:val="24"/>
          <w:szCs w:val="24"/>
        </w:rPr>
        <w:t>Pedro Póvoa, Luís Coelho, José Pedro Cidade, Adrian Ceccato, Andrew Conway Morris, Jorge Salluh, Vandack Nobre, Saad Nseir, Ignacio Martin-Loeches, Thiago Lisboa, Paula Ramirez, Anahita Rouzé, Daniel A Sweeney, Andre C Kalil</w:t>
      </w:r>
    </w:p>
    <w:p w14:paraId="606AE5BC" w14:textId="77777777" w:rsidR="00521A9D" w:rsidRDefault="00521A9D" w:rsidP="00187750">
      <w:pPr>
        <w:shd w:val="clear" w:color="auto" w:fill="FDFDFD"/>
        <w:spacing w:after="0" w:line="360" w:lineRule="auto"/>
        <w:jc w:val="both"/>
        <w:rPr>
          <w:rFonts w:cstheme="minorHAnsi"/>
          <w:color w:val="000000" w:themeColor="text1"/>
          <w:sz w:val="24"/>
          <w:szCs w:val="24"/>
          <w:lang w:val="en-GB"/>
        </w:rPr>
      </w:pPr>
    </w:p>
    <w:p w14:paraId="3C8B10F6" w14:textId="6D56A8BB" w:rsidR="00187750" w:rsidRPr="00187750" w:rsidRDefault="00521A9D" w:rsidP="00187750">
      <w:pPr>
        <w:shd w:val="clear" w:color="auto" w:fill="FDFDFD"/>
        <w:spacing w:after="0" w:line="360" w:lineRule="auto"/>
        <w:jc w:val="both"/>
        <w:rPr>
          <w:rFonts w:cstheme="minorHAnsi"/>
          <w:color w:val="000000" w:themeColor="text1"/>
          <w:sz w:val="24"/>
          <w:szCs w:val="24"/>
          <w:lang w:val="en-GB"/>
        </w:rPr>
      </w:pPr>
      <w:r>
        <w:rPr>
          <w:rFonts w:cstheme="minorHAnsi"/>
          <w:color w:val="000000" w:themeColor="text1"/>
          <w:sz w:val="24"/>
          <w:szCs w:val="24"/>
          <w:lang w:val="en-GB"/>
        </w:rPr>
        <w:t xml:space="preserve">Annal of </w:t>
      </w:r>
      <w:r w:rsidR="00187750" w:rsidRPr="00187750">
        <w:rPr>
          <w:rFonts w:cstheme="minorHAnsi"/>
          <w:color w:val="000000" w:themeColor="text1"/>
          <w:sz w:val="24"/>
          <w:szCs w:val="24"/>
          <w:lang w:val="en-GB"/>
        </w:rPr>
        <w:t xml:space="preserve">Intensive Care </w:t>
      </w:r>
    </w:p>
    <w:p w14:paraId="61C0EFA1" w14:textId="77777777" w:rsidR="00187750" w:rsidRDefault="00187750" w:rsidP="00187750">
      <w:pPr>
        <w:shd w:val="clear" w:color="auto" w:fill="FDFDFD"/>
        <w:spacing w:after="0" w:line="360" w:lineRule="auto"/>
        <w:jc w:val="both"/>
        <w:rPr>
          <w:rFonts w:eastAsia="Times New Roman" w:cstheme="minorHAnsi"/>
          <w:sz w:val="24"/>
          <w:szCs w:val="24"/>
          <w:lang w:val="en-US" w:eastAsia="pt-PT"/>
        </w:rPr>
      </w:pPr>
    </w:p>
    <w:p w14:paraId="6C3C322A" w14:textId="04737809" w:rsidR="00187750" w:rsidRPr="00187750" w:rsidRDefault="0022296F" w:rsidP="00187750">
      <w:pPr>
        <w:shd w:val="clear" w:color="auto" w:fill="FDFDFD"/>
        <w:spacing w:after="0" w:line="360" w:lineRule="auto"/>
        <w:jc w:val="both"/>
        <w:rPr>
          <w:rFonts w:eastAsia="Times New Roman" w:cstheme="minorHAnsi"/>
          <w:sz w:val="24"/>
          <w:szCs w:val="24"/>
          <w:lang w:val="en-US" w:eastAsia="pt-PT"/>
        </w:rPr>
      </w:pPr>
      <w:r>
        <w:rPr>
          <w:rFonts w:eastAsia="Times New Roman" w:cstheme="minorHAnsi"/>
          <w:sz w:val="24"/>
          <w:szCs w:val="24"/>
          <w:lang w:val="en-US" w:eastAsia="pt-PT"/>
        </w:rPr>
        <w:t>Electronic Supplemental Material</w:t>
      </w:r>
      <w:r w:rsidR="00187750">
        <w:rPr>
          <w:lang w:val="en-US"/>
        </w:rPr>
        <w:br w:type="page"/>
      </w:r>
    </w:p>
    <w:p w14:paraId="6DB19456" w14:textId="6ABC283C" w:rsidR="00B41712" w:rsidRDefault="0022296F" w:rsidP="00E97C59">
      <w:pPr>
        <w:spacing w:line="360" w:lineRule="auto"/>
        <w:jc w:val="both"/>
        <w:rPr>
          <w:lang w:val="en-US"/>
        </w:rPr>
      </w:pPr>
      <w:r>
        <w:rPr>
          <w:lang w:val="en-US"/>
        </w:rPr>
        <w:lastRenderedPageBreak/>
        <w:t xml:space="preserve">Clinical </w:t>
      </w:r>
      <w:r w:rsidR="00B41712">
        <w:rPr>
          <w:lang w:val="en-US"/>
        </w:rPr>
        <w:t>vignettes</w:t>
      </w:r>
      <w:r>
        <w:rPr>
          <w:lang w:val="en-US"/>
        </w:rPr>
        <w:t xml:space="preserve"> where biomarkers</w:t>
      </w:r>
      <w:r w:rsidR="00B41712">
        <w:rPr>
          <w:lang w:val="en-US"/>
        </w:rPr>
        <w:t xml:space="preserve">, pathogen-specific </w:t>
      </w:r>
      <w:r w:rsidR="00745ACF">
        <w:rPr>
          <w:lang w:val="en-US"/>
        </w:rPr>
        <w:t>biomarkers,</w:t>
      </w:r>
      <w:r w:rsidR="00B41712">
        <w:rPr>
          <w:lang w:val="en-US"/>
        </w:rPr>
        <w:t xml:space="preserve"> and host-response biomarkers,</w:t>
      </w:r>
      <w:r>
        <w:rPr>
          <w:lang w:val="en-US"/>
        </w:rPr>
        <w:t xml:space="preserve"> can add </w:t>
      </w:r>
      <w:r w:rsidR="00B41712">
        <w:rPr>
          <w:lang w:val="en-US"/>
        </w:rPr>
        <w:t>crucial</w:t>
      </w:r>
      <w:r>
        <w:rPr>
          <w:lang w:val="en-US"/>
        </w:rPr>
        <w:t xml:space="preserve"> information on top of clinical, laboratory and radiologic data </w:t>
      </w:r>
      <w:r w:rsidR="00B41712">
        <w:rPr>
          <w:lang w:val="en-US"/>
        </w:rPr>
        <w:t>in the management of severe pulmonary infection.</w:t>
      </w:r>
    </w:p>
    <w:p w14:paraId="61325129" w14:textId="62607506" w:rsidR="0022296F" w:rsidRDefault="0022296F" w:rsidP="00E97C59">
      <w:pPr>
        <w:spacing w:line="360" w:lineRule="auto"/>
        <w:jc w:val="both"/>
        <w:rPr>
          <w:lang w:val="en-US"/>
        </w:rPr>
      </w:pPr>
    </w:p>
    <w:p w14:paraId="29764CEF" w14:textId="75FF4EEA" w:rsidR="0022296F" w:rsidRPr="002D5811" w:rsidRDefault="0022296F" w:rsidP="00E97C59">
      <w:pPr>
        <w:spacing w:line="360" w:lineRule="auto"/>
        <w:jc w:val="both"/>
        <w:rPr>
          <w:b/>
          <w:bCs/>
          <w:lang w:val="en-US"/>
        </w:rPr>
      </w:pPr>
      <w:r w:rsidRPr="002D5811">
        <w:rPr>
          <w:b/>
          <w:bCs/>
          <w:lang w:val="en-US"/>
        </w:rPr>
        <w:t>Clinical Scenario #1</w:t>
      </w:r>
    </w:p>
    <w:p w14:paraId="576770EF" w14:textId="6EE46DE3" w:rsidR="00303AC8" w:rsidRDefault="00B41712" w:rsidP="00E97C59">
      <w:pPr>
        <w:spacing w:line="360" w:lineRule="auto"/>
        <w:jc w:val="both"/>
        <w:rPr>
          <w:lang w:val="en-GB"/>
        </w:rPr>
      </w:pPr>
      <w:r w:rsidRPr="00D51B74">
        <w:rPr>
          <w:lang w:val="en-GB"/>
        </w:rPr>
        <w:t>A</w:t>
      </w:r>
      <w:r w:rsidR="00D51B74" w:rsidRPr="00D51B74">
        <w:rPr>
          <w:lang w:val="en-GB"/>
        </w:rPr>
        <w:t xml:space="preserve"> </w:t>
      </w:r>
      <w:r>
        <w:rPr>
          <w:lang w:val="en-GB"/>
        </w:rPr>
        <w:t>56</w:t>
      </w:r>
      <w:r w:rsidR="00D51B74" w:rsidRPr="00D51B74">
        <w:rPr>
          <w:lang w:val="en-GB"/>
        </w:rPr>
        <w:t xml:space="preserve">-year-old </w:t>
      </w:r>
      <w:r>
        <w:rPr>
          <w:lang w:val="en-GB"/>
        </w:rPr>
        <w:t>male</w:t>
      </w:r>
      <w:r w:rsidR="00D51B74" w:rsidRPr="00D51B74">
        <w:rPr>
          <w:lang w:val="en-GB"/>
        </w:rPr>
        <w:t xml:space="preserve"> patient</w:t>
      </w:r>
      <w:r>
        <w:rPr>
          <w:lang w:val="en-GB"/>
        </w:rPr>
        <w:t>, heavy smoker,</w:t>
      </w:r>
      <w:r w:rsidR="00D51B74" w:rsidRPr="00D51B74">
        <w:rPr>
          <w:lang w:val="en-GB"/>
        </w:rPr>
        <w:t xml:space="preserve"> was </w:t>
      </w:r>
      <w:r w:rsidR="0022296F">
        <w:rPr>
          <w:lang w:val="en-GB"/>
        </w:rPr>
        <w:t xml:space="preserve">brought </w:t>
      </w:r>
      <w:r w:rsidR="00D51B74" w:rsidRPr="00D51B74">
        <w:rPr>
          <w:lang w:val="en-GB"/>
        </w:rPr>
        <w:t xml:space="preserve">to the emergency department </w:t>
      </w:r>
      <w:r w:rsidR="009C1F51">
        <w:rPr>
          <w:lang w:val="en-GB"/>
        </w:rPr>
        <w:t xml:space="preserve">(ED) </w:t>
      </w:r>
      <w:r w:rsidR="0022296F">
        <w:rPr>
          <w:lang w:val="en-GB"/>
        </w:rPr>
        <w:t xml:space="preserve">from </w:t>
      </w:r>
      <w:r w:rsidR="00303AC8">
        <w:rPr>
          <w:lang w:val="en-GB"/>
        </w:rPr>
        <w:t>home</w:t>
      </w:r>
      <w:r w:rsidR="009C3FE2">
        <w:rPr>
          <w:lang w:val="en-GB"/>
        </w:rPr>
        <w:t xml:space="preserve"> by his wife</w:t>
      </w:r>
      <w:r w:rsidR="0022296F">
        <w:rPr>
          <w:lang w:val="en-GB"/>
        </w:rPr>
        <w:t xml:space="preserve"> because </w:t>
      </w:r>
      <w:r>
        <w:rPr>
          <w:lang w:val="en-GB"/>
        </w:rPr>
        <w:t xml:space="preserve">he was </w:t>
      </w:r>
      <w:r w:rsidR="009C3FE2">
        <w:rPr>
          <w:lang w:val="en-GB"/>
        </w:rPr>
        <w:t xml:space="preserve">complaining of fever, productive cough, some diarrhoea in the previous 2 days and today he became confused. </w:t>
      </w:r>
      <w:r w:rsidR="0022296F">
        <w:rPr>
          <w:lang w:val="en-GB"/>
        </w:rPr>
        <w:t>At admission</w:t>
      </w:r>
      <w:r w:rsidR="00521A9D">
        <w:rPr>
          <w:lang w:val="en-GB"/>
        </w:rPr>
        <w:t>,</w:t>
      </w:r>
      <w:r w:rsidR="0022296F">
        <w:rPr>
          <w:lang w:val="en-GB"/>
        </w:rPr>
        <w:t xml:space="preserve"> </w:t>
      </w:r>
      <w:r w:rsidR="009C3FE2">
        <w:rPr>
          <w:lang w:val="en-GB"/>
        </w:rPr>
        <w:t>he</w:t>
      </w:r>
      <w:r w:rsidR="0022296F">
        <w:rPr>
          <w:lang w:val="en-GB"/>
        </w:rPr>
        <w:t xml:space="preserve"> presented</w:t>
      </w:r>
      <w:r w:rsidR="00D51B74" w:rsidRPr="00D51B74">
        <w:rPr>
          <w:lang w:val="en-GB"/>
        </w:rPr>
        <w:t xml:space="preserve"> </w:t>
      </w:r>
      <w:r w:rsidR="00B52430">
        <w:rPr>
          <w:lang w:val="en-GB"/>
        </w:rPr>
        <w:t xml:space="preserve">with </w:t>
      </w:r>
      <w:r w:rsidR="005B1040">
        <w:rPr>
          <w:lang w:val="en-GB"/>
        </w:rPr>
        <w:t>altered mental status</w:t>
      </w:r>
      <w:r w:rsidR="00F00EAE">
        <w:rPr>
          <w:lang w:val="en-GB"/>
        </w:rPr>
        <w:t xml:space="preserve"> (</w:t>
      </w:r>
      <w:r w:rsidR="00E97C59">
        <w:rPr>
          <w:lang w:val="en-GB"/>
        </w:rPr>
        <w:t xml:space="preserve">Glasgow Coma Score, </w:t>
      </w:r>
      <w:r w:rsidR="00F00EAE">
        <w:rPr>
          <w:lang w:val="en-GB"/>
        </w:rPr>
        <w:t>GCS</w:t>
      </w:r>
      <w:r w:rsidR="00E97C59">
        <w:rPr>
          <w:lang w:val="en-GB"/>
        </w:rPr>
        <w:t xml:space="preserve"> – </w:t>
      </w:r>
      <w:r w:rsidR="00F00EAE">
        <w:rPr>
          <w:lang w:val="en-GB"/>
        </w:rPr>
        <w:t>13)</w:t>
      </w:r>
      <w:r w:rsidR="00D51B74" w:rsidRPr="00D51B74">
        <w:rPr>
          <w:lang w:val="en-GB"/>
        </w:rPr>
        <w:t xml:space="preserve">, </w:t>
      </w:r>
      <w:r w:rsidR="0022296F">
        <w:rPr>
          <w:lang w:val="en-GB"/>
        </w:rPr>
        <w:t>temperature 3</w:t>
      </w:r>
      <w:r w:rsidR="009C3FE2">
        <w:rPr>
          <w:lang w:val="en-GB"/>
        </w:rPr>
        <w:t>8</w:t>
      </w:r>
      <w:r w:rsidR="0022296F">
        <w:rPr>
          <w:lang w:val="en-GB"/>
        </w:rPr>
        <w:t>.</w:t>
      </w:r>
      <w:r w:rsidR="009C3FE2">
        <w:rPr>
          <w:lang w:val="en-GB"/>
        </w:rPr>
        <w:t>5</w:t>
      </w:r>
      <w:r w:rsidR="00521A9D">
        <w:rPr>
          <w:lang w:val="en-GB"/>
        </w:rPr>
        <w:t>°</w:t>
      </w:r>
      <w:r w:rsidR="0022296F">
        <w:rPr>
          <w:lang w:val="en-GB"/>
        </w:rPr>
        <w:t xml:space="preserve">C, </w:t>
      </w:r>
      <w:r w:rsidR="00E97C59">
        <w:rPr>
          <w:lang w:val="en-GB"/>
        </w:rPr>
        <w:t>heart rate</w:t>
      </w:r>
      <w:r w:rsidR="0022296F">
        <w:rPr>
          <w:lang w:val="en-GB"/>
        </w:rPr>
        <w:t xml:space="preserve"> </w:t>
      </w:r>
      <w:r w:rsidR="009C3FE2">
        <w:rPr>
          <w:lang w:val="en-GB"/>
        </w:rPr>
        <w:t>102</w:t>
      </w:r>
      <w:r w:rsidR="0022296F">
        <w:rPr>
          <w:lang w:val="en-GB"/>
        </w:rPr>
        <w:t xml:space="preserve"> bpm, </w:t>
      </w:r>
      <w:r w:rsidR="00E97C59">
        <w:rPr>
          <w:lang w:val="en-GB"/>
        </w:rPr>
        <w:t>blood pressure</w:t>
      </w:r>
      <w:r w:rsidR="0022296F">
        <w:rPr>
          <w:lang w:val="en-GB"/>
        </w:rPr>
        <w:t xml:space="preserve"> 92/55mmHg, </w:t>
      </w:r>
      <w:r w:rsidR="00E97C59">
        <w:rPr>
          <w:lang w:val="en-GB"/>
        </w:rPr>
        <w:t>respiratory rate</w:t>
      </w:r>
      <w:r w:rsidR="0022296F">
        <w:rPr>
          <w:lang w:val="en-GB"/>
        </w:rPr>
        <w:t xml:space="preserve"> </w:t>
      </w:r>
      <w:r w:rsidR="009C3FE2">
        <w:rPr>
          <w:lang w:val="en-GB"/>
        </w:rPr>
        <w:t>33</w:t>
      </w:r>
      <w:r w:rsidR="0022296F">
        <w:rPr>
          <w:lang w:val="en-GB"/>
        </w:rPr>
        <w:t xml:space="preserve"> bpm</w:t>
      </w:r>
      <w:r w:rsidR="00303AC8">
        <w:rPr>
          <w:lang w:val="en-GB"/>
        </w:rPr>
        <w:t>, SpO</w:t>
      </w:r>
      <w:r w:rsidR="00303AC8" w:rsidRPr="00E97C59">
        <w:rPr>
          <w:vertAlign w:val="subscript"/>
          <w:lang w:val="en-GB"/>
        </w:rPr>
        <w:t>2</w:t>
      </w:r>
      <w:r w:rsidR="00303AC8">
        <w:rPr>
          <w:lang w:val="en-GB"/>
        </w:rPr>
        <w:t xml:space="preserve"> on room air </w:t>
      </w:r>
      <w:r w:rsidR="009C3FE2">
        <w:rPr>
          <w:lang w:val="en-GB"/>
        </w:rPr>
        <w:t>86</w:t>
      </w:r>
      <w:r w:rsidR="00303AC8">
        <w:rPr>
          <w:lang w:val="en-GB"/>
        </w:rPr>
        <w:t>%</w:t>
      </w:r>
      <w:r w:rsidR="00D51B74" w:rsidRPr="00D51B74">
        <w:rPr>
          <w:lang w:val="en-GB"/>
        </w:rPr>
        <w:t xml:space="preserve">. </w:t>
      </w:r>
      <w:r w:rsidR="009C3FE2">
        <w:rPr>
          <w:lang w:val="en-GB"/>
        </w:rPr>
        <w:t xml:space="preserve">On physical examination he presented </w:t>
      </w:r>
      <w:r w:rsidR="00D53676">
        <w:rPr>
          <w:lang w:val="en-GB"/>
        </w:rPr>
        <w:t xml:space="preserve">with </w:t>
      </w:r>
      <w:r w:rsidR="009C3FE2">
        <w:rPr>
          <w:lang w:val="en-GB"/>
        </w:rPr>
        <w:t>central cyanosis, no meningeal signs, lungs showed bilateral rales and crackles</w:t>
      </w:r>
      <w:r w:rsidR="009D3B97">
        <w:rPr>
          <w:lang w:val="en-GB"/>
        </w:rPr>
        <w:t xml:space="preserve"> (more on the left)</w:t>
      </w:r>
      <w:r w:rsidR="009C3FE2">
        <w:rPr>
          <w:lang w:val="en-GB"/>
        </w:rPr>
        <w:t xml:space="preserve">, </w:t>
      </w:r>
      <w:r w:rsidR="00D51B74" w:rsidRPr="00D51B74">
        <w:rPr>
          <w:lang w:val="en-GB"/>
        </w:rPr>
        <w:t xml:space="preserve">abdomen was painful and distended, </w:t>
      </w:r>
      <w:r w:rsidR="00E602E2">
        <w:rPr>
          <w:lang w:val="en-GB"/>
        </w:rPr>
        <w:t xml:space="preserve">without </w:t>
      </w:r>
      <w:r w:rsidR="00D26E15">
        <w:rPr>
          <w:lang w:val="en-GB"/>
        </w:rPr>
        <w:t>tenderness</w:t>
      </w:r>
      <w:r w:rsidR="00303AC8">
        <w:rPr>
          <w:lang w:val="en-GB"/>
        </w:rPr>
        <w:t xml:space="preserve">; the remainder of the </w:t>
      </w:r>
      <w:r w:rsidR="00521A9D">
        <w:rPr>
          <w:lang w:val="en-GB"/>
        </w:rPr>
        <w:t xml:space="preserve">physical </w:t>
      </w:r>
      <w:r w:rsidR="00303AC8">
        <w:rPr>
          <w:lang w:val="en-GB"/>
        </w:rPr>
        <w:t>examination was normal</w:t>
      </w:r>
      <w:r w:rsidR="00D51B74" w:rsidRPr="00D51B74">
        <w:rPr>
          <w:lang w:val="en-GB"/>
        </w:rPr>
        <w:t xml:space="preserve">. </w:t>
      </w:r>
      <w:r w:rsidR="009C3FE2">
        <w:rPr>
          <w:lang w:val="en-GB"/>
        </w:rPr>
        <w:t xml:space="preserve">Chest X-rays showed </w:t>
      </w:r>
      <w:r w:rsidR="009D3B97">
        <w:rPr>
          <w:lang w:val="en-GB"/>
        </w:rPr>
        <w:t>mid and lower zone patchy consolidations (more on the left) and no pleural effusion</w:t>
      </w:r>
      <w:r w:rsidR="00D51B74" w:rsidRPr="00D51B74">
        <w:rPr>
          <w:lang w:val="en-GB"/>
        </w:rPr>
        <w:t xml:space="preserve">. </w:t>
      </w:r>
      <w:r w:rsidR="00720AA7">
        <w:rPr>
          <w:lang w:val="en-GB"/>
        </w:rPr>
        <w:t>Blood tests showed</w:t>
      </w:r>
      <w:r w:rsidR="00D51B74" w:rsidRPr="00D51B74">
        <w:rPr>
          <w:lang w:val="en-GB"/>
        </w:rPr>
        <w:t xml:space="preserve"> </w:t>
      </w:r>
      <w:r w:rsidR="00D26E15" w:rsidRPr="00D51B74">
        <w:rPr>
          <w:lang w:val="en-GB"/>
        </w:rPr>
        <w:t>leucocytosis</w:t>
      </w:r>
      <w:r w:rsidR="00D51B74" w:rsidRPr="00D51B74">
        <w:rPr>
          <w:lang w:val="en-GB"/>
        </w:rPr>
        <w:t xml:space="preserve"> </w:t>
      </w:r>
      <w:r w:rsidR="00303AC8">
        <w:rPr>
          <w:lang w:val="en-GB"/>
        </w:rPr>
        <w:t>(14,400/</w:t>
      </w:r>
      <w:proofErr w:type="spellStart"/>
      <w:r w:rsidR="00303AC8">
        <w:rPr>
          <w:lang w:val="en-GB"/>
        </w:rPr>
        <w:t>μL</w:t>
      </w:r>
      <w:proofErr w:type="spellEnd"/>
      <w:r w:rsidR="00303AC8">
        <w:rPr>
          <w:lang w:val="en-GB"/>
        </w:rPr>
        <w:t>), normal platelet count, elevated creatinine (1</w:t>
      </w:r>
      <w:r w:rsidR="009C3FE2">
        <w:rPr>
          <w:lang w:val="en-GB"/>
        </w:rPr>
        <w:t>.3</w:t>
      </w:r>
      <w:r w:rsidR="00303AC8">
        <w:rPr>
          <w:lang w:val="en-GB"/>
        </w:rPr>
        <w:t xml:space="preserve"> mg/dL; one month before was 0.9</w:t>
      </w:r>
      <w:r w:rsidR="001F6265">
        <w:rPr>
          <w:lang w:val="en-GB"/>
        </w:rPr>
        <w:t xml:space="preserve"> </w:t>
      </w:r>
      <w:r w:rsidR="00303AC8">
        <w:rPr>
          <w:lang w:val="en-GB"/>
        </w:rPr>
        <w:t xml:space="preserve">mg/dL) </w:t>
      </w:r>
      <w:r w:rsidR="00D51B74" w:rsidRPr="00D51B74">
        <w:rPr>
          <w:lang w:val="en-GB"/>
        </w:rPr>
        <w:t xml:space="preserve">and </w:t>
      </w:r>
      <w:r w:rsidR="00E97C59">
        <w:rPr>
          <w:lang w:val="en-GB"/>
        </w:rPr>
        <w:t>C-reactive protein (</w:t>
      </w:r>
      <w:r w:rsidR="00D51B74" w:rsidRPr="00D51B74">
        <w:rPr>
          <w:lang w:val="en-GB"/>
        </w:rPr>
        <w:t>CRP</w:t>
      </w:r>
      <w:r w:rsidR="00E97C59">
        <w:rPr>
          <w:lang w:val="en-GB"/>
        </w:rPr>
        <w:t>)</w:t>
      </w:r>
      <w:r w:rsidR="00D51B74" w:rsidRPr="00D51B74">
        <w:rPr>
          <w:lang w:val="en-GB"/>
        </w:rPr>
        <w:t xml:space="preserve"> of </w:t>
      </w:r>
      <w:r w:rsidR="009C3FE2">
        <w:rPr>
          <w:lang w:val="en-GB"/>
        </w:rPr>
        <w:t xml:space="preserve">32 </w:t>
      </w:r>
      <w:r w:rsidR="00D51B74" w:rsidRPr="00D51B74">
        <w:rPr>
          <w:lang w:val="en-GB"/>
        </w:rPr>
        <w:t>mg/d</w:t>
      </w:r>
      <w:r w:rsidR="00E97C59">
        <w:rPr>
          <w:lang w:val="en-GB"/>
        </w:rPr>
        <w:t>L</w:t>
      </w:r>
      <w:r w:rsidR="009C3FE2">
        <w:rPr>
          <w:lang w:val="en-GB"/>
        </w:rPr>
        <w:t xml:space="preserve"> and procalcitonin of 2.1 ng/dL</w:t>
      </w:r>
      <w:r w:rsidR="00D51B74" w:rsidRPr="00D51B74">
        <w:rPr>
          <w:lang w:val="en-GB"/>
        </w:rPr>
        <w:t xml:space="preserve">. </w:t>
      </w:r>
    </w:p>
    <w:p w14:paraId="1CCE76A6" w14:textId="7B68174E" w:rsidR="009D3B97" w:rsidRDefault="009D3B97" w:rsidP="00187750">
      <w:pPr>
        <w:spacing w:line="360" w:lineRule="auto"/>
        <w:jc w:val="both"/>
        <w:rPr>
          <w:lang w:val="en-GB"/>
        </w:rPr>
      </w:pPr>
      <w:r>
        <w:rPr>
          <w:lang w:val="en-GB"/>
        </w:rPr>
        <w:t xml:space="preserve">The clinical suspicion was </w:t>
      </w:r>
      <w:r w:rsidR="009C3EE2">
        <w:rPr>
          <w:lang w:val="en-GB"/>
        </w:rPr>
        <w:t xml:space="preserve">for </w:t>
      </w:r>
      <w:r>
        <w:rPr>
          <w:lang w:val="en-GB"/>
        </w:rPr>
        <w:t xml:space="preserve">severe community-acquired pneumonia (CAP) in an immunocompetent patient and according to </w:t>
      </w:r>
      <w:r w:rsidR="00B82600">
        <w:rPr>
          <w:lang w:val="en-GB"/>
        </w:rPr>
        <w:t>current</w:t>
      </w:r>
      <w:r>
        <w:rPr>
          <w:lang w:val="en-GB"/>
        </w:rPr>
        <w:t xml:space="preserve"> guidelines the patient should start antibiotic therapy with combination therapy with a beta-lactam plus a macrolide.</w:t>
      </w:r>
    </w:p>
    <w:p w14:paraId="536500A8" w14:textId="0469A571" w:rsidR="009D3B97" w:rsidRDefault="00D51B74" w:rsidP="00187750">
      <w:pPr>
        <w:spacing w:line="360" w:lineRule="auto"/>
        <w:jc w:val="both"/>
        <w:rPr>
          <w:lang w:val="en-GB"/>
        </w:rPr>
      </w:pPr>
      <w:r w:rsidRPr="00D51B74">
        <w:rPr>
          <w:lang w:val="en-GB"/>
        </w:rPr>
        <w:t>Additional</w:t>
      </w:r>
      <w:r w:rsidR="009D3B97">
        <w:rPr>
          <w:lang w:val="en-GB"/>
        </w:rPr>
        <w:t>ly, some pathogen-specific biomarker</w:t>
      </w:r>
      <w:r w:rsidR="004C7684">
        <w:rPr>
          <w:lang w:val="en-GB"/>
        </w:rPr>
        <w:t xml:space="preserve"> tests</w:t>
      </w:r>
      <w:r w:rsidR="009D3B97">
        <w:rPr>
          <w:lang w:val="en-GB"/>
        </w:rPr>
        <w:t xml:space="preserve"> were performed, namely influenza, SARS CoV2, pneumococcus and Legionella. Since the Legionella urinary antigen test was positive the antibiotic therapy was changed to levofloxacin. It is also important to add that in patients with suspicion of CAP, a CRP at admission &gt;25mg/dL is associated with </w:t>
      </w:r>
      <w:r w:rsidR="00615134" w:rsidRPr="00521A9D">
        <w:rPr>
          <w:i/>
          <w:iCs/>
          <w:lang w:val="en-GB"/>
        </w:rPr>
        <w:t>L. pneumophila</w:t>
      </w:r>
      <w:r w:rsidR="00615134" w:rsidRPr="00615134">
        <w:rPr>
          <w:lang w:val="en-GB"/>
        </w:rPr>
        <w:t xml:space="preserve"> pneumonia </w:t>
      </w:r>
      <w:r w:rsidR="003C6076">
        <w:rPr>
          <w:lang w:val="en-GB"/>
        </w:rPr>
        <w:fldChar w:fldCharType="begin"/>
      </w:r>
      <w:r w:rsidR="00F87589">
        <w:rPr>
          <w:lang w:val="en-GB"/>
        </w:rPr>
        <w:instrText xml:space="preserve"> ADDIN EN.CITE &lt;EndNote&gt;&lt;Cite&gt;&lt;Author&gt;Garcia Vazquez&lt;/Author&gt;&lt;Year&gt;2003&lt;/Year&gt;&lt;RecNum&gt;56&lt;/RecNum&gt;&lt;DisplayText&gt;[1]&lt;/DisplayText&gt;&lt;record&gt;&lt;rec-number&gt;56&lt;/rec-number&gt;&lt;foreign-keys&gt;&lt;key app="EN" db-id="0rsfdwdpw555zmedax8pwss0past0sfprfet" timestamp="1526982766"&gt;56&lt;/key&gt;&lt;/foreign-keys&gt;&lt;ref-type name="Journal Article"&gt;17&lt;/ref-type&gt;&lt;contributors&gt;&lt;authors&gt;&lt;author&gt;Garcia Vazquez, E.&lt;/author&gt;&lt;author&gt;Martinez, J. A.&lt;/author&gt;&lt;author&gt;Mensa, J.&lt;/author&gt;&lt;author&gt;Sanchez, F.&lt;/author&gt;&lt;author&gt;Marcos, M. A.&lt;/author&gt;&lt;author&gt;de Roux, A.&lt;/author&gt;&lt;author&gt;Torres, A.&lt;/author&gt;&lt;/authors&gt;&lt;/contributors&gt;&lt;auth-address&gt;Dept of Infectious Diseases, Hospital Clinic, Barcelona, Spain. egarciav@clinic.ub.es&lt;/auth-address&gt;&lt;titles&gt;&lt;title&gt;C-reactive protein levels in community-acquired pneumonia&lt;/title&gt;&lt;secondary-title&gt;Eur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journal&lt;/abbr-1&gt;&lt;/alt-periodical&gt;&lt;pages&gt;702-5&lt;/pages&gt;&lt;volume&gt;21&lt;/volume&gt;&lt;number&gt;4&lt;/number&gt;&lt;keywords&gt;&lt;keyword&gt;Aged&lt;/keyword&gt;&lt;keyword&gt;Analysis of Variance&lt;/keyword&gt;&lt;keyword&gt;Biomarkers/blood&lt;/keyword&gt;&lt;keyword&gt;C-Reactive Protein/*analysis&lt;/keyword&gt;&lt;keyword&gt;Cohort Studies&lt;/keyword&gt;&lt;keyword&gt;Community-Acquired Infections/*blood/microbiology&lt;/keyword&gt;&lt;keyword&gt;Female&lt;/keyword&gt;&lt;keyword&gt;Humans&lt;/keyword&gt;&lt;keyword&gt;Male&lt;/keyword&gt;&lt;keyword&gt;Middle Aged&lt;/keyword&gt;&lt;keyword&gt;Pneumonia/*blood&lt;/keyword&gt;&lt;keyword&gt;Predictive Value of Tests&lt;/keyword&gt;&lt;keyword&gt;Sensitivity and Specificity&lt;/keyword&gt;&lt;/keywords&gt;&lt;dates&gt;&lt;year&gt;2003&lt;/year&gt;&lt;pub-dates&gt;&lt;date&gt;Apr&lt;/date&gt;&lt;/pub-dates&gt;&lt;/dates&gt;&lt;isbn&gt;0903-1936 (Print)&amp;#xD;0903-1936 (Linking)&lt;/isbn&gt;&lt;accession-num&gt;12762360&lt;/accession-num&gt;&lt;urls&gt;&lt;related-urls&gt;&lt;url&gt;http://www.ncbi.nlm.nih.gov/pubmed/12762360&lt;/url&gt;&lt;/related-urls&gt;&lt;/urls&gt;&lt;/record&gt;&lt;/Cite&gt;&lt;/EndNote&gt;</w:instrText>
      </w:r>
      <w:r w:rsidR="003C6076">
        <w:rPr>
          <w:lang w:val="en-GB"/>
        </w:rPr>
        <w:fldChar w:fldCharType="separate"/>
      </w:r>
      <w:r w:rsidR="00F87589">
        <w:rPr>
          <w:noProof/>
          <w:lang w:val="en-GB"/>
        </w:rPr>
        <w:t>[1]</w:t>
      </w:r>
      <w:r w:rsidR="003C6076">
        <w:rPr>
          <w:lang w:val="en-GB"/>
        </w:rPr>
        <w:fldChar w:fldCharType="end"/>
      </w:r>
      <w:r w:rsidR="009D3B97">
        <w:rPr>
          <w:lang w:val="en-GB"/>
        </w:rPr>
        <w:t>.</w:t>
      </w:r>
      <w:r w:rsidR="00615134">
        <w:rPr>
          <w:lang w:val="en-GB"/>
        </w:rPr>
        <w:t xml:space="preserve"> Finally, such a finding should be notified to the local health authorities to exclude the presence of an outbreak.</w:t>
      </w:r>
    </w:p>
    <w:p w14:paraId="55F156B5" w14:textId="77777777" w:rsidR="00615134" w:rsidRDefault="00615134" w:rsidP="00187750">
      <w:pPr>
        <w:spacing w:line="360" w:lineRule="auto"/>
        <w:jc w:val="both"/>
        <w:rPr>
          <w:lang w:val="en-GB"/>
        </w:rPr>
      </w:pPr>
    </w:p>
    <w:p w14:paraId="49A0EC1F" w14:textId="44F687F8" w:rsidR="006F1B34" w:rsidRDefault="00F00EAE" w:rsidP="00187750">
      <w:pPr>
        <w:spacing w:line="360" w:lineRule="auto"/>
        <w:jc w:val="both"/>
        <w:rPr>
          <w:b/>
          <w:bCs/>
          <w:lang w:val="en-US"/>
        </w:rPr>
      </w:pPr>
      <w:r w:rsidRPr="002D5811">
        <w:rPr>
          <w:b/>
          <w:bCs/>
          <w:lang w:val="en-US"/>
        </w:rPr>
        <w:t>Clinical Scenario #</w:t>
      </w:r>
      <w:r w:rsidR="00745ACF">
        <w:rPr>
          <w:b/>
          <w:bCs/>
          <w:lang w:val="en-US"/>
        </w:rPr>
        <w:t>2</w:t>
      </w:r>
    </w:p>
    <w:p w14:paraId="6C80F340" w14:textId="697CDA71" w:rsidR="009C1F51" w:rsidRPr="009C1F51" w:rsidRDefault="009C1F51" w:rsidP="009C1F51">
      <w:pPr>
        <w:spacing w:line="360" w:lineRule="auto"/>
        <w:jc w:val="both"/>
        <w:rPr>
          <w:lang w:val="en-US"/>
        </w:rPr>
      </w:pPr>
      <w:r w:rsidRPr="009C1F51">
        <w:rPr>
          <w:lang w:val="en-US"/>
        </w:rPr>
        <w:t>A 61-year-old man, with ischemic heart disease, was admitted to the ED with fever (38.6</w:t>
      </w:r>
      <w:r>
        <w:rPr>
          <w:lang w:val="en-US"/>
        </w:rPr>
        <w:t>°</w:t>
      </w:r>
      <w:r w:rsidRPr="009C1F51">
        <w:rPr>
          <w:lang w:val="en-US"/>
        </w:rPr>
        <w:t xml:space="preserve">C), cough, purulent sputum, and right pleuritic chest pain. At admission, he was tachypneic (respiratory rate 36 bpm), tachycardic (hear rate 102 bpm) and hypotensive (85/40 mmHg), with a capillary refill time of 4 sec and oliguric. Arterial blood gas presented a moderate hypoxemia </w:t>
      </w:r>
      <w:r w:rsidRPr="009C1F51">
        <w:rPr>
          <w:lang w:val="en-US"/>
        </w:rPr>
        <w:lastRenderedPageBreak/>
        <w:t>(PaO2 55 mmHg at room air)</w:t>
      </w:r>
      <w:r>
        <w:rPr>
          <w:lang w:val="en-US"/>
        </w:rPr>
        <w:t xml:space="preserve"> and</w:t>
      </w:r>
      <w:r w:rsidRPr="009C1F51">
        <w:rPr>
          <w:lang w:val="en-US"/>
        </w:rPr>
        <w:t xml:space="preserve"> </w:t>
      </w:r>
      <w:r>
        <w:rPr>
          <w:lang w:val="en-US"/>
        </w:rPr>
        <w:t>l</w:t>
      </w:r>
      <w:r w:rsidRPr="009C1F51">
        <w:rPr>
          <w:lang w:val="en-US"/>
        </w:rPr>
        <w:t xml:space="preserve">actate was 4.1 mmol/l. </w:t>
      </w:r>
      <w:r>
        <w:rPr>
          <w:lang w:val="en-GB"/>
        </w:rPr>
        <w:t xml:space="preserve">Chest X-rays </w:t>
      </w:r>
      <w:r w:rsidRPr="009C1F51">
        <w:rPr>
          <w:lang w:val="en-US"/>
        </w:rPr>
        <w:t>revealed a consolidation in the right lower lobe. Blood tests showed leukocytosis (28,000/</w:t>
      </w:r>
      <w:proofErr w:type="spellStart"/>
      <w:r w:rsidRPr="009C1F51">
        <w:rPr>
          <w:lang w:val="en-US"/>
        </w:rPr>
        <w:t>μL</w:t>
      </w:r>
      <w:proofErr w:type="spellEnd"/>
      <w:r w:rsidRPr="009C1F51">
        <w:rPr>
          <w:lang w:val="en-US"/>
        </w:rPr>
        <w:t>), creatinine 3.7 mg/dl, CRP 16.3 mg/dL and PCT 2.5 ng/dL. Pneumococcal urinary antigen test was positive, PCR for influenza and SARS CoV2 (nasal swab) were negative. Sputum and blood cultures were performed. Antibiotic therapy with ceftriaxone and azithromycin was prescribed. He was admitted to ICU, the clinical condition deteriorated further, and he was started on invasive mechanical ventilation (with FiO2 of 60-70%), vasopressor support and renal replacement therapy (RRT).</w:t>
      </w:r>
    </w:p>
    <w:p w14:paraId="2A00E054" w14:textId="032EBDE1" w:rsidR="009C1F51" w:rsidRPr="009C1F51" w:rsidRDefault="009C1F51" w:rsidP="009C1F51">
      <w:pPr>
        <w:spacing w:line="360" w:lineRule="auto"/>
        <w:jc w:val="both"/>
        <w:rPr>
          <w:lang w:val="en-US"/>
        </w:rPr>
      </w:pPr>
      <w:r w:rsidRPr="009C1F51">
        <w:rPr>
          <w:lang w:val="en-US"/>
        </w:rPr>
        <w:t xml:space="preserve">On the 3rd day, he had no fever and the hemodynamic condition improved. Biomarkers showed a decrease: CRP 12.1 mg/dL (75% of initial value) and PCT 0.75 ng/dL (30% of initial value). However, the patient still needed mechanical ventilation and RRT.  At day 4, penicillin-sensitive Streptococcus pneumoniae was </w:t>
      </w:r>
      <w:r>
        <w:rPr>
          <w:lang w:val="en-US"/>
        </w:rPr>
        <w:t>identified</w:t>
      </w:r>
      <w:r w:rsidRPr="009C1F51">
        <w:rPr>
          <w:lang w:val="en-US"/>
        </w:rPr>
        <w:t xml:space="preserve"> from sputum and blood cultures. Antibiotic therapy was de-escalated to penicillin.</w:t>
      </w:r>
    </w:p>
    <w:p w14:paraId="7EAAB693" w14:textId="130AB103" w:rsidR="009C1F51" w:rsidRPr="009C1F51" w:rsidRDefault="009C1F51" w:rsidP="009C1F51">
      <w:pPr>
        <w:spacing w:line="360" w:lineRule="auto"/>
        <w:jc w:val="both"/>
        <w:rPr>
          <w:lang w:val="en-US"/>
        </w:rPr>
      </w:pPr>
      <w:r w:rsidRPr="009C1F51">
        <w:rPr>
          <w:lang w:val="en-US"/>
        </w:rPr>
        <w:t xml:space="preserve"> On the 7th day, the fever recur</w:t>
      </w:r>
      <w:r w:rsidR="00FA456D">
        <w:rPr>
          <w:lang w:val="en-US"/>
        </w:rPr>
        <w:t>red</w:t>
      </w:r>
      <w:r w:rsidRPr="009C1F51">
        <w:rPr>
          <w:lang w:val="en-US"/>
        </w:rPr>
        <w:t xml:space="preserve"> (39</w:t>
      </w:r>
      <w:r>
        <w:rPr>
          <w:lang w:val="en-US"/>
        </w:rPr>
        <w:t>°</w:t>
      </w:r>
      <w:r w:rsidRPr="009C1F51">
        <w:rPr>
          <w:lang w:val="en-US"/>
        </w:rPr>
        <w:t xml:space="preserve">C) </w:t>
      </w:r>
      <w:r w:rsidR="00850EEB">
        <w:rPr>
          <w:lang w:val="en-US"/>
        </w:rPr>
        <w:t>with</w:t>
      </w:r>
      <w:r w:rsidRPr="009C1F51">
        <w:rPr>
          <w:lang w:val="en-US"/>
        </w:rPr>
        <w:t xml:space="preserve"> </w:t>
      </w:r>
      <w:r>
        <w:rPr>
          <w:lang w:val="en-US"/>
        </w:rPr>
        <w:t>new hemodynamic deterioration</w:t>
      </w:r>
      <w:r w:rsidRPr="009C1F51">
        <w:rPr>
          <w:lang w:val="en-US"/>
        </w:rPr>
        <w:t xml:space="preserve">. The </w:t>
      </w:r>
      <w:r>
        <w:rPr>
          <w:lang w:val="en-GB"/>
        </w:rPr>
        <w:t xml:space="preserve">Chest X-rays </w:t>
      </w:r>
      <w:r w:rsidRPr="009C1F51">
        <w:rPr>
          <w:lang w:val="en-US"/>
        </w:rPr>
        <w:t xml:space="preserve">presented a new pleural effusion on the right hemithorax confirmed by the CT scan. Biomarkers presented an increase of CRP to 24 mg/dL (biphasic response pattern) and PCT 0.3 ng/dL. Diagnostic thoracentesis was performed with drainage of purulent pleural fluid and cytochemical examination compatible with empyema. A thoracic drain was placed with a drainage of 1000 ml of purulent pleural fluid. </w:t>
      </w:r>
    </w:p>
    <w:p w14:paraId="762B3137" w14:textId="02A2DB80" w:rsidR="009C1F51" w:rsidRPr="009C1F51" w:rsidRDefault="009C1F51" w:rsidP="009C1F51">
      <w:pPr>
        <w:spacing w:line="360" w:lineRule="auto"/>
        <w:jc w:val="both"/>
        <w:rPr>
          <w:lang w:val="en-US"/>
        </w:rPr>
      </w:pPr>
      <w:r w:rsidRPr="009C1F51">
        <w:rPr>
          <w:lang w:val="en-US"/>
        </w:rPr>
        <w:t xml:space="preserve">On the 9th day, the patient was clinically better, with no fever and improvement of oxygenation (PaO2/FiO2 280). </w:t>
      </w:r>
      <w:r>
        <w:rPr>
          <w:lang w:val="en-GB"/>
        </w:rPr>
        <w:t xml:space="preserve">Chest X-rays </w:t>
      </w:r>
      <w:r w:rsidRPr="009C1F51">
        <w:rPr>
          <w:lang w:val="en-US"/>
        </w:rPr>
        <w:t>showed a marked reduction of pleural effusion and a well-positioned chest drainage with a daily drainage of 120 ml of serous pleural fluid. Mechanical ventilation and vasopressor support were progressively weaned. Blood tests presented a normal leukocyte count (8</w:t>
      </w:r>
      <w:r>
        <w:rPr>
          <w:lang w:val="en-US"/>
        </w:rPr>
        <w:t>.</w:t>
      </w:r>
      <w:r w:rsidRPr="009C1F51">
        <w:rPr>
          <w:lang w:val="en-US"/>
        </w:rPr>
        <w:t>300/</w:t>
      </w:r>
      <w:proofErr w:type="spellStart"/>
      <w:r w:rsidRPr="009C1F51">
        <w:rPr>
          <w:lang w:val="en-US"/>
        </w:rPr>
        <w:t>μL</w:t>
      </w:r>
      <w:proofErr w:type="spellEnd"/>
      <w:r w:rsidRPr="009C1F51">
        <w:rPr>
          <w:lang w:val="en-US"/>
        </w:rPr>
        <w:t>) and CRP reduced to 8.1 mg/dL and PCT to 0.1 ng/dL. The bacteriological culture of the pleural fluid was negative.</w:t>
      </w:r>
    </w:p>
    <w:p w14:paraId="686998E8" w14:textId="05A8C9D5" w:rsidR="00745ACF" w:rsidRDefault="009C1F51" w:rsidP="009C1F51">
      <w:pPr>
        <w:spacing w:line="360" w:lineRule="auto"/>
        <w:jc w:val="both"/>
        <w:rPr>
          <w:lang w:val="en-US"/>
        </w:rPr>
      </w:pPr>
      <w:r w:rsidRPr="009C1F51">
        <w:rPr>
          <w:lang w:val="en-US"/>
        </w:rPr>
        <w:t>On the 12th day, the patient was stable, the chest drain was removed, and he was transferred to the ward the day after. Antibiotics were stopped on the 15th day of therapy.</w:t>
      </w:r>
    </w:p>
    <w:p w14:paraId="031E96B1" w14:textId="77777777" w:rsidR="008415E2" w:rsidRDefault="008415E2" w:rsidP="009C1F51">
      <w:pPr>
        <w:spacing w:line="360" w:lineRule="auto"/>
        <w:jc w:val="both"/>
        <w:rPr>
          <w:lang w:val="en-US"/>
        </w:rPr>
      </w:pPr>
    </w:p>
    <w:p w14:paraId="63729A31" w14:textId="6D174A96" w:rsidR="008415E2" w:rsidRDefault="008415E2" w:rsidP="009C1F51">
      <w:pPr>
        <w:spacing w:line="360" w:lineRule="auto"/>
        <w:jc w:val="both"/>
        <w:rPr>
          <w:lang w:val="en-US"/>
        </w:rPr>
      </w:pPr>
      <w:r w:rsidRPr="008415E2">
        <w:rPr>
          <w:noProof/>
          <w:lang w:val="en-US"/>
        </w:rPr>
        <w:lastRenderedPageBreak/>
        <w:drawing>
          <wp:inline distT="0" distB="0" distL="0" distR="0" wp14:anchorId="3195452B" wp14:editId="34D4C05B">
            <wp:extent cx="5400040" cy="3037840"/>
            <wp:effectExtent l="0" t="0" r="0" b="0"/>
            <wp:docPr id="13580479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47989" name=""/>
                    <pic:cNvPicPr/>
                  </pic:nvPicPr>
                  <pic:blipFill>
                    <a:blip r:embed="rId6"/>
                    <a:stretch>
                      <a:fillRect/>
                    </a:stretch>
                  </pic:blipFill>
                  <pic:spPr>
                    <a:xfrm>
                      <a:off x="0" y="0"/>
                      <a:ext cx="5400040" cy="3037840"/>
                    </a:xfrm>
                    <a:prstGeom prst="rect">
                      <a:avLst/>
                    </a:prstGeom>
                  </pic:spPr>
                </pic:pic>
              </a:graphicData>
            </a:graphic>
          </wp:inline>
        </w:drawing>
      </w:r>
    </w:p>
    <w:p w14:paraId="4EEB8259" w14:textId="77777777" w:rsidR="003C6076" w:rsidRDefault="008415E2" w:rsidP="009C1F51">
      <w:pPr>
        <w:spacing w:line="360" w:lineRule="auto"/>
        <w:jc w:val="both"/>
        <w:rPr>
          <w:lang w:val="en-US"/>
        </w:rPr>
      </w:pPr>
      <w:r w:rsidRPr="008415E2">
        <w:rPr>
          <w:noProof/>
          <w:lang w:val="en-US"/>
        </w:rPr>
        <w:drawing>
          <wp:inline distT="0" distB="0" distL="0" distR="0" wp14:anchorId="5AD93CE3" wp14:editId="15E92882">
            <wp:extent cx="5400040" cy="3037840"/>
            <wp:effectExtent l="0" t="0" r="0" b="0"/>
            <wp:docPr id="17156576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57662" name=""/>
                    <pic:cNvPicPr/>
                  </pic:nvPicPr>
                  <pic:blipFill>
                    <a:blip r:embed="rId7"/>
                    <a:stretch>
                      <a:fillRect/>
                    </a:stretch>
                  </pic:blipFill>
                  <pic:spPr>
                    <a:xfrm>
                      <a:off x="0" y="0"/>
                      <a:ext cx="5400040" cy="3037840"/>
                    </a:xfrm>
                    <a:prstGeom prst="rect">
                      <a:avLst/>
                    </a:prstGeom>
                  </pic:spPr>
                </pic:pic>
              </a:graphicData>
            </a:graphic>
          </wp:inline>
        </w:drawing>
      </w:r>
    </w:p>
    <w:p w14:paraId="29551A46" w14:textId="6AACB095" w:rsidR="003C6076" w:rsidRPr="00D2507A" w:rsidRDefault="003C6076" w:rsidP="0016149E">
      <w:pPr>
        <w:spacing w:line="360" w:lineRule="auto"/>
        <w:jc w:val="both"/>
        <w:rPr>
          <w:color w:val="000000" w:themeColor="text1"/>
        </w:rPr>
      </w:pPr>
      <w:bookmarkStart w:id="0" w:name="_GoBack"/>
      <w:r w:rsidRPr="00D2507A">
        <w:rPr>
          <w:color w:val="000000" w:themeColor="text1"/>
        </w:rPr>
        <w:t>Refer</w:t>
      </w:r>
      <w:r w:rsidR="0049733D" w:rsidRPr="00D2507A">
        <w:rPr>
          <w:color w:val="000000" w:themeColor="text1"/>
        </w:rPr>
        <w:t>ences</w:t>
      </w:r>
    </w:p>
    <w:p w14:paraId="1F576FAD" w14:textId="0B64EB72" w:rsidR="00F87589" w:rsidRPr="00D2507A" w:rsidRDefault="003C6076" w:rsidP="0016149E">
      <w:pPr>
        <w:pStyle w:val="EndNoteBibliography"/>
        <w:spacing w:line="360" w:lineRule="auto"/>
        <w:rPr>
          <w:color w:val="000000" w:themeColor="text1"/>
        </w:rPr>
      </w:pPr>
      <w:r w:rsidRPr="00D2507A">
        <w:rPr>
          <w:color w:val="000000" w:themeColor="text1"/>
        </w:rPr>
        <w:fldChar w:fldCharType="begin"/>
      </w:r>
      <w:r w:rsidRPr="00D2507A">
        <w:rPr>
          <w:color w:val="000000" w:themeColor="text1"/>
          <w:lang w:val="pt-PT"/>
        </w:rPr>
        <w:instrText xml:space="preserve"> ADDIN EN.REFLIST </w:instrText>
      </w:r>
      <w:r w:rsidRPr="00D2507A">
        <w:rPr>
          <w:color w:val="000000" w:themeColor="text1"/>
        </w:rPr>
        <w:fldChar w:fldCharType="separate"/>
      </w:r>
      <w:r w:rsidR="00F87589" w:rsidRPr="00D2507A">
        <w:rPr>
          <w:color w:val="000000" w:themeColor="text1"/>
          <w:lang w:val="pt-PT"/>
        </w:rPr>
        <w:t>[1] Garcia Vazquez E, Martinez JA, Mensa J</w:t>
      </w:r>
      <w:r w:rsidR="00F87589" w:rsidRPr="00D2507A">
        <w:rPr>
          <w:i/>
          <w:color w:val="000000" w:themeColor="text1"/>
          <w:lang w:val="pt-PT"/>
        </w:rPr>
        <w:t xml:space="preserve"> et al.</w:t>
      </w:r>
      <w:r w:rsidR="00F87589" w:rsidRPr="00D2507A">
        <w:rPr>
          <w:color w:val="000000" w:themeColor="text1"/>
          <w:lang w:val="pt-PT"/>
        </w:rPr>
        <w:t xml:space="preserve"> </w:t>
      </w:r>
      <w:r w:rsidR="00F87589" w:rsidRPr="00D2507A">
        <w:rPr>
          <w:color w:val="000000" w:themeColor="text1"/>
        </w:rPr>
        <w:t xml:space="preserve">C-reactive protein levels in community-acquired pneumonia. </w:t>
      </w:r>
      <w:r w:rsidR="003054F1" w:rsidRPr="00D2507A">
        <w:rPr>
          <w:color w:val="000000" w:themeColor="text1"/>
        </w:rPr>
        <w:t>Eur Respir J</w:t>
      </w:r>
      <w:r w:rsidR="00F87589" w:rsidRPr="00D2507A">
        <w:rPr>
          <w:color w:val="000000" w:themeColor="text1"/>
        </w:rPr>
        <w:t xml:space="preserve"> 2003; 21:702-705.</w:t>
      </w:r>
    </w:p>
    <w:p w14:paraId="51831F48" w14:textId="63A07FE5" w:rsidR="008415E2" w:rsidRDefault="003C6076" w:rsidP="0016149E">
      <w:pPr>
        <w:spacing w:line="360" w:lineRule="auto"/>
        <w:jc w:val="both"/>
        <w:rPr>
          <w:lang w:val="en-US"/>
        </w:rPr>
      </w:pPr>
      <w:r w:rsidRPr="00D2507A">
        <w:rPr>
          <w:color w:val="000000" w:themeColor="text1"/>
          <w:lang w:val="en-US"/>
        </w:rPr>
        <w:fldChar w:fldCharType="end"/>
      </w:r>
      <w:bookmarkEnd w:id="0"/>
    </w:p>
    <w:sectPr w:rsidR="008415E2" w:rsidSect="00D2507A">
      <w:footerReference w:type="even"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84D02" w14:textId="77777777" w:rsidR="00D80EF8" w:rsidRDefault="00D80EF8" w:rsidP="00187750">
      <w:pPr>
        <w:spacing w:after="0" w:line="240" w:lineRule="auto"/>
      </w:pPr>
      <w:r>
        <w:separator/>
      </w:r>
    </w:p>
  </w:endnote>
  <w:endnote w:type="continuationSeparator" w:id="0">
    <w:p w14:paraId="531CFCED" w14:textId="77777777" w:rsidR="00D80EF8" w:rsidRDefault="00D80EF8" w:rsidP="00187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13606995"/>
      <w:docPartObj>
        <w:docPartGallery w:val="Page Numbers (Bottom of Page)"/>
        <w:docPartUnique/>
      </w:docPartObj>
    </w:sdtPr>
    <w:sdtEndPr>
      <w:rPr>
        <w:rStyle w:val="PageNumber"/>
      </w:rPr>
    </w:sdtEndPr>
    <w:sdtContent>
      <w:p w14:paraId="0F94A74F" w14:textId="2BD7CCE2" w:rsidR="00187750" w:rsidRDefault="00187750" w:rsidP="00D72E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081183" w14:textId="77777777" w:rsidR="00187750" w:rsidRDefault="00187750" w:rsidP="0018775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80638470"/>
      <w:docPartObj>
        <w:docPartGallery w:val="Page Numbers (Bottom of Page)"/>
        <w:docPartUnique/>
      </w:docPartObj>
    </w:sdtPr>
    <w:sdtEndPr>
      <w:rPr>
        <w:rStyle w:val="PageNumber"/>
      </w:rPr>
    </w:sdtEndPr>
    <w:sdtContent>
      <w:p w14:paraId="552EEEDD" w14:textId="111DB486" w:rsidR="00187750" w:rsidRDefault="00187750" w:rsidP="00D72E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2507A">
          <w:rPr>
            <w:rStyle w:val="PageNumber"/>
            <w:noProof/>
          </w:rPr>
          <w:t>4</w:t>
        </w:r>
        <w:r>
          <w:rPr>
            <w:rStyle w:val="PageNumber"/>
          </w:rPr>
          <w:fldChar w:fldCharType="end"/>
        </w:r>
      </w:p>
    </w:sdtContent>
  </w:sdt>
  <w:p w14:paraId="61BAC546" w14:textId="77777777" w:rsidR="00187750" w:rsidRDefault="00187750" w:rsidP="0018775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030CE" w14:textId="77777777" w:rsidR="00D80EF8" w:rsidRDefault="00D80EF8" w:rsidP="00187750">
      <w:pPr>
        <w:spacing w:after="0" w:line="240" w:lineRule="auto"/>
      </w:pPr>
      <w:r>
        <w:separator/>
      </w:r>
    </w:p>
  </w:footnote>
  <w:footnote w:type="continuationSeparator" w:id="0">
    <w:p w14:paraId="75DAC929" w14:textId="77777777" w:rsidR="00D80EF8" w:rsidRDefault="00D80EF8" w:rsidP="001877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urrent Opinion Otolary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sfdwdpw555zmedax8pwss0past0sfprfet&quot;&gt;Biomarkers-Saved-Converted&lt;record-ids&gt;&lt;item&gt;56&lt;/item&gt;&lt;/record-ids&gt;&lt;/item&gt;&lt;/Libraries&gt;"/>
  </w:docVars>
  <w:rsids>
    <w:rsidRoot w:val="001E20AC"/>
    <w:rsid w:val="00026751"/>
    <w:rsid w:val="000442B0"/>
    <w:rsid w:val="000544D7"/>
    <w:rsid w:val="000756B8"/>
    <w:rsid w:val="00080C9E"/>
    <w:rsid w:val="001029B2"/>
    <w:rsid w:val="0016149E"/>
    <w:rsid w:val="00164AC2"/>
    <w:rsid w:val="00187750"/>
    <w:rsid w:val="001C0918"/>
    <w:rsid w:val="001C6FBD"/>
    <w:rsid w:val="001E20AC"/>
    <w:rsid w:val="001E58FD"/>
    <w:rsid w:val="001F6265"/>
    <w:rsid w:val="0022296F"/>
    <w:rsid w:val="00230E65"/>
    <w:rsid w:val="002863D2"/>
    <w:rsid w:val="002A1990"/>
    <w:rsid w:val="002A6851"/>
    <w:rsid w:val="002B1D6A"/>
    <w:rsid w:val="002D5811"/>
    <w:rsid w:val="002F0C64"/>
    <w:rsid w:val="002F36A1"/>
    <w:rsid w:val="00303AC8"/>
    <w:rsid w:val="003054F1"/>
    <w:rsid w:val="00324A9F"/>
    <w:rsid w:val="0033266F"/>
    <w:rsid w:val="0034330D"/>
    <w:rsid w:val="00360A13"/>
    <w:rsid w:val="003620AF"/>
    <w:rsid w:val="00381643"/>
    <w:rsid w:val="0038547E"/>
    <w:rsid w:val="003C6076"/>
    <w:rsid w:val="00402887"/>
    <w:rsid w:val="00405312"/>
    <w:rsid w:val="00451A86"/>
    <w:rsid w:val="004915D8"/>
    <w:rsid w:val="0049733D"/>
    <w:rsid w:val="004B774C"/>
    <w:rsid w:val="004C7684"/>
    <w:rsid w:val="004E6F0E"/>
    <w:rsid w:val="00501C37"/>
    <w:rsid w:val="00521A9D"/>
    <w:rsid w:val="005B08E6"/>
    <w:rsid w:val="005B1040"/>
    <w:rsid w:val="005E47F8"/>
    <w:rsid w:val="005F0C55"/>
    <w:rsid w:val="00615134"/>
    <w:rsid w:val="006A1B98"/>
    <w:rsid w:val="006B015E"/>
    <w:rsid w:val="006D388E"/>
    <w:rsid w:val="006F1B34"/>
    <w:rsid w:val="00720AA7"/>
    <w:rsid w:val="00745ACF"/>
    <w:rsid w:val="00755784"/>
    <w:rsid w:val="007B36F7"/>
    <w:rsid w:val="007B4A9C"/>
    <w:rsid w:val="007C0F24"/>
    <w:rsid w:val="007F034D"/>
    <w:rsid w:val="008179B4"/>
    <w:rsid w:val="00840DB1"/>
    <w:rsid w:val="008415E2"/>
    <w:rsid w:val="00847E61"/>
    <w:rsid w:val="00850EEB"/>
    <w:rsid w:val="00856E67"/>
    <w:rsid w:val="00863C0C"/>
    <w:rsid w:val="00873D5C"/>
    <w:rsid w:val="00887B65"/>
    <w:rsid w:val="00892C4F"/>
    <w:rsid w:val="008B0854"/>
    <w:rsid w:val="008B172C"/>
    <w:rsid w:val="009027E5"/>
    <w:rsid w:val="00914496"/>
    <w:rsid w:val="0095291C"/>
    <w:rsid w:val="009874C9"/>
    <w:rsid w:val="0099135B"/>
    <w:rsid w:val="009C15EF"/>
    <w:rsid w:val="009C1F51"/>
    <w:rsid w:val="009C3EE2"/>
    <w:rsid w:val="009C3FE2"/>
    <w:rsid w:val="009D3B97"/>
    <w:rsid w:val="00A527C6"/>
    <w:rsid w:val="00A87FED"/>
    <w:rsid w:val="00A9082C"/>
    <w:rsid w:val="00A94446"/>
    <w:rsid w:val="00AB0462"/>
    <w:rsid w:val="00AE3AF1"/>
    <w:rsid w:val="00B41712"/>
    <w:rsid w:val="00B52430"/>
    <w:rsid w:val="00B641CA"/>
    <w:rsid w:val="00B806A6"/>
    <w:rsid w:val="00B82600"/>
    <w:rsid w:val="00BA5090"/>
    <w:rsid w:val="00BE2C7E"/>
    <w:rsid w:val="00C40257"/>
    <w:rsid w:val="00C86809"/>
    <w:rsid w:val="00C91E88"/>
    <w:rsid w:val="00CA41A8"/>
    <w:rsid w:val="00CE6E7F"/>
    <w:rsid w:val="00D016B8"/>
    <w:rsid w:val="00D10A84"/>
    <w:rsid w:val="00D2507A"/>
    <w:rsid w:val="00D26E15"/>
    <w:rsid w:val="00D410BE"/>
    <w:rsid w:val="00D51B74"/>
    <w:rsid w:val="00D53676"/>
    <w:rsid w:val="00D649C0"/>
    <w:rsid w:val="00D80EF8"/>
    <w:rsid w:val="00DB0713"/>
    <w:rsid w:val="00DB4763"/>
    <w:rsid w:val="00DE0810"/>
    <w:rsid w:val="00DE40B8"/>
    <w:rsid w:val="00E602E2"/>
    <w:rsid w:val="00E64691"/>
    <w:rsid w:val="00E70869"/>
    <w:rsid w:val="00E976C3"/>
    <w:rsid w:val="00E97C59"/>
    <w:rsid w:val="00F00980"/>
    <w:rsid w:val="00F00EAE"/>
    <w:rsid w:val="00F24441"/>
    <w:rsid w:val="00F41B5F"/>
    <w:rsid w:val="00F87589"/>
    <w:rsid w:val="00FA456D"/>
    <w:rsid w:val="00FA7715"/>
    <w:rsid w:val="00FF584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7AAB3"/>
  <w15:docId w15:val="{15FB2164-1E84-4D15-8A92-F0FEB119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87750"/>
  </w:style>
  <w:style w:type="paragraph" w:styleId="Footer">
    <w:name w:val="footer"/>
    <w:basedOn w:val="Normal"/>
    <w:link w:val="FooterChar"/>
    <w:uiPriority w:val="99"/>
    <w:unhideWhenUsed/>
    <w:rsid w:val="00187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750"/>
  </w:style>
  <w:style w:type="character" w:styleId="PageNumber">
    <w:name w:val="page number"/>
    <w:basedOn w:val="DefaultParagraphFont"/>
    <w:uiPriority w:val="99"/>
    <w:semiHidden/>
    <w:unhideWhenUsed/>
    <w:rsid w:val="00187750"/>
  </w:style>
  <w:style w:type="paragraph" w:styleId="Revision">
    <w:name w:val="Revision"/>
    <w:hidden/>
    <w:uiPriority w:val="99"/>
    <w:semiHidden/>
    <w:rsid w:val="00B52430"/>
    <w:pPr>
      <w:spacing w:after="0" w:line="240" w:lineRule="auto"/>
    </w:pPr>
  </w:style>
  <w:style w:type="paragraph" w:customStyle="1" w:styleId="EndNoteBibliographyTitle">
    <w:name w:val="EndNote Bibliography Title"/>
    <w:basedOn w:val="Normal"/>
    <w:link w:val="EndNoteBibliographyTitleCarter"/>
    <w:rsid w:val="003C6076"/>
    <w:pPr>
      <w:spacing w:after="0"/>
      <w:jc w:val="center"/>
    </w:pPr>
    <w:rPr>
      <w:rFonts w:ascii="Calibri" w:hAnsi="Calibri" w:cs="Calibri"/>
      <w:noProof/>
      <w:lang w:val="en-US"/>
    </w:rPr>
  </w:style>
  <w:style w:type="character" w:customStyle="1" w:styleId="EndNoteBibliographyTitleCarter">
    <w:name w:val="EndNote Bibliography Title Caráter"/>
    <w:basedOn w:val="DefaultParagraphFont"/>
    <w:link w:val="EndNoteBibliographyTitle"/>
    <w:rsid w:val="003C6076"/>
    <w:rPr>
      <w:rFonts w:ascii="Calibri" w:hAnsi="Calibri" w:cs="Calibri"/>
      <w:noProof/>
      <w:lang w:val="en-US"/>
    </w:rPr>
  </w:style>
  <w:style w:type="paragraph" w:customStyle="1" w:styleId="EndNoteBibliography">
    <w:name w:val="EndNote Bibliography"/>
    <w:basedOn w:val="Normal"/>
    <w:link w:val="EndNoteBibliographyCarter"/>
    <w:rsid w:val="003C6076"/>
    <w:pPr>
      <w:spacing w:line="240" w:lineRule="auto"/>
      <w:jc w:val="both"/>
    </w:pPr>
    <w:rPr>
      <w:rFonts w:ascii="Calibri" w:hAnsi="Calibri" w:cs="Calibri"/>
      <w:noProof/>
      <w:lang w:val="en-US"/>
    </w:rPr>
  </w:style>
  <w:style w:type="character" w:customStyle="1" w:styleId="EndNoteBibliographyCarter">
    <w:name w:val="EndNote Bibliography Caráter"/>
    <w:basedOn w:val="DefaultParagraphFont"/>
    <w:link w:val="EndNoteBibliography"/>
    <w:rsid w:val="003C6076"/>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1050</Words>
  <Characters>5985</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Luís Coelho</dc:creator>
  <cp:keywords/>
  <dc:description/>
  <cp:lastModifiedBy>Victor,Maria Flora</cp:lastModifiedBy>
  <cp:revision>18</cp:revision>
  <dcterms:created xsi:type="dcterms:W3CDTF">2024-05-10T20:20:00Z</dcterms:created>
  <dcterms:modified xsi:type="dcterms:W3CDTF">2024-06-03T01:08:00Z</dcterms:modified>
</cp:coreProperties>
</file>