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68185" w14:textId="582CEA8E" w:rsidR="00AE299E" w:rsidRPr="00017E8D" w:rsidRDefault="00086905" w:rsidP="00017E8D">
      <w:pPr>
        <w:adjustRightInd w:val="0"/>
        <w:snapToGrid w:val="0"/>
        <w:spacing w:line="480" w:lineRule="auto"/>
        <w:rPr>
          <w:rFonts w:ascii="Times New Roman" w:hAnsi="Times New Roman" w:cs="Times New Roman"/>
          <w:b/>
          <w:bCs/>
          <w:sz w:val="24"/>
          <w:szCs w:val="24"/>
        </w:rPr>
      </w:pPr>
      <w:r w:rsidRPr="00086905">
        <w:rPr>
          <w:rFonts w:ascii="Times New Roman" w:hAnsi="Times New Roman" w:cs="Times New Roman"/>
          <w:b/>
          <w:bCs/>
          <w:sz w:val="24"/>
          <w:szCs w:val="24"/>
        </w:rPr>
        <w:t>Supplementary Material</w:t>
      </w:r>
    </w:p>
    <w:p w14:paraId="34F0675E" w14:textId="74FCEA61" w:rsidR="000A0DB3" w:rsidRDefault="000A0DB3" w:rsidP="00017E8D">
      <w:pPr>
        <w:adjustRightInd w:val="0"/>
        <w:snapToGrid w:val="0"/>
        <w:spacing w:line="480" w:lineRule="auto"/>
        <w:rPr>
          <w:rFonts w:ascii="Times New Roman" w:eastAsiaTheme="minorHAnsi" w:hAnsi="Times New Roman" w:cs="Times New Roman"/>
          <w:b/>
          <w:bCs/>
          <w:sz w:val="24"/>
          <w:szCs w:val="24"/>
        </w:rPr>
      </w:pPr>
      <w:r>
        <w:rPr>
          <w:rFonts w:ascii="Times New Roman" w:eastAsiaTheme="minorHAnsi" w:hAnsi="Times New Roman" w:cs="Times New Roman" w:hint="eastAsia"/>
          <w:b/>
          <w:bCs/>
          <w:sz w:val="24"/>
          <w:szCs w:val="24"/>
        </w:rPr>
        <w:t>Supplementary File 1.</w:t>
      </w:r>
      <w:r w:rsidR="006916CD">
        <w:rPr>
          <w:rFonts w:ascii="Times New Roman" w:eastAsiaTheme="minorHAnsi" w:hAnsi="Times New Roman" w:cs="Times New Roman" w:hint="eastAsia"/>
          <w:b/>
          <w:bCs/>
          <w:sz w:val="24"/>
          <w:szCs w:val="24"/>
        </w:rPr>
        <w:t xml:space="preserve"> Randomizations and masking</w:t>
      </w:r>
    </w:p>
    <w:p w14:paraId="1206BB85" w14:textId="31894A5E" w:rsidR="003E232A" w:rsidRPr="00DD2DF4" w:rsidRDefault="003E232A" w:rsidP="00017E8D">
      <w:pPr>
        <w:adjustRightInd w:val="0"/>
        <w:snapToGrid w:val="0"/>
        <w:spacing w:line="480" w:lineRule="auto"/>
        <w:rPr>
          <w:rFonts w:ascii="Times New Roman" w:eastAsiaTheme="minorHAnsi" w:hAnsi="Times New Roman" w:cs="Times New Roman"/>
          <w:b/>
          <w:bCs/>
          <w:i/>
          <w:iCs/>
          <w:sz w:val="24"/>
          <w:szCs w:val="24"/>
        </w:rPr>
      </w:pPr>
      <w:r w:rsidRPr="00DD2DF4">
        <w:rPr>
          <w:rFonts w:ascii="Times New Roman" w:eastAsiaTheme="minorHAnsi" w:hAnsi="Times New Roman" w:cs="Times New Roman" w:hint="eastAsia"/>
          <w:b/>
          <w:bCs/>
          <w:i/>
          <w:iCs/>
          <w:sz w:val="24"/>
          <w:szCs w:val="24"/>
        </w:rPr>
        <w:t>Phase 2 trial</w:t>
      </w:r>
    </w:p>
    <w:p w14:paraId="68E5C259" w14:textId="1C16BC9D" w:rsidR="003E232A" w:rsidRDefault="003D6DE3" w:rsidP="003D6DE3">
      <w:pPr>
        <w:adjustRightInd w:val="0"/>
        <w:snapToGrid w:val="0"/>
        <w:spacing w:line="480" w:lineRule="auto"/>
        <w:rPr>
          <w:rFonts w:ascii="Times New Roman" w:eastAsiaTheme="minorHAnsi" w:hAnsi="Times New Roman" w:cs="Times New Roman"/>
          <w:sz w:val="24"/>
          <w:szCs w:val="24"/>
        </w:rPr>
      </w:pPr>
      <w:r>
        <w:rPr>
          <w:rFonts w:ascii="Times New Roman" w:eastAsiaTheme="minorHAnsi" w:hAnsi="Times New Roman" w:cs="Times New Roman" w:hint="eastAsia"/>
          <w:sz w:val="24"/>
          <w:szCs w:val="24"/>
        </w:rPr>
        <w:t xml:space="preserve">The phase 2 trial adopted </w:t>
      </w:r>
      <w:r>
        <w:rPr>
          <w:rFonts w:ascii="Times New Roman" w:eastAsiaTheme="minorHAnsi" w:hAnsi="Times New Roman" w:cs="Times New Roman"/>
          <w:sz w:val="24"/>
          <w:szCs w:val="24"/>
        </w:rPr>
        <w:t>an</w:t>
      </w:r>
      <w:r>
        <w:rPr>
          <w:rFonts w:ascii="Times New Roman" w:eastAsiaTheme="minorHAnsi" w:hAnsi="Times New Roman" w:cs="Times New Roman" w:hint="eastAsia"/>
          <w:sz w:val="24"/>
          <w:szCs w:val="24"/>
        </w:rPr>
        <w:t xml:space="preserve"> open-label design, </w:t>
      </w:r>
      <w:r w:rsidRPr="003D6DE3">
        <w:rPr>
          <w:rFonts w:ascii="Times New Roman" w:eastAsiaTheme="minorHAnsi" w:hAnsi="Times New Roman" w:cs="Times New Roman"/>
          <w:sz w:val="24"/>
          <w:szCs w:val="24"/>
        </w:rPr>
        <w:t>a random number and a</w:t>
      </w:r>
      <w:r>
        <w:rPr>
          <w:rFonts w:ascii="Times New Roman" w:eastAsiaTheme="minorHAnsi" w:hAnsi="Times New Roman" w:cs="Times New Roman" w:hint="eastAsia"/>
          <w:sz w:val="24"/>
          <w:szCs w:val="24"/>
        </w:rPr>
        <w:t xml:space="preserve"> </w:t>
      </w:r>
      <w:r w:rsidRPr="003D6DE3">
        <w:rPr>
          <w:rFonts w:ascii="Times New Roman" w:eastAsiaTheme="minorHAnsi" w:hAnsi="Times New Roman" w:cs="Times New Roman"/>
          <w:sz w:val="24"/>
          <w:szCs w:val="24"/>
        </w:rPr>
        <w:t>corresponding drug number for eligible patients was</w:t>
      </w:r>
      <w:r>
        <w:rPr>
          <w:rFonts w:ascii="Times New Roman" w:eastAsiaTheme="minorHAnsi" w:hAnsi="Times New Roman" w:cs="Times New Roman" w:hint="eastAsia"/>
          <w:sz w:val="24"/>
          <w:szCs w:val="24"/>
        </w:rPr>
        <w:t xml:space="preserve"> </w:t>
      </w:r>
      <w:r w:rsidRPr="003D6DE3">
        <w:rPr>
          <w:rFonts w:ascii="Times New Roman" w:eastAsiaTheme="minorHAnsi" w:hAnsi="Times New Roman" w:cs="Times New Roman"/>
          <w:sz w:val="24"/>
          <w:szCs w:val="24"/>
        </w:rPr>
        <w:t xml:space="preserve">generated by </w:t>
      </w:r>
      <w:r w:rsidR="00095C12">
        <w:rPr>
          <w:rFonts w:ascii="Times New Roman" w:eastAsiaTheme="minorHAnsi" w:hAnsi="Times New Roman" w:cs="Times New Roman"/>
          <w:sz w:val="24"/>
          <w:szCs w:val="24"/>
        </w:rPr>
        <w:t>a</w:t>
      </w:r>
      <w:r w:rsidR="00095C12" w:rsidRPr="003D6DE3">
        <w:rPr>
          <w:rFonts w:ascii="Times New Roman" w:eastAsiaTheme="minorHAnsi" w:hAnsi="Times New Roman" w:cs="Times New Roman"/>
          <w:sz w:val="24"/>
          <w:szCs w:val="24"/>
        </w:rPr>
        <w:t xml:space="preserve"> </w:t>
      </w:r>
      <w:r w:rsidR="00095C12">
        <w:rPr>
          <w:rFonts w:ascii="Times New Roman" w:eastAsiaTheme="minorHAnsi" w:hAnsi="Times New Roman" w:cs="Times New Roman"/>
          <w:sz w:val="24"/>
          <w:szCs w:val="24"/>
        </w:rPr>
        <w:t>c</w:t>
      </w:r>
      <w:r w:rsidRPr="003D6DE3">
        <w:rPr>
          <w:rFonts w:ascii="Times New Roman" w:eastAsiaTheme="minorHAnsi" w:hAnsi="Times New Roman" w:cs="Times New Roman"/>
          <w:sz w:val="24"/>
          <w:szCs w:val="24"/>
        </w:rPr>
        <w:t xml:space="preserve">entral </w:t>
      </w:r>
      <w:r w:rsidR="00095C12">
        <w:rPr>
          <w:rFonts w:ascii="Times New Roman" w:eastAsiaTheme="minorHAnsi" w:hAnsi="Times New Roman" w:cs="Times New Roman"/>
          <w:sz w:val="24"/>
          <w:szCs w:val="24"/>
        </w:rPr>
        <w:t>r</w:t>
      </w:r>
      <w:r w:rsidRPr="003D6DE3">
        <w:rPr>
          <w:rFonts w:ascii="Times New Roman" w:eastAsiaTheme="minorHAnsi" w:hAnsi="Times New Roman" w:cs="Times New Roman"/>
          <w:sz w:val="24"/>
          <w:szCs w:val="24"/>
        </w:rPr>
        <w:t xml:space="preserve">andom </w:t>
      </w:r>
      <w:r w:rsidR="00095C12">
        <w:rPr>
          <w:rFonts w:ascii="Times New Roman" w:eastAsiaTheme="minorHAnsi" w:hAnsi="Times New Roman" w:cs="Times New Roman"/>
          <w:sz w:val="24"/>
          <w:szCs w:val="24"/>
        </w:rPr>
        <w:t>s</w:t>
      </w:r>
      <w:r w:rsidRPr="003D6DE3">
        <w:rPr>
          <w:rFonts w:ascii="Times New Roman" w:eastAsiaTheme="minorHAnsi" w:hAnsi="Times New Roman" w:cs="Times New Roman"/>
          <w:sz w:val="24"/>
          <w:szCs w:val="24"/>
        </w:rPr>
        <w:t>ystem, based on the</w:t>
      </w:r>
      <w:r>
        <w:rPr>
          <w:rFonts w:ascii="Times New Roman" w:eastAsiaTheme="minorHAnsi" w:hAnsi="Times New Roman" w:cs="Times New Roman" w:hint="eastAsia"/>
          <w:sz w:val="24"/>
          <w:szCs w:val="24"/>
        </w:rPr>
        <w:t xml:space="preserve"> </w:t>
      </w:r>
      <w:r w:rsidRPr="003D6DE3">
        <w:rPr>
          <w:rFonts w:ascii="Times New Roman" w:eastAsiaTheme="minorHAnsi" w:hAnsi="Times New Roman" w:cs="Times New Roman"/>
          <w:sz w:val="24"/>
          <w:szCs w:val="24"/>
        </w:rPr>
        <w:t>interactive web response system.</w:t>
      </w:r>
    </w:p>
    <w:p w14:paraId="0C4F4036" w14:textId="2CED3A9E" w:rsidR="003E232A" w:rsidRPr="003E232A" w:rsidRDefault="003E232A" w:rsidP="003E232A">
      <w:pPr>
        <w:snapToGrid w:val="0"/>
        <w:spacing w:line="480" w:lineRule="auto"/>
        <w:rPr>
          <w:rFonts w:ascii="Times New Roman" w:hAnsi="Times New Roman" w:cs="Times New Roman"/>
          <w:b/>
          <w:i/>
          <w:sz w:val="24"/>
          <w:szCs w:val="24"/>
        </w:rPr>
      </w:pPr>
      <w:r w:rsidRPr="003E232A">
        <w:rPr>
          <w:rFonts w:ascii="Times New Roman" w:hAnsi="Times New Roman" w:cs="Times New Roman"/>
          <w:b/>
          <w:i/>
          <w:sz w:val="24"/>
          <w:szCs w:val="24"/>
        </w:rPr>
        <w:t>Phase</w:t>
      </w:r>
      <w:r w:rsidRPr="003E232A">
        <w:rPr>
          <w:rFonts w:ascii="Times New Roman" w:hAnsi="Times New Roman" w:cs="Times New Roman" w:hint="eastAsia"/>
          <w:b/>
          <w:i/>
          <w:sz w:val="24"/>
          <w:szCs w:val="24"/>
        </w:rPr>
        <w:t xml:space="preserve"> 3 trial</w:t>
      </w:r>
    </w:p>
    <w:p w14:paraId="5D7CE995" w14:textId="0A58D0CF" w:rsidR="003E232A" w:rsidRPr="00F44DDA" w:rsidRDefault="003E232A" w:rsidP="003E232A">
      <w:pPr>
        <w:snapToGrid w:val="0"/>
        <w:spacing w:line="480" w:lineRule="auto"/>
        <w:rPr>
          <w:rFonts w:ascii="Times New Roman" w:hAnsi="Times New Roman" w:cs="Times New Roman"/>
          <w:bCs/>
          <w:iCs/>
          <w:sz w:val="24"/>
          <w:szCs w:val="24"/>
        </w:rPr>
      </w:pPr>
      <w:r w:rsidRPr="00F44DDA">
        <w:rPr>
          <w:rFonts w:ascii="Times New Roman" w:hAnsi="Times New Roman" w:cs="Times New Roman"/>
          <w:bCs/>
          <w:iCs/>
          <w:sz w:val="24"/>
          <w:szCs w:val="24"/>
        </w:rPr>
        <w:t>Before initiation of the study, an independent investigator who had no contact</w:t>
      </w:r>
      <w:r w:rsidRPr="00F44DDA">
        <w:rPr>
          <w:rFonts w:ascii="Times New Roman" w:hAnsi="Times New Roman" w:cs="Times New Roman"/>
          <w:sz w:val="24"/>
          <w:szCs w:val="24"/>
        </w:rPr>
        <w:t xml:space="preserve"> </w:t>
      </w:r>
      <w:r w:rsidRPr="00F44DDA">
        <w:rPr>
          <w:rFonts w:ascii="Times New Roman" w:hAnsi="Times New Roman" w:cs="Times New Roman"/>
          <w:bCs/>
          <w:iCs/>
          <w:sz w:val="24"/>
          <w:szCs w:val="24"/>
        </w:rPr>
        <w:t>with any participant used SAS 9.4 software (SPSS Inc., USA) to generate a blocked random number table (block size = 5) to divide eligible patients in a 2:1 ratio into either a ciprofol or propofol groups (without stratification). The central randomization method (Interactive Web Response System) was employed across 21 centers to generate the random number and the corresponding drug number using Medidata system (Medidata, France).</w:t>
      </w:r>
    </w:p>
    <w:p w14:paraId="01A77D20" w14:textId="78CD47CD" w:rsidR="000A0DB3" w:rsidRDefault="003E232A" w:rsidP="004E720B">
      <w:pPr>
        <w:snapToGrid w:val="0"/>
        <w:spacing w:line="480" w:lineRule="auto"/>
        <w:ind w:firstLine="420"/>
        <w:rPr>
          <w:rFonts w:ascii="Times New Roman" w:eastAsiaTheme="minorHAnsi" w:hAnsi="Times New Roman" w:cs="Times New Roman"/>
          <w:b/>
          <w:bCs/>
          <w:sz w:val="24"/>
          <w:szCs w:val="24"/>
        </w:rPr>
      </w:pPr>
      <w:r w:rsidRPr="00F44DDA">
        <w:rPr>
          <w:rFonts w:ascii="Times New Roman" w:hAnsi="Times New Roman" w:cs="Times New Roman"/>
          <w:bCs/>
          <w:iCs/>
          <w:sz w:val="24"/>
          <w:szCs w:val="24"/>
        </w:rPr>
        <w:t xml:space="preserve">Due to the differences in dose adjustment between ciprofol and propofol during the drug administration period, it </w:t>
      </w:r>
      <w:r w:rsidR="00095C12">
        <w:rPr>
          <w:rFonts w:ascii="Times New Roman" w:hAnsi="Times New Roman" w:cs="Times New Roman"/>
          <w:bCs/>
          <w:iCs/>
          <w:sz w:val="24"/>
          <w:szCs w:val="24"/>
        </w:rPr>
        <w:t>was</w:t>
      </w:r>
      <w:r w:rsidRPr="00F44DDA">
        <w:rPr>
          <w:rFonts w:ascii="Times New Roman" w:hAnsi="Times New Roman" w:cs="Times New Roman"/>
          <w:bCs/>
          <w:iCs/>
          <w:sz w:val="24"/>
          <w:szCs w:val="24"/>
        </w:rPr>
        <w:t xml:space="preserve"> difficult to blind the investigators. Considering the safety risks for seriously ill patients in </w:t>
      </w:r>
      <w:r w:rsidR="00095C12">
        <w:rPr>
          <w:rFonts w:ascii="Times New Roman" w:hAnsi="Times New Roman" w:cs="Times New Roman"/>
          <w:bCs/>
          <w:iCs/>
          <w:sz w:val="24"/>
          <w:szCs w:val="24"/>
        </w:rPr>
        <w:t xml:space="preserve">the </w:t>
      </w:r>
      <w:r w:rsidRPr="00F44DDA">
        <w:rPr>
          <w:rFonts w:ascii="Times New Roman" w:hAnsi="Times New Roman" w:cs="Times New Roman"/>
          <w:bCs/>
          <w:iCs/>
          <w:sz w:val="24"/>
          <w:szCs w:val="24"/>
        </w:rPr>
        <w:t xml:space="preserve">ICU, </w:t>
      </w:r>
      <w:bookmarkStart w:id="0" w:name="OLE_LINK1"/>
      <w:r w:rsidRPr="00F44DDA">
        <w:rPr>
          <w:rFonts w:ascii="Times New Roman" w:hAnsi="Times New Roman" w:cs="Times New Roman"/>
          <w:bCs/>
          <w:iCs/>
          <w:sz w:val="24"/>
          <w:szCs w:val="24"/>
        </w:rPr>
        <w:t xml:space="preserve">a single-blind design was adopted for the present trial, in which the study evaluators were set as blind; both patients and investigators were not allowed to communicate with each other about study drug information. </w:t>
      </w:r>
      <w:bookmarkEnd w:id="0"/>
      <w:r w:rsidR="0027484C" w:rsidRPr="0027484C">
        <w:rPr>
          <w:rFonts w:ascii="Times New Roman" w:hAnsi="Times New Roman" w:cs="Times New Roman" w:hint="eastAsia"/>
          <w:bCs/>
          <w:iCs/>
          <w:sz w:val="24"/>
          <w:szCs w:val="24"/>
        </w:rPr>
        <w:t>Moreover, the blind study evaluators were mainly responsible for assessing the patient's pain and sedation levels and then decided on when to start drug administration, dose adjustment trends and the time to the end of drug administration. They provided timely corresponding information to the non-blind study investigator who actually implemented the dose adjustments procedures, to determine the dosage and drug administration according to the grouping</w:t>
      </w:r>
      <w:r w:rsidRPr="00F44DDA">
        <w:rPr>
          <w:rFonts w:ascii="Times New Roman" w:hAnsi="Times New Roman" w:cs="Times New Roman"/>
          <w:bCs/>
          <w:iCs/>
          <w:sz w:val="24"/>
          <w:szCs w:val="24"/>
        </w:rPr>
        <w:t xml:space="preserve">. </w:t>
      </w:r>
      <w:r w:rsidRPr="00F44DDA">
        <w:rPr>
          <w:rFonts w:ascii="Times New Roman" w:hAnsi="Times New Roman" w:cs="Times New Roman"/>
          <w:bCs/>
          <w:iCs/>
          <w:sz w:val="24"/>
          <w:szCs w:val="24"/>
        </w:rPr>
        <w:lastRenderedPageBreak/>
        <w:t>The study investigators (non-blind) were required to calculate the initial administration dose and the top-up doses of patients in advance before drug administration. When giving the drug to patients in ICU, the study investigator could not disclose the administration dose, such as ‘‘initial administration of 5 mg,’’ but only said ‘‘initial administration,’’ ‘‘maintenance administration,’’ “start of injection’’ or ‘‘end of administration.’</w:t>
      </w:r>
    </w:p>
    <w:p w14:paraId="001E3AC2" w14:textId="75FFCE4A" w:rsidR="000A0DB3" w:rsidRDefault="000A0DB3" w:rsidP="00017E8D">
      <w:pPr>
        <w:adjustRightInd w:val="0"/>
        <w:snapToGrid w:val="0"/>
        <w:spacing w:line="480" w:lineRule="auto"/>
        <w:rPr>
          <w:rFonts w:ascii="Times New Roman" w:eastAsiaTheme="minorHAnsi" w:hAnsi="Times New Roman" w:cs="Times New Roman"/>
          <w:b/>
          <w:bCs/>
          <w:sz w:val="24"/>
          <w:szCs w:val="24"/>
        </w:rPr>
        <w:sectPr w:rsidR="000A0DB3" w:rsidSect="00B86790">
          <w:pgSz w:w="12240" w:h="15840" w:code="1"/>
          <w:pgMar w:top="1440" w:right="1800" w:bottom="1440" w:left="1800" w:header="851" w:footer="992" w:gutter="0"/>
          <w:cols w:space="425"/>
          <w:docGrid w:type="lines" w:linePitch="312"/>
        </w:sectPr>
      </w:pPr>
    </w:p>
    <w:p w14:paraId="20F07480" w14:textId="6D84BD30" w:rsidR="005D301C" w:rsidRPr="00017E8D" w:rsidRDefault="0037387A" w:rsidP="00017E8D">
      <w:pPr>
        <w:adjustRightInd w:val="0"/>
        <w:snapToGrid w:val="0"/>
        <w:spacing w:line="480" w:lineRule="auto"/>
        <w:rPr>
          <w:rFonts w:ascii="Times New Roman" w:eastAsiaTheme="minorHAnsi" w:hAnsi="Times New Roman" w:cs="Times New Roman"/>
          <w:b/>
          <w:bCs/>
          <w:sz w:val="24"/>
          <w:szCs w:val="24"/>
        </w:rPr>
      </w:pPr>
      <w:r w:rsidRPr="00C33915">
        <w:rPr>
          <w:rFonts w:ascii="Times New Roman" w:eastAsiaTheme="minorHAnsi" w:hAnsi="Times New Roman" w:cs="Times New Roman"/>
          <w:b/>
          <w:bCs/>
          <w:sz w:val="24"/>
          <w:szCs w:val="24"/>
        </w:rPr>
        <w:lastRenderedPageBreak/>
        <w:t>Supplemental</w:t>
      </w:r>
      <w:r w:rsidRPr="00017E8D">
        <w:rPr>
          <w:rFonts w:ascii="Times New Roman" w:eastAsiaTheme="minorHAnsi" w:hAnsi="Times New Roman" w:cs="Times New Roman"/>
          <w:b/>
          <w:bCs/>
          <w:sz w:val="24"/>
          <w:szCs w:val="24"/>
        </w:rPr>
        <w:t xml:space="preserve"> </w:t>
      </w:r>
      <w:r w:rsidR="005D301C" w:rsidRPr="00017E8D">
        <w:rPr>
          <w:rFonts w:ascii="Times New Roman" w:eastAsiaTheme="minorHAnsi" w:hAnsi="Times New Roman" w:cs="Times New Roman"/>
          <w:b/>
          <w:bCs/>
          <w:sz w:val="24"/>
          <w:szCs w:val="24"/>
        </w:rPr>
        <w:t xml:space="preserve">Table </w:t>
      </w:r>
      <w:r w:rsidR="00757690" w:rsidRPr="00017E8D">
        <w:rPr>
          <w:rFonts w:ascii="Times New Roman" w:eastAsiaTheme="minorHAnsi" w:hAnsi="Times New Roman" w:cs="Times New Roman"/>
          <w:b/>
          <w:bCs/>
          <w:sz w:val="24"/>
          <w:szCs w:val="24"/>
        </w:rPr>
        <w:t>1</w:t>
      </w:r>
      <w:r w:rsidR="005D301C" w:rsidRPr="00017E8D">
        <w:rPr>
          <w:rFonts w:ascii="Times New Roman" w:eastAsiaTheme="minorHAnsi" w:hAnsi="Times New Roman" w:cs="Times New Roman"/>
          <w:b/>
          <w:bCs/>
          <w:sz w:val="24"/>
          <w:szCs w:val="24"/>
        </w:rPr>
        <w:t>. Summary of adverse events</w:t>
      </w:r>
    </w:p>
    <w:tbl>
      <w:tblPr>
        <w:tblStyle w:val="a7"/>
        <w:tblW w:w="9123" w:type="dxa"/>
        <w:tblInd w:w="108" w:type="dxa"/>
        <w:tblLook w:val="04A0" w:firstRow="1" w:lastRow="0" w:firstColumn="1" w:lastColumn="0" w:noHBand="0" w:noVBand="1"/>
      </w:tblPr>
      <w:tblGrid>
        <w:gridCol w:w="3261"/>
        <w:gridCol w:w="2268"/>
        <w:gridCol w:w="2410"/>
        <w:gridCol w:w="1184"/>
      </w:tblGrid>
      <w:tr w:rsidR="005D301C" w:rsidRPr="00017E8D" w14:paraId="59AC9282" w14:textId="77777777" w:rsidTr="008D49EC">
        <w:tc>
          <w:tcPr>
            <w:tcW w:w="3261" w:type="dxa"/>
            <w:tcBorders>
              <w:left w:val="nil"/>
              <w:bottom w:val="single" w:sz="4" w:space="0" w:color="auto"/>
              <w:right w:val="nil"/>
            </w:tcBorders>
          </w:tcPr>
          <w:p w14:paraId="43B221ED" w14:textId="77777777" w:rsidR="005D301C" w:rsidRPr="00017E8D" w:rsidRDefault="005D301C" w:rsidP="00017E8D">
            <w:pPr>
              <w:adjustRightInd w:val="0"/>
              <w:snapToGrid w:val="0"/>
              <w:spacing w:line="480" w:lineRule="auto"/>
              <w:rPr>
                <w:rFonts w:ascii="Times New Roman" w:eastAsiaTheme="minorHAnsi" w:hAnsi="Times New Roman" w:cs="Times New Roman"/>
                <w:b/>
                <w:bCs/>
                <w:sz w:val="24"/>
                <w:szCs w:val="24"/>
              </w:rPr>
            </w:pPr>
          </w:p>
        </w:tc>
        <w:tc>
          <w:tcPr>
            <w:tcW w:w="2268" w:type="dxa"/>
            <w:tcBorders>
              <w:left w:val="nil"/>
              <w:bottom w:val="single" w:sz="4" w:space="0" w:color="auto"/>
              <w:right w:val="nil"/>
            </w:tcBorders>
          </w:tcPr>
          <w:p w14:paraId="23CC4941" w14:textId="6D9FF0D4" w:rsidR="005D301C" w:rsidRPr="00017E8D" w:rsidRDefault="004D7D2E" w:rsidP="00017E8D">
            <w:pPr>
              <w:adjustRightInd w:val="0"/>
              <w:snapToGrid w:val="0"/>
              <w:spacing w:line="480" w:lineRule="auto"/>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Ciprofol</w:t>
            </w:r>
            <w:r w:rsidR="005D301C" w:rsidRPr="00017E8D">
              <w:rPr>
                <w:rFonts w:ascii="Times New Roman" w:eastAsiaTheme="minorHAnsi" w:hAnsi="Times New Roman" w:cs="Times New Roman"/>
                <w:b/>
                <w:bCs/>
                <w:sz w:val="24"/>
                <w:szCs w:val="24"/>
              </w:rPr>
              <w:t xml:space="preserve"> (n = 116)</w:t>
            </w:r>
          </w:p>
        </w:tc>
        <w:tc>
          <w:tcPr>
            <w:tcW w:w="2410" w:type="dxa"/>
            <w:tcBorders>
              <w:left w:val="nil"/>
              <w:bottom w:val="single" w:sz="4" w:space="0" w:color="auto"/>
              <w:right w:val="nil"/>
            </w:tcBorders>
          </w:tcPr>
          <w:p w14:paraId="6F231961" w14:textId="77777777" w:rsidR="005D301C" w:rsidRPr="00017E8D" w:rsidRDefault="005D301C" w:rsidP="00017E8D">
            <w:pPr>
              <w:adjustRightInd w:val="0"/>
              <w:snapToGrid w:val="0"/>
              <w:spacing w:line="480" w:lineRule="auto"/>
              <w:rPr>
                <w:rFonts w:ascii="Times New Roman" w:eastAsiaTheme="minorHAnsi" w:hAnsi="Times New Roman" w:cs="Times New Roman"/>
                <w:b/>
                <w:bCs/>
                <w:sz w:val="24"/>
                <w:szCs w:val="24"/>
              </w:rPr>
            </w:pPr>
            <w:r w:rsidRPr="00017E8D">
              <w:rPr>
                <w:rFonts w:ascii="Times New Roman" w:eastAsiaTheme="minorHAnsi" w:hAnsi="Times New Roman" w:cs="Times New Roman"/>
                <w:b/>
                <w:bCs/>
                <w:sz w:val="24"/>
                <w:szCs w:val="24"/>
              </w:rPr>
              <w:t>Propofol (n = 58)</w:t>
            </w:r>
          </w:p>
        </w:tc>
        <w:tc>
          <w:tcPr>
            <w:tcW w:w="1184" w:type="dxa"/>
            <w:tcBorders>
              <w:left w:val="nil"/>
              <w:bottom w:val="single" w:sz="4" w:space="0" w:color="auto"/>
              <w:right w:val="nil"/>
            </w:tcBorders>
          </w:tcPr>
          <w:p w14:paraId="3091851E" w14:textId="77777777" w:rsidR="005D301C" w:rsidRPr="00017E8D" w:rsidRDefault="005D301C" w:rsidP="00017E8D">
            <w:pPr>
              <w:adjustRightInd w:val="0"/>
              <w:snapToGrid w:val="0"/>
              <w:spacing w:line="480" w:lineRule="auto"/>
              <w:rPr>
                <w:rFonts w:ascii="Times New Roman" w:eastAsiaTheme="minorHAnsi" w:hAnsi="Times New Roman" w:cs="Times New Roman"/>
                <w:b/>
                <w:bCs/>
                <w:sz w:val="24"/>
                <w:szCs w:val="24"/>
              </w:rPr>
            </w:pPr>
            <w:r w:rsidRPr="00017E8D">
              <w:rPr>
                <w:rFonts w:ascii="Times New Roman" w:eastAsiaTheme="minorHAnsi" w:hAnsi="Times New Roman" w:cs="Times New Roman"/>
                <w:b/>
                <w:bCs/>
                <w:i/>
                <w:iCs/>
                <w:sz w:val="24"/>
                <w:szCs w:val="24"/>
              </w:rPr>
              <w:t>P</w:t>
            </w:r>
            <w:r w:rsidRPr="00017E8D">
              <w:rPr>
                <w:rFonts w:ascii="Times New Roman" w:eastAsiaTheme="minorHAnsi" w:hAnsi="Times New Roman" w:cs="Times New Roman"/>
                <w:b/>
                <w:bCs/>
                <w:sz w:val="24"/>
                <w:szCs w:val="24"/>
              </w:rPr>
              <w:t>-value</w:t>
            </w:r>
          </w:p>
        </w:tc>
      </w:tr>
      <w:tr w:rsidR="005D301C" w:rsidRPr="00017E8D" w14:paraId="5E7CDFFB" w14:textId="77777777" w:rsidTr="008D49EC">
        <w:tc>
          <w:tcPr>
            <w:tcW w:w="3261" w:type="dxa"/>
            <w:tcBorders>
              <w:left w:val="nil"/>
              <w:bottom w:val="nil"/>
              <w:right w:val="nil"/>
            </w:tcBorders>
          </w:tcPr>
          <w:p w14:paraId="4C7D716C"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Any TEAE, n (%)</w:t>
            </w:r>
          </w:p>
        </w:tc>
        <w:tc>
          <w:tcPr>
            <w:tcW w:w="2268" w:type="dxa"/>
            <w:tcBorders>
              <w:left w:val="nil"/>
              <w:bottom w:val="nil"/>
              <w:right w:val="nil"/>
            </w:tcBorders>
          </w:tcPr>
          <w:p w14:paraId="0375212B"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74 (63.8)</w:t>
            </w:r>
          </w:p>
        </w:tc>
        <w:tc>
          <w:tcPr>
            <w:tcW w:w="2410" w:type="dxa"/>
            <w:tcBorders>
              <w:left w:val="nil"/>
              <w:bottom w:val="nil"/>
              <w:right w:val="nil"/>
            </w:tcBorders>
          </w:tcPr>
          <w:p w14:paraId="3F86156F"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45 (77.6)</w:t>
            </w:r>
          </w:p>
        </w:tc>
        <w:tc>
          <w:tcPr>
            <w:tcW w:w="1184" w:type="dxa"/>
            <w:tcBorders>
              <w:left w:val="nil"/>
              <w:bottom w:val="nil"/>
              <w:right w:val="nil"/>
            </w:tcBorders>
          </w:tcPr>
          <w:p w14:paraId="15F1209D"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0.065</w:t>
            </w:r>
          </w:p>
        </w:tc>
      </w:tr>
      <w:tr w:rsidR="005D301C" w:rsidRPr="00017E8D" w14:paraId="512A5C3C" w14:textId="77777777" w:rsidTr="008D49EC">
        <w:tc>
          <w:tcPr>
            <w:tcW w:w="3261" w:type="dxa"/>
            <w:tcBorders>
              <w:top w:val="nil"/>
              <w:left w:val="nil"/>
              <w:bottom w:val="nil"/>
              <w:right w:val="nil"/>
            </w:tcBorders>
          </w:tcPr>
          <w:p w14:paraId="77A97BD1"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Grade 1</w:t>
            </w:r>
          </w:p>
        </w:tc>
        <w:tc>
          <w:tcPr>
            <w:tcW w:w="2268" w:type="dxa"/>
            <w:tcBorders>
              <w:top w:val="nil"/>
              <w:left w:val="nil"/>
              <w:bottom w:val="nil"/>
              <w:right w:val="nil"/>
            </w:tcBorders>
          </w:tcPr>
          <w:p w14:paraId="3C0006C0"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60 (51.7)</w:t>
            </w:r>
          </w:p>
        </w:tc>
        <w:tc>
          <w:tcPr>
            <w:tcW w:w="2410" w:type="dxa"/>
            <w:tcBorders>
              <w:top w:val="nil"/>
              <w:left w:val="nil"/>
              <w:bottom w:val="nil"/>
              <w:right w:val="nil"/>
            </w:tcBorders>
          </w:tcPr>
          <w:p w14:paraId="680FB71C"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34 (58.6)</w:t>
            </w:r>
          </w:p>
        </w:tc>
        <w:tc>
          <w:tcPr>
            <w:tcW w:w="1184" w:type="dxa"/>
            <w:tcBorders>
              <w:top w:val="nil"/>
              <w:left w:val="nil"/>
              <w:bottom w:val="nil"/>
              <w:right w:val="nil"/>
            </w:tcBorders>
          </w:tcPr>
          <w:p w14:paraId="3DF09253"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p>
        </w:tc>
      </w:tr>
      <w:tr w:rsidR="005D301C" w:rsidRPr="00017E8D" w14:paraId="47CEFEDD" w14:textId="77777777" w:rsidTr="008D49EC">
        <w:tc>
          <w:tcPr>
            <w:tcW w:w="3261" w:type="dxa"/>
            <w:tcBorders>
              <w:top w:val="nil"/>
              <w:left w:val="nil"/>
              <w:bottom w:val="nil"/>
              <w:right w:val="nil"/>
            </w:tcBorders>
          </w:tcPr>
          <w:p w14:paraId="61213AB8"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Grade 2</w:t>
            </w:r>
          </w:p>
        </w:tc>
        <w:tc>
          <w:tcPr>
            <w:tcW w:w="2268" w:type="dxa"/>
            <w:tcBorders>
              <w:top w:val="nil"/>
              <w:left w:val="nil"/>
              <w:bottom w:val="nil"/>
              <w:right w:val="nil"/>
            </w:tcBorders>
          </w:tcPr>
          <w:p w14:paraId="52D68547"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36 (31.0)</w:t>
            </w:r>
          </w:p>
        </w:tc>
        <w:tc>
          <w:tcPr>
            <w:tcW w:w="2410" w:type="dxa"/>
            <w:tcBorders>
              <w:top w:val="nil"/>
              <w:left w:val="nil"/>
              <w:bottom w:val="nil"/>
              <w:right w:val="nil"/>
            </w:tcBorders>
          </w:tcPr>
          <w:p w14:paraId="0AC3C5DE"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22 (37.9)</w:t>
            </w:r>
          </w:p>
        </w:tc>
        <w:tc>
          <w:tcPr>
            <w:tcW w:w="1184" w:type="dxa"/>
            <w:tcBorders>
              <w:top w:val="nil"/>
              <w:left w:val="nil"/>
              <w:bottom w:val="nil"/>
              <w:right w:val="nil"/>
            </w:tcBorders>
          </w:tcPr>
          <w:p w14:paraId="138A9DA8"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p>
        </w:tc>
      </w:tr>
      <w:tr w:rsidR="005D301C" w:rsidRPr="00017E8D" w14:paraId="7A26F81B" w14:textId="77777777" w:rsidTr="008D49EC">
        <w:tc>
          <w:tcPr>
            <w:tcW w:w="3261" w:type="dxa"/>
            <w:tcBorders>
              <w:top w:val="nil"/>
              <w:left w:val="nil"/>
              <w:bottom w:val="nil"/>
              <w:right w:val="nil"/>
            </w:tcBorders>
          </w:tcPr>
          <w:p w14:paraId="6B142D0A"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 Grade 3</w:t>
            </w:r>
          </w:p>
        </w:tc>
        <w:tc>
          <w:tcPr>
            <w:tcW w:w="2268" w:type="dxa"/>
            <w:tcBorders>
              <w:top w:val="nil"/>
              <w:left w:val="nil"/>
              <w:bottom w:val="nil"/>
              <w:right w:val="nil"/>
            </w:tcBorders>
          </w:tcPr>
          <w:p w14:paraId="0010C0CA"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13 (11.2)</w:t>
            </w:r>
          </w:p>
        </w:tc>
        <w:tc>
          <w:tcPr>
            <w:tcW w:w="2410" w:type="dxa"/>
            <w:tcBorders>
              <w:top w:val="nil"/>
              <w:left w:val="nil"/>
              <w:bottom w:val="nil"/>
              <w:right w:val="nil"/>
            </w:tcBorders>
          </w:tcPr>
          <w:p w14:paraId="1DC0A514"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9 (15.5)</w:t>
            </w:r>
          </w:p>
        </w:tc>
        <w:tc>
          <w:tcPr>
            <w:tcW w:w="1184" w:type="dxa"/>
            <w:tcBorders>
              <w:top w:val="nil"/>
              <w:left w:val="nil"/>
              <w:bottom w:val="nil"/>
              <w:right w:val="nil"/>
            </w:tcBorders>
          </w:tcPr>
          <w:p w14:paraId="0289C3BE"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p>
        </w:tc>
      </w:tr>
      <w:tr w:rsidR="005D301C" w:rsidRPr="00017E8D" w14:paraId="7624F72D" w14:textId="77777777" w:rsidTr="008D49EC">
        <w:tc>
          <w:tcPr>
            <w:tcW w:w="3261" w:type="dxa"/>
            <w:tcBorders>
              <w:top w:val="nil"/>
              <w:left w:val="nil"/>
              <w:bottom w:val="nil"/>
              <w:right w:val="nil"/>
            </w:tcBorders>
          </w:tcPr>
          <w:p w14:paraId="44092AD5"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Any SAE, n (%)</w:t>
            </w:r>
          </w:p>
        </w:tc>
        <w:tc>
          <w:tcPr>
            <w:tcW w:w="2268" w:type="dxa"/>
            <w:tcBorders>
              <w:top w:val="nil"/>
              <w:left w:val="nil"/>
              <w:bottom w:val="nil"/>
              <w:right w:val="nil"/>
            </w:tcBorders>
          </w:tcPr>
          <w:p w14:paraId="2EBD0413"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3 (2.6)</w:t>
            </w:r>
          </w:p>
        </w:tc>
        <w:tc>
          <w:tcPr>
            <w:tcW w:w="2410" w:type="dxa"/>
            <w:tcBorders>
              <w:top w:val="nil"/>
              <w:left w:val="nil"/>
              <w:bottom w:val="nil"/>
              <w:right w:val="nil"/>
            </w:tcBorders>
          </w:tcPr>
          <w:p w14:paraId="24520673"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2 (3.4)</w:t>
            </w:r>
          </w:p>
        </w:tc>
        <w:tc>
          <w:tcPr>
            <w:tcW w:w="1184" w:type="dxa"/>
            <w:tcBorders>
              <w:top w:val="nil"/>
              <w:left w:val="nil"/>
              <w:bottom w:val="nil"/>
              <w:right w:val="nil"/>
            </w:tcBorders>
          </w:tcPr>
          <w:p w14:paraId="79CE306E"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1.000</w:t>
            </w:r>
          </w:p>
        </w:tc>
      </w:tr>
      <w:tr w:rsidR="005D301C" w:rsidRPr="00017E8D" w14:paraId="303E5260" w14:textId="77777777" w:rsidTr="008D49EC">
        <w:tc>
          <w:tcPr>
            <w:tcW w:w="3261" w:type="dxa"/>
            <w:tcBorders>
              <w:top w:val="nil"/>
              <w:left w:val="nil"/>
              <w:bottom w:val="nil"/>
              <w:right w:val="nil"/>
            </w:tcBorders>
          </w:tcPr>
          <w:p w14:paraId="032B6613"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Drug-related TEAEs, n (%)</w:t>
            </w:r>
          </w:p>
        </w:tc>
        <w:tc>
          <w:tcPr>
            <w:tcW w:w="2268" w:type="dxa"/>
            <w:tcBorders>
              <w:top w:val="nil"/>
              <w:left w:val="nil"/>
              <w:bottom w:val="nil"/>
              <w:right w:val="nil"/>
            </w:tcBorders>
          </w:tcPr>
          <w:p w14:paraId="32F78998"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24 (20.7)</w:t>
            </w:r>
          </w:p>
        </w:tc>
        <w:tc>
          <w:tcPr>
            <w:tcW w:w="2410" w:type="dxa"/>
            <w:tcBorders>
              <w:top w:val="nil"/>
              <w:left w:val="nil"/>
              <w:bottom w:val="nil"/>
              <w:right w:val="nil"/>
            </w:tcBorders>
          </w:tcPr>
          <w:p w14:paraId="5D6669E1"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20 (34.5)</w:t>
            </w:r>
          </w:p>
        </w:tc>
        <w:tc>
          <w:tcPr>
            <w:tcW w:w="1184" w:type="dxa"/>
            <w:tcBorders>
              <w:top w:val="nil"/>
              <w:left w:val="nil"/>
              <w:bottom w:val="nil"/>
              <w:right w:val="nil"/>
            </w:tcBorders>
          </w:tcPr>
          <w:p w14:paraId="3CF8CF87"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0.048</w:t>
            </w:r>
          </w:p>
        </w:tc>
      </w:tr>
      <w:tr w:rsidR="005D301C" w:rsidRPr="00017E8D" w14:paraId="19571023" w14:textId="77777777" w:rsidTr="008D49EC">
        <w:tc>
          <w:tcPr>
            <w:tcW w:w="3261" w:type="dxa"/>
            <w:tcBorders>
              <w:top w:val="nil"/>
              <w:left w:val="nil"/>
              <w:bottom w:val="nil"/>
              <w:right w:val="nil"/>
            </w:tcBorders>
          </w:tcPr>
          <w:p w14:paraId="61EAE8AB"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Hypotension</w:t>
            </w:r>
          </w:p>
        </w:tc>
        <w:tc>
          <w:tcPr>
            <w:tcW w:w="2268" w:type="dxa"/>
            <w:tcBorders>
              <w:top w:val="nil"/>
              <w:left w:val="nil"/>
              <w:bottom w:val="nil"/>
              <w:right w:val="nil"/>
            </w:tcBorders>
          </w:tcPr>
          <w:p w14:paraId="0BECC004"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20 (17.2)</w:t>
            </w:r>
          </w:p>
        </w:tc>
        <w:tc>
          <w:tcPr>
            <w:tcW w:w="2410" w:type="dxa"/>
            <w:tcBorders>
              <w:top w:val="nil"/>
              <w:left w:val="nil"/>
              <w:bottom w:val="nil"/>
              <w:right w:val="nil"/>
            </w:tcBorders>
          </w:tcPr>
          <w:p w14:paraId="148F0F68"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17 (29.3)</w:t>
            </w:r>
          </w:p>
        </w:tc>
        <w:tc>
          <w:tcPr>
            <w:tcW w:w="1184" w:type="dxa"/>
            <w:tcBorders>
              <w:top w:val="nil"/>
              <w:left w:val="nil"/>
              <w:bottom w:val="nil"/>
              <w:right w:val="nil"/>
            </w:tcBorders>
          </w:tcPr>
          <w:p w14:paraId="4F4EB3DD"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0.067</w:t>
            </w:r>
          </w:p>
        </w:tc>
      </w:tr>
      <w:tr w:rsidR="005D301C" w:rsidRPr="00017E8D" w14:paraId="70AEF964" w14:textId="77777777" w:rsidTr="008D49EC">
        <w:tc>
          <w:tcPr>
            <w:tcW w:w="3261" w:type="dxa"/>
            <w:tcBorders>
              <w:top w:val="nil"/>
              <w:left w:val="nil"/>
              <w:bottom w:val="nil"/>
              <w:right w:val="nil"/>
            </w:tcBorders>
          </w:tcPr>
          <w:p w14:paraId="3C12C2F1"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Bradycardia</w:t>
            </w:r>
          </w:p>
        </w:tc>
        <w:tc>
          <w:tcPr>
            <w:tcW w:w="2268" w:type="dxa"/>
            <w:tcBorders>
              <w:top w:val="nil"/>
              <w:left w:val="nil"/>
              <w:bottom w:val="nil"/>
              <w:right w:val="nil"/>
            </w:tcBorders>
          </w:tcPr>
          <w:p w14:paraId="36CD622E"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3 (2.6)</w:t>
            </w:r>
          </w:p>
        </w:tc>
        <w:tc>
          <w:tcPr>
            <w:tcW w:w="2410" w:type="dxa"/>
            <w:tcBorders>
              <w:top w:val="nil"/>
              <w:left w:val="nil"/>
              <w:bottom w:val="nil"/>
              <w:right w:val="nil"/>
            </w:tcBorders>
          </w:tcPr>
          <w:p w14:paraId="003C5542"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2 (3.4)</w:t>
            </w:r>
          </w:p>
        </w:tc>
        <w:tc>
          <w:tcPr>
            <w:tcW w:w="1184" w:type="dxa"/>
            <w:tcBorders>
              <w:top w:val="nil"/>
              <w:left w:val="nil"/>
              <w:bottom w:val="nil"/>
              <w:right w:val="nil"/>
            </w:tcBorders>
          </w:tcPr>
          <w:p w14:paraId="259F7096"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1.000</w:t>
            </w:r>
          </w:p>
        </w:tc>
      </w:tr>
      <w:tr w:rsidR="005D301C" w:rsidRPr="00017E8D" w14:paraId="6BA6C233" w14:textId="77777777" w:rsidTr="008D49EC">
        <w:tc>
          <w:tcPr>
            <w:tcW w:w="3261" w:type="dxa"/>
            <w:tcBorders>
              <w:top w:val="nil"/>
              <w:left w:val="nil"/>
              <w:bottom w:val="nil"/>
              <w:right w:val="nil"/>
            </w:tcBorders>
          </w:tcPr>
          <w:p w14:paraId="03A263D3"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Hypertriglyceridemia</w:t>
            </w:r>
          </w:p>
        </w:tc>
        <w:tc>
          <w:tcPr>
            <w:tcW w:w="2268" w:type="dxa"/>
            <w:tcBorders>
              <w:top w:val="nil"/>
              <w:left w:val="nil"/>
              <w:bottom w:val="nil"/>
              <w:right w:val="nil"/>
            </w:tcBorders>
          </w:tcPr>
          <w:p w14:paraId="07DC37C0"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3 (2.6)</w:t>
            </w:r>
          </w:p>
        </w:tc>
        <w:tc>
          <w:tcPr>
            <w:tcW w:w="2410" w:type="dxa"/>
            <w:tcBorders>
              <w:top w:val="nil"/>
              <w:left w:val="nil"/>
              <w:bottom w:val="nil"/>
              <w:right w:val="nil"/>
            </w:tcBorders>
          </w:tcPr>
          <w:p w14:paraId="265366AA"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 (1.7)</w:t>
            </w:r>
          </w:p>
        </w:tc>
        <w:tc>
          <w:tcPr>
            <w:tcW w:w="1184" w:type="dxa"/>
            <w:tcBorders>
              <w:top w:val="nil"/>
              <w:left w:val="nil"/>
              <w:bottom w:val="nil"/>
              <w:right w:val="nil"/>
            </w:tcBorders>
          </w:tcPr>
          <w:p w14:paraId="68965E26"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1.000</w:t>
            </w:r>
          </w:p>
        </w:tc>
      </w:tr>
      <w:tr w:rsidR="005D301C" w:rsidRPr="00017E8D" w14:paraId="0624132E" w14:textId="77777777" w:rsidTr="008D49EC">
        <w:tc>
          <w:tcPr>
            <w:tcW w:w="3261" w:type="dxa"/>
            <w:tcBorders>
              <w:top w:val="nil"/>
              <w:left w:val="nil"/>
              <w:bottom w:val="nil"/>
              <w:right w:val="nil"/>
            </w:tcBorders>
          </w:tcPr>
          <w:p w14:paraId="77751C07"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Respiratory depression</w:t>
            </w:r>
          </w:p>
        </w:tc>
        <w:tc>
          <w:tcPr>
            <w:tcW w:w="2268" w:type="dxa"/>
            <w:tcBorders>
              <w:top w:val="nil"/>
              <w:left w:val="nil"/>
              <w:bottom w:val="nil"/>
              <w:right w:val="nil"/>
            </w:tcBorders>
          </w:tcPr>
          <w:p w14:paraId="62C14256"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 (0.9)</w:t>
            </w:r>
          </w:p>
        </w:tc>
        <w:tc>
          <w:tcPr>
            <w:tcW w:w="2410" w:type="dxa"/>
            <w:tcBorders>
              <w:top w:val="nil"/>
              <w:left w:val="nil"/>
              <w:bottom w:val="nil"/>
              <w:right w:val="nil"/>
            </w:tcBorders>
          </w:tcPr>
          <w:p w14:paraId="2B1AB895"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2 (3.4)</w:t>
            </w:r>
          </w:p>
        </w:tc>
        <w:tc>
          <w:tcPr>
            <w:tcW w:w="1184" w:type="dxa"/>
            <w:tcBorders>
              <w:top w:val="nil"/>
              <w:left w:val="nil"/>
              <w:bottom w:val="nil"/>
              <w:right w:val="nil"/>
            </w:tcBorders>
          </w:tcPr>
          <w:p w14:paraId="3B27EFB7"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0.258</w:t>
            </w:r>
          </w:p>
        </w:tc>
      </w:tr>
      <w:tr w:rsidR="005D301C" w:rsidRPr="00017E8D" w14:paraId="665FEF54" w14:textId="77777777" w:rsidTr="008D49EC">
        <w:tc>
          <w:tcPr>
            <w:tcW w:w="3261" w:type="dxa"/>
            <w:tcBorders>
              <w:top w:val="nil"/>
              <w:left w:val="nil"/>
              <w:bottom w:val="nil"/>
              <w:right w:val="nil"/>
            </w:tcBorders>
          </w:tcPr>
          <w:p w14:paraId="31007B11"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Atrial fibrillation</w:t>
            </w:r>
          </w:p>
        </w:tc>
        <w:tc>
          <w:tcPr>
            <w:tcW w:w="2268" w:type="dxa"/>
            <w:tcBorders>
              <w:top w:val="nil"/>
              <w:left w:val="nil"/>
              <w:bottom w:val="nil"/>
              <w:right w:val="nil"/>
            </w:tcBorders>
          </w:tcPr>
          <w:p w14:paraId="7A7E0D38"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 (0.9)</w:t>
            </w:r>
          </w:p>
        </w:tc>
        <w:tc>
          <w:tcPr>
            <w:tcW w:w="2410" w:type="dxa"/>
            <w:tcBorders>
              <w:top w:val="nil"/>
              <w:left w:val="nil"/>
              <w:bottom w:val="nil"/>
              <w:right w:val="nil"/>
            </w:tcBorders>
          </w:tcPr>
          <w:p w14:paraId="50CE1993"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w:t>
            </w:r>
          </w:p>
        </w:tc>
        <w:tc>
          <w:tcPr>
            <w:tcW w:w="1184" w:type="dxa"/>
            <w:tcBorders>
              <w:top w:val="nil"/>
              <w:left w:val="nil"/>
              <w:bottom w:val="nil"/>
              <w:right w:val="nil"/>
            </w:tcBorders>
          </w:tcPr>
          <w:p w14:paraId="0DB7FC8A"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1.000</w:t>
            </w:r>
          </w:p>
        </w:tc>
      </w:tr>
      <w:tr w:rsidR="005D301C" w:rsidRPr="00017E8D" w14:paraId="33E18147" w14:textId="77777777" w:rsidTr="008D49EC">
        <w:tc>
          <w:tcPr>
            <w:tcW w:w="3261" w:type="dxa"/>
            <w:tcBorders>
              <w:top w:val="nil"/>
              <w:left w:val="nil"/>
              <w:bottom w:val="nil"/>
              <w:right w:val="nil"/>
            </w:tcBorders>
          </w:tcPr>
          <w:p w14:paraId="096D685F"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Allergic dermatitis</w:t>
            </w:r>
          </w:p>
        </w:tc>
        <w:tc>
          <w:tcPr>
            <w:tcW w:w="2268" w:type="dxa"/>
            <w:tcBorders>
              <w:top w:val="nil"/>
              <w:left w:val="nil"/>
              <w:bottom w:val="nil"/>
              <w:right w:val="nil"/>
            </w:tcBorders>
          </w:tcPr>
          <w:p w14:paraId="4549CBD8"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 (0.9)</w:t>
            </w:r>
          </w:p>
        </w:tc>
        <w:tc>
          <w:tcPr>
            <w:tcW w:w="2410" w:type="dxa"/>
            <w:tcBorders>
              <w:top w:val="nil"/>
              <w:left w:val="nil"/>
              <w:bottom w:val="nil"/>
              <w:right w:val="nil"/>
            </w:tcBorders>
          </w:tcPr>
          <w:p w14:paraId="3B1DF450"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w:t>
            </w:r>
          </w:p>
        </w:tc>
        <w:tc>
          <w:tcPr>
            <w:tcW w:w="1184" w:type="dxa"/>
            <w:tcBorders>
              <w:top w:val="nil"/>
              <w:left w:val="nil"/>
              <w:bottom w:val="nil"/>
              <w:right w:val="nil"/>
            </w:tcBorders>
          </w:tcPr>
          <w:p w14:paraId="0732688C"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1.000</w:t>
            </w:r>
          </w:p>
        </w:tc>
      </w:tr>
      <w:tr w:rsidR="005D301C" w:rsidRPr="00017E8D" w14:paraId="750A3D00" w14:textId="77777777" w:rsidTr="008D49EC">
        <w:tc>
          <w:tcPr>
            <w:tcW w:w="3261" w:type="dxa"/>
            <w:tcBorders>
              <w:top w:val="nil"/>
              <w:left w:val="nil"/>
              <w:bottom w:val="nil"/>
              <w:right w:val="nil"/>
            </w:tcBorders>
          </w:tcPr>
          <w:p w14:paraId="6D294008"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Elevated hemobilirubin</w:t>
            </w:r>
          </w:p>
        </w:tc>
        <w:tc>
          <w:tcPr>
            <w:tcW w:w="2268" w:type="dxa"/>
            <w:tcBorders>
              <w:top w:val="nil"/>
              <w:left w:val="nil"/>
              <w:bottom w:val="nil"/>
              <w:right w:val="nil"/>
            </w:tcBorders>
          </w:tcPr>
          <w:p w14:paraId="628A586F"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w:t>
            </w:r>
          </w:p>
        </w:tc>
        <w:tc>
          <w:tcPr>
            <w:tcW w:w="2410" w:type="dxa"/>
            <w:tcBorders>
              <w:top w:val="nil"/>
              <w:left w:val="nil"/>
              <w:bottom w:val="nil"/>
              <w:right w:val="nil"/>
            </w:tcBorders>
          </w:tcPr>
          <w:p w14:paraId="706F78F5"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 (1.7)</w:t>
            </w:r>
          </w:p>
        </w:tc>
        <w:tc>
          <w:tcPr>
            <w:tcW w:w="1184" w:type="dxa"/>
            <w:tcBorders>
              <w:top w:val="nil"/>
              <w:left w:val="nil"/>
              <w:bottom w:val="nil"/>
              <w:right w:val="nil"/>
            </w:tcBorders>
          </w:tcPr>
          <w:p w14:paraId="7F8038A6"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0.333</w:t>
            </w:r>
          </w:p>
        </w:tc>
      </w:tr>
      <w:tr w:rsidR="005D301C" w:rsidRPr="00017E8D" w14:paraId="52149654" w14:textId="77777777" w:rsidTr="008D49EC">
        <w:tc>
          <w:tcPr>
            <w:tcW w:w="9123" w:type="dxa"/>
            <w:gridSpan w:val="4"/>
            <w:tcBorders>
              <w:top w:val="nil"/>
              <w:left w:val="nil"/>
              <w:bottom w:val="nil"/>
              <w:right w:val="nil"/>
            </w:tcBorders>
          </w:tcPr>
          <w:p w14:paraId="24D31D37"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Duration of drug-related TEAEs (min)</w:t>
            </w:r>
          </w:p>
        </w:tc>
      </w:tr>
      <w:tr w:rsidR="005D301C" w:rsidRPr="00017E8D" w14:paraId="77A4E268" w14:textId="77777777" w:rsidTr="008D49EC">
        <w:tc>
          <w:tcPr>
            <w:tcW w:w="3261" w:type="dxa"/>
            <w:tcBorders>
              <w:top w:val="nil"/>
              <w:left w:val="nil"/>
              <w:bottom w:val="nil"/>
              <w:right w:val="nil"/>
            </w:tcBorders>
          </w:tcPr>
          <w:p w14:paraId="7AD7FC10"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Hypotension</w:t>
            </w:r>
          </w:p>
        </w:tc>
        <w:tc>
          <w:tcPr>
            <w:tcW w:w="2268" w:type="dxa"/>
            <w:tcBorders>
              <w:top w:val="nil"/>
              <w:left w:val="nil"/>
              <w:bottom w:val="nil"/>
              <w:right w:val="nil"/>
            </w:tcBorders>
          </w:tcPr>
          <w:p w14:paraId="4AEDF310"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90.0 (5.0-714.0)</w:t>
            </w:r>
          </w:p>
        </w:tc>
        <w:tc>
          <w:tcPr>
            <w:tcW w:w="2410" w:type="dxa"/>
            <w:tcBorders>
              <w:top w:val="nil"/>
              <w:left w:val="nil"/>
              <w:bottom w:val="nil"/>
              <w:right w:val="nil"/>
            </w:tcBorders>
          </w:tcPr>
          <w:p w14:paraId="25929364"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138.5 (15.0-10,899.0)</w:t>
            </w:r>
          </w:p>
        </w:tc>
        <w:tc>
          <w:tcPr>
            <w:tcW w:w="1184" w:type="dxa"/>
            <w:tcBorders>
              <w:top w:val="nil"/>
              <w:left w:val="nil"/>
              <w:bottom w:val="nil"/>
              <w:right w:val="nil"/>
            </w:tcBorders>
          </w:tcPr>
          <w:p w14:paraId="032D305C"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0.191</w:t>
            </w:r>
          </w:p>
        </w:tc>
      </w:tr>
      <w:tr w:rsidR="005D301C" w:rsidRPr="00017E8D" w14:paraId="093C157D" w14:textId="77777777" w:rsidTr="008D49EC">
        <w:tc>
          <w:tcPr>
            <w:tcW w:w="3261" w:type="dxa"/>
            <w:tcBorders>
              <w:top w:val="nil"/>
              <w:left w:val="nil"/>
              <w:bottom w:val="nil"/>
              <w:right w:val="nil"/>
            </w:tcBorders>
          </w:tcPr>
          <w:p w14:paraId="0B8E9757"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Bradycardia</w:t>
            </w:r>
          </w:p>
        </w:tc>
        <w:tc>
          <w:tcPr>
            <w:tcW w:w="2268" w:type="dxa"/>
            <w:tcBorders>
              <w:top w:val="nil"/>
              <w:left w:val="nil"/>
              <w:bottom w:val="nil"/>
              <w:right w:val="nil"/>
            </w:tcBorders>
          </w:tcPr>
          <w:p w14:paraId="785089D7"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120.0 (50.0-344.0)</w:t>
            </w:r>
          </w:p>
        </w:tc>
        <w:tc>
          <w:tcPr>
            <w:tcW w:w="2410" w:type="dxa"/>
            <w:tcBorders>
              <w:top w:val="nil"/>
              <w:left w:val="nil"/>
              <w:bottom w:val="nil"/>
              <w:right w:val="nil"/>
            </w:tcBorders>
          </w:tcPr>
          <w:p w14:paraId="44C507DF"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435.5 (151.0-720.0)</w:t>
            </w:r>
          </w:p>
        </w:tc>
        <w:tc>
          <w:tcPr>
            <w:tcW w:w="1184" w:type="dxa"/>
            <w:tcBorders>
              <w:top w:val="nil"/>
              <w:left w:val="nil"/>
              <w:bottom w:val="nil"/>
              <w:right w:val="nil"/>
            </w:tcBorders>
            <w:shd w:val="clear" w:color="auto" w:fill="auto"/>
          </w:tcPr>
          <w:p w14:paraId="55CBDF23"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0.248</w:t>
            </w:r>
          </w:p>
        </w:tc>
      </w:tr>
      <w:tr w:rsidR="005D301C" w:rsidRPr="00017E8D" w14:paraId="6E66940B" w14:textId="77777777" w:rsidTr="008D49EC">
        <w:tc>
          <w:tcPr>
            <w:tcW w:w="3261" w:type="dxa"/>
            <w:tcBorders>
              <w:top w:val="nil"/>
              <w:left w:val="nil"/>
              <w:right w:val="nil"/>
            </w:tcBorders>
          </w:tcPr>
          <w:p w14:paraId="611112BB" w14:textId="77777777" w:rsidR="005D301C" w:rsidRPr="00017E8D" w:rsidRDefault="005D301C" w:rsidP="00017E8D">
            <w:pPr>
              <w:adjustRightInd w:val="0"/>
              <w:snapToGrid w:val="0"/>
              <w:spacing w:line="480" w:lineRule="auto"/>
              <w:ind w:firstLineChars="100" w:firstLine="240"/>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Respiratory depression</w:t>
            </w:r>
          </w:p>
        </w:tc>
        <w:tc>
          <w:tcPr>
            <w:tcW w:w="2268" w:type="dxa"/>
            <w:tcBorders>
              <w:top w:val="nil"/>
              <w:left w:val="nil"/>
              <w:right w:val="nil"/>
            </w:tcBorders>
          </w:tcPr>
          <w:p w14:paraId="67088438"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60.0</w:t>
            </w:r>
            <w:r w:rsidRPr="00017E8D">
              <w:rPr>
                <w:rFonts w:ascii="Times New Roman" w:eastAsiaTheme="minorHAnsi" w:hAnsi="Times New Roman" w:cs="Times New Roman"/>
                <w:sz w:val="24"/>
                <w:szCs w:val="24"/>
              </w:rPr>
              <w:t>（</w:t>
            </w:r>
            <w:r w:rsidRPr="00017E8D">
              <w:rPr>
                <w:rFonts w:ascii="Times New Roman" w:eastAsiaTheme="minorHAnsi" w:hAnsi="Times New Roman" w:cs="Times New Roman"/>
                <w:sz w:val="24"/>
                <w:szCs w:val="24"/>
              </w:rPr>
              <w:t>60.0-60.0</w:t>
            </w:r>
            <w:r w:rsidRPr="00017E8D">
              <w:rPr>
                <w:rFonts w:ascii="Times New Roman" w:eastAsiaTheme="minorHAnsi" w:hAnsi="Times New Roman" w:cs="Times New Roman"/>
                <w:sz w:val="24"/>
                <w:szCs w:val="24"/>
              </w:rPr>
              <w:t>）</w:t>
            </w:r>
          </w:p>
        </w:tc>
        <w:tc>
          <w:tcPr>
            <w:tcW w:w="2410" w:type="dxa"/>
            <w:tcBorders>
              <w:top w:val="nil"/>
              <w:left w:val="nil"/>
              <w:right w:val="nil"/>
            </w:tcBorders>
          </w:tcPr>
          <w:p w14:paraId="4CC554F3"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108.0 (96.0-120.0)</w:t>
            </w:r>
          </w:p>
        </w:tc>
        <w:tc>
          <w:tcPr>
            <w:tcW w:w="1184" w:type="dxa"/>
            <w:tcBorders>
              <w:top w:val="nil"/>
              <w:left w:val="nil"/>
              <w:right w:val="nil"/>
            </w:tcBorders>
          </w:tcPr>
          <w:p w14:paraId="4958CABD"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0.221</w:t>
            </w:r>
          </w:p>
        </w:tc>
      </w:tr>
    </w:tbl>
    <w:p w14:paraId="704A4C99" w14:textId="77777777" w:rsidR="005D301C" w:rsidRPr="00017E8D" w:rsidRDefault="005D301C" w:rsidP="004E720B">
      <w:pPr>
        <w:adjustRightInd w:val="0"/>
        <w:snapToGrid w:val="0"/>
        <w:spacing w:before="120"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Note. Data are given as the median with range (minimum-maximum) or numbers with percentages.</w:t>
      </w:r>
    </w:p>
    <w:p w14:paraId="55B1386B"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pPr>
      <w:r w:rsidRPr="00017E8D">
        <w:rPr>
          <w:rFonts w:ascii="Times New Roman" w:eastAsiaTheme="minorHAnsi" w:hAnsi="Times New Roman" w:cs="Times New Roman"/>
          <w:sz w:val="24"/>
          <w:szCs w:val="24"/>
        </w:rPr>
        <w:t>Abbreviation. TEAE, treatment-emergent adverse event</w:t>
      </w:r>
    </w:p>
    <w:p w14:paraId="7FE54672" w14:textId="77777777" w:rsidR="005D301C" w:rsidRPr="00017E8D" w:rsidRDefault="005D301C" w:rsidP="00017E8D">
      <w:pPr>
        <w:adjustRightInd w:val="0"/>
        <w:snapToGrid w:val="0"/>
        <w:spacing w:line="480" w:lineRule="auto"/>
        <w:rPr>
          <w:rFonts w:ascii="Times New Roman" w:eastAsiaTheme="minorHAnsi" w:hAnsi="Times New Roman" w:cs="Times New Roman"/>
          <w:sz w:val="24"/>
          <w:szCs w:val="24"/>
        </w:rPr>
        <w:sectPr w:rsidR="005D301C" w:rsidRPr="00017E8D" w:rsidSect="00B86790">
          <w:pgSz w:w="12240" w:h="15840" w:code="1"/>
          <w:pgMar w:top="1440" w:right="1800" w:bottom="1440" w:left="1800" w:header="851" w:footer="992" w:gutter="0"/>
          <w:cols w:space="425"/>
          <w:docGrid w:type="lines" w:linePitch="312"/>
        </w:sectPr>
      </w:pPr>
    </w:p>
    <w:p w14:paraId="51ECB865" w14:textId="7AE53957" w:rsidR="00DA3085" w:rsidRPr="00017E8D" w:rsidRDefault="00386C35" w:rsidP="00017E8D">
      <w:pPr>
        <w:adjustRightInd w:val="0"/>
        <w:snapToGrid w:val="0"/>
        <w:spacing w:line="480" w:lineRule="auto"/>
        <w:rPr>
          <w:rFonts w:ascii="Times New Roman" w:eastAsiaTheme="minorHAnsi" w:hAnsi="Times New Roman" w:cs="Times New Roman"/>
          <w:b/>
          <w:bCs/>
          <w:sz w:val="24"/>
          <w:szCs w:val="24"/>
        </w:rPr>
      </w:pPr>
      <w:r>
        <w:rPr>
          <w:noProof/>
        </w:rPr>
        <w:lastRenderedPageBreak/>
        <w:drawing>
          <wp:inline distT="0" distB="0" distL="0" distR="0" wp14:anchorId="2C04919B" wp14:editId="3BBE0B50">
            <wp:extent cx="4671674" cy="6228358"/>
            <wp:effectExtent l="0" t="0" r="0" b="1270"/>
            <wp:docPr id="13539867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77340" cy="6235912"/>
                    </a:xfrm>
                    <a:prstGeom prst="rect">
                      <a:avLst/>
                    </a:prstGeom>
                    <a:noFill/>
                    <a:ln>
                      <a:noFill/>
                    </a:ln>
                  </pic:spPr>
                </pic:pic>
              </a:graphicData>
            </a:graphic>
          </wp:inline>
        </w:drawing>
      </w:r>
      <w:r w:rsidR="00556142" w:rsidRPr="00C33915">
        <w:rPr>
          <w:rFonts w:ascii="Times New Roman" w:eastAsiaTheme="minorHAnsi" w:hAnsi="Times New Roman" w:cs="Times New Roman"/>
          <w:b/>
          <w:bCs/>
          <w:sz w:val="24"/>
          <w:szCs w:val="24"/>
        </w:rPr>
        <w:t>Supplemental</w:t>
      </w:r>
      <w:r w:rsidR="00556142" w:rsidRPr="00017E8D">
        <w:rPr>
          <w:rFonts w:ascii="Times New Roman" w:eastAsiaTheme="minorHAnsi" w:hAnsi="Times New Roman" w:cs="Times New Roman"/>
          <w:b/>
          <w:bCs/>
          <w:sz w:val="24"/>
          <w:szCs w:val="24"/>
        </w:rPr>
        <w:t xml:space="preserve"> </w:t>
      </w:r>
      <w:r w:rsidR="00556142">
        <w:rPr>
          <w:rFonts w:ascii="Times New Roman" w:eastAsiaTheme="minorHAnsi" w:hAnsi="Times New Roman" w:cs="Times New Roman" w:hint="eastAsia"/>
          <w:b/>
          <w:bCs/>
          <w:sz w:val="24"/>
          <w:szCs w:val="24"/>
        </w:rPr>
        <w:t xml:space="preserve">Fig. </w:t>
      </w:r>
      <w:r w:rsidR="00DA3085" w:rsidRPr="00017E8D">
        <w:rPr>
          <w:rFonts w:ascii="Times New Roman" w:eastAsiaTheme="minorHAnsi" w:hAnsi="Times New Roman" w:cs="Times New Roman"/>
          <w:b/>
          <w:bCs/>
          <w:sz w:val="24"/>
          <w:szCs w:val="24"/>
        </w:rPr>
        <w:t>1. Blood pressure changes from baseline after 30 min and 1</w:t>
      </w:r>
      <w:r w:rsidR="00095C12">
        <w:rPr>
          <w:rFonts w:ascii="Times New Roman" w:eastAsiaTheme="minorHAnsi" w:hAnsi="Times New Roman" w:cs="Times New Roman"/>
          <w:b/>
          <w:bCs/>
          <w:sz w:val="24"/>
          <w:szCs w:val="24"/>
        </w:rPr>
        <w:t xml:space="preserve"> </w:t>
      </w:r>
      <w:r w:rsidR="00DA3085" w:rsidRPr="00017E8D">
        <w:rPr>
          <w:rFonts w:ascii="Times New Roman" w:eastAsiaTheme="minorHAnsi" w:hAnsi="Times New Roman" w:cs="Times New Roman"/>
          <w:b/>
          <w:bCs/>
          <w:sz w:val="24"/>
          <w:szCs w:val="24"/>
        </w:rPr>
        <w:t xml:space="preserve">h administration of </w:t>
      </w:r>
      <w:r w:rsidR="004D7D2E">
        <w:rPr>
          <w:rFonts w:ascii="Times New Roman" w:eastAsiaTheme="minorHAnsi" w:hAnsi="Times New Roman" w:cs="Times New Roman"/>
          <w:b/>
          <w:bCs/>
          <w:sz w:val="24"/>
          <w:szCs w:val="24"/>
        </w:rPr>
        <w:t>ciprofol</w:t>
      </w:r>
      <w:r w:rsidR="00095C12">
        <w:rPr>
          <w:rFonts w:ascii="Times New Roman" w:eastAsiaTheme="minorHAnsi" w:hAnsi="Times New Roman" w:cs="Times New Roman"/>
          <w:b/>
          <w:bCs/>
          <w:sz w:val="24"/>
          <w:szCs w:val="24"/>
        </w:rPr>
        <w:t xml:space="preserve"> or </w:t>
      </w:r>
      <w:r w:rsidR="00DA3085" w:rsidRPr="00017E8D">
        <w:rPr>
          <w:rFonts w:ascii="Times New Roman" w:eastAsiaTheme="minorHAnsi" w:hAnsi="Times New Roman" w:cs="Times New Roman"/>
          <w:b/>
          <w:bCs/>
          <w:sz w:val="24"/>
          <w:szCs w:val="24"/>
        </w:rPr>
        <w:t>propofol between groups</w:t>
      </w:r>
    </w:p>
    <w:p w14:paraId="21C4F1D3" w14:textId="3992E472" w:rsidR="00F63951" w:rsidRPr="00017E8D" w:rsidRDefault="00DA3085" w:rsidP="00017E8D">
      <w:pPr>
        <w:adjustRightInd w:val="0"/>
        <w:snapToGrid w:val="0"/>
        <w:spacing w:line="480" w:lineRule="auto"/>
        <w:rPr>
          <w:rFonts w:ascii="Times New Roman" w:hAnsi="Times New Roman" w:cs="Times New Roman"/>
          <w:sz w:val="24"/>
          <w:szCs w:val="24"/>
        </w:rPr>
      </w:pPr>
      <w:r w:rsidRPr="00017E8D">
        <w:rPr>
          <w:rFonts w:ascii="Times New Roman" w:eastAsiaTheme="minorHAnsi" w:hAnsi="Times New Roman" w:cs="Times New Roman"/>
          <w:sz w:val="24"/>
          <w:szCs w:val="24"/>
        </w:rPr>
        <w:t>(A) Systolic blood pressure (SBP), (B) diastolic blood pressure (DBP) and (C) mean arterial pressure (MAP)</w:t>
      </w:r>
      <w:r w:rsidR="00296B0F">
        <w:rPr>
          <w:rFonts w:ascii="Times New Roman" w:eastAsiaTheme="minorHAnsi" w:hAnsi="Times New Roman" w:cs="Times New Roman" w:hint="eastAsia"/>
          <w:sz w:val="24"/>
          <w:szCs w:val="24"/>
        </w:rPr>
        <w:t xml:space="preserve">. Data are presented as </w:t>
      </w:r>
      <w:r w:rsidR="00095C12">
        <w:rPr>
          <w:rFonts w:ascii="Times New Roman" w:eastAsiaTheme="minorHAnsi" w:hAnsi="Times New Roman" w:cs="Times New Roman"/>
          <w:sz w:val="24"/>
          <w:szCs w:val="24"/>
        </w:rPr>
        <w:t xml:space="preserve">the </w:t>
      </w:r>
      <w:r w:rsidR="00296B0F">
        <w:rPr>
          <w:rFonts w:ascii="Times New Roman" w:eastAsiaTheme="minorHAnsi" w:hAnsi="Times New Roman" w:cs="Times New Roman" w:hint="eastAsia"/>
          <w:sz w:val="24"/>
          <w:szCs w:val="24"/>
        </w:rPr>
        <w:t xml:space="preserve">mean </w:t>
      </w:r>
      <w:r w:rsidR="00095C12">
        <w:rPr>
          <w:rFonts w:ascii="Times New Roman" w:eastAsiaTheme="minorHAnsi" w:hAnsi="Times New Roman" w:cs="Times New Roman" w:hint="eastAsia"/>
          <w:sz w:val="24"/>
          <w:szCs w:val="24"/>
        </w:rPr>
        <w:t>±</w:t>
      </w:r>
      <w:r w:rsidR="00095C12">
        <w:rPr>
          <w:rFonts w:ascii="Times New Roman" w:eastAsiaTheme="minorHAnsi" w:hAnsi="Times New Roman" w:cs="Times New Roman" w:hint="eastAsia"/>
          <w:sz w:val="24"/>
          <w:szCs w:val="24"/>
        </w:rPr>
        <w:t xml:space="preserve"> </w:t>
      </w:r>
      <w:r w:rsidR="00296B0F">
        <w:rPr>
          <w:rFonts w:ascii="Times New Roman" w:eastAsiaTheme="minorHAnsi" w:hAnsi="Times New Roman" w:cs="Times New Roman" w:hint="eastAsia"/>
          <w:sz w:val="24"/>
          <w:szCs w:val="24"/>
        </w:rPr>
        <w:t>standard deviation</w:t>
      </w:r>
      <w:r w:rsidR="00DA6357">
        <w:rPr>
          <w:rFonts w:ascii="Times New Roman" w:eastAsiaTheme="minorHAnsi" w:hAnsi="Times New Roman" w:cs="Times New Roman" w:hint="eastAsia"/>
          <w:sz w:val="24"/>
          <w:szCs w:val="24"/>
        </w:rPr>
        <w:t xml:space="preserve"> (SD)</w:t>
      </w:r>
      <w:r w:rsidR="00296B0F">
        <w:rPr>
          <w:rFonts w:ascii="Times New Roman" w:eastAsiaTheme="minorHAnsi" w:hAnsi="Times New Roman" w:cs="Times New Roman" w:hint="eastAsia"/>
          <w:sz w:val="24"/>
          <w:szCs w:val="24"/>
        </w:rPr>
        <w:t>.</w:t>
      </w:r>
    </w:p>
    <w:sectPr w:rsidR="00F63951" w:rsidRPr="00017E8D" w:rsidSect="00B86790">
      <w:type w:val="continuous"/>
      <w:pgSz w:w="12240" w:h="15840" w:code="1"/>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3FE56" w14:textId="77777777" w:rsidR="00CC0A58" w:rsidRDefault="00CC0A58" w:rsidP="00F63951">
      <w:pPr>
        <w:rPr>
          <w:rFonts w:hint="eastAsia"/>
        </w:rPr>
      </w:pPr>
      <w:r>
        <w:separator/>
      </w:r>
    </w:p>
  </w:endnote>
  <w:endnote w:type="continuationSeparator" w:id="0">
    <w:p w14:paraId="08FD137A" w14:textId="77777777" w:rsidR="00CC0A58" w:rsidRDefault="00CC0A58" w:rsidP="00F639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EED54" w14:textId="77777777" w:rsidR="00CC0A58" w:rsidRDefault="00CC0A58" w:rsidP="00F63951">
      <w:pPr>
        <w:rPr>
          <w:rFonts w:hint="eastAsia"/>
        </w:rPr>
      </w:pPr>
      <w:r>
        <w:separator/>
      </w:r>
    </w:p>
  </w:footnote>
  <w:footnote w:type="continuationSeparator" w:id="0">
    <w:p w14:paraId="6E52858E" w14:textId="77777777" w:rsidR="00CC0A58" w:rsidRDefault="00CC0A58" w:rsidP="00F6395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doNotTrackMoves/>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ritical Care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31E96"/>
    <w:rsid w:val="00017E8D"/>
    <w:rsid w:val="00086905"/>
    <w:rsid w:val="00093AE0"/>
    <w:rsid w:val="00095C12"/>
    <w:rsid w:val="00096118"/>
    <w:rsid w:val="000A0DB3"/>
    <w:rsid w:val="000D162B"/>
    <w:rsid w:val="00102AED"/>
    <w:rsid w:val="00143D52"/>
    <w:rsid w:val="00156A87"/>
    <w:rsid w:val="001757AC"/>
    <w:rsid w:val="00180B53"/>
    <w:rsid w:val="00193D72"/>
    <w:rsid w:val="001A488C"/>
    <w:rsid w:val="0027484C"/>
    <w:rsid w:val="00296B0F"/>
    <w:rsid w:val="002A70C5"/>
    <w:rsid w:val="002E41DC"/>
    <w:rsid w:val="0037387A"/>
    <w:rsid w:val="00386C35"/>
    <w:rsid w:val="003C67E8"/>
    <w:rsid w:val="003D6DE3"/>
    <w:rsid w:val="003E232A"/>
    <w:rsid w:val="004B63C9"/>
    <w:rsid w:val="004B7DB4"/>
    <w:rsid w:val="004C6DF0"/>
    <w:rsid w:val="004D7D2E"/>
    <w:rsid w:val="004D7DA0"/>
    <w:rsid w:val="004E720B"/>
    <w:rsid w:val="00512122"/>
    <w:rsid w:val="005138A0"/>
    <w:rsid w:val="005458D6"/>
    <w:rsid w:val="00556142"/>
    <w:rsid w:val="005D301C"/>
    <w:rsid w:val="00615E7B"/>
    <w:rsid w:val="006476AA"/>
    <w:rsid w:val="006916CD"/>
    <w:rsid w:val="006C5323"/>
    <w:rsid w:val="006E4CEC"/>
    <w:rsid w:val="00757690"/>
    <w:rsid w:val="00791395"/>
    <w:rsid w:val="00807B2A"/>
    <w:rsid w:val="00833D7B"/>
    <w:rsid w:val="008636D1"/>
    <w:rsid w:val="008A0935"/>
    <w:rsid w:val="008F1B04"/>
    <w:rsid w:val="008F4AF0"/>
    <w:rsid w:val="00916523"/>
    <w:rsid w:val="0093781B"/>
    <w:rsid w:val="0098350C"/>
    <w:rsid w:val="00A03146"/>
    <w:rsid w:val="00A23836"/>
    <w:rsid w:val="00A26AED"/>
    <w:rsid w:val="00AA7627"/>
    <w:rsid w:val="00AE299E"/>
    <w:rsid w:val="00B0540B"/>
    <w:rsid w:val="00B27989"/>
    <w:rsid w:val="00B422C1"/>
    <w:rsid w:val="00B86790"/>
    <w:rsid w:val="00BE0287"/>
    <w:rsid w:val="00C21F39"/>
    <w:rsid w:val="00C31E96"/>
    <w:rsid w:val="00C33915"/>
    <w:rsid w:val="00C50AA5"/>
    <w:rsid w:val="00C671DB"/>
    <w:rsid w:val="00CB338D"/>
    <w:rsid w:val="00CB4109"/>
    <w:rsid w:val="00CB4904"/>
    <w:rsid w:val="00CC0A58"/>
    <w:rsid w:val="00D8304B"/>
    <w:rsid w:val="00DA3085"/>
    <w:rsid w:val="00DA6357"/>
    <w:rsid w:val="00DD2DF4"/>
    <w:rsid w:val="00E06713"/>
    <w:rsid w:val="00E24613"/>
    <w:rsid w:val="00E30F49"/>
    <w:rsid w:val="00E6005E"/>
    <w:rsid w:val="00E65367"/>
    <w:rsid w:val="00EA7A83"/>
    <w:rsid w:val="00F63951"/>
    <w:rsid w:val="00F75833"/>
    <w:rsid w:val="00F93BF6"/>
    <w:rsid w:val="00FC3EA4"/>
    <w:rsid w:val="00FE0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43DD3"/>
  <w15:chartTrackingRefBased/>
  <w15:docId w15:val="{F3F6BEE6-B974-4FF3-9E94-F170D449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3951"/>
    <w:pPr>
      <w:tabs>
        <w:tab w:val="center" w:pos="4153"/>
        <w:tab w:val="right" w:pos="8306"/>
      </w:tabs>
      <w:snapToGrid w:val="0"/>
      <w:jc w:val="center"/>
    </w:pPr>
    <w:rPr>
      <w:sz w:val="18"/>
      <w:szCs w:val="18"/>
    </w:rPr>
  </w:style>
  <w:style w:type="character" w:customStyle="1" w:styleId="a4">
    <w:name w:val="页眉 字符"/>
    <w:basedOn w:val="a0"/>
    <w:link w:val="a3"/>
    <w:uiPriority w:val="99"/>
    <w:rsid w:val="00F63951"/>
    <w:rPr>
      <w:sz w:val="18"/>
      <w:szCs w:val="18"/>
    </w:rPr>
  </w:style>
  <w:style w:type="paragraph" w:styleId="a5">
    <w:name w:val="footer"/>
    <w:basedOn w:val="a"/>
    <w:link w:val="a6"/>
    <w:uiPriority w:val="99"/>
    <w:unhideWhenUsed/>
    <w:rsid w:val="00F63951"/>
    <w:pPr>
      <w:tabs>
        <w:tab w:val="center" w:pos="4153"/>
        <w:tab w:val="right" w:pos="8306"/>
      </w:tabs>
      <w:snapToGrid w:val="0"/>
      <w:jc w:val="left"/>
    </w:pPr>
    <w:rPr>
      <w:sz w:val="18"/>
      <w:szCs w:val="18"/>
    </w:rPr>
  </w:style>
  <w:style w:type="character" w:customStyle="1" w:styleId="a6">
    <w:name w:val="页脚 字符"/>
    <w:basedOn w:val="a0"/>
    <w:link w:val="a5"/>
    <w:uiPriority w:val="99"/>
    <w:rsid w:val="00F63951"/>
    <w:rPr>
      <w:sz w:val="18"/>
      <w:szCs w:val="18"/>
    </w:rPr>
  </w:style>
  <w:style w:type="table" w:styleId="a7">
    <w:name w:val="Table Grid"/>
    <w:basedOn w:val="a1"/>
    <w:uiPriority w:val="39"/>
    <w:rsid w:val="005D3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017E8D"/>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17E8D"/>
    <w:rPr>
      <w:rFonts w:ascii="等线" w:eastAsia="等线" w:hAnsi="等线"/>
      <w:noProof/>
      <w:sz w:val="20"/>
    </w:rPr>
  </w:style>
  <w:style w:type="paragraph" w:customStyle="1" w:styleId="EndNoteBibliography">
    <w:name w:val="EndNote Bibliography"/>
    <w:basedOn w:val="a"/>
    <w:link w:val="EndNoteBibliography0"/>
    <w:rsid w:val="00017E8D"/>
    <w:rPr>
      <w:rFonts w:ascii="等线" w:eastAsia="等线" w:hAnsi="等线"/>
      <w:noProof/>
      <w:sz w:val="20"/>
    </w:rPr>
  </w:style>
  <w:style w:type="character" w:customStyle="1" w:styleId="EndNoteBibliography0">
    <w:name w:val="EndNote Bibliography 字符"/>
    <w:basedOn w:val="a0"/>
    <w:link w:val="EndNoteBibliography"/>
    <w:rsid w:val="00017E8D"/>
    <w:rPr>
      <w:rFonts w:ascii="等线" w:eastAsia="等线" w:hAnsi="等线"/>
      <w:noProof/>
      <w:sz w:val="20"/>
    </w:rPr>
  </w:style>
  <w:style w:type="paragraph" w:styleId="a8">
    <w:name w:val="Revision"/>
    <w:hidden/>
    <w:uiPriority w:val="99"/>
    <w:semiHidden/>
    <w:rsid w:val="00DA6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BioMed</cp:lastModifiedBy>
  <cp:revision>8</cp:revision>
  <dcterms:created xsi:type="dcterms:W3CDTF">2024-09-05T09:53:00Z</dcterms:created>
  <dcterms:modified xsi:type="dcterms:W3CDTF">2024-09-06T03:55:00Z</dcterms:modified>
</cp:coreProperties>
</file>