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3082" w14:textId="34569589" w:rsidR="008A4D61" w:rsidRDefault="008A4D61" w:rsidP="00DD2862">
      <w:pPr>
        <w:jc w:val="both"/>
        <w:rPr>
          <w:b/>
          <w:sz w:val="32"/>
          <w:szCs w:val="32"/>
          <w:lang w:val="en-GB"/>
        </w:rPr>
      </w:pPr>
      <w:r w:rsidRPr="004960F7">
        <w:rPr>
          <w:rFonts w:eastAsia="Calibri"/>
          <w:b/>
          <w:sz w:val="32"/>
          <w:szCs w:val="32"/>
          <w:lang w:val="en-GB"/>
        </w:rPr>
        <w:t>Cost-benefit analysis for evacuation decision-support: challenges and possible solutions for applications in areas of distributed volcanism</w:t>
      </w:r>
    </w:p>
    <w:p w14:paraId="14CC094B" w14:textId="77777777" w:rsidR="00C32CE5" w:rsidRPr="00D065CB" w:rsidRDefault="00C32CE5" w:rsidP="00A31697">
      <w:pPr>
        <w:spacing w:line="360" w:lineRule="auto"/>
        <w:jc w:val="both"/>
        <w:rPr>
          <w:sz w:val="12"/>
          <w:szCs w:val="12"/>
        </w:rPr>
      </w:pPr>
    </w:p>
    <w:p w14:paraId="2FEAF984" w14:textId="1E54219D" w:rsidR="00A31697" w:rsidRPr="00D065CB" w:rsidRDefault="004B3DEE" w:rsidP="00D468DD">
      <w:pPr>
        <w:spacing w:line="360" w:lineRule="auto"/>
        <w:jc w:val="both"/>
        <w:rPr>
          <w:b/>
          <w:lang w:val="en-US"/>
        </w:rPr>
      </w:pPr>
      <w:r w:rsidRPr="00CE5222">
        <w:rPr>
          <w:bCs/>
          <w:lang w:val="en-US"/>
        </w:rPr>
        <w:t>A.J. Wild, M.S. Bebbington, J.M. Lindsa</w:t>
      </w:r>
      <w:r w:rsidR="003F3592">
        <w:rPr>
          <w:bCs/>
          <w:lang w:val="en-US"/>
        </w:rPr>
        <w:t>y</w:t>
      </w:r>
      <w:r w:rsidR="00F72B58">
        <w:rPr>
          <w:bCs/>
          <w:lang w:val="en-US"/>
        </w:rPr>
        <w:t>, N.I. Deligne</w:t>
      </w:r>
    </w:p>
    <w:p w14:paraId="64730C9A" w14:textId="1D07D223" w:rsidR="00D468DD" w:rsidRPr="008978BC" w:rsidRDefault="00D468DD" w:rsidP="00D468DD">
      <w:pPr>
        <w:spacing w:line="360" w:lineRule="auto"/>
        <w:jc w:val="both"/>
        <w:rPr>
          <w:b/>
          <w:sz w:val="28"/>
          <w:lang w:val="en-US"/>
        </w:rPr>
      </w:pPr>
      <w:r w:rsidRPr="008978BC">
        <w:rPr>
          <w:b/>
          <w:sz w:val="28"/>
          <w:lang w:val="en-US"/>
        </w:rPr>
        <w:t xml:space="preserve">Supplementary Material </w:t>
      </w:r>
    </w:p>
    <w:p w14:paraId="0D29665B" w14:textId="5A128DCD" w:rsidR="00DD2862" w:rsidRDefault="00C32CE5" w:rsidP="0009754F">
      <w:pPr>
        <w:jc w:val="both"/>
      </w:pPr>
      <w:r w:rsidRPr="003F3592">
        <w:t xml:space="preserve">This file contains </w:t>
      </w:r>
      <w:r w:rsidR="00F14C3D">
        <w:t>the</w:t>
      </w:r>
      <w:r w:rsidR="00DD2862">
        <w:t xml:space="preserve"> outputs </w:t>
      </w:r>
      <w:r w:rsidR="00B34D50">
        <w:t xml:space="preserve">of the spatial vent likelihood for the 0.5, </w:t>
      </w:r>
      <w:r w:rsidR="00980801">
        <w:t>0.2 to 0.8</w:t>
      </w:r>
      <w:r w:rsidR="00B34D50">
        <w:t>, 0.1 to 0.9</w:t>
      </w:r>
      <w:r w:rsidR="00980801">
        <w:t xml:space="preserve"> and 0 to 1 interval sets for Node 4 monitoring component </w:t>
      </w:r>
      <w:r w:rsidR="00B34D50">
        <w:t xml:space="preserve">weights </w:t>
      </w:r>
      <w:r w:rsidR="007A2F2B">
        <w:t xml:space="preserve">for the </w:t>
      </w:r>
      <w:r w:rsidR="007A2F2B" w:rsidRPr="00456333">
        <w:rPr>
          <w:lang w:val="en-GB"/>
        </w:rPr>
        <w:t xml:space="preserve">Bayesian Event Tree for Eruption Forecasting, implemented for the </w:t>
      </w:r>
      <w:r w:rsidR="007A2F2B">
        <w:rPr>
          <w:lang w:val="en-GB"/>
        </w:rPr>
        <w:t>Auckland Volcanic Field</w:t>
      </w:r>
      <w:r w:rsidR="007A2F2B" w:rsidRPr="00456333">
        <w:rPr>
          <w:lang w:val="en-GB"/>
        </w:rPr>
        <w:t xml:space="preserve"> </w:t>
      </w:r>
      <w:r w:rsidR="007A2F2B">
        <w:rPr>
          <w:lang w:val="en-GB"/>
        </w:rPr>
        <w:t>(</w:t>
      </w:r>
      <w:r w:rsidR="007A2F2B" w:rsidRPr="00456333">
        <w:rPr>
          <w:lang w:val="en-GB"/>
        </w:rPr>
        <w:t>BETEF_AVF</w:t>
      </w:r>
      <w:r w:rsidR="007A2F2B">
        <w:rPr>
          <w:lang w:val="en-GB"/>
        </w:rPr>
        <w:t>)</w:t>
      </w:r>
      <w:r w:rsidR="00B34D50">
        <w:rPr>
          <w:lang w:val="en-GB"/>
        </w:rPr>
        <w:t>. Additionally,</w:t>
      </w:r>
      <w:r w:rsidR="007A2F2B">
        <w:rPr>
          <w:lang w:val="en-GB"/>
        </w:rPr>
        <w:t xml:space="preserve"> </w:t>
      </w:r>
      <w:r w:rsidR="00B34D50">
        <w:rPr>
          <w:lang w:val="en-GB"/>
        </w:rPr>
        <w:t xml:space="preserve">the </w:t>
      </w:r>
      <w:r w:rsidR="007A2F2B">
        <w:rPr>
          <w:lang w:val="en-GB"/>
        </w:rPr>
        <w:t xml:space="preserve">Bayesian Event Tree for Short-term Volcanic Hazard implemented </w:t>
      </w:r>
      <w:r w:rsidR="007A2F2B" w:rsidRPr="00456333">
        <w:rPr>
          <w:lang w:val="en-GB"/>
        </w:rPr>
        <w:t xml:space="preserve">for the </w:t>
      </w:r>
      <w:r w:rsidR="007A2F2B">
        <w:rPr>
          <w:lang w:val="en-GB"/>
        </w:rPr>
        <w:t>Auckland Volcanic Field (</w:t>
      </w:r>
      <w:proofErr w:type="spellStart"/>
      <w:r w:rsidR="007A2F2B">
        <w:rPr>
          <w:lang w:val="en-GB"/>
        </w:rPr>
        <w:t>BETVHst_AVF</w:t>
      </w:r>
      <w:proofErr w:type="spellEnd"/>
      <w:r w:rsidR="007A2F2B">
        <w:rPr>
          <w:lang w:val="en-GB"/>
        </w:rPr>
        <w:t>)</w:t>
      </w:r>
      <w:r w:rsidR="00B34D50">
        <w:rPr>
          <w:lang w:val="en-GB"/>
        </w:rPr>
        <w:t xml:space="preserve"> for </w:t>
      </w:r>
      <w:r w:rsidR="00B34D50">
        <w:t>0.2 to 0.8 and 0 to 1 interval sets for Node 4 monitoring component weights.</w:t>
      </w:r>
    </w:p>
    <w:p w14:paraId="60569F6D" w14:textId="7D80C306" w:rsidR="0009754F" w:rsidRDefault="0009754F" w:rsidP="0009754F">
      <w:pPr>
        <w:jc w:val="both"/>
      </w:pPr>
    </w:p>
    <w:p w14:paraId="4FC6C2DA" w14:textId="688E125A" w:rsidR="00F14C3D" w:rsidRPr="00F14C3D" w:rsidRDefault="00F14C3D" w:rsidP="00F14C3D">
      <w:pPr>
        <w:spacing w:after="120" w:line="360" w:lineRule="auto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BETEF</w:t>
      </w:r>
      <w:r w:rsidRPr="00F14C3D">
        <w:rPr>
          <w:b/>
          <w:bCs/>
          <w:u w:val="single"/>
          <w:lang w:val="en-US"/>
        </w:rPr>
        <w:t>_AVF Node 4: Spatial vent likelihood</w:t>
      </w:r>
    </w:p>
    <w:p w14:paraId="2F86B298" w14:textId="0A93E0D5" w:rsidR="009F00AD" w:rsidRDefault="001B269B" w:rsidP="0009754F">
      <w:pPr>
        <w:jc w:val="both"/>
      </w:pPr>
      <w:r>
        <w:rPr>
          <w:lang w:val="en-GB"/>
        </w:rPr>
        <w:t>This section</w:t>
      </w:r>
      <w:r w:rsidR="009F00AD">
        <w:rPr>
          <w:lang w:val="en-GB"/>
        </w:rPr>
        <w:t xml:space="preserve"> present</w:t>
      </w:r>
      <w:r>
        <w:rPr>
          <w:lang w:val="en-GB"/>
        </w:rPr>
        <w:t>s</w:t>
      </w:r>
      <w:r w:rsidR="009F00AD">
        <w:rPr>
          <w:lang w:val="en-GB"/>
        </w:rPr>
        <w:t xml:space="preserve"> the </w:t>
      </w:r>
      <w:r w:rsidR="009F00AD" w:rsidRPr="00F01903">
        <w:rPr>
          <w:lang w:val="en-GB"/>
        </w:rPr>
        <w:t>absolute probabilities</w:t>
      </w:r>
      <w:r w:rsidR="009F00AD">
        <w:rPr>
          <w:lang w:val="en-GB"/>
        </w:rPr>
        <w:t xml:space="preserve"> of an eruption at a location, i.e., </w:t>
      </w:r>
      <w:r w:rsidR="009F00AD" w:rsidRPr="00F01903">
        <w:rPr>
          <w:lang w:val="en-GB"/>
        </w:rPr>
        <w:t>Node 4</w:t>
      </w:r>
      <w:r w:rsidR="009F00AD">
        <w:rPr>
          <w:lang w:val="en-GB"/>
        </w:rPr>
        <w:t>,</w:t>
      </w:r>
      <w:r w:rsidR="009F00AD" w:rsidRPr="00F01903">
        <w:rPr>
          <w:lang w:val="en-GB"/>
        </w:rPr>
        <w:t xml:space="preserve"> from BETEF_AVF </w:t>
      </w:r>
      <w:r w:rsidR="009F00AD">
        <w:rPr>
          <w:lang w:val="en-GB"/>
        </w:rPr>
        <w:t xml:space="preserve">for the </w:t>
      </w:r>
      <w:r w:rsidR="00980801">
        <w:rPr>
          <w:lang w:val="en-GB"/>
        </w:rPr>
        <w:t xml:space="preserve">Node 4 </w:t>
      </w:r>
      <w:r w:rsidR="009F00AD">
        <w:rPr>
          <w:lang w:val="en-GB"/>
        </w:rPr>
        <w:t>monitoring</w:t>
      </w:r>
      <w:r w:rsidR="009F00AD" w:rsidRPr="00F01903">
        <w:rPr>
          <w:lang w:val="en-GB"/>
        </w:rPr>
        <w:t xml:space="preserve"> </w:t>
      </w:r>
      <w:r w:rsidR="009F00AD">
        <w:rPr>
          <w:lang w:val="en-GB"/>
        </w:rPr>
        <w:t xml:space="preserve">component </w:t>
      </w:r>
      <w:r w:rsidR="009F00AD" w:rsidRPr="00F01903">
        <w:rPr>
          <w:lang w:val="en-GB"/>
        </w:rPr>
        <w:t>weight</w:t>
      </w:r>
      <w:r w:rsidR="00980801">
        <w:rPr>
          <w:lang w:val="en-GB"/>
        </w:rPr>
        <w:t xml:space="preserve">s </w:t>
      </w:r>
      <w:r w:rsidR="009F00AD" w:rsidRPr="00F01903">
        <w:rPr>
          <w:lang w:val="en-GB"/>
        </w:rPr>
        <w:t>for the Birkenhead scenario</w:t>
      </w:r>
      <w:r w:rsidR="009F00AD">
        <w:rPr>
          <w:lang w:val="en-GB"/>
        </w:rPr>
        <w:t xml:space="preserve"> for </w:t>
      </w:r>
      <w:r w:rsidR="00C16CFA">
        <w:rPr>
          <w:lang w:val="en-GB"/>
        </w:rPr>
        <w:t>0.5 (</w:t>
      </w:r>
      <w:r w:rsidR="00B34D50">
        <w:rPr>
          <w:lang w:val="en-GB"/>
        </w:rPr>
        <w:t>Figure 1)</w:t>
      </w:r>
      <w:r w:rsidR="00C16CFA">
        <w:rPr>
          <w:lang w:val="en-GB"/>
        </w:rPr>
        <w:t xml:space="preserve">, </w:t>
      </w:r>
      <w:r w:rsidR="009F00AD">
        <w:t xml:space="preserve">0.2 to 0.8 </w:t>
      </w:r>
      <w:r w:rsidR="009F00AD">
        <w:rPr>
          <w:lang w:val="en-GB"/>
        </w:rPr>
        <w:t xml:space="preserve">(Figure </w:t>
      </w:r>
      <w:r w:rsidR="00B34D50">
        <w:rPr>
          <w:lang w:val="en-GB"/>
        </w:rPr>
        <w:t>2</w:t>
      </w:r>
      <w:r w:rsidR="009F00AD">
        <w:rPr>
          <w:lang w:val="en-GB"/>
        </w:rPr>
        <w:t>)</w:t>
      </w:r>
      <w:r w:rsidR="00B34D50">
        <w:rPr>
          <w:lang w:val="en-GB"/>
        </w:rPr>
        <w:t xml:space="preserve">, </w:t>
      </w:r>
      <w:r w:rsidR="00B34D50">
        <w:t xml:space="preserve">0.1 to 0.9 </w:t>
      </w:r>
      <w:r w:rsidR="00B34D50">
        <w:rPr>
          <w:lang w:val="en-GB"/>
        </w:rPr>
        <w:t>(Figure 3)</w:t>
      </w:r>
      <w:r w:rsidR="009F00AD">
        <w:rPr>
          <w:lang w:val="en-GB"/>
        </w:rPr>
        <w:t xml:space="preserve"> and 0 to 1 (Figure </w:t>
      </w:r>
      <w:r w:rsidR="00B34D50">
        <w:rPr>
          <w:lang w:val="en-GB"/>
        </w:rPr>
        <w:t>4</w:t>
      </w:r>
      <w:r w:rsidR="009F00AD">
        <w:rPr>
          <w:lang w:val="en-GB"/>
        </w:rPr>
        <w:t>).</w:t>
      </w:r>
      <w:r w:rsidR="0003510D">
        <w:rPr>
          <w:lang w:val="en-GB"/>
        </w:rPr>
        <w:t xml:space="preserve"> </w:t>
      </w:r>
      <w:r w:rsidR="009F00AD">
        <w:rPr>
          <w:lang w:val="en-GB"/>
        </w:rPr>
        <w:t>Outputs are at a 0.25km</w:t>
      </w:r>
      <w:r w:rsidR="009F00AD" w:rsidRPr="00881596">
        <w:rPr>
          <w:vertAlign w:val="superscript"/>
          <w:lang w:val="en-GB"/>
        </w:rPr>
        <w:t>2</w:t>
      </w:r>
      <w:r w:rsidR="009F00AD">
        <w:rPr>
          <w:lang w:val="en-GB"/>
        </w:rPr>
        <w:t xml:space="preserve"> resolution.</w:t>
      </w:r>
      <w:r w:rsidR="0003510D">
        <w:t xml:space="preserve"> </w:t>
      </w:r>
    </w:p>
    <w:p w14:paraId="27369FD3" w14:textId="759E308D" w:rsidR="00F02CCA" w:rsidRDefault="00F02CCA" w:rsidP="0009754F">
      <w:pPr>
        <w:jc w:val="both"/>
      </w:pPr>
    </w:p>
    <w:p w14:paraId="0777BED8" w14:textId="2E1D9CFF" w:rsidR="00F02CCA" w:rsidRPr="00F14C3D" w:rsidRDefault="00F02CCA" w:rsidP="00F02CCA">
      <w:pPr>
        <w:spacing w:after="120" w:line="360" w:lineRule="auto"/>
        <w:rPr>
          <w:b/>
          <w:bCs/>
          <w:u w:val="single"/>
          <w:lang w:val="en-US"/>
        </w:rPr>
      </w:pPr>
      <w:r w:rsidRPr="00F02CCA">
        <w:rPr>
          <w:b/>
          <w:bCs/>
          <w:u w:val="single"/>
          <w:lang w:val="en-US"/>
        </w:rPr>
        <w:t>Evacuation Zone using cost-benefit analysis</w:t>
      </w:r>
    </w:p>
    <w:p w14:paraId="7BABFE23" w14:textId="18599F8C" w:rsidR="001B269B" w:rsidRDefault="001B269B" w:rsidP="007A2F2B">
      <w:pPr>
        <w:jc w:val="both"/>
      </w:pPr>
      <w:r>
        <w:rPr>
          <w:lang w:val="en-GB"/>
        </w:rPr>
        <w:t xml:space="preserve">This section presents the </w:t>
      </w:r>
      <w:r w:rsidR="00663C92">
        <w:rPr>
          <w:lang w:val="en-GB"/>
        </w:rPr>
        <w:t xml:space="preserve">spatial probability </w:t>
      </w:r>
      <w:r w:rsidR="00C7604F">
        <w:rPr>
          <w:lang w:val="en-GB"/>
        </w:rPr>
        <w:t xml:space="preserve">of </w:t>
      </w:r>
      <w:r w:rsidR="00CB2BBF">
        <w:rPr>
          <w:lang w:val="en-GB"/>
        </w:rPr>
        <w:t>volcan</w:t>
      </w:r>
      <w:r w:rsidR="00C7604F">
        <w:rPr>
          <w:lang w:val="en-GB"/>
        </w:rPr>
        <w:t>ic</w:t>
      </w:r>
      <w:r w:rsidR="00CB2BBF">
        <w:rPr>
          <w:lang w:val="en-GB"/>
        </w:rPr>
        <w:t xml:space="preserve"> hazard impact</w:t>
      </w:r>
      <w:r w:rsidR="00663C92">
        <w:rPr>
          <w:lang w:val="en-GB"/>
        </w:rPr>
        <w:t xml:space="preserve"> at a location with the </w:t>
      </w:r>
      <w:r w:rsidR="00663C92">
        <w:t xml:space="preserve">0.2 to 0.8 and 0 to 1 </w:t>
      </w:r>
      <w:r w:rsidR="00980801">
        <w:t>interval sets</w:t>
      </w:r>
      <w:r w:rsidR="00663C92">
        <w:t xml:space="preserve"> for Node 4</w:t>
      </w:r>
      <w:r w:rsidR="00980801">
        <w:t xml:space="preserve"> monitoring component</w:t>
      </w:r>
      <w:r w:rsidR="00663C92">
        <w:t xml:space="preserve">, with </w:t>
      </w:r>
      <w:r w:rsidR="00663C92">
        <w:rPr>
          <w:lang w:val="en-GB"/>
        </w:rPr>
        <w:t xml:space="preserve">evacuation zones defined with each of the four presented CBA thresholds in </w:t>
      </w:r>
      <w:r w:rsidR="00663C92">
        <w:t xml:space="preserve">Figures </w:t>
      </w:r>
      <w:r w:rsidR="00B34D50">
        <w:t>5</w:t>
      </w:r>
      <w:r w:rsidR="00663C92">
        <w:t xml:space="preserve"> and </w:t>
      </w:r>
      <w:r w:rsidR="00B34D50">
        <w:t>6</w:t>
      </w:r>
      <w:r w:rsidR="00663C92">
        <w:t xml:space="preserve"> respectively.</w:t>
      </w:r>
      <w:r w:rsidR="0003510D">
        <w:t xml:space="preserve"> </w:t>
      </w:r>
      <w:r w:rsidR="00663C92">
        <w:t xml:space="preserve">This follows the same approach as </w:t>
      </w:r>
      <w:r w:rsidR="0003510D">
        <w:t>explained</w:t>
      </w:r>
      <w:r w:rsidR="00663C92">
        <w:t xml:space="preserve"> in </w:t>
      </w:r>
      <w:r w:rsidR="0003510D">
        <w:t xml:space="preserve">the </w:t>
      </w:r>
      <w:r w:rsidR="00663C92">
        <w:t>main paper.</w:t>
      </w:r>
    </w:p>
    <w:p w14:paraId="50B97553" w14:textId="0D2E8C8E" w:rsidR="00F02CCA" w:rsidRDefault="00F02CCA" w:rsidP="0009754F">
      <w:pPr>
        <w:jc w:val="both"/>
      </w:pPr>
    </w:p>
    <w:p w14:paraId="2CFE8D92" w14:textId="77777777" w:rsidR="00C16CFA" w:rsidRDefault="00C16CFA" w:rsidP="00C16CFA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12D3D69F" wp14:editId="63DD4AC8">
            <wp:extent cx="5727700" cy="621002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5"/>
                    <a:stretch/>
                  </pic:blipFill>
                  <pic:spPr bwMode="auto">
                    <a:xfrm>
                      <a:off x="0" y="0"/>
                      <a:ext cx="5727700" cy="621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9F048" w14:textId="29A24F3D" w:rsidR="00C16CFA" w:rsidRDefault="00C16CFA" w:rsidP="00C16CFA">
      <w:pPr>
        <w:jc w:val="both"/>
        <w:rPr>
          <w:sz w:val="20"/>
          <w:szCs w:val="18"/>
          <w:lang w:val="en-GB"/>
        </w:rPr>
      </w:pPr>
      <w:bookmarkStart w:id="0" w:name="_Ref112440616"/>
      <w:r w:rsidRPr="00E07798">
        <w:rPr>
          <w:b/>
          <w:bCs/>
          <w:iCs/>
          <w:color w:val="000000"/>
          <w:sz w:val="20"/>
          <w:szCs w:val="13"/>
        </w:rPr>
        <w:t xml:space="preserve">Figure </w:t>
      </w:r>
      <w:r w:rsidRPr="00E07798">
        <w:rPr>
          <w:b/>
          <w:bCs/>
          <w:iCs/>
          <w:color w:val="000000"/>
          <w:sz w:val="20"/>
          <w:szCs w:val="13"/>
        </w:rPr>
        <w:fldChar w:fldCharType="begin"/>
      </w:r>
      <w:r w:rsidRPr="00E07798">
        <w:rPr>
          <w:b/>
          <w:bCs/>
          <w:iCs/>
          <w:color w:val="000000"/>
          <w:sz w:val="20"/>
          <w:szCs w:val="13"/>
        </w:rPr>
        <w:instrText xml:space="preserve"> SEQ Figure \* ARABIC </w:instrText>
      </w:r>
      <w:r w:rsidRPr="00E07798">
        <w:rPr>
          <w:b/>
          <w:bCs/>
          <w:iCs/>
          <w:color w:val="000000"/>
          <w:sz w:val="20"/>
          <w:szCs w:val="13"/>
        </w:rPr>
        <w:fldChar w:fldCharType="separate"/>
      </w:r>
      <w:r>
        <w:rPr>
          <w:b/>
          <w:bCs/>
          <w:iCs/>
          <w:noProof/>
          <w:color w:val="000000"/>
          <w:sz w:val="20"/>
          <w:szCs w:val="13"/>
        </w:rPr>
        <w:t>1</w:t>
      </w:r>
      <w:r w:rsidRPr="00E07798">
        <w:rPr>
          <w:b/>
          <w:bCs/>
          <w:iCs/>
          <w:color w:val="000000"/>
          <w:sz w:val="20"/>
          <w:szCs w:val="13"/>
        </w:rPr>
        <w:fldChar w:fldCharType="end"/>
      </w:r>
      <w:bookmarkEnd w:id="0"/>
      <w:r>
        <w:rPr>
          <w:b/>
          <w:bCs/>
          <w:i/>
          <w:color w:val="000000"/>
          <w:sz w:val="20"/>
          <w:szCs w:val="13"/>
        </w:rPr>
        <w:t xml:space="preserve"> </w:t>
      </w:r>
      <w:r>
        <w:rPr>
          <w:sz w:val="20"/>
          <w:szCs w:val="18"/>
          <w:lang w:val="en-GB"/>
        </w:rPr>
        <w:t xml:space="preserve">Spatial distribution of absolute </w:t>
      </w:r>
      <w:r w:rsidRPr="00EE775C">
        <w:rPr>
          <w:sz w:val="20"/>
          <w:szCs w:val="18"/>
          <w:lang w:val="en-GB"/>
        </w:rPr>
        <w:t xml:space="preserve">eruption </w:t>
      </w:r>
      <w:r>
        <w:rPr>
          <w:sz w:val="20"/>
          <w:szCs w:val="18"/>
          <w:lang w:val="en-GB"/>
        </w:rPr>
        <w:t xml:space="preserve">probabilities for the Birkenhead scenario from </w:t>
      </w:r>
      <w:r w:rsidRPr="00EE775C">
        <w:rPr>
          <w:sz w:val="20"/>
          <w:szCs w:val="18"/>
          <w:lang w:val="en-GB"/>
        </w:rPr>
        <w:t xml:space="preserve">BETEF_AVF for </w:t>
      </w:r>
      <w:r>
        <w:rPr>
          <w:sz w:val="20"/>
          <w:szCs w:val="18"/>
          <w:lang w:val="en-GB"/>
        </w:rPr>
        <w:t>selected days leading up to the eruption with weight of the monitoring component of 0.5</w:t>
      </w:r>
    </w:p>
    <w:p w14:paraId="4DD2D9E9" w14:textId="77777777" w:rsidR="00C16CFA" w:rsidRDefault="00C16CFA" w:rsidP="0009754F">
      <w:pPr>
        <w:jc w:val="both"/>
      </w:pPr>
    </w:p>
    <w:p w14:paraId="5C5A6A80" w14:textId="6292DCA9" w:rsidR="00181DD2" w:rsidRDefault="00456BC7">
      <w:r>
        <w:rPr>
          <w:noProof/>
        </w:rPr>
        <w:lastRenderedPageBreak/>
        <w:drawing>
          <wp:inline distT="0" distB="0" distL="0" distR="0" wp14:anchorId="37282B5E" wp14:editId="45979836">
            <wp:extent cx="5727700" cy="619029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7"/>
                    <a:stretch/>
                  </pic:blipFill>
                  <pic:spPr bwMode="auto">
                    <a:xfrm>
                      <a:off x="0" y="0"/>
                      <a:ext cx="5727700" cy="6190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DE5E0" w14:textId="77777777" w:rsidR="00F72B58" w:rsidRDefault="00F72B58" w:rsidP="00BF2BB5">
      <w:pPr>
        <w:jc w:val="both"/>
        <w:rPr>
          <w:b/>
          <w:bCs/>
          <w:iCs/>
          <w:color w:val="000000"/>
          <w:sz w:val="20"/>
          <w:szCs w:val="13"/>
        </w:rPr>
      </w:pPr>
      <w:bookmarkStart w:id="1" w:name="_Ref112440660"/>
    </w:p>
    <w:p w14:paraId="23861722" w14:textId="71A6DC0E" w:rsidR="00C7604F" w:rsidRDefault="00BF2BB5" w:rsidP="00BF2BB5">
      <w:pPr>
        <w:jc w:val="both"/>
        <w:rPr>
          <w:sz w:val="20"/>
          <w:szCs w:val="18"/>
          <w:lang w:val="en-GB"/>
        </w:rPr>
      </w:pPr>
      <w:r w:rsidRPr="00E07798">
        <w:rPr>
          <w:b/>
          <w:bCs/>
          <w:iCs/>
          <w:color w:val="000000"/>
          <w:sz w:val="20"/>
          <w:szCs w:val="13"/>
        </w:rPr>
        <w:t xml:space="preserve">Figure </w:t>
      </w:r>
      <w:r w:rsidRPr="00E07798">
        <w:rPr>
          <w:b/>
          <w:bCs/>
          <w:iCs/>
          <w:color w:val="000000"/>
          <w:sz w:val="20"/>
          <w:szCs w:val="13"/>
        </w:rPr>
        <w:fldChar w:fldCharType="begin"/>
      </w:r>
      <w:r w:rsidRPr="00E07798">
        <w:rPr>
          <w:b/>
          <w:bCs/>
          <w:iCs/>
          <w:color w:val="000000"/>
          <w:sz w:val="20"/>
          <w:szCs w:val="13"/>
        </w:rPr>
        <w:instrText xml:space="preserve"> SEQ Figure \* ARABIC </w:instrText>
      </w:r>
      <w:r w:rsidRPr="00E07798">
        <w:rPr>
          <w:b/>
          <w:bCs/>
          <w:iCs/>
          <w:color w:val="000000"/>
          <w:sz w:val="20"/>
          <w:szCs w:val="13"/>
        </w:rPr>
        <w:fldChar w:fldCharType="separate"/>
      </w:r>
      <w:r w:rsidR="00C16CFA">
        <w:rPr>
          <w:b/>
          <w:bCs/>
          <w:iCs/>
          <w:noProof/>
          <w:color w:val="000000"/>
          <w:sz w:val="20"/>
          <w:szCs w:val="13"/>
        </w:rPr>
        <w:t>2</w:t>
      </w:r>
      <w:r w:rsidRPr="00E07798">
        <w:rPr>
          <w:b/>
          <w:bCs/>
          <w:iCs/>
          <w:color w:val="000000"/>
          <w:sz w:val="20"/>
          <w:szCs w:val="13"/>
        </w:rPr>
        <w:fldChar w:fldCharType="end"/>
      </w:r>
      <w:bookmarkEnd w:id="1"/>
      <w:r>
        <w:rPr>
          <w:b/>
          <w:bCs/>
          <w:i/>
          <w:color w:val="000000"/>
          <w:sz w:val="20"/>
          <w:szCs w:val="13"/>
        </w:rPr>
        <w:t xml:space="preserve"> </w:t>
      </w:r>
      <w:r w:rsidR="00C7604F">
        <w:rPr>
          <w:sz w:val="20"/>
          <w:szCs w:val="18"/>
          <w:lang w:val="en-GB"/>
        </w:rPr>
        <w:t xml:space="preserve">Spatial distribution of absolute </w:t>
      </w:r>
      <w:r w:rsidR="00C7604F" w:rsidRPr="00EE775C">
        <w:rPr>
          <w:sz w:val="20"/>
          <w:szCs w:val="18"/>
          <w:lang w:val="en-GB"/>
        </w:rPr>
        <w:t xml:space="preserve">eruption </w:t>
      </w:r>
      <w:r w:rsidR="00C7604F">
        <w:rPr>
          <w:sz w:val="20"/>
          <w:szCs w:val="18"/>
          <w:lang w:val="en-GB"/>
        </w:rPr>
        <w:t xml:space="preserve">probabilities for the Birkenhead scenario from </w:t>
      </w:r>
      <w:r w:rsidR="00C7604F" w:rsidRPr="00EE775C">
        <w:rPr>
          <w:sz w:val="20"/>
          <w:szCs w:val="18"/>
          <w:lang w:val="en-GB"/>
        </w:rPr>
        <w:t xml:space="preserve">BETEF_AVF for </w:t>
      </w:r>
      <w:r w:rsidR="00C7604F">
        <w:rPr>
          <w:sz w:val="20"/>
          <w:szCs w:val="18"/>
          <w:lang w:val="en-GB"/>
        </w:rPr>
        <w:t>selected days leading up to the eruption with weight of the monitoring component range of 0.2 to 0.8</w:t>
      </w:r>
    </w:p>
    <w:p w14:paraId="781B3FD3" w14:textId="77777777" w:rsidR="00C16CFA" w:rsidRDefault="00C16CFA" w:rsidP="00C16CFA">
      <w:pPr>
        <w:rPr>
          <w:b/>
          <w:bCs/>
          <w:iCs/>
          <w:color w:val="000000"/>
          <w:sz w:val="20"/>
          <w:szCs w:val="13"/>
        </w:rPr>
      </w:pPr>
      <w:bookmarkStart w:id="2" w:name="_Ref112440623"/>
      <w:r>
        <w:rPr>
          <w:b/>
          <w:bCs/>
          <w:iCs/>
          <w:noProof/>
          <w:color w:val="000000"/>
          <w:sz w:val="20"/>
          <w:szCs w:val="13"/>
        </w:rPr>
        <w:lastRenderedPageBreak/>
        <w:drawing>
          <wp:inline distT="0" distB="0" distL="0" distR="0" wp14:anchorId="0223C9E6" wp14:editId="320529AA">
            <wp:extent cx="5727700" cy="6249496"/>
            <wp:effectExtent l="0" t="0" r="0" b="0"/>
            <wp:docPr id="10" name="Picture 10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engineering drawing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53"/>
                    <a:stretch/>
                  </pic:blipFill>
                  <pic:spPr bwMode="auto">
                    <a:xfrm>
                      <a:off x="0" y="0"/>
                      <a:ext cx="5727700" cy="6249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C69CD" w14:textId="3B22E965" w:rsidR="00C16CFA" w:rsidRDefault="00C16CFA" w:rsidP="00C16CFA">
      <w:pPr>
        <w:jc w:val="both"/>
        <w:rPr>
          <w:sz w:val="20"/>
          <w:szCs w:val="18"/>
          <w:lang w:val="en-GB"/>
        </w:rPr>
      </w:pPr>
      <w:r w:rsidRPr="00E07798">
        <w:rPr>
          <w:b/>
          <w:bCs/>
          <w:iCs/>
          <w:color w:val="000000"/>
          <w:sz w:val="20"/>
          <w:szCs w:val="13"/>
        </w:rPr>
        <w:t xml:space="preserve">Figure </w:t>
      </w:r>
      <w:r w:rsidRPr="00E07798">
        <w:rPr>
          <w:b/>
          <w:bCs/>
          <w:iCs/>
          <w:color w:val="000000"/>
          <w:sz w:val="20"/>
          <w:szCs w:val="13"/>
        </w:rPr>
        <w:fldChar w:fldCharType="begin"/>
      </w:r>
      <w:r w:rsidRPr="00E07798">
        <w:rPr>
          <w:b/>
          <w:bCs/>
          <w:iCs/>
          <w:color w:val="000000"/>
          <w:sz w:val="20"/>
          <w:szCs w:val="13"/>
        </w:rPr>
        <w:instrText xml:space="preserve"> SEQ Figure \* ARABIC </w:instrText>
      </w:r>
      <w:r w:rsidRPr="00E07798">
        <w:rPr>
          <w:b/>
          <w:bCs/>
          <w:iCs/>
          <w:color w:val="000000"/>
          <w:sz w:val="20"/>
          <w:szCs w:val="13"/>
        </w:rPr>
        <w:fldChar w:fldCharType="separate"/>
      </w:r>
      <w:r>
        <w:rPr>
          <w:b/>
          <w:bCs/>
          <w:iCs/>
          <w:noProof/>
          <w:color w:val="000000"/>
          <w:sz w:val="20"/>
          <w:szCs w:val="13"/>
        </w:rPr>
        <w:t>3</w:t>
      </w:r>
      <w:r w:rsidRPr="00E07798">
        <w:rPr>
          <w:b/>
          <w:bCs/>
          <w:iCs/>
          <w:color w:val="000000"/>
          <w:sz w:val="20"/>
          <w:szCs w:val="13"/>
        </w:rPr>
        <w:fldChar w:fldCharType="end"/>
      </w:r>
      <w:bookmarkEnd w:id="2"/>
      <w:r>
        <w:rPr>
          <w:b/>
          <w:bCs/>
          <w:i/>
          <w:color w:val="000000"/>
          <w:sz w:val="20"/>
          <w:szCs w:val="13"/>
        </w:rPr>
        <w:t xml:space="preserve"> </w:t>
      </w:r>
      <w:r>
        <w:rPr>
          <w:sz w:val="20"/>
          <w:szCs w:val="18"/>
          <w:lang w:val="en-GB"/>
        </w:rPr>
        <w:t xml:space="preserve">Spatial distribution of absolute </w:t>
      </w:r>
      <w:r w:rsidRPr="00EE775C">
        <w:rPr>
          <w:sz w:val="20"/>
          <w:szCs w:val="18"/>
          <w:lang w:val="en-GB"/>
        </w:rPr>
        <w:t xml:space="preserve">eruption </w:t>
      </w:r>
      <w:r>
        <w:rPr>
          <w:sz w:val="20"/>
          <w:szCs w:val="18"/>
          <w:lang w:val="en-GB"/>
        </w:rPr>
        <w:t xml:space="preserve">probabilities for the Birkenhead scenario from </w:t>
      </w:r>
      <w:r w:rsidRPr="00EE775C">
        <w:rPr>
          <w:sz w:val="20"/>
          <w:szCs w:val="18"/>
          <w:lang w:val="en-GB"/>
        </w:rPr>
        <w:t xml:space="preserve">BETEF_AVF for </w:t>
      </w:r>
      <w:r>
        <w:rPr>
          <w:sz w:val="20"/>
          <w:szCs w:val="18"/>
          <w:lang w:val="en-GB"/>
        </w:rPr>
        <w:t>selected days leading up to the eruption with weight of the monitoring component range of 0.1 to 0.9</w:t>
      </w:r>
    </w:p>
    <w:p w14:paraId="08747E3B" w14:textId="77777777" w:rsidR="00C16CFA" w:rsidRDefault="00C16CFA" w:rsidP="00BF2BB5">
      <w:pPr>
        <w:jc w:val="both"/>
        <w:rPr>
          <w:sz w:val="20"/>
          <w:szCs w:val="18"/>
          <w:lang w:val="en-GB"/>
        </w:rPr>
      </w:pPr>
    </w:p>
    <w:p w14:paraId="11678A8C" w14:textId="4C3AD907" w:rsidR="00C16CFA" w:rsidRDefault="00C16CFA" w:rsidP="00BF2BB5">
      <w:pPr>
        <w:jc w:val="both"/>
        <w:rPr>
          <w:sz w:val="20"/>
          <w:szCs w:val="18"/>
          <w:lang w:val="en-GB"/>
        </w:rPr>
      </w:pPr>
    </w:p>
    <w:p w14:paraId="08A4B5EA" w14:textId="77777777" w:rsidR="00C16CFA" w:rsidRPr="00C7604F" w:rsidRDefault="00C16CFA" w:rsidP="00BF2BB5">
      <w:pPr>
        <w:jc w:val="both"/>
        <w:rPr>
          <w:sz w:val="20"/>
          <w:szCs w:val="18"/>
          <w:lang w:val="en-GB"/>
        </w:rPr>
      </w:pPr>
    </w:p>
    <w:p w14:paraId="3B7F2A83" w14:textId="0757E8B6" w:rsidR="00BF2BB5" w:rsidRDefault="00456BC7" w:rsidP="00BF2BB5">
      <w:pPr>
        <w:jc w:val="both"/>
      </w:pPr>
      <w:r>
        <w:rPr>
          <w:noProof/>
        </w:rPr>
        <w:lastRenderedPageBreak/>
        <w:drawing>
          <wp:inline distT="0" distB="0" distL="0" distR="0" wp14:anchorId="52875107" wp14:editId="5F016FC7">
            <wp:extent cx="5727700" cy="6210026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5"/>
                    <a:stretch/>
                  </pic:blipFill>
                  <pic:spPr bwMode="auto">
                    <a:xfrm>
                      <a:off x="0" y="0"/>
                      <a:ext cx="5727700" cy="621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449FF" w14:textId="77777777" w:rsidR="00F72B58" w:rsidRDefault="00F72B58" w:rsidP="00BF2BB5">
      <w:pPr>
        <w:jc w:val="both"/>
        <w:rPr>
          <w:b/>
          <w:bCs/>
          <w:iCs/>
          <w:color w:val="000000"/>
          <w:sz w:val="20"/>
          <w:szCs w:val="13"/>
        </w:rPr>
      </w:pPr>
    </w:p>
    <w:p w14:paraId="188EC154" w14:textId="6D7280A3" w:rsidR="00BF2BB5" w:rsidRDefault="00BF2BB5" w:rsidP="00BF2BB5">
      <w:pPr>
        <w:jc w:val="both"/>
        <w:rPr>
          <w:sz w:val="20"/>
          <w:szCs w:val="18"/>
          <w:lang w:val="en-GB"/>
        </w:rPr>
      </w:pPr>
      <w:r w:rsidRPr="00E07798">
        <w:rPr>
          <w:b/>
          <w:bCs/>
          <w:iCs/>
          <w:color w:val="000000"/>
          <w:sz w:val="20"/>
          <w:szCs w:val="13"/>
        </w:rPr>
        <w:t xml:space="preserve">Figure </w:t>
      </w:r>
      <w:r w:rsidRPr="00E07798">
        <w:rPr>
          <w:b/>
          <w:bCs/>
          <w:iCs/>
          <w:color w:val="000000"/>
          <w:sz w:val="20"/>
          <w:szCs w:val="13"/>
        </w:rPr>
        <w:fldChar w:fldCharType="begin"/>
      </w:r>
      <w:r w:rsidRPr="00E07798">
        <w:rPr>
          <w:b/>
          <w:bCs/>
          <w:iCs/>
          <w:color w:val="000000"/>
          <w:sz w:val="20"/>
          <w:szCs w:val="13"/>
        </w:rPr>
        <w:instrText xml:space="preserve"> SEQ Figure \* ARABIC </w:instrText>
      </w:r>
      <w:r w:rsidRPr="00E07798">
        <w:rPr>
          <w:b/>
          <w:bCs/>
          <w:iCs/>
          <w:color w:val="000000"/>
          <w:sz w:val="20"/>
          <w:szCs w:val="13"/>
        </w:rPr>
        <w:fldChar w:fldCharType="separate"/>
      </w:r>
      <w:r w:rsidR="00C16CFA">
        <w:rPr>
          <w:b/>
          <w:bCs/>
          <w:iCs/>
          <w:noProof/>
          <w:color w:val="000000"/>
          <w:sz w:val="20"/>
          <w:szCs w:val="13"/>
        </w:rPr>
        <w:t>4</w:t>
      </w:r>
      <w:r w:rsidRPr="00E07798">
        <w:rPr>
          <w:b/>
          <w:bCs/>
          <w:iCs/>
          <w:color w:val="000000"/>
          <w:sz w:val="20"/>
          <w:szCs w:val="13"/>
        </w:rPr>
        <w:fldChar w:fldCharType="end"/>
      </w:r>
      <w:r>
        <w:rPr>
          <w:b/>
          <w:bCs/>
          <w:i/>
          <w:color w:val="000000"/>
          <w:sz w:val="20"/>
          <w:szCs w:val="13"/>
        </w:rPr>
        <w:t xml:space="preserve"> </w:t>
      </w:r>
      <w:r w:rsidR="00CB2BBF">
        <w:rPr>
          <w:sz w:val="20"/>
          <w:szCs w:val="18"/>
          <w:lang w:val="en-GB"/>
        </w:rPr>
        <w:t xml:space="preserve">Spatial distribution of absolute </w:t>
      </w:r>
      <w:r w:rsidR="00CB2BBF" w:rsidRPr="00EE775C">
        <w:rPr>
          <w:sz w:val="20"/>
          <w:szCs w:val="18"/>
          <w:lang w:val="en-GB"/>
        </w:rPr>
        <w:t xml:space="preserve">eruption </w:t>
      </w:r>
      <w:r w:rsidR="00CB2BBF">
        <w:rPr>
          <w:sz w:val="20"/>
          <w:szCs w:val="18"/>
          <w:lang w:val="en-GB"/>
        </w:rPr>
        <w:t xml:space="preserve">probabilities for the Birkenhead scenario from </w:t>
      </w:r>
      <w:r w:rsidR="00CB2BBF" w:rsidRPr="00EE775C">
        <w:rPr>
          <w:sz w:val="20"/>
          <w:szCs w:val="18"/>
          <w:lang w:val="en-GB"/>
        </w:rPr>
        <w:t xml:space="preserve">BETEF_AVF for </w:t>
      </w:r>
      <w:r w:rsidR="00CB2BBF">
        <w:rPr>
          <w:sz w:val="20"/>
          <w:szCs w:val="18"/>
          <w:lang w:val="en-GB"/>
        </w:rPr>
        <w:t>selected days leading up to the eruption with weight of the monitoring component range of 0 to 1</w:t>
      </w:r>
    </w:p>
    <w:p w14:paraId="51EE88D5" w14:textId="22FC7395" w:rsidR="00BF2BB5" w:rsidRDefault="00BF2BB5"/>
    <w:p w14:paraId="49EACF47" w14:textId="6DE2D7A6" w:rsidR="007A2F2B" w:rsidRDefault="00456BC7">
      <w:r>
        <w:rPr>
          <w:noProof/>
        </w:rPr>
        <w:lastRenderedPageBreak/>
        <w:drawing>
          <wp:inline distT="0" distB="0" distL="0" distR="0" wp14:anchorId="3277DBAA" wp14:editId="014D066B">
            <wp:extent cx="5727700" cy="65754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57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CABD3" w14:textId="77777777" w:rsidR="00F72B58" w:rsidRDefault="00F72B58" w:rsidP="007A2F2B">
      <w:pPr>
        <w:jc w:val="both"/>
        <w:rPr>
          <w:b/>
          <w:bCs/>
          <w:iCs/>
          <w:color w:val="000000"/>
          <w:sz w:val="20"/>
          <w:szCs w:val="13"/>
        </w:rPr>
      </w:pPr>
      <w:bookmarkStart w:id="3" w:name="_Ref112486202"/>
    </w:p>
    <w:p w14:paraId="5B5E880D" w14:textId="718FFDDA" w:rsidR="00CB2BBF" w:rsidRPr="00CB2BBF" w:rsidRDefault="007A2F2B" w:rsidP="007A2F2B">
      <w:pPr>
        <w:jc w:val="both"/>
        <w:rPr>
          <w:sz w:val="20"/>
          <w:szCs w:val="18"/>
          <w:lang w:val="en-GB"/>
        </w:rPr>
      </w:pPr>
      <w:r w:rsidRPr="00D618C3">
        <w:rPr>
          <w:b/>
          <w:bCs/>
          <w:iCs/>
          <w:color w:val="000000"/>
          <w:sz w:val="20"/>
          <w:szCs w:val="13"/>
        </w:rPr>
        <w:t xml:space="preserve">Figure </w:t>
      </w:r>
      <w:r w:rsidRPr="00D618C3">
        <w:rPr>
          <w:b/>
          <w:bCs/>
          <w:iCs/>
          <w:color w:val="000000"/>
          <w:sz w:val="20"/>
          <w:szCs w:val="13"/>
        </w:rPr>
        <w:fldChar w:fldCharType="begin"/>
      </w:r>
      <w:r w:rsidRPr="00D618C3">
        <w:rPr>
          <w:b/>
          <w:bCs/>
          <w:iCs/>
          <w:color w:val="000000"/>
          <w:sz w:val="20"/>
          <w:szCs w:val="13"/>
        </w:rPr>
        <w:instrText xml:space="preserve"> SEQ Figure \* ARABIC </w:instrText>
      </w:r>
      <w:r w:rsidRPr="00D618C3">
        <w:rPr>
          <w:b/>
          <w:bCs/>
          <w:iCs/>
          <w:color w:val="000000"/>
          <w:sz w:val="20"/>
          <w:szCs w:val="13"/>
        </w:rPr>
        <w:fldChar w:fldCharType="separate"/>
      </w:r>
      <w:r w:rsidR="00C16CFA">
        <w:rPr>
          <w:b/>
          <w:bCs/>
          <w:iCs/>
          <w:noProof/>
          <w:color w:val="000000"/>
          <w:sz w:val="20"/>
          <w:szCs w:val="13"/>
        </w:rPr>
        <w:t>5</w:t>
      </w:r>
      <w:r w:rsidRPr="00D618C3">
        <w:rPr>
          <w:b/>
          <w:bCs/>
          <w:iCs/>
          <w:color w:val="000000"/>
          <w:sz w:val="20"/>
          <w:szCs w:val="13"/>
        </w:rPr>
        <w:fldChar w:fldCharType="end"/>
      </w:r>
      <w:bookmarkEnd w:id="3"/>
      <w:r w:rsidRPr="00D618C3">
        <w:rPr>
          <w:iCs/>
          <w:color w:val="000000"/>
          <w:sz w:val="20"/>
          <w:szCs w:val="13"/>
        </w:rPr>
        <w:t xml:space="preserve"> </w:t>
      </w:r>
      <w:r w:rsidR="00CB2BBF" w:rsidRPr="00D618C3">
        <w:rPr>
          <w:iCs/>
          <w:color w:val="000000"/>
          <w:sz w:val="20"/>
          <w:szCs w:val="13"/>
        </w:rPr>
        <w:t xml:space="preserve">Evacuation zones defined for each of the CBA approaches using the spatial distribution of </w:t>
      </w:r>
      <w:r w:rsidR="00CB2BBF">
        <w:rPr>
          <w:iCs/>
          <w:color w:val="000000"/>
          <w:sz w:val="20"/>
          <w:szCs w:val="13"/>
        </w:rPr>
        <w:t xml:space="preserve">the </w:t>
      </w:r>
      <w:r w:rsidR="00CB2BBF" w:rsidRPr="00D618C3">
        <w:rPr>
          <w:iCs/>
          <w:color w:val="000000"/>
          <w:sz w:val="20"/>
          <w:szCs w:val="13"/>
        </w:rPr>
        <w:t xml:space="preserve">absolute </w:t>
      </w:r>
      <w:r w:rsidR="00CB2BBF">
        <w:rPr>
          <w:iCs/>
          <w:color w:val="000000"/>
          <w:sz w:val="20"/>
          <w:szCs w:val="13"/>
        </w:rPr>
        <w:t>short-term</w:t>
      </w:r>
      <w:r w:rsidR="00CB2BBF" w:rsidRPr="00D618C3">
        <w:rPr>
          <w:iCs/>
          <w:color w:val="000000"/>
          <w:sz w:val="20"/>
          <w:szCs w:val="13"/>
        </w:rPr>
        <w:t xml:space="preserve"> average probability of </w:t>
      </w:r>
      <w:r w:rsidR="00CB2BBF">
        <w:rPr>
          <w:iCs/>
          <w:color w:val="000000"/>
          <w:sz w:val="20"/>
          <w:szCs w:val="13"/>
        </w:rPr>
        <w:t>volcanic hazard impact at</w:t>
      </w:r>
      <w:r w:rsidR="00CB2BBF" w:rsidRPr="00D618C3">
        <w:rPr>
          <w:iCs/>
          <w:color w:val="000000"/>
          <w:sz w:val="20"/>
          <w:szCs w:val="13"/>
        </w:rPr>
        <w:t xml:space="preserve"> a location</w:t>
      </w:r>
      <w:r w:rsidR="00CB2BBF">
        <w:rPr>
          <w:iCs/>
          <w:color w:val="000000"/>
          <w:sz w:val="20"/>
          <w:szCs w:val="13"/>
        </w:rPr>
        <w:t xml:space="preserve"> from </w:t>
      </w:r>
      <w:proofErr w:type="spellStart"/>
      <w:r w:rsidR="00CB2BBF">
        <w:rPr>
          <w:iCs/>
          <w:color w:val="000000"/>
          <w:sz w:val="20"/>
          <w:szCs w:val="13"/>
        </w:rPr>
        <w:t>BETVHst_AVF</w:t>
      </w:r>
      <w:proofErr w:type="spellEnd"/>
      <w:r w:rsidR="00CB2BBF" w:rsidRPr="00D618C3">
        <w:rPr>
          <w:iCs/>
          <w:color w:val="000000"/>
          <w:sz w:val="20"/>
          <w:szCs w:val="13"/>
        </w:rPr>
        <w:t xml:space="preserve"> where </w:t>
      </w:r>
      <w:r w:rsidR="00CB2BBF">
        <w:rPr>
          <w:iCs/>
          <w:color w:val="000000"/>
          <w:sz w:val="20"/>
          <w:szCs w:val="13"/>
        </w:rPr>
        <w:t>the Node 4</w:t>
      </w:r>
      <w:r w:rsidR="00CB2BBF" w:rsidRPr="00D618C3">
        <w:rPr>
          <w:iCs/>
          <w:color w:val="000000"/>
          <w:sz w:val="20"/>
          <w:szCs w:val="13"/>
        </w:rPr>
        <w:t xml:space="preserve"> </w:t>
      </w:r>
      <w:r w:rsidR="00CB2BBF">
        <w:rPr>
          <w:iCs/>
          <w:color w:val="000000"/>
          <w:sz w:val="20"/>
          <w:szCs w:val="13"/>
        </w:rPr>
        <w:t xml:space="preserve">weight of the </w:t>
      </w:r>
      <w:r w:rsidR="00CB2BBF" w:rsidRPr="00D618C3">
        <w:rPr>
          <w:iCs/>
          <w:color w:val="000000"/>
          <w:sz w:val="20"/>
          <w:szCs w:val="13"/>
        </w:rPr>
        <w:t>monitoring component transitions from 0</w:t>
      </w:r>
      <w:r w:rsidR="00CB2BBF">
        <w:rPr>
          <w:iCs/>
          <w:color w:val="000000"/>
          <w:sz w:val="20"/>
          <w:szCs w:val="13"/>
        </w:rPr>
        <w:t>.2</w:t>
      </w:r>
      <w:r w:rsidR="00CB2BBF" w:rsidRPr="00D618C3">
        <w:rPr>
          <w:iCs/>
          <w:color w:val="000000"/>
          <w:sz w:val="20"/>
          <w:szCs w:val="13"/>
        </w:rPr>
        <w:t xml:space="preserve"> to </w:t>
      </w:r>
      <w:r w:rsidR="00CB2BBF">
        <w:rPr>
          <w:iCs/>
          <w:color w:val="000000"/>
          <w:sz w:val="20"/>
          <w:szCs w:val="13"/>
        </w:rPr>
        <w:t>0.8</w:t>
      </w:r>
      <w:r w:rsidR="00CB2BBF" w:rsidRPr="00D618C3">
        <w:rPr>
          <w:iCs/>
          <w:color w:val="000000"/>
          <w:sz w:val="20"/>
          <w:szCs w:val="13"/>
        </w:rPr>
        <w:t xml:space="preserve"> for selected days leading up to the eruption in the Birkenhead scenario.</w:t>
      </w:r>
    </w:p>
    <w:p w14:paraId="46D7EC97" w14:textId="61A6834B" w:rsidR="007A2F2B" w:rsidRDefault="007A2F2B"/>
    <w:p w14:paraId="3C1B7096" w14:textId="3B86A019" w:rsidR="00861638" w:rsidRPr="00861638" w:rsidRDefault="00456BC7" w:rsidP="00861638">
      <w:r>
        <w:rPr>
          <w:noProof/>
        </w:rPr>
        <w:lastRenderedPageBreak/>
        <w:drawing>
          <wp:inline distT="0" distB="0" distL="0" distR="0" wp14:anchorId="36B8AEBB" wp14:editId="4D97D130">
            <wp:extent cx="5727700" cy="65754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57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E9811" w14:textId="77777777" w:rsidR="00F72B58" w:rsidRDefault="00F72B58" w:rsidP="00CB2BBF">
      <w:pPr>
        <w:jc w:val="both"/>
        <w:rPr>
          <w:b/>
          <w:bCs/>
          <w:iCs/>
          <w:color w:val="000000"/>
          <w:sz w:val="20"/>
          <w:szCs w:val="13"/>
        </w:rPr>
      </w:pPr>
    </w:p>
    <w:p w14:paraId="2402096E" w14:textId="2C599AA9" w:rsidR="007A2F2B" w:rsidRDefault="007A2F2B" w:rsidP="00CB2BBF">
      <w:pPr>
        <w:jc w:val="both"/>
        <w:rPr>
          <w:iCs/>
          <w:color w:val="000000"/>
          <w:sz w:val="20"/>
          <w:szCs w:val="13"/>
        </w:rPr>
      </w:pPr>
      <w:r w:rsidRPr="00D618C3">
        <w:rPr>
          <w:b/>
          <w:bCs/>
          <w:iCs/>
          <w:color w:val="000000"/>
          <w:sz w:val="20"/>
          <w:szCs w:val="13"/>
        </w:rPr>
        <w:t xml:space="preserve">Figure </w:t>
      </w:r>
      <w:r w:rsidRPr="00D618C3">
        <w:rPr>
          <w:b/>
          <w:bCs/>
          <w:iCs/>
          <w:color w:val="000000"/>
          <w:sz w:val="20"/>
          <w:szCs w:val="13"/>
        </w:rPr>
        <w:fldChar w:fldCharType="begin"/>
      </w:r>
      <w:r w:rsidRPr="00D618C3">
        <w:rPr>
          <w:b/>
          <w:bCs/>
          <w:iCs/>
          <w:color w:val="000000"/>
          <w:sz w:val="20"/>
          <w:szCs w:val="13"/>
        </w:rPr>
        <w:instrText xml:space="preserve"> SEQ Figure \* ARABIC </w:instrText>
      </w:r>
      <w:r w:rsidRPr="00D618C3">
        <w:rPr>
          <w:b/>
          <w:bCs/>
          <w:iCs/>
          <w:color w:val="000000"/>
          <w:sz w:val="20"/>
          <w:szCs w:val="13"/>
        </w:rPr>
        <w:fldChar w:fldCharType="separate"/>
      </w:r>
      <w:r w:rsidR="00C16CFA">
        <w:rPr>
          <w:b/>
          <w:bCs/>
          <w:iCs/>
          <w:noProof/>
          <w:color w:val="000000"/>
          <w:sz w:val="20"/>
          <w:szCs w:val="13"/>
        </w:rPr>
        <w:t>6</w:t>
      </w:r>
      <w:r w:rsidRPr="00D618C3">
        <w:rPr>
          <w:b/>
          <w:bCs/>
          <w:iCs/>
          <w:color w:val="000000"/>
          <w:sz w:val="20"/>
          <w:szCs w:val="13"/>
        </w:rPr>
        <w:fldChar w:fldCharType="end"/>
      </w:r>
      <w:r w:rsidRPr="00D618C3">
        <w:rPr>
          <w:iCs/>
          <w:color w:val="000000"/>
          <w:sz w:val="20"/>
          <w:szCs w:val="13"/>
        </w:rPr>
        <w:t xml:space="preserve"> </w:t>
      </w:r>
      <w:r w:rsidR="00CB2BBF" w:rsidRPr="00D618C3">
        <w:rPr>
          <w:iCs/>
          <w:color w:val="000000"/>
          <w:sz w:val="20"/>
          <w:szCs w:val="13"/>
        </w:rPr>
        <w:t xml:space="preserve">Evacuation zones defined for each of the CBA approaches using the spatial distribution of </w:t>
      </w:r>
      <w:r w:rsidR="00CB2BBF">
        <w:rPr>
          <w:iCs/>
          <w:color w:val="000000"/>
          <w:sz w:val="20"/>
          <w:szCs w:val="13"/>
        </w:rPr>
        <w:t xml:space="preserve">the </w:t>
      </w:r>
      <w:r w:rsidR="00CB2BBF" w:rsidRPr="00D618C3">
        <w:rPr>
          <w:iCs/>
          <w:color w:val="000000"/>
          <w:sz w:val="20"/>
          <w:szCs w:val="13"/>
        </w:rPr>
        <w:t xml:space="preserve">absolute </w:t>
      </w:r>
      <w:r w:rsidR="00CB2BBF">
        <w:rPr>
          <w:iCs/>
          <w:color w:val="000000"/>
          <w:sz w:val="20"/>
          <w:szCs w:val="13"/>
        </w:rPr>
        <w:t>short-term</w:t>
      </w:r>
      <w:r w:rsidR="00CB2BBF" w:rsidRPr="00D618C3">
        <w:rPr>
          <w:iCs/>
          <w:color w:val="000000"/>
          <w:sz w:val="20"/>
          <w:szCs w:val="13"/>
        </w:rPr>
        <w:t xml:space="preserve"> average probability of </w:t>
      </w:r>
      <w:r w:rsidR="00CB2BBF">
        <w:rPr>
          <w:iCs/>
          <w:color w:val="000000"/>
          <w:sz w:val="20"/>
          <w:szCs w:val="13"/>
        </w:rPr>
        <w:t>volcanic hazard impact at</w:t>
      </w:r>
      <w:r w:rsidR="00CB2BBF" w:rsidRPr="00D618C3">
        <w:rPr>
          <w:iCs/>
          <w:color w:val="000000"/>
          <w:sz w:val="20"/>
          <w:szCs w:val="13"/>
        </w:rPr>
        <w:t xml:space="preserve"> a location</w:t>
      </w:r>
      <w:r w:rsidR="00CB2BBF">
        <w:rPr>
          <w:iCs/>
          <w:color w:val="000000"/>
          <w:sz w:val="20"/>
          <w:szCs w:val="13"/>
        </w:rPr>
        <w:t xml:space="preserve"> from </w:t>
      </w:r>
      <w:proofErr w:type="spellStart"/>
      <w:r w:rsidR="00CB2BBF">
        <w:rPr>
          <w:iCs/>
          <w:color w:val="000000"/>
          <w:sz w:val="20"/>
          <w:szCs w:val="13"/>
        </w:rPr>
        <w:t>BETVHst_AVF</w:t>
      </w:r>
      <w:proofErr w:type="spellEnd"/>
      <w:r w:rsidR="00CB2BBF" w:rsidRPr="00D618C3">
        <w:rPr>
          <w:iCs/>
          <w:color w:val="000000"/>
          <w:sz w:val="20"/>
          <w:szCs w:val="13"/>
        </w:rPr>
        <w:t xml:space="preserve"> where </w:t>
      </w:r>
      <w:r w:rsidR="00CB2BBF">
        <w:rPr>
          <w:iCs/>
          <w:color w:val="000000"/>
          <w:sz w:val="20"/>
          <w:szCs w:val="13"/>
        </w:rPr>
        <w:t>the Node 4</w:t>
      </w:r>
      <w:r w:rsidR="00CB2BBF" w:rsidRPr="00D618C3">
        <w:rPr>
          <w:iCs/>
          <w:color w:val="000000"/>
          <w:sz w:val="20"/>
          <w:szCs w:val="13"/>
        </w:rPr>
        <w:t xml:space="preserve"> </w:t>
      </w:r>
      <w:r w:rsidR="00CB2BBF">
        <w:rPr>
          <w:iCs/>
          <w:color w:val="000000"/>
          <w:sz w:val="20"/>
          <w:szCs w:val="13"/>
        </w:rPr>
        <w:t xml:space="preserve">weight of the </w:t>
      </w:r>
      <w:r w:rsidR="00CB2BBF" w:rsidRPr="00D618C3">
        <w:rPr>
          <w:iCs/>
          <w:color w:val="000000"/>
          <w:sz w:val="20"/>
          <w:szCs w:val="13"/>
        </w:rPr>
        <w:t xml:space="preserve">monitoring component transitions from 0 to </w:t>
      </w:r>
      <w:r w:rsidR="00CB2BBF">
        <w:rPr>
          <w:iCs/>
          <w:color w:val="000000"/>
          <w:sz w:val="20"/>
          <w:szCs w:val="13"/>
        </w:rPr>
        <w:t>1</w:t>
      </w:r>
      <w:r w:rsidR="00CB2BBF" w:rsidRPr="00D618C3">
        <w:rPr>
          <w:iCs/>
          <w:color w:val="000000"/>
          <w:sz w:val="20"/>
          <w:szCs w:val="13"/>
        </w:rPr>
        <w:t xml:space="preserve"> for selected days leading up to the eruption in the Birkenhead scenario.</w:t>
      </w:r>
    </w:p>
    <w:p w14:paraId="048F1E43" w14:textId="0188B427" w:rsidR="006F0EAA" w:rsidRDefault="006F0EAA" w:rsidP="00CB2BBF">
      <w:pPr>
        <w:jc w:val="both"/>
        <w:rPr>
          <w:iCs/>
          <w:color w:val="000000"/>
          <w:sz w:val="20"/>
          <w:szCs w:val="13"/>
        </w:rPr>
      </w:pPr>
    </w:p>
    <w:p w14:paraId="3968F406" w14:textId="46EBFA29" w:rsidR="006F0EAA" w:rsidRDefault="006F0EAA" w:rsidP="00CB2BBF">
      <w:pPr>
        <w:jc w:val="both"/>
        <w:rPr>
          <w:b/>
          <w:sz w:val="28"/>
          <w:lang w:val="en-US"/>
        </w:rPr>
      </w:pPr>
      <w:r w:rsidRPr="006F0EAA">
        <w:rPr>
          <w:b/>
          <w:sz w:val="28"/>
          <w:lang w:val="en-US"/>
        </w:rPr>
        <w:t>Reference</w:t>
      </w:r>
      <w:r>
        <w:rPr>
          <w:b/>
          <w:sz w:val="28"/>
          <w:lang w:val="en-US"/>
        </w:rPr>
        <w:t>s</w:t>
      </w:r>
    </w:p>
    <w:p w14:paraId="720CDD1F" w14:textId="77777777" w:rsidR="006F0EAA" w:rsidRPr="006F0EAA" w:rsidRDefault="006F0EAA" w:rsidP="006F0EAA">
      <w:pPr>
        <w:pStyle w:val="Bibliography"/>
        <w:rPr>
          <w:szCs w:val="22"/>
          <w:lang w:val="en-GB"/>
        </w:rPr>
      </w:pPr>
      <w:r w:rsidRPr="006F0EAA">
        <w:rPr>
          <w:b/>
          <w:szCs w:val="22"/>
          <w:lang w:val="en-US"/>
        </w:rPr>
        <w:fldChar w:fldCharType="begin"/>
      </w:r>
      <w:r w:rsidRPr="006F0EAA">
        <w:rPr>
          <w:b/>
          <w:szCs w:val="22"/>
          <w:lang w:val="en-US"/>
        </w:rPr>
        <w:instrText xml:space="preserve"> ADDIN ZOTERO_BIBL {"uncited":[],"omitted":[],"custom":[]} CSL_BIBLIOGRAPHY </w:instrText>
      </w:r>
      <w:r w:rsidRPr="006F0EAA">
        <w:rPr>
          <w:b/>
          <w:szCs w:val="22"/>
          <w:lang w:val="en-US"/>
        </w:rPr>
        <w:fldChar w:fldCharType="separate"/>
      </w:r>
      <w:r w:rsidRPr="006F0EAA">
        <w:rPr>
          <w:szCs w:val="22"/>
          <w:lang w:val="en-GB"/>
        </w:rPr>
        <w:t xml:space="preserve">Wild AJ, Bebbington MS, Lindsay JM. Short-Term Eruption Forecasting for Crisis Decision-Support in the Auckland Volcanic Field, New Zealand. Front. Earth Sci. 2022 May 24;10:893882. </w:t>
      </w:r>
    </w:p>
    <w:p w14:paraId="65E8CABD" w14:textId="7AEDE808" w:rsidR="006F0EAA" w:rsidRPr="006F0EAA" w:rsidRDefault="006F0EAA" w:rsidP="00CB2BBF">
      <w:pPr>
        <w:jc w:val="both"/>
        <w:rPr>
          <w:b/>
          <w:sz w:val="28"/>
          <w:lang w:val="en-US"/>
        </w:rPr>
      </w:pPr>
      <w:r w:rsidRPr="006F0EAA">
        <w:rPr>
          <w:b/>
          <w:szCs w:val="22"/>
          <w:lang w:val="en-US"/>
        </w:rPr>
        <w:fldChar w:fldCharType="end"/>
      </w:r>
    </w:p>
    <w:sectPr w:rsidR="006F0EAA" w:rsidRPr="006F0EAA" w:rsidSect="0001544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8DD"/>
    <w:rsid w:val="0000122C"/>
    <w:rsid w:val="000025B6"/>
    <w:rsid w:val="00015442"/>
    <w:rsid w:val="0003510D"/>
    <w:rsid w:val="0009754F"/>
    <w:rsid w:val="00181DD2"/>
    <w:rsid w:val="00191D64"/>
    <w:rsid w:val="001B269B"/>
    <w:rsid w:val="002D3CE8"/>
    <w:rsid w:val="002E4E21"/>
    <w:rsid w:val="00331B42"/>
    <w:rsid w:val="00395108"/>
    <w:rsid w:val="003E3D99"/>
    <w:rsid w:val="003F3592"/>
    <w:rsid w:val="00456BC7"/>
    <w:rsid w:val="004B3DEE"/>
    <w:rsid w:val="004E2CF9"/>
    <w:rsid w:val="005A116A"/>
    <w:rsid w:val="005D0DD8"/>
    <w:rsid w:val="005D18B2"/>
    <w:rsid w:val="005D7B31"/>
    <w:rsid w:val="00663C92"/>
    <w:rsid w:val="006F0EAA"/>
    <w:rsid w:val="006F5979"/>
    <w:rsid w:val="007A2F2B"/>
    <w:rsid w:val="0081157C"/>
    <w:rsid w:val="008145A9"/>
    <w:rsid w:val="00861638"/>
    <w:rsid w:val="008A4D61"/>
    <w:rsid w:val="008E634D"/>
    <w:rsid w:val="00913C25"/>
    <w:rsid w:val="00980801"/>
    <w:rsid w:val="009F00AD"/>
    <w:rsid w:val="00A31697"/>
    <w:rsid w:val="00A71952"/>
    <w:rsid w:val="00AB015F"/>
    <w:rsid w:val="00B26DC3"/>
    <w:rsid w:val="00B34D50"/>
    <w:rsid w:val="00BF2BB5"/>
    <w:rsid w:val="00C0259E"/>
    <w:rsid w:val="00C16CFA"/>
    <w:rsid w:val="00C32CE5"/>
    <w:rsid w:val="00C56221"/>
    <w:rsid w:val="00C7604F"/>
    <w:rsid w:val="00CB2BBF"/>
    <w:rsid w:val="00D065CB"/>
    <w:rsid w:val="00D468DD"/>
    <w:rsid w:val="00DD2862"/>
    <w:rsid w:val="00E03599"/>
    <w:rsid w:val="00E87070"/>
    <w:rsid w:val="00F02CCA"/>
    <w:rsid w:val="00F14C3D"/>
    <w:rsid w:val="00F653FE"/>
    <w:rsid w:val="00F72B58"/>
    <w:rsid w:val="00FE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008E0"/>
  <w14:defaultImageDpi w14:val="32767"/>
  <w15:chartTrackingRefBased/>
  <w15:docId w15:val="{6F92E225-40B5-FD4D-A235-411CEDB1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8DD"/>
    <w:rPr>
      <w:rFonts w:ascii="Times New Roman" w:eastAsia="Times New Roman" w:hAnsi="Times New Roman" w:cs="Times New Roman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C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CE5"/>
    <w:rPr>
      <w:rFonts w:ascii="Segoe UI" w:eastAsia="Times New Roman" w:hAnsi="Segoe UI" w:cs="Segoe UI"/>
      <w:sz w:val="18"/>
      <w:szCs w:val="18"/>
      <w:lang w:val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4B3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3DEE"/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3DEE"/>
    <w:rPr>
      <w:rFonts w:ascii="Times New Roman" w:hAnsi="Times New Roman"/>
      <w:sz w:val="20"/>
      <w:szCs w:val="20"/>
      <w:lang w:val="en-NZ"/>
    </w:rPr>
  </w:style>
  <w:style w:type="paragraph" w:styleId="Caption">
    <w:name w:val="caption"/>
    <w:basedOn w:val="Normal"/>
    <w:next w:val="Normal"/>
    <w:uiPriority w:val="35"/>
    <w:unhideWhenUsed/>
    <w:qFormat/>
    <w:rsid w:val="003F3592"/>
    <w:pPr>
      <w:spacing w:before="120" w:after="200" w:line="360" w:lineRule="auto"/>
      <w:jc w:val="both"/>
    </w:pPr>
    <w:rPr>
      <w:rFonts w:eastAsiaTheme="minorHAnsi" w:cstheme="minorBidi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AB0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B015F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0FC4D50-FEAD-9F4C-8CCB-E83AB8FC962A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84DBFF-F6B2-A34E-8208-BB7DC10A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534</Words>
  <Characters>2884</Characters>
  <Application>Microsoft Office Word</Application>
  <DocSecurity>0</DocSecurity>
  <Lines>58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wild</dc:creator>
  <cp:keywords/>
  <dc:description/>
  <cp:lastModifiedBy>Alec Wild</cp:lastModifiedBy>
  <cp:revision>14</cp:revision>
  <cp:lastPrinted>2022-10-28T02:00:00Z</cp:lastPrinted>
  <dcterms:created xsi:type="dcterms:W3CDTF">2022-09-04T05:34:00Z</dcterms:created>
  <dcterms:modified xsi:type="dcterms:W3CDTF">2022-11-01T05:29:00Z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id="LMr0KRT6"/&gt;&lt;style id="http://www.zotero.org/styles/journal-of-applied-volcanology" hasBibliography="1" bibliographyStyleHasBeenSet="1"/&gt;&lt;prefs&gt;&lt;pref name="fieldType" value="Field"/&gt;&lt;/prefs&gt;&lt;/data</vt:lpwstr>
  </property>
  <property fmtid="{D5CDD505-2E9C-101B-9397-08002B2CF9AE}" pid="3" name="ZOTERO_PREF_2">
    <vt:lpwstr>&gt;</vt:lpwstr>
  </property>
  <property fmtid="{D5CDD505-2E9C-101B-9397-08002B2CF9AE}" pid="4" name="grammarly_documentId">
    <vt:lpwstr>documentId_1785</vt:lpwstr>
  </property>
  <property fmtid="{D5CDD505-2E9C-101B-9397-08002B2CF9AE}" pid="5" name="grammarly_documentContext">
    <vt:lpwstr>{"goals":[],"domain":"general","emotions":[],"dialect":"british"}</vt:lpwstr>
  </property>
</Properties>
</file>