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D4C607" w14:textId="77777777" w:rsidR="00D13090" w:rsidRPr="001243DB" w:rsidRDefault="004B2332">
      <w:pPr>
        <w:rPr>
          <w:rFonts w:ascii="Times" w:hAnsi="Times"/>
          <w:b/>
          <w:u w:val="single"/>
        </w:rPr>
      </w:pPr>
      <w:r w:rsidRPr="001243DB">
        <w:rPr>
          <w:rFonts w:ascii="Times" w:hAnsi="Times"/>
          <w:b/>
          <w:u w:val="single"/>
        </w:rPr>
        <w:t>Supplemental S1</w:t>
      </w:r>
    </w:p>
    <w:p w14:paraId="65BDB8F5" w14:textId="77777777" w:rsidR="004B2332" w:rsidRDefault="004B2332" w:rsidP="004B2332">
      <w:pPr>
        <w:jc w:val="both"/>
        <w:rPr>
          <w:rFonts w:ascii="Times" w:hAnsi="Times"/>
        </w:rPr>
      </w:pPr>
      <w:r w:rsidRPr="004B2332">
        <w:rPr>
          <w:rFonts w:ascii="Times" w:hAnsi="Times"/>
        </w:rPr>
        <w:t xml:space="preserve">A number of publications in patients with CHH, whether they have CPHD or IHH, do not mention testes position </w:t>
      </w:r>
      <w:proofErr w:type="gramStart"/>
      <w:r w:rsidRPr="004B2332">
        <w:rPr>
          <w:rFonts w:ascii="Times" w:hAnsi="Times"/>
        </w:rPr>
        <w:t>nor</w:t>
      </w:r>
      <w:proofErr w:type="gramEnd"/>
      <w:r w:rsidRPr="004B2332">
        <w:rPr>
          <w:rFonts w:ascii="Times" w:hAnsi="Times"/>
        </w:rPr>
        <w:t xml:space="preserve"> </w:t>
      </w:r>
      <w:proofErr w:type="spellStart"/>
      <w:r w:rsidRPr="004B2332">
        <w:rPr>
          <w:rFonts w:ascii="Times" w:hAnsi="Times"/>
        </w:rPr>
        <w:t>orchiopexy</w:t>
      </w:r>
      <w:proofErr w:type="spellEnd"/>
      <w:r w:rsidRPr="004B2332">
        <w:rPr>
          <w:rFonts w:ascii="Times" w:hAnsi="Times"/>
        </w:rPr>
        <w:t xml:space="preserve">. Our </w:t>
      </w:r>
      <w:proofErr w:type="spellStart"/>
      <w:r w:rsidRPr="004B2332">
        <w:rPr>
          <w:rFonts w:ascii="Times" w:hAnsi="Times"/>
        </w:rPr>
        <w:t>pubmed</w:t>
      </w:r>
      <w:proofErr w:type="spellEnd"/>
      <w:r w:rsidRPr="004B2332">
        <w:rPr>
          <w:rFonts w:ascii="Times" w:hAnsi="Times"/>
        </w:rPr>
        <w:t xml:space="preserve"> search retrieved a few publications motivated by genetic information, that indicated the occurrence and timing of </w:t>
      </w:r>
      <w:proofErr w:type="spellStart"/>
      <w:r w:rsidRPr="004B2332">
        <w:rPr>
          <w:rFonts w:ascii="Times" w:hAnsi="Times"/>
        </w:rPr>
        <w:t>orchiopexy</w:t>
      </w:r>
      <w:proofErr w:type="spellEnd"/>
      <w:r w:rsidRPr="004B2332">
        <w:rPr>
          <w:rFonts w:ascii="Times" w:hAnsi="Times"/>
        </w:rPr>
        <w:t xml:space="preserve"> in patients with IHH </w:t>
      </w:r>
      <w:r w:rsidRPr="004B2332">
        <w:rPr>
          <w:rFonts w:ascii="Times" w:hAnsi="Times"/>
        </w:rPr>
        <w:fldChar w:fldCharType="begin"/>
      </w:r>
      <w:r w:rsidRPr="004B2332">
        <w:rPr>
          <w:rFonts w:ascii="Times" w:hAnsi="Times"/>
        </w:rPr>
        <w:instrText xml:space="preserve"> ADDIN ZOTERO_ITEM CSL_CITATION {"citationID":"1i04dcgns4","properties":{"formattedCitation":"(1)","plainCitation":"(1)"},"citationItems":[{"id":1742,"uris":["http://zotero.org/users/1225224/items/7DGWQI7G"],"uri":["http://zotero.org/users/1225224/items/7DGWQI7G"],"itemData":{"id":1742,"type":"article-journal","title":"Clinical case seminar: a novel LHX3 mutation presenting as combined pituitary hormonal deficiency","container-title":"The Journal of Clinical Endocrinology and Metabolism","page":"747-753","volume":"91","issue":"3","source":"PubMed","abstract":"CONTEXT: LHX3 encodes LIM homeodomain class transcription factors with important roles in pituitary and nervous system development. The only previous report of LHX3 mutations described patients with two types of recessive mutations displaying combined pituitary hormone deficiency coupled with neck rigidity.\nOBJECTIVE: We report a patient presenting a unique phenotype associated with a novel mutation in the LHX3 gene.\nPATIENT: We report a 6-yr, 9-month-old boy born from a consanguineous relationship who presented shortly after birth with cyanosis, feeding difficulty, persistent jaundice, micropenis, and poor weight gain and growth rate. Laboratory data, including an undetectable TSH, low free T4, low IGF-I and IGF binding protein-3, prolactin deficiency, and LH and FSH deficiency were consistent with hypopituitarism. A rigid cervical spine leading to limited head rotation was noticed on follow-up examination. Magnetic resonance imaging revealed an apparently structurally normal cervical spine and a postcontrast hypointense lesion in the anterior pituitary.\nRESULTS: Analysis of the LHX3 gene revealed homozygosity for a novel single-base-pair deletion in exon 2. This mutation leads to a frame shift predicted to result in the production of short, inactive LHX3 proteins. The results of in vitro translation experiments are consistent with this prediction. The parents of the patients are heterozygotes, indicating a recessive mode of action for the deletion allele.\nCONCLUSIONS: The presence of a hypointense pituitary lesion and other clinical findings broadens the phenotype associated with LHX3 gene mutation.","DOI":"10.1210/jc.2005-2360","ISSN":"0021-972X","note":"PMID: 16394081","shortTitle":"Clinical case seminar","journalAbbreviation":"J. Clin. Endocrinol. Metab.","language":"eng","author":[{"family":"Bhangoo","given":"Amrit P. S."},{"family":"Hunter","given":"Chad S."},{"family":"Savage","given":"Jesse J."},{"family":"Anhalt","given":"Henry"},{"family":"Pavlakis","given":"Steven"},{"family":"Walvoord","given":"Emily C."},{"family":"Ten","given":"Svetlana"},{"family":"Rhodes","given":"Simon J."}],"issued":{"date-parts":[["2006",3]]},"PMID":"16394081"}}],"schema":"https://github.com/citation-style-language/schema/raw/master/csl-citation.json"} </w:instrText>
      </w:r>
      <w:r w:rsidRPr="004B2332">
        <w:rPr>
          <w:rFonts w:ascii="Times" w:hAnsi="Times"/>
        </w:rPr>
        <w:fldChar w:fldCharType="separate"/>
      </w:r>
      <w:r w:rsidRPr="004B2332">
        <w:rPr>
          <w:rFonts w:ascii="Times" w:hAnsi="Times"/>
          <w:noProof/>
        </w:rPr>
        <w:t>(1)</w:t>
      </w:r>
      <w:r w:rsidRPr="004B2332">
        <w:rPr>
          <w:rFonts w:ascii="Times" w:hAnsi="Times"/>
        </w:rPr>
        <w:fldChar w:fldCharType="end"/>
      </w:r>
      <w:r w:rsidRPr="004B2332">
        <w:rPr>
          <w:rFonts w:ascii="Times" w:hAnsi="Times"/>
        </w:rPr>
        <w:fldChar w:fldCharType="begin"/>
      </w:r>
      <w:r w:rsidRPr="004B2332">
        <w:rPr>
          <w:rFonts w:ascii="Times" w:hAnsi="Times"/>
        </w:rPr>
        <w:instrText xml:space="preserve"> ADDIN ZOTERO_ITEM CSL_CITATION {"citationID":"1eqh8ahc69","properties":{"formattedCitation":"(2)","plainCitation":"(2)"},"citationItems":[{"id":1251,"uris":["http://zotero.org/users/1225224/items/7R7D47S5"],"uri":["http://zotero.org/users/1225224/items/7R7D47S5"],"itemData":{"id":1251,"type":"article-journal","title":"Genome-wide copy number analysis and systematic mutation screening in 58 patients with hypogonadotropic hypogonadism","container-title":"Fertility and Sterility","page":"1130-1136.e3","volume":"102","issue":"4","source":"NCBI PubMed","abstract":"OBJECTIVE: To clarify the molecular basis of hypogonadotropic hypogonadism (HH).\nDESIGN: Genome-wide copy number analysis by array-based comparative genomic hybridization and systematic mutation screening of 29 known causative genes by next-generation sequencing, followed by in silico functional assessment and messenger RNA/DNA analyses of the mutants/variants.\nSETTING: Research institute.\nPATIENT(S): Fifty-eight patients with isolated HH (IHH), combined pituitary hormone deficiency (CPHD), and syndromic HH.\nINTERVENTION(S): None.\nMAIN OUTCOME MEASURE(S): Frequency and character of molecular abnormalities.\nRESULT(S): Pathogenic defects were identified in 14 patients with various types of HH, although oligogenicity was not evident in this patient group. As rare abnormalities, we identified a submicroscopic deletion involving FGFR1 and an SOX3 polyalanine deletion in patients with IHH, and a WDR11 splice site mutation in a patient with CPHD. No disease-associated polymorphism was detected in the 58 patients.\nCONCLUSION(S): The present study provides further evidence that mutations and deletions in the known causative genes play a relatively minor role in the etiology of HH and that submicroscopic rearrangements encompassing FGFR1 can lead to IHH as a sole recognizable clinical feature. Furthermore, the results indicate for the first time that polyalanine deletions in SOX3 and mutations in WDR11 constitute rare genetic causes of IHH and CPHD, respectively.","DOI":"10.1016/j.fertnstert.2014.06.017","ISSN":"1556-5653","note":"PMID: 25064402","journalAbbreviation":"Fertil. Steril.","language":"eng","author":[{"family":"Izumi","given":"Yoko"},{"family":"Suzuki","given":"Erina"},{"family":"Kanzaki","given":"Susumu"},{"family":"Yatsuga","given":"Shuichi"},{"family":"Kinjo","given":"Saori"},{"family":"Igarashi","given":"Maki"},{"family":"Maruyama","given":"Tetsuo"},{"family":"Sano","given":"Shinichiro"},{"family":"Horikawa","given":"Reiko"},{"family":"Sato","given":"Naoko"},{"family":"Nakabayashi","given":"Kazuhiko"},{"family":"Hata","given":"Kenichiro"},{"family":"Umezawa","given":"Akihiro"},{"family":"Ogata","given":"Tsutomu"},{"family":"Yoshimura","given":"Yasunori"},{"family":"Fukami","given":"Maki"}],"issued":{"date-parts":[["2014",10]]},"PMID":"25064402"}}],"schema":"https://github.com/citation-style-language/schema/raw/master/csl-citation.json"} </w:instrText>
      </w:r>
      <w:r w:rsidRPr="004B2332">
        <w:rPr>
          <w:rFonts w:ascii="Times" w:hAnsi="Times"/>
        </w:rPr>
        <w:fldChar w:fldCharType="separate"/>
      </w:r>
      <w:r w:rsidRPr="004B2332">
        <w:rPr>
          <w:rFonts w:ascii="Times" w:hAnsi="Times"/>
          <w:noProof/>
        </w:rPr>
        <w:t>(2)</w:t>
      </w:r>
      <w:r w:rsidRPr="004B2332">
        <w:rPr>
          <w:rFonts w:ascii="Times" w:hAnsi="Times"/>
        </w:rPr>
        <w:fldChar w:fldCharType="end"/>
      </w:r>
      <w:r w:rsidRPr="004B2332">
        <w:rPr>
          <w:rFonts w:ascii="Times" w:hAnsi="Times"/>
        </w:rPr>
        <w:fldChar w:fldCharType="begin"/>
      </w:r>
      <w:r w:rsidRPr="004B2332">
        <w:rPr>
          <w:rFonts w:ascii="Times" w:hAnsi="Times"/>
        </w:rPr>
        <w:instrText xml:space="preserve"> ADDIN ZOTERO_ITEM CSL_CITATION {"citationID":"25qharm37b","properties":{"formattedCitation":"(3)","plainCitation":"(3)"},"citationItems":[{"id":1502,"uris":["http://zotero.org/users/1225224/items/3E53FU4E"],"uri":["http://zotero.org/users/1225224/items/3E53FU4E"],"itemData":{"id":1502,"type":"article-journal","title":"An uncommon phenotype with familial central hypogonadism caused by a novel PROP1 gene mutant truncated in the transactivation domain","container-title":"The Journal of Clinical Endocrinology and Metabolism","page":"4880-4887","volume":"90","issue":"8","source":"NCBI PubMed","abstract":"CONTEXT: PROP1 gene mutations are usually associated with childhood onset GH and TSH deficiencies, whereas gonadotroph deficiency is diagnosed at pubertal age.\nOBJECTIVES: We report a novel PROP1 mutation revealed by familial normosmic hypogonadotropic hypogonadism. We performed in vitro transactivation and DNA binding experiments to study functional consequences of this mutation.\nSETTING: Three brothers were followed in the Department of Endocrinology of a French university hospital.\nPATIENTS: These patients from a consanguineous kindred were referred for cryptorchidism and/or delayed puberty.\nRESULTS: Initial investigations revealed hypogonadotropic hypogonadism. One of the patients had psychomotor retardation, intracranial hypertension, and minor renal malformations. The brothers reached normal adult height and developed GH and TSH deficiencies after age 30. A novel homozygous nonsense mutation (W194X) was found in the PROP1 gene, indicating that the protein is truncated in its transactivation domain. Transfection studies confirmed the deleterious effect of this mutation, whose transactivation capacity was only 34.4% of that of the wild-type. Unexpectedly altered DNA-binding properties suggested that the C-terminal end of the factor plays a role in protein-DNA interaction.\nCONCLUSIONS: PROP1 mutations should be considered among the growing number of genetic causes of initially isolated hypogonadotropic hypogonadism. This report extends the phenotype variability associated with PROP1 mutations.","DOI":"10.1210/jc.2005-0119","ISSN":"0021-972X","note":"PMID: 15941866","journalAbbreviation":"J. Clin. Endocrinol. Metab.","language":"eng","author":[{"family":"Reynaud","given":"Rachel"},{"family":"Barlier","given":"Anne"},{"family":"Vallette-Kasic","given":"Sophie"},{"family":"Saveanu","given":"Alexandru"},{"family":"Guillet","given":"Marie-Pierre"},{"family":"Simonin","given":"Gilbert"},{"family":"Enjalbert","given":"Alain"},{"family":"Valensi","given":"Paul"},{"family":"Brue","given":"Thierry"}],"issued":{"date-parts":[["2005",8]]},"PMID":"15941866"}}],"schema":"https://github.com/citation-style-language/schema/raw/master/csl-citation.json"} </w:instrText>
      </w:r>
      <w:r w:rsidRPr="004B2332">
        <w:rPr>
          <w:rFonts w:ascii="Times" w:hAnsi="Times"/>
        </w:rPr>
        <w:fldChar w:fldCharType="separate"/>
      </w:r>
      <w:r w:rsidRPr="004B2332">
        <w:rPr>
          <w:rFonts w:ascii="Times" w:hAnsi="Times"/>
          <w:noProof/>
        </w:rPr>
        <w:t>(3)</w:t>
      </w:r>
      <w:r w:rsidRPr="004B2332">
        <w:rPr>
          <w:rFonts w:ascii="Times" w:hAnsi="Times"/>
        </w:rPr>
        <w:fldChar w:fldCharType="end"/>
      </w:r>
      <w:r w:rsidRPr="004B2332">
        <w:rPr>
          <w:rFonts w:ascii="Times" w:hAnsi="Times"/>
        </w:rPr>
        <w:fldChar w:fldCharType="begin"/>
      </w:r>
      <w:r w:rsidRPr="004B2332">
        <w:rPr>
          <w:rFonts w:ascii="Times" w:hAnsi="Times"/>
        </w:rPr>
        <w:instrText xml:space="preserve"> ADDIN ZOTERO_ITEM CSL_CITATION {"citationID":"11cgdkrgc3","properties":{"formattedCitation":"(4)","plainCitation":"(4)"},"citationItems":[{"id":1744,"uris":["http://zotero.org/users/1225224/items/U3IU2TJ5"],"uri":["http://zotero.org/users/1225224/items/U3IU2TJ5"],"itemData":{"id":1744,"type":"article-journal","title":"Familial combined pituitary hormone deficiency due to a novel mutation R99Q in the hot spot region of Prophet of Pit-1 presenting as constitutional growth delay","container-title":"The Journal of Clinical Endocrinology and Metabolism","page":"38-44","volume":"88","issue":"1","source":"PubMed","abstract":"Combined pituitary hormone deficiency (CPHD) is characterized by impaired production of GH and one or more of the other anterior pituitary hormones. Prophet of Pit-1 (PROP-1), one of the pituitary specific homeodomain transcription factors, is involved in the differentiation of the anterior pituitary cells (somatotrophs, lactotrophs, thyrotrophs, and gonadotrophs), and PROP-1 gene mutations may interfere with the development of these cells, resulting in CPHD. We performed molecular analyses of the PROP-1 gene in two siblings, born to consanguineous parents, who presented with short stature. The index patient, a boy, was initially diagnosed with constitutional growth delay based on familial short stature, low parental target height, normal GH secretion, and imaging of the pituitary gland. On follow-up, auxological data and pubertal delay prompted a thorough reevaluation, which documented GH, TSH, and gonadotropin deficiencies. Direct sequencing of the PROP-1 gene revealed a novel homozygous transition 296G--&gt;A in exon 2 in the two affected siblings. The mutation substitutes a highly conserved arginine by a glutamine at codon 99 (R99Q) in the second helix of the DNA-binding domain of the PROP-1 protein. Compared with wild-type PROP-1, R99Q displays a significant decrease in DNA binding on a paired box response element (PRDQ9) and trans-activation of a luciferase reporter gene. The findings emphasize the importance of repeated evaluations and illustrate that patients with CPHD associated with PROP-1 mutations present with a phenotypic spectrum, suggesting that the consequences of distinct PROP-1 mutations may be diverse and/or that additional factors, such as modifier genes, may have an impact on their expressivity.","DOI":"10.1210/jc.2001-011872","ISSN":"0021-972X","note":"PMID: 12519826","journalAbbreviation":"J. Clin. Endocrinol. Metab.","language":"eng","author":[{"family":"Vieira","given":"Teresa C."},{"family":"Dias da Silva","given":"Magnus R."},{"family":"Cerutti","given":"Janete M."},{"family":"Brunner","given":"Elisa"},{"family":"Borges","given":"Mariana"},{"family":"Arnaldi","given":"Liliane T."},{"family":"Kopp","given":"Peter"},{"family":"Abucham","given":"Julio"}],"issued":{"date-parts":[["2003",1]]},"PMID":"12519826"}}],"schema":"https://github.com/citation-style-language/schema/raw/master/csl-citation.json"} </w:instrText>
      </w:r>
      <w:r w:rsidRPr="004B2332">
        <w:rPr>
          <w:rFonts w:ascii="Times" w:hAnsi="Times"/>
        </w:rPr>
        <w:fldChar w:fldCharType="separate"/>
      </w:r>
      <w:r w:rsidRPr="004B2332">
        <w:rPr>
          <w:rFonts w:ascii="Times" w:hAnsi="Times"/>
          <w:noProof/>
        </w:rPr>
        <w:t>(4)</w:t>
      </w:r>
      <w:r w:rsidRPr="004B2332">
        <w:rPr>
          <w:rFonts w:ascii="Times" w:hAnsi="Times"/>
        </w:rPr>
        <w:fldChar w:fldCharType="end"/>
      </w:r>
      <w:r w:rsidRPr="004B2332">
        <w:rPr>
          <w:rFonts w:ascii="Times" w:hAnsi="Times"/>
        </w:rPr>
        <w:fldChar w:fldCharType="begin"/>
      </w:r>
      <w:r w:rsidRPr="004B2332">
        <w:rPr>
          <w:rFonts w:ascii="Times" w:hAnsi="Times"/>
        </w:rPr>
        <w:instrText xml:space="preserve"> ADDIN ZOTERO_ITEM CSL_CITATION {"citationID":"196dvqnka3","properties":{"formattedCitation":"(5)","plainCitation":"(5)"},"citationItems":[{"id":1746,"uris":["http://zotero.org/users/1225224/items/KTZ6XUXF"],"uri":["http://zotero.org/users/1225224/items/KTZ6XUXF"],"itemData":{"id":1746,"type":"article-journal","title":"A novel POU1F1 mutation (p.Thr168IlefsX7) associated with an early and severe form of combined pituitary hormone deficiency: functional analysis and follow-up from infancy to adulthood","container-title":"Clinical Endocrinology","page":"214-219","volume":"75","issue":"2","source":"PubMed","abstract":"CONTEXT: POU1F1 encodes a pituitary-specific homeodomain transcription factor that is crucial for development and differentiation of anterior pituitary cell types producing GH, TSH and PRL. Although the first mutations in humans were reported in 1992, to date, less than 25 different mutations of POU1F1 have been identified worldwide.\nOBJECTIVES: To describe the long-term follow-up of a 22-year-old male of Israeli Arab Muslim origin, born to a consanguineous union, with congenital hypothyroidism, who presented with life-threatening hypoglycaemic episodes and severe growth retardation from infancy. To identify the molecular basis of this severe disease.\nMAIN OUTCOME MEASURES: Endocrine investigations, neuroimaging, sequencing of POU1F1 and assessment of the identified mutated POU1F1's ability to transactivate three specific targets (POU1F1, TSHβ and PRL).\nRESULTS: Central hypothyroidism was diagnosed at the age of 2 months and GH and PRL deficiencies were documented at 9 months. MRI at 14 years revealed a hypoplastic adenohypophysis. The patient underwent spontaneous but delayed puberty. A novel disease-causing mutation (c.502insT) was identified in the homozygous state in exon 4 of POU1F1. This insertion results in a frameshift introducing an early termination codon at position 174 (p.Thr168IlefsX7), leading to a severely truncated protein lacking the entire homeodomain. This mutation abolishes POU1F1's transactivation properties on three target promoters.\nCONCLUSION: This study, which identifies a novel loss-of-function mutation in POU1F1, describes the phenotype of a rare condition in a patient followed from the first weeks of life to adulthood. The severity of the central hypothyroidism should alert clinicians to assess other pituitary axes, in particular GH and prolactin.","DOI":"10.1111/j.1365-2265.2011.04028.x","ISSN":"1365-2265","note":"PMID: 21521297","shortTitle":"A novel POU1F1 mutation (p.Thr168IlefsX7) associated with an early and severe form of combined pituitary hormone deficiency","journalAbbreviation":"Clin. Endocrinol. (Oxf)","language":"eng","author":[{"family":"Tenenbaum-Rakover","given":"Yardena"},{"family":"Sobrier","given":"Marie-Laure"},{"family":"Amselem","given":"Serge"}],"issued":{"date-parts":[["2011",8]]},"PMID":"21521297"}}],"schema":"https://github.com/citation-style-language/schema/raw/master/csl-citation.json"} </w:instrText>
      </w:r>
      <w:r w:rsidRPr="004B2332">
        <w:rPr>
          <w:rFonts w:ascii="Times" w:hAnsi="Times"/>
        </w:rPr>
        <w:fldChar w:fldCharType="separate"/>
      </w:r>
      <w:r w:rsidRPr="004B2332">
        <w:rPr>
          <w:rFonts w:ascii="Times" w:hAnsi="Times"/>
          <w:noProof/>
        </w:rPr>
        <w:t>(5)</w:t>
      </w:r>
      <w:r w:rsidRPr="004B2332">
        <w:rPr>
          <w:rFonts w:ascii="Times" w:hAnsi="Times"/>
        </w:rPr>
        <w:fldChar w:fldCharType="end"/>
      </w:r>
      <w:r w:rsidRPr="004B2332">
        <w:rPr>
          <w:rFonts w:ascii="Times" w:hAnsi="Times"/>
        </w:rPr>
        <w:fldChar w:fldCharType="begin"/>
      </w:r>
      <w:r w:rsidRPr="004B2332">
        <w:rPr>
          <w:rFonts w:ascii="Times" w:hAnsi="Times"/>
        </w:rPr>
        <w:instrText xml:space="preserve"> ADDIN ZOTERO_ITEM CSL_CITATION {"citationID":"22hmjqo132","properties":{"formattedCitation":"(6)","plainCitation":"(6)"},"citationItems":[{"id":1748,"uris":["http://zotero.org/users/1225224/items/2M42SKSM"],"uri":["http://zotero.org/users/1225224/items/2M42SKSM"],"itemData":{"id":1748,"type":"article-journal","title":"Clinical evaluation in isolated hypogonadotrophic hypogonadism (Kallmann syndrome)","container-title":"Journal of pediatric endocrinology &amp; metabolism: JPEM","page":"631-638","volume":"11","issue":"5","source":"PubMed","abstract":"OBJECTIVE: To describe the clinical features, laboratory investigation and treatment of Kallmann syndrome.\nDESIGN: A retrospective study of patients treated in the Endocrine Clinic of the Royal Children's Hospital and St Vincent's Hospital, Melbourne, between 1984 and 1996.\nRESULTS: Eleven males and 5 females with Kallmann syndrome are described. Their ages at presentation ranged from one week to 21 years. Presenting symptoms were micropenis, small testes, anosmia and delayed puberty. Fifty-six percent (9/16) had a family history of either anosmia or infertility. The features of Kallmann syndrome are variable. We have described unilateral renal aplasia, coloboma of iris, deafness, midline anomalies, oculomotor apraxia and Moebius anomalad as features that were associated with Kallmann syndrome in our group of subjects. One patient diagnosed as having X-linked Kallmann syndrome has previously been shown to have a specific mutation in an intronic sequence adjacent to exon 6. Most patients showed low serum levels of basal gonadotrophins, testosterone or oestrogen, and had a poor response to LHRH stimulation, but two patients showed a pubertal response to LHRH stimulation, and may have a variant form of Kallmann syndrome. Treatment given to these patients included exogenous testosterone or oestrogen for induction of puberty, with appropriate pubertal progress occurring in each patient.\nCONCLUSION: The manifestations of Kallmann syndrome vary, depending upon the degree of LHRH deficiency. Therapy should combine exogenous sex hormone replacement and psychological support, with long-term follow-up to ensure maintenance of normal sexual function, normal bone mass and psychosocial outcome, with fertility induction when indicated.","ISSN":"0334-018X","note":"PMID: 9829214","journalAbbreviation":"J. Pediatr. Endocrinol. Metab.","language":"eng","author":[{"family":"Dissaneevate","given":"P."},{"family":"Warne","given":"G. L."},{"family":"Zacharin","given":"M. R."}],"issued":{"date-parts":[["1998",10]]},"PMID":"9829214"}}],"schema":"https://github.com/citation-style-language/schema/raw/master/csl-citation.json"} </w:instrText>
      </w:r>
      <w:r w:rsidRPr="004B2332">
        <w:rPr>
          <w:rFonts w:ascii="Times" w:hAnsi="Times"/>
        </w:rPr>
        <w:fldChar w:fldCharType="separate"/>
      </w:r>
      <w:r w:rsidRPr="004B2332">
        <w:rPr>
          <w:rFonts w:ascii="Times" w:hAnsi="Times"/>
          <w:noProof/>
        </w:rPr>
        <w:t>(6)</w:t>
      </w:r>
      <w:r w:rsidRPr="004B2332">
        <w:rPr>
          <w:rFonts w:ascii="Times" w:hAnsi="Times"/>
        </w:rPr>
        <w:fldChar w:fldCharType="end"/>
      </w:r>
      <w:r w:rsidRPr="004B2332">
        <w:rPr>
          <w:rFonts w:ascii="Times" w:hAnsi="Times"/>
        </w:rPr>
        <w:fldChar w:fldCharType="begin"/>
      </w:r>
      <w:r w:rsidRPr="004B2332">
        <w:rPr>
          <w:rFonts w:ascii="Times" w:hAnsi="Times"/>
        </w:rPr>
        <w:instrText xml:space="preserve"> ADDIN ZOTERO_ITEM CSL_CITATION {"citationID":"2cas15nk3j","properties":{"formattedCitation":"(7)","plainCitation":"(7)"},"citationItems":[{"id":1291,"uris":["http://zotero.org/users/1225224/items/8AM3BS5B"],"uri":["http://zotero.org/users/1225224/items/8AM3BS5B"],"itemData":{"id":1291,"type":"article-journal","title":"Ideal timing of orchiopexy: a systematic review","container-title":"Pediatric Surgery International","page":"87-97","volume":"30","issue":"1","source":"NCBI PubMed","abstract":"The ideal management of cryptorchidism is a highly debated topic within the field of pediatric surgery. The optimal timing of orchiopexy is particularly unclear, as existing literature reports mixed recommendations. The aim of this study was to determine, based on a systematic review, the most favorable age at which orchiopexy should be performed. We conducted a systematic search of MEDLINE, Embase, CINAHL, and the Cochrane Library to find relevant articles. Two researchers quality assessed each study using the following tools: AMSTAR (systematic reviews), Jadad (RCTs), and MINORS (non-RCTs). We developed a conclusion based on the highest quality studies. We found one relevant systematic review, one RCT, and 30 non-RCTs. Fertility potential was greatest when orchiopexy was performed before 1 year of age. Additionally, orchiopexy before 10–11 years may protect against the increased risk of testicular cancer associated with cryptorchidism. Orchiopexy should not be performed before 6 months of age, as testes may descend spontaneously during the first few months of life. The highest quality evidence recommends orchiopexy between 6 and 12 months of age. Surgery during this timeframe may optimize fertility potential and protect against testicular malignancy in children with cryptorchidism.","DOI":"10.1007/s00383-013-3429-y","ISSN":"1437-9813","note":"PMID: 24232174","shortTitle":"Ideal timing of orchiopexy","journalAbbreviation":"Pediatr. Surg. Int.","language":"eng","author":[{"family":"Chan","given":"Emily"},{"family":"Wayne","given":"Carolyn"},{"family":"Nasr","given":"Ahmed"},{"literal":"FRCSC for Canadian Association of Pediatric Surgeon Evidence-Based Resource"}],"issued":{"date-parts":[["2014",1]]},"PMID":"24232174"}}],"schema":"https://github.com/citation-style-language/schema/raw/master/csl-citation.json"} </w:instrText>
      </w:r>
      <w:r w:rsidRPr="004B2332">
        <w:rPr>
          <w:rFonts w:ascii="Times" w:hAnsi="Times"/>
        </w:rPr>
        <w:fldChar w:fldCharType="separate"/>
      </w:r>
      <w:r w:rsidRPr="004B2332">
        <w:rPr>
          <w:rFonts w:ascii="Times" w:hAnsi="Times"/>
          <w:noProof/>
        </w:rPr>
        <w:t>(7)</w:t>
      </w:r>
      <w:r w:rsidRPr="004B2332">
        <w:rPr>
          <w:rFonts w:ascii="Times" w:hAnsi="Times"/>
        </w:rPr>
        <w:fldChar w:fldCharType="end"/>
      </w:r>
      <w:r w:rsidRPr="004B2332">
        <w:rPr>
          <w:rFonts w:ascii="Times" w:hAnsi="Times"/>
        </w:rPr>
        <w:fldChar w:fldCharType="begin"/>
      </w:r>
      <w:r w:rsidRPr="004B2332">
        <w:rPr>
          <w:rFonts w:ascii="Times" w:hAnsi="Times"/>
        </w:rPr>
        <w:instrText xml:space="preserve"> ADDIN ZOTERO_ITEM CSL_CITATION {"citationID":"d8d1a78mc","properties":{"formattedCitation":"(8)","plainCitation":"(8)"},"citationItems":[{"id":1481,"uris":["http://zotero.org/users/1225224/items/CCPI7VHD"],"uri":["http://zotero.org/users/1225224/items/CCPI7VHD"],"itemData":{"id":1481,"type":"article-journal","title":"Two novel missense mutations in g protein-coupled receptor 54 in a patient with hypogonadotropic hypogonadism","container-title":"The Journal of Clinical Endocrinology and Metabolism","page":"1849-1855","volume":"90","issue":"3","source":"NCBI PubMed","abstract":"It has recently been shown that loss-of-function mutations of the G protein-coupled receptor (GPR)54 lead to isolated hypogonadotropic hypogonadism (IHH) in mice and humans. Such mutations are thought to be rare, even within the clinical IHH population, and only a handful of alleles have been described, making further screening of IHH populations imperative. We examined the genes encoding GPR54 and its putative endogenous ligand, kisspeptin-1, for mutations in a cohort of 30 patients with normosmic HH or delayed puberty. One subject with HH, of mixed Turkish-Cypriot and Afro-Caribbean ancestry, was found to be a compound heterozygote for two previously undescribed missense mutations in GPR54: cysteine 223 to arginine (C223R) in the fifth transmembrane helix and arginine 297 to leucine (R297L) in the third extracellular loop. Assessed in vitro using a previously described sensitive signaling assay in cells stably expressing GPR54, the C223R variant was found to exhibit profoundly impaired signaling, whereas the R297L variant showed a mild reduction in ligand-stimulated activity across the ligand dose range. These novel mutations provide further evidence that human HH may be caused by loss-of-function mutations in GPR54.","DOI":"10.1210/jc.2004-1418","ISSN":"0021-972X","note":"PMID: 15598687","journalAbbreviation":"J. Clin. Endocrinol. Metab.","language":"eng","author":[{"family":"Semple","given":"R. K."},{"family":"Achermann","given":"J. C."},{"family":"Ellery","given":"J."},{"family":"Farooqi","given":"I. S."},{"family":"Karet","given":"F. E."},{"family":"Stanhope","given":"R. G."},{"family":"O'rahilly","given":"S."},{"family":"Aparicio","given":"S. A."}],"issued":{"date-parts":[["2005",3]]},"PMID":"15598687"}}],"schema":"https://github.com/citation-style-language/schema/raw/master/csl-citation.json"} </w:instrText>
      </w:r>
      <w:r w:rsidRPr="004B2332">
        <w:rPr>
          <w:rFonts w:ascii="Times" w:hAnsi="Times"/>
        </w:rPr>
        <w:fldChar w:fldCharType="separate"/>
      </w:r>
      <w:r w:rsidRPr="004B2332">
        <w:rPr>
          <w:rFonts w:ascii="Times" w:hAnsi="Times"/>
          <w:noProof/>
        </w:rPr>
        <w:t>(8)</w:t>
      </w:r>
      <w:r w:rsidRPr="004B2332">
        <w:rPr>
          <w:rFonts w:ascii="Times" w:hAnsi="Times"/>
        </w:rPr>
        <w:fldChar w:fldCharType="end"/>
      </w:r>
      <w:r w:rsidRPr="004B2332">
        <w:rPr>
          <w:rFonts w:ascii="Times" w:hAnsi="Times"/>
        </w:rPr>
        <w:fldChar w:fldCharType="begin"/>
      </w:r>
      <w:r w:rsidRPr="004B2332">
        <w:rPr>
          <w:rFonts w:ascii="Times" w:hAnsi="Times"/>
        </w:rPr>
        <w:instrText xml:space="preserve"> ADDIN ZOTERO_ITEM CSL_CITATION {"citationID":"23gb0jg65q","properties":{"formattedCitation":"(9)","plainCitation":"(9)"},"citationItems":[{"id":1752,"uris":["http://zotero.org/users/1225224/items/4G5NF86U"],"uri":["http://zotero.org/users/1225224/items/4G5NF86U"],"itemData":{"id":1752,"type":"article-journal","title":"Novel FGFR1 mutations in Kallmann syndrome and normosmic idiopathic hypogonadotropic hypogonadism: evidence for the involvement of an alternatively spliced isoform","container-title":"Fertility and Sterility","page":"1261-1267.e1","volume":"104","issue":"5","source":"PubMed","abstract":"OBJECTIVE: To determine the prevalence of fibroblast growth factor receptor 1 (FGFR1) mutations and their predicted functional consequences in patients with idiopathic hypogonadotropic hypogonadism (IHH).\nDESIGN: Cross-sectional study.\nSETTING: Multicentric.\nPATIENT(S): Fifty unrelated patients with IHH (21 with Kallmann syndrome and 29 with normosmic IHH).\nINTERVENTION(S): None.\nMAIN OUTCOME MEASURE(S): Patients were screened for mutations in FGFR1. The functional consequences of mutations were predicted by in silico structural and conservation analysis.\nRESULT(S): Heterozygous FGFR1 mutations were identified in six (12%) kindreds. These consisted of frameshift mutations (p.Pro33-Alafs*17 and p.Tyr654*) and missense mutations in the signal peptide (p.Trp4Cys), in the D1 extracellular domain (p.Ser96Cys) and in the cytoplasmic tyrosine kinase domain (p.Met719Val). A missense mutation was identified in the alternatively spliced exon 8A (p.Ala353Thr) that exclusively affects the D3 extracellular domain of FGFR1 isoform IIIb. Structure-based and sequence-based prediction methods and the absence of these variants in 200 normal controls were all consistent with a critical role for the mutations in the activity of the receptor. Oligogenic inheritance (FGFR1/CHD7/PROKR2) was found in one patient.\nCONCLUSION(S): Two FGFR1 isoforms, IIIb and IIIc, result from alternative splicing of exons 8A and 8B, respectively. Loss-of-function of isoform IIIc is a cause of IHH, whereas isoform IIIb is thought to be redundant. Ours is the first report of normosmic IHH associated with a mutation in the alternatively spliced exon 8A and suggests that this disorder can be caused by defects in either of the two alternatively spliced FGFR1 isoforms.","DOI":"10.1016/j.fertnstert.2015.07.1142","ISSN":"1556-5653","note":"PMID: 26277103","shortTitle":"Novel FGFR1 mutations in Kallmann syndrome and normosmic idiopathic hypogonadotropic hypogonadism","journalAbbreviation":"Fertil. Steril.","language":"eng","author":[{"family":"Gonçalves","given":"Catarina"},{"family":"Bastos","given":"Margarida"},{"family":"Pignatelli","given":"Duarte"},{"family":"Borges","given":"Teresa"},{"family":"Aragüés","given":"José M."},{"family":"Fonseca","given":"Fernando"},{"family":"Pereira","given":"Bernardo D."},{"family":"Socorro","given":"Sílvia"},{"family":"Lemos","given":"Manuel C."}],"issued":{"date-parts":[["2015",11]]},"PMID":"26277103"}}],"schema":"https://github.com/citation-style-language/schema/raw/master/csl-citation.json"} </w:instrText>
      </w:r>
      <w:r w:rsidRPr="004B2332">
        <w:rPr>
          <w:rFonts w:ascii="Times" w:hAnsi="Times"/>
        </w:rPr>
        <w:fldChar w:fldCharType="separate"/>
      </w:r>
      <w:r w:rsidRPr="004B2332">
        <w:rPr>
          <w:rFonts w:ascii="Times" w:hAnsi="Times"/>
          <w:noProof/>
        </w:rPr>
        <w:t>(9)</w:t>
      </w:r>
      <w:r w:rsidRPr="004B2332">
        <w:rPr>
          <w:rFonts w:ascii="Times" w:hAnsi="Times"/>
        </w:rPr>
        <w:fldChar w:fldCharType="end"/>
      </w:r>
      <w:r w:rsidRPr="004B2332">
        <w:rPr>
          <w:rFonts w:ascii="Times" w:hAnsi="Times"/>
        </w:rPr>
        <w:fldChar w:fldCharType="begin"/>
      </w:r>
      <w:r w:rsidRPr="004B2332">
        <w:rPr>
          <w:rFonts w:ascii="Times" w:hAnsi="Times"/>
        </w:rPr>
        <w:instrText xml:space="preserve"> ADDIN ZOTERO_ITEM CSL_CITATION {"citationID":"2hjurl6udl","properties":{"formattedCitation":"(10)","plainCitation":"(10)"},"citationItems":[{"id":1754,"uris":["http://zotero.org/users/1225224/items/BJPHRW8D"],"uri":["http://zotero.org/users/1225224/items/BJPHRW8D"],"itemData":{"id":1754,"type":"article-journal","title":"Complete Idiopathic Hypogonadotropic Hypogonadism due to Homozygous GNRH1 Mutations in the Mutational Hot Spots in the Region Encoding the Decapeptide","container-title":"Hormone Research in Paediatrics","source":"PubMed","abstract":"INTRODUCTION: Mutations of the human GNRH1 gene are an extremely rare cause of normosmic idiopathic hypogonadotropic hypogonadism (nIHH), with only 6 mutations so far described.\nPATIENTS: As part of a larger study, families with IHH were screened for mutations in genes known to be associated with IHH. In family 1, a 15-year and 9-month-old boy first presented during infancy with micropenis and bilateral cryptorchidism. His pubic and axillary hair is at stage 4 and 2, respectively. His testes are 1 ml bilaterally, and his stretched penile length is 3.6 cm. In family 2, a 19-year and 2-month-old man was referred because of absence of secondary sexual characteristics. His 13-year and 8-month-old sister did not have any breast development.\nRESULTS: In 3 patients from 2 independent families we identified GNRH1 mutations. In the proband from family 1, a homozygous 1-base deletion (c.87delA) leading to a frameshift mutation (p.G29GfsX12) was identified. In family 2, the affected siblings had a novel homozygous mutation of c.G92A leading to p.R31H.\nCONCLUSION: Both mutations in these families are located in the region encoding the decapeptide and in the loci where the mutations have been described before. Therefore, these areas can be considered as mutational hot spots, indicating priority for routine diagnostic gene mutation analysis.","DOI":"10.1159/000441977","ISSN":"1663-2826","note":"PMID: 26595427","journalAbbreviation":"Horm Res Paediatr","language":"ENG","author":[{"family":"Mengen","given":"Eda"},{"family":"Tunc","given":"Selma"},{"family":"Kotan","given":"L. Damla"},{"family":"Nalbantoglu","given":"Ozlem"},{"family":"Demir","given":"Korcan"},{"family":"Gurbuz","given":"Fatih"},{"family":"Turan","given":"Ihsan"},{"family":"Seker","given":"Gül"},{"family":"Yuksel","given":"Bilgin"},{"family":"Topaloglu","given":"A. Kemal"}],"issued":{"date-parts":[["2015",11,24]]},"PMID":"26595427"}}],"schema":"https://github.com/citation-style-language/schema/raw/master/csl-citation.json"} </w:instrText>
      </w:r>
      <w:r w:rsidRPr="004B2332">
        <w:rPr>
          <w:rFonts w:ascii="Times" w:hAnsi="Times"/>
        </w:rPr>
        <w:fldChar w:fldCharType="separate"/>
      </w:r>
      <w:r w:rsidRPr="004B2332">
        <w:rPr>
          <w:rFonts w:ascii="Times" w:hAnsi="Times"/>
          <w:noProof/>
        </w:rPr>
        <w:t>(10)</w:t>
      </w:r>
      <w:r w:rsidRPr="004B2332">
        <w:rPr>
          <w:rFonts w:ascii="Times" w:hAnsi="Times"/>
        </w:rPr>
        <w:fldChar w:fldCharType="end"/>
      </w:r>
      <w:r w:rsidRPr="004B2332">
        <w:rPr>
          <w:rFonts w:ascii="Times" w:hAnsi="Times"/>
        </w:rPr>
        <w:fldChar w:fldCharType="begin"/>
      </w:r>
      <w:r w:rsidRPr="004B2332">
        <w:rPr>
          <w:rFonts w:ascii="Times" w:hAnsi="Times"/>
        </w:rPr>
        <w:instrText xml:space="preserve"> ADDIN ZOTERO_ITEM CSL_CITATION {"citationID":"18fteg571t","properties":{"formattedCitation":"(11)","plainCitation":"(11)"},"citationItems":[{"id":1756,"uris":["http://zotero.org/users/1225224/items/XXRHCSKC"],"uri":["http://zotero.org/users/1225224/items/XXRHCSKC"],"itemData":{"id":1756,"type":"article-journal","title":"Normosmic idiopathic hypogonadotropic hypogonadism due to a novel homozygous nonsense c.C969A (p.Y323X) mutation in the KISS1R gene in three unrelated families","container-title":"Clinical Endocrinology","page":"429-438","volume":"82","issue":"3","source":"PubMed","abstract":"OBJECTIVE: The spectrum of genetic alterations in cases of hypogonadotropic hypogonadism continue to expand. However, KISS1R mutations remain rare. The aim of this study was to understand the molecular basis of normosmic idiopathic hypogonadotropic hypogonadism.\nMETHODS: Clinical characteristics, hormonal studies and genetic analyses of seven cases with idiopathic normosmic hypogonadotropic hypogonadism (nIHH) from three unrelated consanguineous families are presented.\nRESULTS: One male presented with absence of pubertal onset and required surgery for severe penoscrotal hypospadias and cryptorchidism, while other two males had absence of pubertal onset. Two of four female cases required replacement therapy for pubertal onset and maintenance, whereas the other two had spontaneous pubertal onset but incomplete maturation. In sequence analysis, we identified a novel homozygous nonsense (p.Y323X) mutation (c.C969A) in the last exon of the KISS1R gene in all clinically affected cases.\nCONCLUSIONS: We identified a homozygous nonsense mutation in the KISS1R gene in three unrelated families with nIHH, which enabled us to observe the phenotypic consequences of this rare condition. Escape from nonsense-mediated decay, and thus production of abnormal proteins, may account for the variable severity of the phenotype. Although KISS1R mutations are extremely rare and can cause a heterogeneous phenotype, analysis of the KISS1R gene should be a part of genetic analysis of patients with nIHH, to allow better understanding of phenotype-genotype relationship of KISS1R mutations and the underlying genetic basis of patients with nIHH.","DOI":"10.1111/cen.12618","ISSN":"1365-2265","note":"PMID: 25262569","journalAbbreviation":"Clin. Endocrinol. (Oxf)","language":"eng","author":[{"family":"Demirbilek","given":"Huseyin"},{"family":"Ozbek","given":"M. Nuri"},{"family":"Demir","given":"Korcan"},{"family":"Kotan","given":"L. Damla"},{"family":"Cesur","given":"Yasar"},{"family":"Dogan","given":"Murat"},{"family":"Temiz","given":"Fatih"},{"family":"Mengen","given":"Eda"},{"family":"Gurbuz","given":"Fatih"},{"family":"Yuksel","given":"Bilgin"},{"family":"Topaloglu","given":"A. Kemal"}],"issued":{"date-parts":[["2015",3]]},"PMID":"25262569"}}],"schema":"https://github.com/citation-style-language/schema/raw/master/csl-citation.json"} </w:instrText>
      </w:r>
      <w:r w:rsidRPr="004B2332">
        <w:rPr>
          <w:rFonts w:ascii="Times" w:hAnsi="Times"/>
        </w:rPr>
        <w:fldChar w:fldCharType="separate"/>
      </w:r>
      <w:r w:rsidRPr="004B2332">
        <w:rPr>
          <w:rFonts w:ascii="Times" w:hAnsi="Times"/>
          <w:noProof/>
        </w:rPr>
        <w:t>(11)</w:t>
      </w:r>
      <w:r w:rsidRPr="004B2332">
        <w:rPr>
          <w:rFonts w:ascii="Times" w:hAnsi="Times"/>
        </w:rPr>
        <w:fldChar w:fldCharType="end"/>
      </w:r>
      <w:r w:rsidRPr="004B2332">
        <w:rPr>
          <w:rFonts w:ascii="Times" w:hAnsi="Times"/>
        </w:rPr>
        <w:fldChar w:fldCharType="begin"/>
      </w:r>
      <w:r w:rsidRPr="004B2332">
        <w:rPr>
          <w:rFonts w:ascii="Times" w:hAnsi="Times"/>
        </w:rPr>
        <w:instrText xml:space="preserve"> ADDIN ZOTERO_ITEM CSL_CITATION {"citationID":"1hs633komt","properties":{"formattedCitation":"(12)","plainCitation":"(12)"},"citationItems":[{"id":1758,"uris":["http://zotero.org/users/1225224/items/C8RIFVKS"],"uri":["http://zotero.org/users/1225224/items/C8RIFVKS"],"itemData":{"id":1758,"type":"article-journal","title":"X-linked GnRH deficiency: role of KAL-1 mutations in GnRH deficiency","container-title":"Molecular and Cellular Endocrinology","page":"13-20","volume":"346","issue":"1-2","source":"PubMed","abstract":"The gene for X-linked Kallmann's syndrome (KAL-1, encoding anosmin-1) was cloned in 1991. Over a decade elapsed before autosomal forms of KS and most of other genetic forms of isolated hypogonadotrophic hypogonadism (IHH) became characterized, and the genetic diversity of these disorders fully appreciated. Although KAL-1 mutations appear to cause a more severe reproductive phenotype than other IHH genes, the biology of this multidomain extracellular matrix protein has only been partially characterized. Initial studies suggested a central role of anosmin-1, in GnRH neuron ontogeny - specifically in GnRH neuronal migration from the cribriform plate area into the brain - as well as in olfactory bulb development. Anosmin-1 is expressed extracellularly, with high affinity binding to cell membrane heparan sulphate proteoglycans. It is expressed in the outer layers of the developing olfactory bulb, the neuroretina, the cerebellum, spinal cord and developing kidney. Recent observations have demonstrated an anosmin-1 heparan sulphate dependent functional interaction with the product of the autosomal dominant KAL-2 (FGFR1: anosmin-2) gene, thereby modulating FGFR1 signalling. Although these genes are frequently co-expressed in developing tissues, this may not represent the sole mode of action of anosmin-1, and FGFR1 independent actions of the protein have also been identified. Structural and in vitro functional studies have shown that anosmin-1 may have complex biological actions. Anosmin-1 interactions with FGFR1 have however been best characterized and represent the dominant focus of this chapter.","DOI":"10.1016/j.mce.2011.04.001","ISSN":"1872-8057","note":"PMID: 21497178","shortTitle":"X-linked GnRH deficiency","journalAbbreviation":"Mol. Cell. Endocrinol.","language":"eng","author":[{"family":"Hu","given":"Youli"},{"family":"Bouloux","given":"Pierre-Marc"}],"issued":{"date-parts":[["2011",10,22]]},"PMID":"21497178"}}],"schema":"https://github.com/citation-style-language/schema/raw/master/csl-citation.json"} </w:instrText>
      </w:r>
      <w:r w:rsidRPr="004B2332">
        <w:rPr>
          <w:rFonts w:ascii="Times" w:hAnsi="Times"/>
        </w:rPr>
        <w:fldChar w:fldCharType="separate"/>
      </w:r>
      <w:r w:rsidRPr="004B2332">
        <w:rPr>
          <w:rFonts w:ascii="Times" w:hAnsi="Times"/>
          <w:noProof/>
        </w:rPr>
        <w:t>(12)</w:t>
      </w:r>
      <w:r w:rsidRPr="004B2332">
        <w:rPr>
          <w:rFonts w:ascii="Times" w:hAnsi="Times"/>
        </w:rPr>
        <w:fldChar w:fldCharType="end"/>
      </w:r>
      <w:r w:rsidRPr="004B2332">
        <w:rPr>
          <w:rFonts w:ascii="Times" w:hAnsi="Times"/>
        </w:rPr>
        <w:t>. We have not been able to find comparable information for patients with CPHD.</w:t>
      </w:r>
    </w:p>
    <w:p w14:paraId="3A6D82FC" w14:textId="77777777" w:rsidR="001243DB" w:rsidRPr="001243DB" w:rsidRDefault="001243DB" w:rsidP="001243DB">
      <w:pPr>
        <w:pStyle w:val="Bibliography"/>
      </w:pPr>
      <w:r>
        <w:fldChar w:fldCharType="begin"/>
      </w:r>
      <w:r>
        <w:instrText xml:space="preserve"> ADDIN ZOTERO_BIBL {"custom":[]} CSL_BIBLIOGRAPHY </w:instrText>
      </w:r>
      <w:r>
        <w:fldChar w:fldCharType="separate"/>
      </w:r>
      <w:r w:rsidRPr="001243DB">
        <w:t xml:space="preserve">1. </w:t>
      </w:r>
      <w:r w:rsidRPr="001243DB">
        <w:tab/>
      </w:r>
      <w:proofErr w:type="spellStart"/>
      <w:r w:rsidRPr="001243DB">
        <w:t>Bhangoo</w:t>
      </w:r>
      <w:proofErr w:type="spellEnd"/>
      <w:r w:rsidRPr="001243DB">
        <w:t xml:space="preserve"> APS, Hunter CS, Savage JJ, </w:t>
      </w:r>
      <w:proofErr w:type="spellStart"/>
      <w:r w:rsidRPr="001243DB">
        <w:t>Anhalt</w:t>
      </w:r>
      <w:proofErr w:type="spellEnd"/>
      <w:r w:rsidRPr="001243DB">
        <w:t xml:space="preserve"> H, </w:t>
      </w:r>
      <w:proofErr w:type="spellStart"/>
      <w:r w:rsidRPr="001243DB">
        <w:t>Pavlakis</w:t>
      </w:r>
      <w:proofErr w:type="spellEnd"/>
      <w:r w:rsidRPr="001243DB">
        <w:t xml:space="preserve"> S, </w:t>
      </w:r>
      <w:proofErr w:type="spellStart"/>
      <w:r w:rsidRPr="001243DB">
        <w:t>Walvoord</w:t>
      </w:r>
      <w:proofErr w:type="spellEnd"/>
      <w:r w:rsidRPr="001243DB">
        <w:t xml:space="preserve"> EC, et al. Clinical case seminar: a novel LHX3 mutation presenting as combined pituitary hormonal deficienc</w:t>
      </w:r>
      <w:r>
        <w:t xml:space="preserve">y. J </w:t>
      </w:r>
      <w:proofErr w:type="spellStart"/>
      <w:r>
        <w:t>Clin</w:t>
      </w:r>
      <w:proofErr w:type="spellEnd"/>
      <w:r>
        <w:t xml:space="preserve"> </w:t>
      </w:r>
      <w:proofErr w:type="spellStart"/>
      <w:r>
        <w:t>Endocrinol</w:t>
      </w:r>
      <w:proofErr w:type="spellEnd"/>
      <w:r>
        <w:t xml:space="preserve"> </w:t>
      </w:r>
      <w:proofErr w:type="spellStart"/>
      <w:r>
        <w:t>Metab</w:t>
      </w:r>
      <w:proofErr w:type="spellEnd"/>
      <w:r>
        <w:t xml:space="preserve">. </w:t>
      </w:r>
      <w:r w:rsidRPr="001243DB">
        <w:t xml:space="preserve"> 2006;91(3):747</w:t>
      </w:r>
      <w:r w:rsidRPr="001243DB">
        <w:rPr>
          <w:rFonts w:ascii="Palatino" w:hAnsi="Palatino" w:cs="Palatino"/>
        </w:rPr>
        <w:t>‑</w:t>
      </w:r>
      <w:r w:rsidRPr="001243DB">
        <w:t xml:space="preserve">53. </w:t>
      </w:r>
    </w:p>
    <w:p w14:paraId="1646CEFF" w14:textId="77777777" w:rsidR="001243DB" w:rsidRPr="001243DB" w:rsidRDefault="001243DB" w:rsidP="001243DB">
      <w:pPr>
        <w:pStyle w:val="Bibliography"/>
      </w:pPr>
      <w:r w:rsidRPr="001243DB">
        <w:t xml:space="preserve">2. </w:t>
      </w:r>
      <w:r w:rsidRPr="001243DB">
        <w:tab/>
        <w:t xml:space="preserve">Izumi Y, Suzuki E, </w:t>
      </w:r>
      <w:proofErr w:type="spellStart"/>
      <w:r w:rsidRPr="001243DB">
        <w:t>Kanzaki</w:t>
      </w:r>
      <w:proofErr w:type="spellEnd"/>
      <w:r w:rsidRPr="001243DB">
        <w:t xml:space="preserve"> S, </w:t>
      </w:r>
      <w:proofErr w:type="spellStart"/>
      <w:r w:rsidRPr="001243DB">
        <w:t>Yatsuga</w:t>
      </w:r>
      <w:proofErr w:type="spellEnd"/>
      <w:r w:rsidRPr="001243DB">
        <w:t xml:space="preserve"> S, Kinjo S, Igarashi M, et al. Genome-wide copy number analysis and systematic mutation screening in 58 patients with </w:t>
      </w:r>
      <w:proofErr w:type="spellStart"/>
      <w:r w:rsidRPr="001243DB">
        <w:t>hypogonadotropic</w:t>
      </w:r>
      <w:proofErr w:type="spellEnd"/>
      <w:r w:rsidRPr="001243DB">
        <w:t xml:space="preserve"> </w:t>
      </w:r>
      <w:proofErr w:type="spellStart"/>
      <w:r w:rsidRPr="001243DB">
        <w:t>h</w:t>
      </w:r>
      <w:r>
        <w:t>ypogonadism</w:t>
      </w:r>
      <w:proofErr w:type="spellEnd"/>
      <w:r>
        <w:t xml:space="preserve">. </w:t>
      </w:r>
      <w:proofErr w:type="spellStart"/>
      <w:r>
        <w:t>Fertil</w:t>
      </w:r>
      <w:proofErr w:type="spellEnd"/>
      <w:r>
        <w:t xml:space="preserve"> </w:t>
      </w:r>
      <w:proofErr w:type="spellStart"/>
      <w:r>
        <w:t>Steril</w:t>
      </w:r>
      <w:proofErr w:type="spellEnd"/>
      <w:r>
        <w:t xml:space="preserve">. </w:t>
      </w:r>
      <w:r w:rsidRPr="001243DB">
        <w:t>2014</w:t>
      </w:r>
      <w:proofErr w:type="gramStart"/>
      <w:r w:rsidRPr="001243DB">
        <w:t>;102</w:t>
      </w:r>
      <w:proofErr w:type="gramEnd"/>
      <w:r w:rsidRPr="001243DB">
        <w:t>(4):1130</w:t>
      </w:r>
      <w:r w:rsidRPr="001243DB">
        <w:rPr>
          <w:rFonts w:ascii="Palatino" w:hAnsi="Palatino" w:cs="Palatino"/>
        </w:rPr>
        <w:t>‑</w:t>
      </w:r>
      <w:r w:rsidRPr="001243DB">
        <w:t xml:space="preserve">6.e3. </w:t>
      </w:r>
    </w:p>
    <w:p w14:paraId="357FD11F" w14:textId="77777777" w:rsidR="001243DB" w:rsidRPr="001243DB" w:rsidRDefault="001243DB" w:rsidP="001243DB">
      <w:pPr>
        <w:pStyle w:val="Bibliography"/>
      </w:pPr>
      <w:r w:rsidRPr="001243DB">
        <w:t xml:space="preserve">3. </w:t>
      </w:r>
      <w:r w:rsidRPr="001243DB">
        <w:tab/>
        <w:t xml:space="preserve">Reynaud R, </w:t>
      </w:r>
      <w:proofErr w:type="spellStart"/>
      <w:r w:rsidRPr="001243DB">
        <w:t>Barlier</w:t>
      </w:r>
      <w:proofErr w:type="spellEnd"/>
      <w:r w:rsidRPr="001243DB">
        <w:t xml:space="preserve"> A, </w:t>
      </w:r>
      <w:proofErr w:type="spellStart"/>
      <w:r w:rsidRPr="001243DB">
        <w:t>Vallette-Kasic</w:t>
      </w:r>
      <w:proofErr w:type="spellEnd"/>
      <w:r w:rsidRPr="001243DB">
        <w:t xml:space="preserve"> S, </w:t>
      </w:r>
      <w:proofErr w:type="spellStart"/>
      <w:r w:rsidRPr="001243DB">
        <w:t>Saveanu</w:t>
      </w:r>
      <w:proofErr w:type="spellEnd"/>
      <w:r w:rsidRPr="001243DB">
        <w:t xml:space="preserve"> A, </w:t>
      </w:r>
      <w:proofErr w:type="spellStart"/>
      <w:r w:rsidRPr="001243DB">
        <w:t>Guillet</w:t>
      </w:r>
      <w:proofErr w:type="spellEnd"/>
      <w:r w:rsidRPr="001243DB">
        <w:t xml:space="preserve"> M-P, </w:t>
      </w:r>
      <w:proofErr w:type="spellStart"/>
      <w:r w:rsidRPr="001243DB">
        <w:t>Simonin</w:t>
      </w:r>
      <w:proofErr w:type="spellEnd"/>
      <w:r w:rsidRPr="001243DB">
        <w:t xml:space="preserve"> G, et al. An uncommon phenotype with familial central </w:t>
      </w:r>
      <w:proofErr w:type="spellStart"/>
      <w:r w:rsidRPr="001243DB">
        <w:t>hypogonadism</w:t>
      </w:r>
      <w:proofErr w:type="spellEnd"/>
      <w:r w:rsidRPr="001243DB">
        <w:t xml:space="preserve"> caused by a novel PROP1 gene mutant truncated in the transactivation domai</w:t>
      </w:r>
      <w:r>
        <w:t xml:space="preserve">n. J </w:t>
      </w:r>
      <w:proofErr w:type="spellStart"/>
      <w:r>
        <w:t>Clin</w:t>
      </w:r>
      <w:proofErr w:type="spellEnd"/>
      <w:r>
        <w:t xml:space="preserve"> </w:t>
      </w:r>
      <w:proofErr w:type="spellStart"/>
      <w:r>
        <w:t>Endocrinol</w:t>
      </w:r>
      <w:proofErr w:type="spellEnd"/>
      <w:r>
        <w:t xml:space="preserve"> </w:t>
      </w:r>
      <w:proofErr w:type="spellStart"/>
      <w:r>
        <w:t>Metab</w:t>
      </w:r>
      <w:proofErr w:type="spellEnd"/>
      <w:r>
        <w:t>.</w:t>
      </w:r>
      <w:r w:rsidRPr="001243DB">
        <w:t xml:space="preserve"> 2005;90(8):4880</w:t>
      </w:r>
      <w:r w:rsidRPr="001243DB">
        <w:rPr>
          <w:rFonts w:ascii="Palatino" w:hAnsi="Palatino" w:cs="Palatino"/>
        </w:rPr>
        <w:t>‑</w:t>
      </w:r>
      <w:r w:rsidRPr="001243DB">
        <w:t xml:space="preserve">7. </w:t>
      </w:r>
    </w:p>
    <w:p w14:paraId="03866CDB" w14:textId="77777777" w:rsidR="001243DB" w:rsidRPr="001243DB" w:rsidRDefault="001243DB" w:rsidP="001243DB">
      <w:pPr>
        <w:pStyle w:val="Bibliography"/>
      </w:pPr>
      <w:r w:rsidRPr="001243DB">
        <w:t xml:space="preserve">4. </w:t>
      </w:r>
      <w:r w:rsidRPr="001243DB">
        <w:tab/>
        <w:t xml:space="preserve">Vieira TC, Dias da Silva MR, </w:t>
      </w:r>
      <w:proofErr w:type="spellStart"/>
      <w:r w:rsidRPr="001243DB">
        <w:t>Cerutti</w:t>
      </w:r>
      <w:proofErr w:type="spellEnd"/>
      <w:r w:rsidRPr="001243DB">
        <w:t xml:space="preserve"> JM, Brunner E, Borges M, </w:t>
      </w:r>
      <w:proofErr w:type="spellStart"/>
      <w:r w:rsidRPr="001243DB">
        <w:t>Arnaldi</w:t>
      </w:r>
      <w:proofErr w:type="spellEnd"/>
      <w:r w:rsidRPr="001243DB">
        <w:t xml:space="preserve"> LT, et al. Familial combined pituitary hormone deficiency due to a novel mutation R99Q in the hot spot region of Prophet of Pit-1 presenting as constitutional growth delay. J </w:t>
      </w:r>
      <w:proofErr w:type="spellStart"/>
      <w:r w:rsidRPr="001243DB">
        <w:t>Clin</w:t>
      </w:r>
      <w:proofErr w:type="spellEnd"/>
      <w:r w:rsidRPr="001243DB">
        <w:t xml:space="preserve"> </w:t>
      </w:r>
      <w:proofErr w:type="spellStart"/>
      <w:r w:rsidRPr="001243DB">
        <w:t>Endocrinol</w:t>
      </w:r>
      <w:proofErr w:type="spellEnd"/>
      <w:r w:rsidRPr="001243DB">
        <w:t xml:space="preserve"> </w:t>
      </w:r>
      <w:proofErr w:type="spellStart"/>
      <w:r w:rsidRPr="001243DB">
        <w:t>Met</w:t>
      </w:r>
      <w:r>
        <w:t>ab</w:t>
      </w:r>
      <w:proofErr w:type="spellEnd"/>
      <w:r>
        <w:t>.</w:t>
      </w:r>
      <w:r w:rsidRPr="001243DB">
        <w:t xml:space="preserve"> 2003;88(1):38</w:t>
      </w:r>
      <w:r w:rsidRPr="001243DB">
        <w:rPr>
          <w:rFonts w:ascii="Palatino" w:hAnsi="Palatino" w:cs="Palatino"/>
        </w:rPr>
        <w:t>‑</w:t>
      </w:r>
      <w:r w:rsidRPr="001243DB">
        <w:t xml:space="preserve">44. </w:t>
      </w:r>
    </w:p>
    <w:p w14:paraId="570AB1D3" w14:textId="77777777" w:rsidR="001243DB" w:rsidRPr="001243DB" w:rsidRDefault="001243DB" w:rsidP="001243DB">
      <w:pPr>
        <w:pStyle w:val="Bibliography"/>
      </w:pPr>
      <w:r w:rsidRPr="001243DB">
        <w:t xml:space="preserve">5. </w:t>
      </w:r>
      <w:r w:rsidRPr="001243DB">
        <w:tab/>
      </w:r>
      <w:proofErr w:type="spellStart"/>
      <w:r w:rsidRPr="001243DB">
        <w:t>Tenenbaum-Rakover</w:t>
      </w:r>
      <w:proofErr w:type="spellEnd"/>
      <w:r w:rsidRPr="001243DB">
        <w:t xml:space="preserve"> Y, </w:t>
      </w:r>
      <w:proofErr w:type="spellStart"/>
      <w:r w:rsidRPr="001243DB">
        <w:t>Sobrier</w:t>
      </w:r>
      <w:proofErr w:type="spellEnd"/>
      <w:r w:rsidRPr="001243DB">
        <w:t xml:space="preserve"> M-L, </w:t>
      </w:r>
      <w:proofErr w:type="spellStart"/>
      <w:r w:rsidRPr="001243DB">
        <w:t>Amselem</w:t>
      </w:r>
      <w:proofErr w:type="spellEnd"/>
      <w:r w:rsidRPr="001243DB">
        <w:t xml:space="preserve"> S. A novel POU1F1 mutation (</w:t>
      </w:r>
      <w:proofErr w:type="gramStart"/>
      <w:r w:rsidRPr="001243DB">
        <w:t>p.Thr168IlefsX7</w:t>
      </w:r>
      <w:proofErr w:type="gramEnd"/>
      <w:r w:rsidRPr="001243DB">
        <w:t>) associated with an early and severe form of combined pituitary hormone deficiency: functional analysis and follow-up from infancy to adulth</w:t>
      </w:r>
      <w:r>
        <w:t xml:space="preserve">ood. </w:t>
      </w:r>
      <w:proofErr w:type="spellStart"/>
      <w:r>
        <w:t>Clin</w:t>
      </w:r>
      <w:proofErr w:type="spellEnd"/>
      <w:r>
        <w:t xml:space="preserve"> </w:t>
      </w:r>
      <w:proofErr w:type="spellStart"/>
      <w:r>
        <w:t>Endocrinol</w:t>
      </w:r>
      <w:proofErr w:type="spellEnd"/>
      <w:r>
        <w:t xml:space="preserve"> (</w:t>
      </w:r>
      <w:proofErr w:type="spellStart"/>
      <w:r>
        <w:t>Oxf</w:t>
      </w:r>
      <w:proofErr w:type="spellEnd"/>
      <w:r>
        <w:t xml:space="preserve">). </w:t>
      </w:r>
      <w:r w:rsidRPr="001243DB">
        <w:t xml:space="preserve"> 2011;75(2):214</w:t>
      </w:r>
      <w:r w:rsidRPr="001243DB">
        <w:rPr>
          <w:rFonts w:ascii="Palatino" w:hAnsi="Palatino" w:cs="Palatino"/>
        </w:rPr>
        <w:t>‑</w:t>
      </w:r>
      <w:r w:rsidRPr="001243DB">
        <w:t xml:space="preserve">9. </w:t>
      </w:r>
    </w:p>
    <w:p w14:paraId="5054C232" w14:textId="77777777" w:rsidR="001243DB" w:rsidRPr="001243DB" w:rsidRDefault="001243DB" w:rsidP="001243DB">
      <w:pPr>
        <w:pStyle w:val="Bibliography"/>
      </w:pPr>
      <w:r w:rsidRPr="001243DB">
        <w:t xml:space="preserve">6. </w:t>
      </w:r>
      <w:r w:rsidRPr="001243DB">
        <w:tab/>
      </w:r>
      <w:proofErr w:type="spellStart"/>
      <w:r w:rsidRPr="001243DB">
        <w:t>Dissaneevate</w:t>
      </w:r>
      <w:proofErr w:type="spellEnd"/>
      <w:r w:rsidRPr="001243DB">
        <w:t xml:space="preserve"> P, Warne GL, </w:t>
      </w:r>
      <w:proofErr w:type="spellStart"/>
      <w:r w:rsidRPr="001243DB">
        <w:t>Zacharin</w:t>
      </w:r>
      <w:proofErr w:type="spellEnd"/>
      <w:r w:rsidRPr="001243DB">
        <w:t xml:space="preserve"> MR. Clinical evaluation in isolated </w:t>
      </w:r>
      <w:proofErr w:type="spellStart"/>
      <w:r w:rsidRPr="001243DB">
        <w:t>hypogonadotrophic</w:t>
      </w:r>
      <w:proofErr w:type="spellEnd"/>
      <w:r w:rsidRPr="001243DB">
        <w:t xml:space="preserve"> </w:t>
      </w:r>
      <w:proofErr w:type="spellStart"/>
      <w:r w:rsidRPr="001243DB">
        <w:t>hypogonadism</w:t>
      </w:r>
      <w:proofErr w:type="spellEnd"/>
      <w:r w:rsidRPr="001243DB">
        <w:t xml:space="preserve"> (</w:t>
      </w:r>
      <w:proofErr w:type="spellStart"/>
      <w:r w:rsidRPr="001243DB">
        <w:t>Kallmann</w:t>
      </w:r>
      <w:proofErr w:type="spellEnd"/>
      <w:r w:rsidRPr="001243DB">
        <w:t xml:space="preserve"> syndrome). J </w:t>
      </w:r>
      <w:proofErr w:type="spellStart"/>
      <w:r w:rsidRPr="001243DB">
        <w:t>Pe</w:t>
      </w:r>
      <w:r>
        <w:t>diatr</w:t>
      </w:r>
      <w:proofErr w:type="spellEnd"/>
      <w:r>
        <w:t xml:space="preserve"> </w:t>
      </w:r>
      <w:proofErr w:type="spellStart"/>
      <w:r>
        <w:t>Endocrinol</w:t>
      </w:r>
      <w:proofErr w:type="spellEnd"/>
      <w:r>
        <w:t xml:space="preserve"> </w:t>
      </w:r>
      <w:proofErr w:type="spellStart"/>
      <w:r>
        <w:t>Metab</w:t>
      </w:r>
      <w:proofErr w:type="spellEnd"/>
      <w:r>
        <w:t xml:space="preserve"> JPEM.</w:t>
      </w:r>
      <w:r w:rsidRPr="001243DB">
        <w:t xml:space="preserve"> 1998;11(5):631</w:t>
      </w:r>
      <w:r w:rsidRPr="001243DB">
        <w:rPr>
          <w:rFonts w:ascii="Palatino" w:hAnsi="Palatino" w:cs="Palatino"/>
        </w:rPr>
        <w:t>‑</w:t>
      </w:r>
      <w:r w:rsidRPr="001243DB">
        <w:t xml:space="preserve">8. </w:t>
      </w:r>
    </w:p>
    <w:p w14:paraId="5EAACA22" w14:textId="77777777" w:rsidR="001243DB" w:rsidRPr="001243DB" w:rsidRDefault="001243DB" w:rsidP="001243DB">
      <w:pPr>
        <w:pStyle w:val="Bibliography"/>
      </w:pPr>
      <w:r w:rsidRPr="001243DB">
        <w:t xml:space="preserve">7. </w:t>
      </w:r>
      <w:r w:rsidRPr="001243DB">
        <w:tab/>
        <w:t xml:space="preserve">Chan E, Wayne C, Nasr A, FRCSC for Canadian Association of </w:t>
      </w:r>
      <w:proofErr w:type="spellStart"/>
      <w:r w:rsidRPr="001243DB">
        <w:t>Pediatric</w:t>
      </w:r>
      <w:proofErr w:type="spellEnd"/>
      <w:r w:rsidRPr="001243DB">
        <w:t xml:space="preserve"> Surgeon Evidence-Based Resource. Ideal timing of </w:t>
      </w:r>
      <w:proofErr w:type="spellStart"/>
      <w:r w:rsidRPr="001243DB">
        <w:t>orchiopexy</w:t>
      </w:r>
      <w:proofErr w:type="spellEnd"/>
      <w:r w:rsidRPr="001243DB">
        <w:t>: a systemati</w:t>
      </w:r>
      <w:r>
        <w:t xml:space="preserve">c review. </w:t>
      </w:r>
      <w:proofErr w:type="spellStart"/>
      <w:r>
        <w:t>Pediatr</w:t>
      </w:r>
      <w:proofErr w:type="spellEnd"/>
      <w:r>
        <w:t xml:space="preserve"> </w:t>
      </w:r>
      <w:proofErr w:type="spellStart"/>
      <w:r>
        <w:t>Surg</w:t>
      </w:r>
      <w:proofErr w:type="spellEnd"/>
      <w:r>
        <w:t xml:space="preserve"> Int.</w:t>
      </w:r>
      <w:r w:rsidRPr="001243DB">
        <w:t xml:space="preserve"> 2014</w:t>
      </w:r>
      <w:proofErr w:type="gramStart"/>
      <w:r w:rsidRPr="001243DB">
        <w:t>;30</w:t>
      </w:r>
      <w:proofErr w:type="gramEnd"/>
      <w:r w:rsidRPr="001243DB">
        <w:t>(1):87</w:t>
      </w:r>
      <w:r w:rsidRPr="001243DB">
        <w:rPr>
          <w:rFonts w:ascii="Palatino" w:hAnsi="Palatino" w:cs="Palatino"/>
        </w:rPr>
        <w:t>‑</w:t>
      </w:r>
      <w:r w:rsidRPr="001243DB">
        <w:t xml:space="preserve">97. </w:t>
      </w:r>
    </w:p>
    <w:p w14:paraId="59196F9D" w14:textId="77777777" w:rsidR="001243DB" w:rsidRPr="001243DB" w:rsidRDefault="001243DB" w:rsidP="001243DB">
      <w:pPr>
        <w:pStyle w:val="Bibliography"/>
      </w:pPr>
      <w:r w:rsidRPr="001243DB">
        <w:t xml:space="preserve">8. </w:t>
      </w:r>
      <w:r w:rsidRPr="001243DB">
        <w:tab/>
      </w:r>
      <w:proofErr w:type="spellStart"/>
      <w:r w:rsidRPr="001243DB">
        <w:t>Semple</w:t>
      </w:r>
      <w:proofErr w:type="spellEnd"/>
      <w:r w:rsidRPr="001243DB">
        <w:t xml:space="preserve"> RK, </w:t>
      </w:r>
      <w:proofErr w:type="spellStart"/>
      <w:r w:rsidRPr="001243DB">
        <w:t>Achermann</w:t>
      </w:r>
      <w:proofErr w:type="spellEnd"/>
      <w:r w:rsidRPr="001243DB">
        <w:t xml:space="preserve"> JC, Ellery J, </w:t>
      </w:r>
      <w:proofErr w:type="spellStart"/>
      <w:r w:rsidRPr="001243DB">
        <w:t>Farooqi</w:t>
      </w:r>
      <w:proofErr w:type="spellEnd"/>
      <w:r w:rsidRPr="001243DB">
        <w:t xml:space="preserve"> IS, </w:t>
      </w:r>
      <w:proofErr w:type="spellStart"/>
      <w:r w:rsidRPr="001243DB">
        <w:t>Karet</w:t>
      </w:r>
      <w:proofErr w:type="spellEnd"/>
      <w:r w:rsidRPr="001243DB">
        <w:t xml:space="preserve"> FE, Stanhope RG, et al. </w:t>
      </w:r>
      <w:proofErr w:type="gramStart"/>
      <w:r w:rsidRPr="001243DB">
        <w:t xml:space="preserve">Two novel missense mutations in g protein-coupled receptor 54 in a patient with </w:t>
      </w:r>
      <w:proofErr w:type="spellStart"/>
      <w:r w:rsidRPr="001243DB">
        <w:t>hypogonadotropic</w:t>
      </w:r>
      <w:proofErr w:type="spellEnd"/>
      <w:r w:rsidRPr="001243DB">
        <w:t xml:space="preserve"> </w:t>
      </w:r>
      <w:proofErr w:type="spellStart"/>
      <w:r w:rsidRPr="001243DB">
        <w:t>hypogonadis</w:t>
      </w:r>
      <w:r>
        <w:t>m</w:t>
      </w:r>
      <w:proofErr w:type="spellEnd"/>
      <w:r>
        <w:t>.</w:t>
      </w:r>
      <w:proofErr w:type="gramEnd"/>
      <w:r>
        <w:t xml:space="preserve"> J </w:t>
      </w:r>
      <w:proofErr w:type="spellStart"/>
      <w:r>
        <w:t>Clin</w:t>
      </w:r>
      <w:proofErr w:type="spellEnd"/>
      <w:r>
        <w:t xml:space="preserve"> </w:t>
      </w:r>
      <w:proofErr w:type="spellStart"/>
      <w:r>
        <w:t>Endocrinol</w:t>
      </w:r>
      <w:proofErr w:type="spellEnd"/>
      <w:r>
        <w:t xml:space="preserve"> </w:t>
      </w:r>
      <w:proofErr w:type="spellStart"/>
      <w:r>
        <w:t>Metab</w:t>
      </w:r>
      <w:proofErr w:type="spellEnd"/>
      <w:r>
        <w:t>.</w:t>
      </w:r>
      <w:r w:rsidRPr="001243DB">
        <w:t xml:space="preserve"> 2005;90(3):1849</w:t>
      </w:r>
      <w:r w:rsidRPr="001243DB">
        <w:rPr>
          <w:rFonts w:ascii="Palatino" w:hAnsi="Palatino" w:cs="Palatino"/>
        </w:rPr>
        <w:t>‑</w:t>
      </w:r>
      <w:r w:rsidRPr="001243DB">
        <w:t xml:space="preserve">55. </w:t>
      </w:r>
    </w:p>
    <w:p w14:paraId="3FDBBE24" w14:textId="77777777" w:rsidR="001243DB" w:rsidRPr="001243DB" w:rsidRDefault="001243DB" w:rsidP="001243DB">
      <w:pPr>
        <w:pStyle w:val="Bibliography"/>
      </w:pPr>
      <w:r w:rsidRPr="001243DB">
        <w:t xml:space="preserve">9. </w:t>
      </w:r>
      <w:r w:rsidRPr="001243DB">
        <w:tab/>
      </w:r>
      <w:proofErr w:type="spellStart"/>
      <w:r w:rsidRPr="001243DB">
        <w:t>Gonçalves</w:t>
      </w:r>
      <w:proofErr w:type="spellEnd"/>
      <w:r w:rsidRPr="001243DB">
        <w:t xml:space="preserve"> C, </w:t>
      </w:r>
      <w:proofErr w:type="spellStart"/>
      <w:r w:rsidRPr="001243DB">
        <w:t>Bastos</w:t>
      </w:r>
      <w:proofErr w:type="spellEnd"/>
      <w:r w:rsidRPr="001243DB">
        <w:t xml:space="preserve"> M, </w:t>
      </w:r>
      <w:proofErr w:type="spellStart"/>
      <w:r w:rsidRPr="001243DB">
        <w:t>Pignatelli</w:t>
      </w:r>
      <w:proofErr w:type="spellEnd"/>
      <w:r w:rsidRPr="001243DB">
        <w:t xml:space="preserve"> D, Borges T, </w:t>
      </w:r>
      <w:proofErr w:type="spellStart"/>
      <w:r w:rsidRPr="001243DB">
        <w:t>Aragüés</w:t>
      </w:r>
      <w:proofErr w:type="spellEnd"/>
      <w:r w:rsidRPr="001243DB">
        <w:t xml:space="preserve"> JM, Fonseca F, et al. Novel FGFR1 mutations in </w:t>
      </w:r>
      <w:proofErr w:type="spellStart"/>
      <w:r w:rsidRPr="001243DB">
        <w:t>Kallmann</w:t>
      </w:r>
      <w:proofErr w:type="spellEnd"/>
      <w:r w:rsidRPr="001243DB">
        <w:t xml:space="preserve"> syndrome and </w:t>
      </w:r>
      <w:proofErr w:type="spellStart"/>
      <w:r w:rsidRPr="001243DB">
        <w:t>normosmic</w:t>
      </w:r>
      <w:proofErr w:type="spellEnd"/>
      <w:r w:rsidRPr="001243DB">
        <w:t xml:space="preserve"> idiopathic </w:t>
      </w:r>
      <w:proofErr w:type="spellStart"/>
      <w:r w:rsidRPr="001243DB">
        <w:t>hypogonadotropic</w:t>
      </w:r>
      <w:proofErr w:type="spellEnd"/>
      <w:r w:rsidRPr="001243DB">
        <w:t xml:space="preserve"> </w:t>
      </w:r>
      <w:proofErr w:type="spellStart"/>
      <w:r w:rsidRPr="001243DB">
        <w:t>hypogonadism</w:t>
      </w:r>
      <w:proofErr w:type="spellEnd"/>
      <w:r w:rsidRPr="001243DB">
        <w:t>: evidence for the involvement of an alternatively spl</w:t>
      </w:r>
      <w:r>
        <w:t xml:space="preserve">iced isoform. </w:t>
      </w:r>
      <w:proofErr w:type="spellStart"/>
      <w:r>
        <w:t>Fertil</w:t>
      </w:r>
      <w:proofErr w:type="spellEnd"/>
      <w:r>
        <w:t xml:space="preserve"> </w:t>
      </w:r>
      <w:proofErr w:type="spellStart"/>
      <w:r>
        <w:t>Steril</w:t>
      </w:r>
      <w:proofErr w:type="spellEnd"/>
      <w:r>
        <w:t>.</w:t>
      </w:r>
      <w:r w:rsidRPr="001243DB">
        <w:t xml:space="preserve"> 2015;104(5):1261</w:t>
      </w:r>
      <w:r w:rsidRPr="001243DB">
        <w:rPr>
          <w:rFonts w:ascii="Palatino" w:hAnsi="Palatino" w:cs="Palatino"/>
        </w:rPr>
        <w:t>‑</w:t>
      </w:r>
      <w:r w:rsidRPr="001243DB">
        <w:t xml:space="preserve">7.e1. </w:t>
      </w:r>
    </w:p>
    <w:p w14:paraId="6C1A3854" w14:textId="77777777" w:rsidR="001243DB" w:rsidRPr="001243DB" w:rsidRDefault="001243DB" w:rsidP="001243DB">
      <w:pPr>
        <w:pStyle w:val="Bibliography"/>
      </w:pPr>
      <w:r w:rsidRPr="001243DB">
        <w:t xml:space="preserve">10. </w:t>
      </w:r>
      <w:r w:rsidRPr="001243DB">
        <w:tab/>
      </w:r>
      <w:proofErr w:type="spellStart"/>
      <w:r w:rsidRPr="001243DB">
        <w:t>Mengen</w:t>
      </w:r>
      <w:proofErr w:type="spellEnd"/>
      <w:r w:rsidRPr="001243DB">
        <w:t xml:space="preserve"> E, </w:t>
      </w:r>
      <w:proofErr w:type="spellStart"/>
      <w:r w:rsidRPr="001243DB">
        <w:t>Tunc</w:t>
      </w:r>
      <w:proofErr w:type="spellEnd"/>
      <w:r w:rsidRPr="001243DB">
        <w:t xml:space="preserve"> S, </w:t>
      </w:r>
      <w:proofErr w:type="spellStart"/>
      <w:r w:rsidRPr="001243DB">
        <w:t>Kotan</w:t>
      </w:r>
      <w:proofErr w:type="spellEnd"/>
      <w:r w:rsidRPr="001243DB">
        <w:t xml:space="preserve"> LD, </w:t>
      </w:r>
      <w:proofErr w:type="spellStart"/>
      <w:r w:rsidRPr="001243DB">
        <w:t>Nalbantoglu</w:t>
      </w:r>
      <w:proofErr w:type="spellEnd"/>
      <w:r w:rsidRPr="001243DB">
        <w:t xml:space="preserve"> O, </w:t>
      </w:r>
      <w:proofErr w:type="spellStart"/>
      <w:r w:rsidRPr="001243DB">
        <w:t>Demir</w:t>
      </w:r>
      <w:proofErr w:type="spellEnd"/>
      <w:r w:rsidRPr="001243DB">
        <w:t xml:space="preserve"> K, </w:t>
      </w:r>
      <w:proofErr w:type="spellStart"/>
      <w:r w:rsidRPr="001243DB">
        <w:t>Gurbuz</w:t>
      </w:r>
      <w:proofErr w:type="spellEnd"/>
      <w:r w:rsidRPr="001243DB">
        <w:t xml:space="preserve"> F, et al. Complete Idiopathic </w:t>
      </w:r>
      <w:proofErr w:type="spellStart"/>
      <w:r w:rsidRPr="001243DB">
        <w:t>Hypogonadotropic</w:t>
      </w:r>
      <w:proofErr w:type="spellEnd"/>
      <w:r w:rsidRPr="001243DB">
        <w:t xml:space="preserve"> </w:t>
      </w:r>
      <w:proofErr w:type="spellStart"/>
      <w:r w:rsidRPr="001243DB">
        <w:t>Hypogonadism</w:t>
      </w:r>
      <w:proofErr w:type="spellEnd"/>
      <w:r w:rsidRPr="001243DB">
        <w:t xml:space="preserve"> due to Homozygous GNRH1 Mutations in the Mutational Hot Spots in the Region Encoding the </w:t>
      </w:r>
      <w:proofErr w:type="spellStart"/>
      <w:r w:rsidRPr="001243DB">
        <w:t>Decape</w:t>
      </w:r>
      <w:r>
        <w:t>ptide</w:t>
      </w:r>
      <w:proofErr w:type="spellEnd"/>
      <w:r>
        <w:t xml:space="preserve">. </w:t>
      </w:r>
      <w:proofErr w:type="spellStart"/>
      <w:proofErr w:type="gramStart"/>
      <w:r>
        <w:t>Horm</w:t>
      </w:r>
      <w:proofErr w:type="spellEnd"/>
      <w:r>
        <w:t xml:space="preserve"> Res </w:t>
      </w:r>
      <w:proofErr w:type="spellStart"/>
      <w:r>
        <w:t>Paediatr</w:t>
      </w:r>
      <w:proofErr w:type="spellEnd"/>
      <w:r>
        <w:t>.</w:t>
      </w:r>
      <w:proofErr w:type="gramEnd"/>
      <w:r>
        <w:t xml:space="preserve"> </w:t>
      </w:r>
      <w:r w:rsidRPr="001243DB">
        <w:t xml:space="preserve"> 2015; </w:t>
      </w:r>
    </w:p>
    <w:p w14:paraId="44EFD2C5" w14:textId="77777777" w:rsidR="001243DB" w:rsidRPr="001243DB" w:rsidRDefault="001243DB" w:rsidP="001243DB">
      <w:pPr>
        <w:pStyle w:val="Bibliography"/>
      </w:pPr>
      <w:r w:rsidRPr="001243DB">
        <w:t xml:space="preserve">11. </w:t>
      </w:r>
      <w:r w:rsidRPr="001243DB">
        <w:tab/>
      </w:r>
      <w:proofErr w:type="spellStart"/>
      <w:r w:rsidRPr="001243DB">
        <w:t>Demirbilek</w:t>
      </w:r>
      <w:proofErr w:type="spellEnd"/>
      <w:r w:rsidRPr="001243DB">
        <w:t xml:space="preserve"> H, </w:t>
      </w:r>
      <w:proofErr w:type="spellStart"/>
      <w:r w:rsidRPr="001243DB">
        <w:t>Ozbek</w:t>
      </w:r>
      <w:proofErr w:type="spellEnd"/>
      <w:r w:rsidRPr="001243DB">
        <w:t xml:space="preserve"> MN, </w:t>
      </w:r>
      <w:proofErr w:type="spellStart"/>
      <w:r w:rsidRPr="001243DB">
        <w:t>Demir</w:t>
      </w:r>
      <w:proofErr w:type="spellEnd"/>
      <w:r w:rsidRPr="001243DB">
        <w:t xml:space="preserve"> K, </w:t>
      </w:r>
      <w:proofErr w:type="spellStart"/>
      <w:r w:rsidRPr="001243DB">
        <w:t>Kotan</w:t>
      </w:r>
      <w:proofErr w:type="spellEnd"/>
      <w:r w:rsidRPr="001243DB">
        <w:t xml:space="preserve"> LD, </w:t>
      </w:r>
      <w:proofErr w:type="spellStart"/>
      <w:r w:rsidRPr="001243DB">
        <w:t>Cesur</w:t>
      </w:r>
      <w:proofErr w:type="spellEnd"/>
      <w:r w:rsidRPr="001243DB">
        <w:t xml:space="preserve"> Y, </w:t>
      </w:r>
      <w:proofErr w:type="spellStart"/>
      <w:r w:rsidRPr="001243DB">
        <w:t>Dogan</w:t>
      </w:r>
      <w:proofErr w:type="spellEnd"/>
      <w:r w:rsidRPr="001243DB">
        <w:t xml:space="preserve"> M, et al. </w:t>
      </w:r>
      <w:proofErr w:type="spellStart"/>
      <w:r w:rsidRPr="001243DB">
        <w:t>Normosmic</w:t>
      </w:r>
      <w:proofErr w:type="spellEnd"/>
      <w:r w:rsidRPr="001243DB">
        <w:t xml:space="preserve"> idiopathic </w:t>
      </w:r>
      <w:proofErr w:type="spellStart"/>
      <w:r w:rsidRPr="001243DB">
        <w:t>hypogonadotropic</w:t>
      </w:r>
      <w:proofErr w:type="spellEnd"/>
      <w:r w:rsidRPr="001243DB">
        <w:t xml:space="preserve"> </w:t>
      </w:r>
      <w:proofErr w:type="spellStart"/>
      <w:r w:rsidRPr="001243DB">
        <w:t>hypogonadism</w:t>
      </w:r>
      <w:proofErr w:type="spellEnd"/>
      <w:r w:rsidRPr="001243DB">
        <w:t xml:space="preserve"> due to a novel homozygous nonsense </w:t>
      </w:r>
      <w:proofErr w:type="gramStart"/>
      <w:r w:rsidRPr="001243DB">
        <w:t>c.C969A</w:t>
      </w:r>
      <w:proofErr w:type="gramEnd"/>
      <w:r w:rsidRPr="001243DB">
        <w:t xml:space="preserve"> (p.Y323X) mutation in the KISS1R gene in three unrelated famil</w:t>
      </w:r>
      <w:r>
        <w:t xml:space="preserve">ies. </w:t>
      </w:r>
      <w:proofErr w:type="spellStart"/>
      <w:r>
        <w:t>Clin</w:t>
      </w:r>
      <w:proofErr w:type="spellEnd"/>
      <w:r>
        <w:t xml:space="preserve"> </w:t>
      </w:r>
      <w:proofErr w:type="spellStart"/>
      <w:r>
        <w:t>Endocrinol</w:t>
      </w:r>
      <w:proofErr w:type="spellEnd"/>
      <w:r>
        <w:t xml:space="preserve"> (</w:t>
      </w:r>
      <w:proofErr w:type="spellStart"/>
      <w:r>
        <w:t>Oxf</w:t>
      </w:r>
      <w:proofErr w:type="spellEnd"/>
      <w:r>
        <w:t>).</w:t>
      </w:r>
      <w:r w:rsidRPr="001243DB">
        <w:t xml:space="preserve"> 2015;82(3):429</w:t>
      </w:r>
      <w:r w:rsidRPr="001243DB">
        <w:rPr>
          <w:rFonts w:ascii="Palatino" w:hAnsi="Palatino" w:cs="Palatino"/>
        </w:rPr>
        <w:t>‑</w:t>
      </w:r>
      <w:r w:rsidRPr="001243DB">
        <w:t xml:space="preserve">38. </w:t>
      </w:r>
    </w:p>
    <w:p w14:paraId="3F75AAE8" w14:textId="77777777" w:rsidR="001243DB" w:rsidRPr="001243DB" w:rsidRDefault="001243DB" w:rsidP="001243DB">
      <w:pPr>
        <w:pStyle w:val="Bibliography"/>
      </w:pPr>
      <w:r w:rsidRPr="001243DB">
        <w:t xml:space="preserve">12. </w:t>
      </w:r>
      <w:r w:rsidRPr="001243DB">
        <w:tab/>
        <w:t xml:space="preserve">Hu Y, </w:t>
      </w:r>
      <w:proofErr w:type="spellStart"/>
      <w:r w:rsidRPr="001243DB">
        <w:t>Bouloux</w:t>
      </w:r>
      <w:proofErr w:type="spellEnd"/>
      <w:r w:rsidRPr="001243DB">
        <w:t xml:space="preserve"> P-M. X-linked </w:t>
      </w:r>
      <w:proofErr w:type="spellStart"/>
      <w:r w:rsidRPr="001243DB">
        <w:t>GnRH</w:t>
      </w:r>
      <w:proofErr w:type="spellEnd"/>
      <w:r w:rsidRPr="001243DB">
        <w:t xml:space="preserve"> deficiency: role of KAL-1 mutations in </w:t>
      </w:r>
      <w:proofErr w:type="spellStart"/>
      <w:r w:rsidRPr="001243DB">
        <w:t>GnRH</w:t>
      </w:r>
      <w:proofErr w:type="spellEnd"/>
      <w:r w:rsidRPr="001243DB">
        <w:t xml:space="preserve"> deficie</w:t>
      </w:r>
      <w:r>
        <w:t xml:space="preserve">ncy. </w:t>
      </w:r>
      <w:proofErr w:type="spellStart"/>
      <w:proofErr w:type="gramStart"/>
      <w:r>
        <w:t>Mol</w:t>
      </w:r>
      <w:proofErr w:type="spellEnd"/>
      <w:r>
        <w:t xml:space="preserve"> Cell </w:t>
      </w:r>
      <w:proofErr w:type="spellStart"/>
      <w:r>
        <w:t>Endocrinol</w:t>
      </w:r>
      <w:proofErr w:type="spellEnd"/>
      <w:r>
        <w:t>.</w:t>
      </w:r>
      <w:proofErr w:type="gramEnd"/>
      <w:r w:rsidRPr="001243DB">
        <w:t xml:space="preserve"> 2011</w:t>
      </w:r>
      <w:proofErr w:type="gramStart"/>
      <w:r w:rsidRPr="001243DB">
        <w:t>;346</w:t>
      </w:r>
      <w:proofErr w:type="gramEnd"/>
      <w:r w:rsidRPr="001243DB">
        <w:t>(1-2):13</w:t>
      </w:r>
      <w:r w:rsidRPr="001243DB">
        <w:rPr>
          <w:rFonts w:ascii="Palatino" w:hAnsi="Palatino" w:cs="Palatino"/>
        </w:rPr>
        <w:t>‑</w:t>
      </w:r>
      <w:r w:rsidRPr="001243DB">
        <w:t xml:space="preserve">20. </w:t>
      </w:r>
    </w:p>
    <w:p w14:paraId="202A49DE" w14:textId="77777777" w:rsidR="004B2332" w:rsidRPr="004B2332" w:rsidRDefault="001243DB" w:rsidP="004B2332">
      <w:pPr>
        <w:jc w:val="both"/>
        <w:rPr>
          <w:rFonts w:ascii="Times" w:hAnsi="Times"/>
        </w:rPr>
      </w:pPr>
      <w:r>
        <w:rPr>
          <w:rFonts w:ascii="Times" w:hAnsi="Times"/>
        </w:rPr>
        <w:fldChar w:fldCharType="end"/>
      </w:r>
      <w:bookmarkStart w:id="0" w:name="_GoBack"/>
      <w:bookmarkEnd w:id="0"/>
    </w:p>
    <w:sectPr w:rsidR="004B2332" w:rsidRPr="004B2332" w:rsidSect="00D13090">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Palatino">
    <w:panose1 w:val="02000500000000000000"/>
    <w:charset w:val="00"/>
    <w:family w:val="auto"/>
    <w:pitch w:val="variable"/>
    <w:sig w:usb0="A00002FF" w:usb1="7800205A" w:usb2="14600000" w:usb3="00000000" w:csb0="00000193"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C0153"/>
    <w:multiLevelType w:val="multilevel"/>
    <w:tmpl w:val="024A1AB6"/>
    <w:lvl w:ilvl="0">
      <w:start w:val="1"/>
      <w:numFmt w:val="decimal"/>
      <w:lvlText w:val="%1."/>
      <w:lvlJc w:val="left"/>
      <w:pPr>
        <w:ind w:left="1070" w:hanging="360"/>
      </w:pPr>
    </w:lvl>
    <w:lvl w:ilvl="1">
      <w:start w:val="1"/>
      <w:numFmt w:val="decimal"/>
      <w:pStyle w:val="Titre2"/>
      <w:lvlText w:val="%1.%2."/>
      <w:lvlJc w:val="left"/>
      <w:pPr>
        <w:ind w:left="1502" w:hanging="432"/>
      </w:pPr>
    </w:lvl>
    <w:lvl w:ilvl="2">
      <w:start w:val="1"/>
      <w:numFmt w:val="decimal"/>
      <w:lvlText w:val="%1.%2.%3."/>
      <w:lvlJc w:val="left"/>
      <w:pPr>
        <w:ind w:left="1934" w:hanging="504"/>
      </w:pPr>
    </w:lvl>
    <w:lvl w:ilvl="3">
      <w:start w:val="1"/>
      <w:numFmt w:val="decimal"/>
      <w:lvlText w:val="%1.%2.%3.%4."/>
      <w:lvlJc w:val="left"/>
      <w:pPr>
        <w:ind w:left="2438" w:hanging="648"/>
      </w:p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1">
    <w:nsid w:val="078F2D6E"/>
    <w:multiLevelType w:val="multilevel"/>
    <w:tmpl w:val="DCC868B8"/>
    <w:lvl w:ilvl="0">
      <w:start w:val="1"/>
      <w:numFmt w:val="decimal"/>
      <w:lvlText w:val="%1."/>
      <w:lvlJc w:val="left"/>
      <w:pPr>
        <w:ind w:left="1790" w:hanging="360"/>
      </w:pPr>
      <w:rPr>
        <w:rFonts w:hint="default"/>
      </w:rPr>
    </w:lvl>
    <w:lvl w:ilvl="1">
      <w:start w:val="1"/>
      <w:numFmt w:val="decimal"/>
      <w:lvlText w:val="%1.%2."/>
      <w:lvlJc w:val="left"/>
      <w:pPr>
        <w:ind w:left="2222" w:hanging="432"/>
      </w:pPr>
      <w:rPr>
        <w:rFonts w:hint="default"/>
      </w:rPr>
    </w:lvl>
    <w:lvl w:ilvl="2">
      <w:start w:val="1"/>
      <w:numFmt w:val="decimal"/>
      <w:pStyle w:val="Titre3"/>
      <w:lvlText w:val="%1.%2.%3."/>
      <w:lvlJc w:val="left"/>
      <w:pPr>
        <w:ind w:left="2654" w:hanging="504"/>
      </w:pPr>
      <w:rPr>
        <w:rFonts w:hint="default"/>
      </w:rPr>
    </w:lvl>
    <w:lvl w:ilvl="3">
      <w:start w:val="1"/>
      <w:numFmt w:val="decimal"/>
      <w:lvlText w:val="%1.%2.%3.%4."/>
      <w:lvlJc w:val="left"/>
      <w:pPr>
        <w:ind w:left="3158" w:hanging="648"/>
      </w:pPr>
      <w:rPr>
        <w:rFonts w:hint="default"/>
      </w:rPr>
    </w:lvl>
    <w:lvl w:ilvl="4">
      <w:start w:val="1"/>
      <w:numFmt w:val="decimal"/>
      <w:lvlText w:val="%1.%2.%3.%4.%5."/>
      <w:lvlJc w:val="left"/>
      <w:pPr>
        <w:ind w:left="3662" w:hanging="792"/>
      </w:pPr>
      <w:rPr>
        <w:rFonts w:hint="default"/>
      </w:rPr>
    </w:lvl>
    <w:lvl w:ilvl="5">
      <w:start w:val="1"/>
      <w:numFmt w:val="decimal"/>
      <w:lvlText w:val="%1.%2.%3.%4.%5.%6."/>
      <w:lvlJc w:val="left"/>
      <w:pPr>
        <w:ind w:left="4166" w:hanging="936"/>
      </w:pPr>
      <w:rPr>
        <w:rFonts w:hint="default"/>
      </w:rPr>
    </w:lvl>
    <w:lvl w:ilvl="6">
      <w:start w:val="1"/>
      <w:numFmt w:val="decimal"/>
      <w:lvlText w:val="%1.%2.%3.%4.%5.%6.%7."/>
      <w:lvlJc w:val="left"/>
      <w:pPr>
        <w:ind w:left="4670" w:hanging="1080"/>
      </w:pPr>
      <w:rPr>
        <w:rFonts w:hint="default"/>
      </w:rPr>
    </w:lvl>
    <w:lvl w:ilvl="7">
      <w:start w:val="1"/>
      <w:numFmt w:val="decimal"/>
      <w:lvlText w:val="%1.%2.%3.%4.%5.%6.%7.%8."/>
      <w:lvlJc w:val="left"/>
      <w:pPr>
        <w:ind w:left="5174" w:hanging="1224"/>
      </w:pPr>
      <w:rPr>
        <w:rFonts w:hint="default"/>
      </w:rPr>
    </w:lvl>
    <w:lvl w:ilvl="8">
      <w:start w:val="1"/>
      <w:numFmt w:val="decimal"/>
      <w:lvlText w:val="%1.%2.%3.%4.%5.%6.%7.%8.%9."/>
      <w:lvlJc w:val="left"/>
      <w:pPr>
        <w:ind w:left="5750" w:hanging="1440"/>
      </w:pPr>
      <w:rPr>
        <w:rFonts w:hint="default"/>
      </w:rPr>
    </w:lvl>
  </w:abstractNum>
  <w:abstractNum w:abstractNumId="2">
    <w:nsid w:val="24B14E11"/>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0695783"/>
    <w:multiLevelType w:val="multilevel"/>
    <w:tmpl w:val="AA365902"/>
    <w:styleLink w:val="111111"/>
    <w:lvl w:ilvl="0">
      <w:start w:val="1"/>
      <w:numFmt w:val="decimal"/>
      <w:lvlText w:val="%1."/>
      <w:lvlJc w:val="left"/>
      <w:pPr>
        <w:ind w:left="360" w:hanging="360"/>
      </w:pPr>
    </w:lvl>
    <w:lvl w:ilvl="1">
      <w:start w:val="1"/>
      <w:numFmt w:val="decimal"/>
      <w:pStyle w:val="Titre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5755256A"/>
    <w:multiLevelType w:val="multilevel"/>
    <w:tmpl w:val="7B2CCC6E"/>
    <w:lvl w:ilvl="0">
      <w:start w:val="1"/>
      <w:numFmt w:val="decimal"/>
      <w:lvlText w:val="%1."/>
      <w:lvlJc w:val="left"/>
      <w:pPr>
        <w:ind w:left="107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502" w:hanging="432"/>
      </w:pPr>
    </w:lvl>
    <w:lvl w:ilvl="2">
      <w:start w:val="1"/>
      <w:numFmt w:val="decimal"/>
      <w:pStyle w:val="Titre3"/>
      <w:lvlText w:val="%1.%2.%3."/>
      <w:lvlJc w:val="left"/>
      <w:pPr>
        <w:ind w:left="193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438" w:hanging="648"/>
      </w:p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332"/>
    <w:rsid w:val="001243DB"/>
    <w:rsid w:val="00247896"/>
    <w:rsid w:val="004B2332"/>
    <w:rsid w:val="00A0048E"/>
    <w:rsid w:val="00D13090"/>
    <w:rsid w:val="00D54195"/>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2810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next w:val="Normal"/>
    <w:link w:val="Titre2Car"/>
    <w:autoRedefine/>
    <w:qFormat/>
    <w:rsid w:val="00247896"/>
    <w:pPr>
      <w:keepNext/>
      <w:keepLines/>
      <w:numPr>
        <w:ilvl w:val="1"/>
        <w:numId w:val="5"/>
      </w:numPr>
      <w:spacing w:before="120" w:after="60" w:line="360" w:lineRule="auto"/>
      <w:jc w:val="both"/>
      <w:outlineLvl w:val="1"/>
    </w:pPr>
    <w:rPr>
      <w:rFonts w:ascii="Arial" w:hAnsi="Arial" w:cs="Times New Roman"/>
      <w:b/>
      <w:lang w:val="fr-FR" w:eastAsia="fr-FR"/>
    </w:rPr>
  </w:style>
  <w:style w:type="paragraph" w:styleId="Titre3">
    <w:name w:val="heading 3"/>
    <w:basedOn w:val="Normal"/>
    <w:next w:val="Normal"/>
    <w:link w:val="Titre3Car"/>
    <w:autoRedefine/>
    <w:qFormat/>
    <w:rsid w:val="00247896"/>
    <w:pPr>
      <w:keepNext/>
      <w:keepLines/>
      <w:numPr>
        <w:ilvl w:val="2"/>
        <w:numId w:val="5"/>
      </w:numPr>
      <w:tabs>
        <w:tab w:val="left" w:pos="3119"/>
      </w:tabs>
      <w:spacing w:before="200" w:after="60" w:line="360" w:lineRule="auto"/>
      <w:ind w:left="1934"/>
      <w:jc w:val="both"/>
      <w:outlineLvl w:val="2"/>
    </w:pPr>
    <w:rPr>
      <w:rFonts w:ascii="Arial" w:hAnsi="Arial" w:cs="Times New Roman"/>
      <w:b/>
      <w:bCs/>
      <w:lang w:val="fr-FR" w:eastAsia="en-US"/>
      <w14:scene3d>
        <w14:camera w14:prst="orthographicFront"/>
        <w14:lightRig w14:rig="threePt" w14:dir="t">
          <w14:rot w14:lat="0" w14:lon="0" w14:rev="0"/>
        </w14:lightRig>
      </w14:scene3d>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rsid w:val="00247896"/>
    <w:rPr>
      <w:rFonts w:ascii="Arial" w:hAnsi="Arial" w:cs="Times New Roman"/>
      <w:b/>
      <w:bCs/>
      <w:lang w:val="fr-FR" w:eastAsia="en-US"/>
      <w14:scene3d>
        <w14:camera w14:prst="orthographicFront"/>
        <w14:lightRig w14:rig="threePt" w14:dir="t">
          <w14:rot w14:lat="0" w14:lon="0" w14:rev="0"/>
        </w14:lightRig>
      </w14:scene3d>
    </w:rPr>
  </w:style>
  <w:style w:type="character" w:customStyle="1" w:styleId="Titre2Car">
    <w:name w:val="Titre 2 Car"/>
    <w:basedOn w:val="Policepardfaut"/>
    <w:link w:val="Titre2"/>
    <w:rsid w:val="00247896"/>
    <w:rPr>
      <w:rFonts w:ascii="Arial" w:hAnsi="Arial" w:cs="Times New Roman"/>
      <w:b/>
      <w:lang w:val="fr-FR" w:eastAsia="fr-FR"/>
    </w:rPr>
  </w:style>
  <w:style w:type="paragraph" w:styleId="Lgende">
    <w:name w:val="caption"/>
    <w:basedOn w:val="Normal"/>
    <w:next w:val="Normal"/>
    <w:autoRedefine/>
    <w:uiPriority w:val="35"/>
    <w:unhideWhenUsed/>
    <w:qFormat/>
    <w:rsid w:val="00247896"/>
    <w:pPr>
      <w:jc w:val="both"/>
    </w:pPr>
    <w:rPr>
      <w:rFonts w:ascii="Arial" w:hAnsi="Arial" w:cs="Times New Roman"/>
      <w:bCs/>
      <w:color w:val="4F81BD" w:themeColor="accent1"/>
      <w:sz w:val="20"/>
      <w:szCs w:val="18"/>
      <w:lang w:val="fr-FR" w:eastAsia="fr-FR"/>
    </w:rPr>
  </w:style>
  <w:style w:type="paragraph" w:styleId="Sous-titre">
    <w:name w:val="Subtitle"/>
    <w:basedOn w:val="Normal"/>
    <w:next w:val="Normal"/>
    <w:link w:val="Sous-titreCar"/>
    <w:autoRedefine/>
    <w:uiPriority w:val="11"/>
    <w:qFormat/>
    <w:rsid w:val="00247896"/>
    <w:pPr>
      <w:numPr>
        <w:ilvl w:val="1"/>
      </w:numPr>
      <w:spacing w:after="0"/>
      <w:jc w:val="both"/>
    </w:pPr>
    <w:rPr>
      <w:rFonts w:ascii="Arial" w:eastAsiaTheme="majorEastAsia" w:hAnsi="Arial" w:cstheme="majorBidi"/>
      <w:i/>
      <w:iCs/>
      <w:color w:val="4F81BD" w:themeColor="accent1"/>
      <w:spacing w:val="15"/>
      <w:lang w:eastAsia="fr-FR"/>
    </w:rPr>
  </w:style>
  <w:style w:type="character" w:customStyle="1" w:styleId="Sous-titreCar">
    <w:name w:val="Sous-titre Car"/>
    <w:basedOn w:val="Policepardfaut"/>
    <w:link w:val="Sous-titre"/>
    <w:uiPriority w:val="11"/>
    <w:rsid w:val="00247896"/>
    <w:rPr>
      <w:rFonts w:ascii="Arial" w:eastAsiaTheme="majorEastAsia" w:hAnsi="Arial" w:cstheme="majorBidi"/>
      <w:i/>
      <w:iCs/>
      <w:color w:val="4F81BD" w:themeColor="accent1"/>
      <w:spacing w:val="15"/>
      <w:lang w:eastAsia="fr-FR"/>
    </w:rPr>
  </w:style>
  <w:style w:type="numbering" w:styleId="111111">
    <w:name w:val="Outline List 2"/>
    <w:basedOn w:val="Aucuneliste"/>
    <w:rsid w:val="00D54195"/>
    <w:pPr>
      <w:numPr>
        <w:numId w:val="5"/>
      </w:numPr>
    </w:pPr>
  </w:style>
  <w:style w:type="paragraph" w:customStyle="1" w:styleId="Bibliography">
    <w:name w:val="Bibliography"/>
    <w:basedOn w:val="Normal"/>
    <w:rsid w:val="001243DB"/>
    <w:pPr>
      <w:tabs>
        <w:tab w:val="left" w:pos="500"/>
      </w:tabs>
      <w:spacing w:after="240"/>
      <w:ind w:left="504" w:hanging="504"/>
      <w:jc w:val="both"/>
    </w:pPr>
    <w:rPr>
      <w:rFonts w:ascii="Times" w:hAnsi="Tim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next w:val="Normal"/>
    <w:link w:val="Titre2Car"/>
    <w:autoRedefine/>
    <w:qFormat/>
    <w:rsid w:val="00247896"/>
    <w:pPr>
      <w:keepNext/>
      <w:keepLines/>
      <w:numPr>
        <w:ilvl w:val="1"/>
        <w:numId w:val="5"/>
      </w:numPr>
      <w:spacing w:before="120" w:after="60" w:line="360" w:lineRule="auto"/>
      <w:jc w:val="both"/>
      <w:outlineLvl w:val="1"/>
    </w:pPr>
    <w:rPr>
      <w:rFonts w:ascii="Arial" w:hAnsi="Arial" w:cs="Times New Roman"/>
      <w:b/>
      <w:lang w:val="fr-FR" w:eastAsia="fr-FR"/>
    </w:rPr>
  </w:style>
  <w:style w:type="paragraph" w:styleId="Titre3">
    <w:name w:val="heading 3"/>
    <w:basedOn w:val="Normal"/>
    <w:next w:val="Normal"/>
    <w:link w:val="Titre3Car"/>
    <w:autoRedefine/>
    <w:qFormat/>
    <w:rsid w:val="00247896"/>
    <w:pPr>
      <w:keepNext/>
      <w:keepLines/>
      <w:numPr>
        <w:ilvl w:val="2"/>
        <w:numId w:val="5"/>
      </w:numPr>
      <w:tabs>
        <w:tab w:val="left" w:pos="3119"/>
      </w:tabs>
      <w:spacing w:before="200" w:after="60" w:line="360" w:lineRule="auto"/>
      <w:ind w:left="1934"/>
      <w:jc w:val="both"/>
      <w:outlineLvl w:val="2"/>
    </w:pPr>
    <w:rPr>
      <w:rFonts w:ascii="Arial" w:hAnsi="Arial" w:cs="Times New Roman"/>
      <w:b/>
      <w:bCs/>
      <w:lang w:val="fr-FR" w:eastAsia="en-US"/>
      <w14:scene3d>
        <w14:camera w14:prst="orthographicFront"/>
        <w14:lightRig w14:rig="threePt" w14:dir="t">
          <w14:rot w14:lat="0" w14:lon="0" w14:rev="0"/>
        </w14:lightRig>
      </w14:scene3d>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rsid w:val="00247896"/>
    <w:rPr>
      <w:rFonts w:ascii="Arial" w:hAnsi="Arial" w:cs="Times New Roman"/>
      <w:b/>
      <w:bCs/>
      <w:lang w:val="fr-FR" w:eastAsia="en-US"/>
      <w14:scene3d>
        <w14:camera w14:prst="orthographicFront"/>
        <w14:lightRig w14:rig="threePt" w14:dir="t">
          <w14:rot w14:lat="0" w14:lon="0" w14:rev="0"/>
        </w14:lightRig>
      </w14:scene3d>
    </w:rPr>
  </w:style>
  <w:style w:type="character" w:customStyle="1" w:styleId="Titre2Car">
    <w:name w:val="Titre 2 Car"/>
    <w:basedOn w:val="Policepardfaut"/>
    <w:link w:val="Titre2"/>
    <w:rsid w:val="00247896"/>
    <w:rPr>
      <w:rFonts w:ascii="Arial" w:hAnsi="Arial" w:cs="Times New Roman"/>
      <w:b/>
      <w:lang w:val="fr-FR" w:eastAsia="fr-FR"/>
    </w:rPr>
  </w:style>
  <w:style w:type="paragraph" w:styleId="Lgende">
    <w:name w:val="caption"/>
    <w:basedOn w:val="Normal"/>
    <w:next w:val="Normal"/>
    <w:autoRedefine/>
    <w:uiPriority w:val="35"/>
    <w:unhideWhenUsed/>
    <w:qFormat/>
    <w:rsid w:val="00247896"/>
    <w:pPr>
      <w:jc w:val="both"/>
    </w:pPr>
    <w:rPr>
      <w:rFonts w:ascii="Arial" w:hAnsi="Arial" w:cs="Times New Roman"/>
      <w:bCs/>
      <w:color w:val="4F81BD" w:themeColor="accent1"/>
      <w:sz w:val="20"/>
      <w:szCs w:val="18"/>
      <w:lang w:val="fr-FR" w:eastAsia="fr-FR"/>
    </w:rPr>
  </w:style>
  <w:style w:type="paragraph" w:styleId="Sous-titre">
    <w:name w:val="Subtitle"/>
    <w:basedOn w:val="Normal"/>
    <w:next w:val="Normal"/>
    <w:link w:val="Sous-titreCar"/>
    <w:autoRedefine/>
    <w:uiPriority w:val="11"/>
    <w:qFormat/>
    <w:rsid w:val="00247896"/>
    <w:pPr>
      <w:numPr>
        <w:ilvl w:val="1"/>
      </w:numPr>
      <w:spacing w:after="0"/>
      <w:jc w:val="both"/>
    </w:pPr>
    <w:rPr>
      <w:rFonts w:ascii="Arial" w:eastAsiaTheme="majorEastAsia" w:hAnsi="Arial" w:cstheme="majorBidi"/>
      <w:i/>
      <w:iCs/>
      <w:color w:val="4F81BD" w:themeColor="accent1"/>
      <w:spacing w:val="15"/>
      <w:lang w:eastAsia="fr-FR"/>
    </w:rPr>
  </w:style>
  <w:style w:type="character" w:customStyle="1" w:styleId="Sous-titreCar">
    <w:name w:val="Sous-titre Car"/>
    <w:basedOn w:val="Policepardfaut"/>
    <w:link w:val="Sous-titre"/>
    <w:uiPriority w:val="11"/>
    <w:rsid w:val="00247896"/>
    <w:rPr>
      <w:rFonts w:ascii="Arial" w:eastAsiaTheme="majorEastAsia" w:hAnsi="Arial" w:cstheme="majorBidi"/>
      <w:i/>
      <w:iCs/>
      <w:color w:val="4F81BD" w:themeColor="accent1"/>
      <w:spacing w:val="15"/>
      <w:lang w:eastAsia="fr-FR"/>
    </w:rPr>
  </w:style>
  <w:style w:type="numbering" w:styleId="111111">
    <w:name w:val="Outline List 2"/>
    <w:basedOn w:val="Aucuneliste"/>
    <w:rsid w:val="00D54195"/>
    <w:pPr>
      <w:numPr>
        <w:numId w:val="5"/>
      </w:numPr>
    </w:pPr>
  </w:style>
  <w:style w:type="paragraph" w:customStyle="1" w:styleId="Bibliography">
    <w:name w:val="Bibliography"/>
    <w:basedOn w:val="Normal"/>
    <w:rsid w:val="001243DB"/>
    <w:pPr>
      <w:tabs>
        <w:tab w:val="left" w:pos="500"/>
      </w:tabs>
      <w:spacing w:after="240"/>
      <w:ind w:left="504" w:hanging="504"/>
      <w:jc w:val="both"/>
    </w:pPr>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5634</Words>
  <Characters>30992</Characters>
  <Application>Microsoft Macintosh Word</Application>
  <DocSecurity>0</DocSecurity>
  <Lines>258</Lines>
  <Paragraphs>73</Paragraphs>
  <ScaleCrop>false</ScaleCrop>
  <Company/>
  <LinksUpToDate>false</LinksUpToDate>
  <CharactersWithSpaces>36553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Anne-Sophie LAMBERT</dc:creator>
  <cp:keywords/>
  <dc:description/>
  <cp:lastModifiedBy>Anne-Sophie LAMBERT</cp:lastModifiedBy>
  <cp:revision>2</cp:revision>
  <dcterms:created xsi:type="dcterms:W3CDTF">2016-01-07T11:50:00Z</dcterms:created>
  <dcterms:modified xsi:type="dcterms:W3CDTF">2016-01-08T06:29:00Z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zotero-version="4.0.28.10"&gt;&lt;session id="Ti4wuwgz"/&gt;&lt;style id="http://www.zotero.org/styles/vancouver" locale="fr-FR" hasBibliography="1" bibliographyStyleHasBeenSet="1"/&gt;&lt;prefs&gt;&lt;pref name="fieldType" value="Field"/&gt;&lt;pref name="store</vt:lpwstr>
  </property>
  <property fmtid="{D5CDD505-2E9C-101B-9397-08002B2CF9AE}" pid="3" name="ZOTERO_PREF_2">
    <vt:lpwstr>References" value="true"/&gt;&lt;pref name="automaticJournalAbbreviations" value="true"/&gt;&lt;pref name="noteType" value=""/&gt;&lt;/prefs&gt;&lt;/data&gt;</vt:lpwstr>
  </property>
</Properties>
</file>