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6E" w:rsidRDefault="00DB7B6E" w:rsidP="00DB7B6E">
      <w:pPr>
        <w:rPr>
          <w:b/>
        </w:rPr>
      </w:pPr>
      <w:r>
        <w:rPr>
          <w:b/>
        </w:rPr>
        <w:t>Additional File 2. Modified Risk of Bias tool</w:t>
      </w:r>
    </w:p>
    <w:p w:rsidR="00524C72" w:rsidRDefault="00524C72" w:rsidP="00DB7B6E">
      <w:pPr>
        <w:rPr>
          <w:b/>
        </w:rPr>
      </w:pPr>
    </w:p>
    <w:p w:rsidR="00DB7B6E" w:rsidRPr="00DB7B6E" w:rsidRDefault="00DB7B6E" w:rsidP="00DB7B6E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3230"/>
        <w:gridCol w:w="3941"/>
      </w:tblGrid>
      <w:tr w:rsidR="00DB7B6E" w:rsidRPr="005409B0" w:rsidTr="0019769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B7B6E" w:rsidRPr="00D80085" w:rsidRDefault="00DB7B6E" w:rsidP="00DB7B6E">
            <w:pPr>
              <w:rPr>
                <w:b/>
                <w:sz w:val="20"/>
                <w:szCs w:val="20"/>
              </w:rPr>
            </w:pPr>
            <w:r w:rsidRPr="00D80085">
              <w:rPr>
                <w:b/>
                <w:sz w:val="20"/>
                <w:szCs w:val="20"/>
              </w:rPr>
              <w:t>Source of bias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B7B6E" w:rsidRPr="00A45320" w:rsidRDefault="00DB7B6E" w:rsidP="00DB7B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Criteria for a judgment of “yes”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B7B6E" w:rsidRPr="00A45320" w:rsidRDefault="00DB7B6E" w:rsidP="00DB7B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Criteria for a judgment of “no”</w:t>
            </w:r>
          </w:p>
        </w:tc>
      </w:tr>
      <w:tr w:rsidR="0019769C" w:rsidRPr="005409B0" w:rsidTr="0019769C">
        <w:tc>
          <w:tcPr>
            <w:tcW w:w="0" w:type="auto"/>
          </w:tcPr>
          <w:p w:rsidR="0019769C" w:rsidRPr="005409B0" w:rsidRDefault="0019769C" w:rsidP="0019769C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5409B0">
              <w:rPr>
                <w:b/>
                <w:sz w:val="20"/>
                <w:szCs w:val="20"/>
              </w:rPr>
              <w:t xml:space="preserve">Was the </w:t>
            </w:r>
            <w:proofErr w:type="spellStart"/>
            <w:r w:rsidRPr="005409B0">
              <w:rPr>
                <w:b/>
                <w:sz w:val="20"/>
                <w:szCs w:val="20"/>
              </w:rPr>
              <w:t>randomisation</w:t>
            </w:r>
            <w:proofErr w:type="spellEnd"/>
            <w:r w:rsidRPr="005409B0">
              <w:rPr>
                <w:b/>
                <w:sz w:val="20"/>
                <w:szCs w:val="20"/>
              </w:rPr>
              <w:t xml:space="preserve"> procedure adequate? </w:t>
            </w:r>
          </w:p>
        </w:tc>
        <w:tc>
          <w:tcPr>
            <w:tcW w:w="0" w:type="auto"/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YES</w:t>
            </w:r>
            <w:r w:rsidRPr="005409B0">
              <w:rPr>
                <w:i/>
                <w:sz w:val="20"/>
                <w:szCs w:val="20"/>
              </w:rPr>
              <w:t xml:space="preserve"> – A random component in the sequence generation process is used, such as: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4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Using to a random number table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4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Using a computer random number generator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4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Tossing a coin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4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Shuffling cards or envelopes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4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Throwing dice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4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Drawing lots</w:t>
            </w:r>
          </w:p>
          <w:p w:rsidR="0019769C" w:rsidRDefault="0019769C" w:rsidP="0019769C">
            <w:pPr>
              <w:pStyle w:val="ListParagraph"/>
              <w:numPr>
                <w:ilvl w:val="0"/>
                <w:numId w:val="4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proofErr w:type="spellStart"/>
            <w:r w:rsidRPr="005409B0">
              <w:rPr>
                <w:i/>
                <w:sz w:val="20"/>
                <w:szCs w:val="20"/>
              </w:rPr>
              <w:t>Minimisation</w:t>
            </w:r>
            <w:proofErr w:type="spellEnd"/>
          </w:p>
          <w:p w:rsidR="0019769C" w:rsidRDefault="0019769C" w:rsidP="0019769C">
            <w:pPr>
              <w:pStyle w:val="ListParagraph"/>
              <w:numPr>
                <w:ilvl w:val="0"/>
                <w:numId w:val="4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Randomisation</w:t>
            </w:r>
            <w:proofErr w:type="spellEnd"/>
            <w:r>
              <w:rPr>
                <w:i/>
                <w:sz w:val="20"/>
                <w:szCs w:val="20"/>
              </w:rPr>
              <w:t xml:space="preserve"> generated by outside statistician/central group 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4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Random permuted block scheme</w:t>
            </w:r>
          </w:p>
          <w:p w:rsidR="0019769C" w:rsidRPr="005409B0" w:rsidRDefault="0019769C" w:rsidP="00630215">
            <w:pPr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 xml:space="preserve">NO </w:t>
            </w:r>
            <w:r w:rsidRPr="005409B0">
              <w:rPr>
                <w:i/>
                <w:sz w:val="20"/>
                <w:szCs w:val="20"/>
              </w:rPr>
              <w:t>– a non-random component is used in the allocation process, such as: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1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Sequence generated using odd or even date of birth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1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Sequence based on a rule based on date of admission or hospital number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1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Allocation decision is made by clinician or participant</w:t>
            </w:r>
          </w:p>
          <w:p w:rsidR="0019769C" w:rsidRPr="0019769C" w:rsidRDefault="0019769C" w:rsidP="0019769C">
            <w:pPr>
              <w:pStyle w:val="ListParagraph"/>
              <w:numPr>
                <w:ilvl w:val="0"/>
                <w:numId w:val="1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Allocation is based on clinical or laboratory test findings</w:t>
            </w:r>
          </w:p>
        </w:tc>
      </w:tr>
      <w:tr w:rsidR="0019769C" w:rsidRPr="005409B0" w:rsidTr="0019769C">
        <w:tc>
          <w:tcPr>
            <w:tcW w:w="0" w:type="auto"/>
            <w:tcBorders>
              <w:bottom w:val="single" w:sz="4" w:space="0" w:color="auto"/>
            </w:tcBorders>
          </w:tcPr>
          <w:p w:rsidR="0019769C" w:rsidRPr="00686510" w:rsidRDefault="0019769C" w:rsidP="00630215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19769C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Unclear</w:t>
            </w:r>
            <w:r>
              <w:rPr>
                <w:i/>
                <w:sz w:val="20"/>
                <w:szCs w:val="20"/>
              </w:rPr>
              <w:t xml:space="preserve"> – Study uses statements such as “we randomly allocated” or “using a </w:t>
            </w:r>
            <w:proofErr w:type="spellStart"/>
            <w:r>
              <w:rPr>
                <w:i/>
                <w:sz w:val="20"/>
                <w:szCs w:val="20"/>
              </w:rPr>
              <w:t>randomised</w:t>
            </w:r>
            <w:proofErr w:type="spellEnd"/>
            <w:r>
              <w:rPr>
                <w:i/>
                <w:sz w:val="20"/>
                <w:szCs w:val="20"/>
              </w:rPr>
              <w:t xml:space="preserve"> design”, but insufficient detail is given of the process to allow a decision to be made regarding the adequacy of the method. </w:t>
            </w:r>
          </w:p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</w:p>
        </w:tc>
      </w:tr>
      <w:tr w:rsidR="0019769C" w:rsidRPr="005409B0" w:rsidTr="0019769C"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19769C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5409B0">
              <w:rPr>
                <w:b/>
                <w:sz w:val="20"/>
                <w:szCs w:val="20"/>
              </w:rPr>
              <w:t>Was the treatment allocation adequately concealed?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YES</w:t>
            </w:r>
            <w:r w:rsidRPr="005409B0">
              <w:rPr>
                <w:i/>
                <w:sz w:val="20"/>
                <w:szCs w:val="20"/>
              </w:rPr>
              <w:t xml:space="preserve"> – participants and physicians could not foresee allocation assignment, because an adequate method was used to conceal allocation. Adequate allocation concealment methods include: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5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Central allocation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5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Identical drug containers are sequentially numbered</w:t>
            </w:r>
          </w:p>
          <w:p w:rsidR="0019769C" w:rsidRDefault="0019769C" w:rsidP="0019769C">
            <w:pPr>
              <w:pStyle w:val="ListParagraph"/>
              <w:numPr>
                <w:ilvl w:val="0"/>
                <w:numId w:val="5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Opaque, sealed, sequentially numbered assignment envelopes are used</w:t>
            </w:r>
          </w:p>
          <w:p w:rsidR="0019769C" w:rsidRDefault="0019769C" w:rsidP="0019769C">
            <w:pPr>
              <w:pStyle w:val="ListParagraph"/>
              <w:numPr>
                <w:ilvl w:val="0"/>
                <w:numId w:val="5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Remotely labelled study kit with no indication of treatment within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5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Statement that allocation was concealed from investigators</w:t>
            </w:r>
          </w:p>
          <w:p w:rsidR="0019769C" w:rsidRPr="005409B0" w:rsidRDefault="0019769C" w:rsidP="00630215">
            <w:pPr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NO</w:t>
            </w:r>
            <w:r w:rsidRPr="005409B0">
              <w:rPr>
                <w:i/>
                <w:sz w:val="20"/>
                <w:szCs w:val="20"/>
              </w:rPr>
              <w:t xml:space="preserve"> – participants or physicians could potentially foresee allocation. Inadequate allocation concealment procedures include: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2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The use of an open random allocation schedule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2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Assignment envelopes are not appropriate, such that envelopes may be unsealed, not sequentially numbered, or see-through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2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Rotation or alternation</w:t>
            </w:r>
          </w:p>
          <w:p w:rsidR="0019769C" w:rsidRPr="0019769C" w:rsidRDefault="0019769C" w:rsidP="00630215">
            <w:pPr>
              <w:pStyle w:val="ListParagraph"/>
              <w:numPr>
                <w:ilvl w:val="0"/>
                <w:numId w:val="2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 xml:space="preserve">Methods based on date of birth, case record number, or other patient identifiers </w:t>
            </w:r>
          </w:p>
        </w:tc>
      </w:tr>
      <w:tr w:rsidR="0019769C" w:rsidRPr="005409B0" w:rsidTr="0019769C">
        <w:tc>
          <w:tcPr>
            <w:tcW w:w="0" w:type="auto"/>
            <w:tcBorders>
              <w:bottom w:val="single" w:sz="4" w:space="0" w:color="auto"/>
            </w:tcBorders>
          </w:tcPr>
          <w:p w:rsidR="0019769C" w:rsidRPr="00FE5DAB" w:rsidRDefault="0019769C" w:rsidP="00630215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19769C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 xml:space="preserve">Unclear </w:t>
            </w:r>
            <w:r>
              <w:rPr>
                <w:i/>
                <w:sz w:val="20"/>
                <w:szCs w:val="20"/>
              </w:rPr>
              <w:t>– No mention of precautions taken to conceal treatment allocation.</w:t>
            </w:r>
          </w:p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</w:p>
        </w:tc>
      </w:tr>
      <w:tr w:rsidR="0019769C" w:rsidRPr="005409B0" w:rsidTr="0019769C"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19769C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5409B0">
              <w:rPr>
                <w:b/>
                <w:sz w:val="20"/>
                <w:szCs w:val="20"/>
              </w:rPr>
              <w:t>Were participants blinded to the intervention?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9769C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YES</w:t>
            </w:r>
            <w:r w:rsidRPr="005409B0">
              <w:rPr>
                <w:i/>
                <w:sz w:val="20"/>
                <w:szCs w:val="20"/>
              </w:rPr>
              <w:t xml:space="preserve"> – patients were adequately blinded and it is unlikely that the blinding could be broken</w:t>
            </w:r>
            <w:r>
              <w:rPr>
                <w:i/>
                <w:sz w:val="20"/>
                <w:szCs w:val="20"/>
              </w:rPr>
              <w:t xml:space="preserve">. A statement describing that the treatments were identical or “matched” is expected to allow a decision. </w:t>
            </w:r>
          </w:p>
          <w:p w:rsidR="00524C72" w:rsidRPr="005409B0" w:rsidRDefault="00524C72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 xml:space="preserve">NO </w:t>
            </w:r>
            <w:r w:rsidRPr="005409B0">
              <w:rPr>
                <w:i/>
                <w:sz w:val="20"/>
                <w:szCs w:val="20"/>
              </w:rPr>
              <w:t>– No blinding, incomplete blinding, or blinding attempted but likely to have been broken</w:t>
            </w:r>
          </w:p>
          <w:p w:rsidR="0019769C" w:rsidRPr="005409B0" w:rsidRDefault="0019769C" w:rsidP="00630215">
            <w:pPr>
              <w:rPr>
                <w:i/>
                <w:sz w:val="20"/>
                <w:szCs w:val="20"/>
              </w:rPr>
            </w:pPr>
          </w:p>
        </w:tc>
      </w:tr>
      <w:tr w:rsidR="0019769C" w:rsidRPr="00EE232D" w:rsidTr="0019769C">
        <w:tc>
          <w:tcPr>
            <w:tcW w:w="0" w:type="auto"/>
            <w:tcBorders>
              <w:bottom w:val="single" w:sz="4" w:space="0" w:color="auto"/>
            </w:tcBorders>
          </w:tcPr>
          <w:p w:rsidR="0019769C" w:rsidRPr="00EE232D" w:rsidRDefault="0019769C" w:rsidP="00630215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19769C" w:rsidRPr="00EE232D" w:rsidRDefault="0019769C" w:rsidP="00524C72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Unclear</w:t>
            </w:r>
            <w:r w:rsidRPr="00EE232D">
              <w:rPr>
                <w:i/>
                <w:sz w:val="20"/>
                <w:szCs w:val="20"/>
              </w:rPr>
              <w:t xml:space="preserve"> – Study reported as single- or double-blinded but no description o</w:t>
            </w:r>
            <w:r w:rsidR="00524C72">
              <w:rPr>
                <w:i/>
                <w:sz w:val="20"/>
                <w:szCs w:val="20"/>
              </w:rPr>
              <w:t>f the process of blinding, thereby</w:t>
            </w:r>
            <w:r w:rsidRPr="00EE232D">
              <w:rPr>
                <w:i/>
                <w:sz w:val="20"/>
                <w:szCs w:val="20"/>
              </w:rPr>
              <w:t xml:space="preserve"> not allowing a decision to be made regarding the adequacy.</w:t>
            </w:r>
          </w:p>
        </w:tc>
      </w:tr>
      <w:tr w:rsidR="0019769C" w:rsidRPr="005409B0" w:rsidTr="0019769C"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19769C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5409B0">
              <w:rPr>
                <w:b/>
                <w:sz w:val="20"/>
                <w:szCs w:val="20"/>
              </w:rPr>
              <w:lastRenderedPageBreak/>
              <w:t>Were physicians blinded to the intervention?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9769C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YES</w:t>
            </w:r>
            <w:r w:rsidRPr="005409B0">
              <w:rPr>
                <w:i/>
                <w:sz w:val="20"/>
                <w:szCs w:val="20"/>
              </w:rPr>
              <w:t xml:space="preserve"> – physicians were adequately blinded and it is unlikely that the blinding could be broken</w:t>
            </w:r>
            <w:r>
              <w:rPr>
                <w:i/>
                <w:sz w:val="20"/>
                <w:szCs w:val="20"/>
              </w:rPr>
              <w:t>. If the treatments are identical a statement that the physicians were blinded allows a yes</w:t>
            </w:r>
          </w:p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 xml:space="preserve">NO </w:t>
            </w:r>
            <w:r w:rsidRPr="005409B0">
              <w:rPr>
                <w:i/>
                <w:sz w:val="20"/>
                <w:szCs w:val="20"/>
              </w:rPr>
              <w:t>– No blinding, incomplete blinding, or blinding attempted but likely to have been broken</w:t>
            </w:r>
          </w:p>
          <w:p w:rsidR="0019769C" w:rsidRPr="005409B0" w:rsidRDefault="0019769C" w:rsidP="00630215">
            <w:pPr>
              <w:rPr>
                <w:i/>
                <w:sz w:val="20"/>
                <w:szCs w:val="20"/>
              </w:rPr>
            </w:pPr>
          </w:p>
        </w:tc>
      </w:tr>
      <w:tr w:rsidR="0019769C" w:rsidRPr="005409B0" w:rsidTr="0019769C">
        <w:tc>
          <w:tcPr>
            <w:tcW w:w="0" w:type="auto"/>
            <w:tcBorders>
              <w:bottom w:val="single" w:sz="4" w:space="0" w:color="auto"/>
            </w:tcBorders>
          </w:tcPr>
          <w:p w:rsidR="0019769C" w:rsidRPr="00EE232D" w:rsidRDefault="0019769C" w:rsidP="00630215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19769C" w:rsidRPr="00EE232D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 xml:space="preserve">Unclear </w:t>
            </w:r>
            <w:r w:rsidRPr="00EE232D">
              <w:rPr>
                <w:i/>
                <w:sz w:val="20"/>
                <w:szCs w:val="20"/>
              </w:rPr>
              <w:t>– Study reported as single- or double-blinded but no description o</w:t>
            </w:r>
            <w:r w:rsidR="00524C72">
              <w:rPr>
                <w:i/>
                <w:sz w:val="20"/>
                <w:szCs w:val="20"/>
              </w:rPr>
              <w:t>f the process of blinding, thereby</w:t>
            </w:r>
            <w:r w:rsidRPr="00EE232D">
              <w:rPr>
                <w:i/>
                <w:sz w:val="20"/>
                <w:szCs w:val="20"/>
              </w:rPr>
              <w:t xml:space="preserve"> not allowing a decision to be made regarding the adequacy.</w:t>
            </w:r>
          </w:p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</w:p>
        </w:tc>
      </w:tr>
      <w:tr w:rsidR="0019769C" w:rsidRPr="005409B0" w:rsidTr="0019769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9769C" w:rsidRPr="005409B0" w:rsidRDefault="0019769C" w:rsidP="0019769C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5409B0">
              <w:rPr>
                <w:b/>
                <w:sz w:val="20"/>
                <w:szCs w:val="20"/>
              </w:rPr>
              <w:t>Were outcome assessors blinded to the intervention?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YES</w:t>
            </w:r>
            <w:r w:rsidRPr="005409B0">
              <w:rPr>
                <w:i/>
                <w:sz w:val="20"/>
                <w:szCs w:val="20"/>
              </w:rPr>
              <w:t xml:space="preserve"> – treatment choice is not evident when measuring outcome. 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6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 xml:space="preserve">If outcome is patient-reported, then the answer for “Were participants blinded to the intervention?” will be the same for this question. 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6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For physician-assessed outcomes, this is dependent on whether the treatment allocation can be identified from examination of the patient or their tests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 xml:space="preserve">NO </w:t>
            </w:r>
            <w:r w:rsidRPr="005409B0">
              <w:rPr>
                <w:i/>
                <w:sz w:val="20"/>
                <w:szCs w:val="20"/>
              </w:rPr>
              <w:t>– treatment choice is likely to be evident when measuring outcome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7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 xml:space="preserve">If outcome is patient-reported, then the answer for “Were participants blinded to the intervention?” will be the same for this question. 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7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For physician-assessed outcomes, this is dependent on whether the treatment allocation can be identified from examination of the patient or their tests</w:t>
            </w:r>
          </w:p>
          <w:p w:rsidR="0019769C" w:rsidRPr="005409B0" w:rsidRDefault="0019769C" w:rsidP="00630215">
            <w:pPr>
              <w:rPr>
                <w:i/>
                <w:sz w:val="20"/>
                <w:szCs w:val="20"/>
              </w:rPr>
            </w:pPr>
          </w:p>
        </w:tc>
      </w:tr>
      <w:tr w:rsidR="0019769C" w:rsidRPr="005409B0" w:rsidTr="0019769C"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19769C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5409B0">
              <w:rPr>
                <w:b/>
                <w:sz w:val="20"/>
                <w:szCs w:val="20"/>
              </w:rPr>
              <w:t xml:space="preserve">Incomplete outcome data: Is the </w:t>
            </w:r>
            <w:r>
              <w:rPr>
                <w:b/>
                <w:sz w:val="20"/>
                <w:szCs w:val="20"/>
              </w:rPr>
              <w:t>attrition</w:t>
            </w:r>
            <w:r w:rsidRPr="005409B0">
              <w:rPr>
                <w:b/>
                <w:sz w:val="20"/>
                <w:szCs w:val="20"/>
              </w:rPr>
              <w:t xml:space="preserve"> rate &lt;15%?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 xml:space="preserve">YES </w:t>
            </w:r>
            <w:r w:rsidRPr="005409B0">
              <w:rPr>
                <w:i/>
                <w:sz w:val="20"/>
                <w:szCs w:val="20"/>
              </w:rPr>
              <w:t>– drop-out rate is less than 15%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 xml:space="preserve">NO </w:t>
            </w:r>
            <w:r w:rsidRPr="005409B0">
              <w:rPr>
                <w:i/>
                <w:sz w:val="20"/>
                <w:szCs w:val="20"/>
              </w:rPr>
              <w:t>– drop-out rate is greater than 15%</w:t>
            </w:r>
          </w:p>
          <w:p w:rsidR="0019769C" w:rsidRPr="005409B0" w:rsidRDefault="0019769C" w:rsidP="00630215">
            <w:pPr>
              <w:rPr>
                <w:i/>
                <w:sz w:val="20"/>
                <w:szCs w:val="20"/>
              </w:rPr>
            </w:pPr>
          </w:p>
        </w:tc>
      </w:tr>
      <w:tr w:rsidR="0019769C" w:rsidRPr="005409B0" w:rsidTr="0019769C">
        <w:tc>
          <w:tcPr>
            <w:tcW w:w="0" w:type="auto"/>
            <w:tcBorders>
              <w:bottom w:val="single" w:sz="4" w:space="0" w:color="auto"/>
            </w:tcBorders>
          </w:tcPr>
          <w:p w:rsidR="0019769C" w:rsidRPr="005409B0" w:rsidRDefault="0019769C" w:rsidP="00630215">
            <w:pPr>
              <w:pStyle w:val="ListParagraph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19769C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Unclear</w:t>
            </w:r>
            <w:r>
              <w:rPr>
                <w:i/>
                <w:sz w:val="20"/>
                <w:szCs w:val="20"/>
              </w:rPr>
              <w:t xml:space="preserve"> – flow of patients not given. Unable to ascertain number of withdrawals</w:t>
            </w:r>
          </w:p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</w:p>
        </w:tc>
      </w:tr>
      <w:tr w:rsidR="0019769C" w:rsidRPr="005B5296" w:rsidTr="0019769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9769C" w:rsidRPr="005409B0" w:rsidRDefault="0019769C" w:rsidP="0019769C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5409B0">
              <w:rPr>
                <w:b/>
                <w:sz w:val="20"/>
                <w:szCs w:val="20"/>
              </w:rPr>
              <w:t>Are all pre-specified outcomes of interest reported in the pre-specified way?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 xml:space="preserve">YES </w:t>
            </w:r>
            <w:r w:rsidRPr="005409B0">
              <w:rPr>
                <w:i/>
                <w:sz w:val="20"/>
                <w:szCs w:val="20"/>
              </w:rPr>
              <w:t>– all the study’s pre-specified outcomes of interest are reported in the pre-specified way</w:t>
            </w:r>
          </w:p>
          <w:p w:rsidR="0019769C" w:rsidRPr="005409B0" w:rsidRDefault="0019769C" w:rsidP="00630215">
            <w:pPr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 xml:space="preserve">NO </w:t>
            </w:r>
            <w:r w:rsidRPr="005409B0">
              <w:rPr>
                <w:i/>
                <w:sz w:val="20"/>
                <w:szCs w:val="20"/>
              </w:rPr>
              <w:t>– Outcome measures were not pre</w:t>
            </w:r>
            <w:r>
              <w:rPr>
                <w:i/>
                <w:sz w:val="20"/>
                <w:szCs w:val="20"/>
              </w:rPr>
              <w:t>-</w:t>
            </w:r>
            <w:r w:rsidRPr="005409B0">
              <w:rPr>
                <w:i/>
                <w:sz w:val="20"/>
                <w:szCs w:val="20"/>
              </w:rPr>
              <w:t>specified, such as: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3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Not all the pre-specified outcomes have been reported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3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Outcomes are not reported using the measurements or methods pre-specified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3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Outcomes reported had not been pre-specified</w:t>
            </w:r>
            <w:r>
              <w:rPr>
                <w:i/>
                <w:sz w:val="20"/>
                <w:szCs w:val="20"/>
              </w:rPr>
              <w:t>, such as post-hoc analyses</w:t>
            </w:r>
          </w:p>
          <w:p w:rsidR="0019769C" w:rsidRPr="005409B0" w:rsidRDefault="0019769C" w:rsidP="0019769C">
            <w:pPr>
              <w:pStyle w:val="ListParagraph"/>
              <w:numPr>
                <w:ilvl w:val="0"/>
                <w:numId w:val="3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Outcomes of interest have been incompletely reported</w:t>
            </w:r>
          </w:p>
          <w:p w:rsidR="0019769C" w:rsidRPr="005B5296" w:rsidRDefault="0019769C" w:rsidP="0019769C">
            <w:pPr>
              <w:pStyle w:val="ListParagraph"/>
              <w:numPr>
                <w:ilvl w:val="0"/>
                <w:numId w:val="3"/>
              </w:num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5409B0">
              <w:rPr>
                <w:i/>
                <w:sz w:val="20"/>
                <w:szCs w:val="20"/>
              </w:rPr>
              <w:t>The report does not report outcomes that would be expected from such a study</w:t>
            </w:r>
          </w:p>
        </w:tc>
      </w:tr>
      <w:tr w:rsidR="0019769C" w:rsidRPr="005409B0" w:rsidTr="0019769C">
        <w:trPr>
          <w:gridAfter w:val="2"/>
        </w:trPr>
        <w:tc>
          <w:tcPr>
            <w:tcW w:w="0" w:type="auto"/>
          </w:tcPr>
          <w:p w:rsidR="0019769C" w:rsidRPr="0019769C" w:rsidRDefault="0019769C" w:rsidP="0019769C">
            <w:pPr>
              <w:rPr>
                <w:b/>
                <w:sz w:val="20"/>
                <w:szCs w:val="20"/>
              </w:rPr>
            </w:pPr>
          </w:p>
        </w:tc>
      </w:tr>
      <w:tr w:rsidR="0019769C" w:rsidRPr="005409B0" w:rsidTr="0019769C">
        <w:tc>
          <w:tcPr>
            <w:tcW w:w="0" w:type="auto"/>
          </w:tcPr>
          <w:p w:rsidR="0019769C" w:rsidRPr="005409B0" w:rsidRDefault="0019769C" w:rsidP="0019769C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5409B0">
              <w:rPr>
                <w:b/>
                <w:sz w:val="20"/>
                <w:szCs w:val="20"/>
              </w:rPr>
              <w:t>Was intention-to-treat analysis used?</w:t>
            </w:r>
          </w:p>
        </w:tc>
        <w:tc>
          <w:tcPr>
            <w:tcW w:w="0" w:type="auto"/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YES</w:t>
            </w:r>
            <w:r w:rsidRPr="005409B0">
              <w:rPr>
                <w:i/>
                <w:sz w:val="20"/>
                <w:szCs w:val="20"/>
              </w:rPr>
              <w:t xml:space="preserve"> – all </w:t>
            </w:r>
            <w:proofErr w:type="spellStart"/>
            <w:r w:rsidRPr="005409B0">
              <w:rPr>
                <w:i/>
                <w:sz w:val="20"/>
                <w:szCs w:val="20"/>
              </w:rPr>
              <w:t>randomised</w:t>
            </w:r>
            <w:proofErr w:type="spellEnd"/>
            <w:r w:rsidRPr="005409B0">
              <w:rPr>
                <w:i/>
                <w:sz w:val="20"/>
                <w:szCs w:val="20"/>
              </w:rPr>
              <w:t xml:space="preserve"> participants are </w:t>
            </w:r>
            <w:proofErr w:type="spellStart"/>
            <w:r w:rsidRPr="005409B0">
              <w:rPr>
                <w:i/>
                <w:sz w:val="20"/>
                <w:szCs w:val="20"/>
              </w:rPr>
              <w:t>analysed</w:t>
            </w:r>
            <w:proofErr w:type="spellEnd"/>
            <w:r w:rsidRPr="005409B0">
              <w:rPr>
                <w:i/>
                <w:sz w:val="20"/>
                <w:szCs w:val="20"/>
              </w:rPr>
              <w:t xml:space="preserve"> according to the group they were allocated to, regardless of non-compliance, protocol violations, drop-outs etc</w:t>
            </w:r>
            <w:r>
              <w:rPr>
                <w:i/>
                <w:sz w:val="20"/>
                <w:szCs w:val="20"/>
              </w:rPr>
              <w:t xml:space="preserve">. </w:t>
            </w:r>
          </w:p>
          <w:p w:rsidR="0019769C" w:rsidRPr="005409B0" w:rsidRDefault="0019769C" w:rsidP="00630215">
            <w:pPr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 xml:space="preserve">NO </w:t>
            </w:r>
            <w:r w:rsidRPr="005409B0">
              <w:rPr>
                <w:i/>
                <w:sz w:val="20"/>
                <w:szCs w:val="20"/>
              </w:rPr>
              <w:t xml:space="preserve">– </w:t>
            </w:r>
            <w:r>
              <w:rPr>
                <w:i/>
                <w:sz w:val="20"/>
                <w:szCs w:val="20"/>
              </w:rPr>
              <w:t>the study states that ITT was used, but patients have been excluded from analysis, post-</w:t>
            </w:r>
            <w:proofErr w:type="spellStart"/>
            <w:r>
              <w:rPr>
                <w:i/>
                <w:sz w:val="20"/>
                <w:szCs w:val="20"/>
              </w:rPr>
              <w:t>randomisation</w:t>
            </w:r>
            <w:proofErr w:type="spellEnd"/>
            <w:r>
              <w:rPr>
                <w:i/>
                <w:sz w:val="20"/>
                <w:szCs w:val="20"/>
              </w:rPr>
              <w:t xml:space="preserve">, for variety of reasons. Alternatively, </w:t>
            </w:r>
            <w:r w:rsidRPr="005409B0">
              <w:rPr>
                <w:i/>
                <w:sz w:val="20"/>
                <w:szCs w:val="20"/>
              </w:rPr>
              <w:t xml:space="preserve">per-protocol analysis is used to </w:t>
            </w:r>
            <w:proofErr w:type="spellStart"/>
            <w:r w:rsidRPr="005409B0">
              <w:rPr>
                <w:i/>
                <w:sz w:val="20"/>
                <w:szCs w:val="20"/>
              </w:rPr>
              <w:t>analyse</w:t>
            </w:r>
            <w:proofErr w:type="spellEnd"/>
            <w:r w:rsidRPr="005409B0">
              <w:rPr>
                <w:i/>
                <w:sz w:val="20"/>
                <w:szCs w:val="20"/>
              </w:rPr>
              <w:t xml:space="preserve"> only participants that adhered fully to their allocated treatment, excluding any drop-outs or moves between treatment groups</w:t>
            </w:r>
            <w:r>
              <w:rPr>
                <w:i/>
                <w:sz w:val="20"/>
                <w:szCs w:val="20"/>
              </w:rPr>
              <w:t xml:space="preserve">.  </w:t>
            </w:r>
          </w:p>
          <w:p w:rsidR="0019769C" w:rsidRPr="005409B0" w:rsidRDefault="0019769C" w:rsidP="00630215">
            <w:pPr>
              <w:rPr>
                <w:i/>
                <w:sz w:val="20"/>
                <w:szCs w:val="20"/>
              </w:rPr>
            </w:pPr>
          </w:p>
        </w:tc>
      </w:tr>
      <w:tr w:rsidR="0019769C" w:rsidRPr="005409B0" w:rsidTr="0019769C">
        <w:tc>
          <w:tcPr>
            <w:tcW w:w="0" w:type="auto"/>
            <w:tcBorders>
              <w:bottom w:val="single" w:sz="4" w:space="0" w:color="auto"/>
            </w:tcBorders>
          </w:tcPr>
          <w:p w:rsidR="0019769C" w:rsidRPr="005409B0" w:rsidRDefault="0019769C" w:rsidP="00630215">
            <w:pPr>
              <w:pStyle w:val="ListParagraph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19769C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Unclear</w:t>
            </w:r>
            <w:r>
              <w:rPr>
                <w:i/>
                <w:sz w:val="20"/>
                <w:szCs w:val="20"/>
              </w:rPr>
              <w:t xml:space="preserve"> – does not mention if ITT or PP used and n for each outcome not presented</w:t>
            </w:r>
          </w:p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</w:p>
        </w:tc>
      </w:tr>
      <w:tr w:rsidR="0019769C" w:rsidRPr="005409B0" w:rsidTr="0019769C"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19769C">
            <w:pPr>
              <w:pStyle w:val="ListParagraph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5409B0">
              <w:rPr>
                <w:b/>
                <w:sz w:val="20"/>
                <w:szCs w:val="20"/>
              </w:rPr>
              <w:t xml:space="preserve">Were the treatment and </w:t>
            </w:r>
            <w:r w:rsidRPr="005409B0">
              <w:rPr>
                <w:b/>
                <w:sz w:val="20"/>
                <w:szCs w:val="20"/>
              </w:rPr>
              <w:lastRenderedPageBreak/>
              <w:t>control group similar at baseline?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9769C" w:rsidRPr="005409B0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lastRenderedPageBreak/>
              <w:t>YES</w:t>
            </w:r>
            <w:r w:rsidRPr="005409B0">
              <w:rPr>
                <w:i/>
                <w:sz w:val="20"/>
                <w:szCs w:val="20"/>
              </w:rPr>
              <w:t xml:space="preserve"> – treatment and control group were similar regarding patient </w:t>
            </w:r>
            <w:r w:rsidRPr="005409B0">
              <w:rPr>
                <w:i/>
                <w:sz w:val="20"/>
                <w:szCs w:val="20"/>
              </w:rPr>
              <w:lastRenderedPageBreak/>
              <w:t xml:space="preserve">demographics and </w:t>
            </w:r>
            <w:r>
              <w:rPr>
                <w:i/>
                <w:sz w:val="20"/>
                <w:szCs w:val="20"/>
              </w:rPr>
              <w:t>baseline</w:t>
            </w:r>
            <w:r w:rsidRPr="005409B0">
              <w:rPr>
                <w:i/>
                <w:sz w:val="20"/>
                <w:szCs w:val="20"/>
              </w:rPr>
              <w:t xml:space="preserve"> parameters</w:t>
            </w:r>
            <w:r>
              <w:rPr>
                <w:i/>
                <w:sz w:val="20"/>
                <w:szCs w:val="20"/>
              </w:rPr>
              <w:t xml:space="preserve">. </w:t>
            </w:r>
          </w:p>
          <w:p w:rsidR="0019769C" w:rsidRPr="005409B0" w:rsidRDefault="0019769C" w:rsidP="00630215">
            <w:pPr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9769C" w:rsidRPr="005B5296" w:rsidRDefault="0019769C" w:rsidP="00630215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lastRenderedPageBreak/>
              <w:t>NO</w:t>
            </w:r>
            <w:r w:rsidRPr="005B5296">
              <w:rPr>
                <w:i/>
                <w:sz w:val="20"/>
                <w:szCs w:val="20"/>
              </w:rPr>
              <w:t xml:space="preserve"> – Treatment and control groups were dissimilar with regards to patient </w:t>
            </w:r>
            <w:r w:rsidRPr="005B5296">
              <w:rPr>
                <w:i/>
                <w:sz w:val="20"/>
                <w:szCs w:val="20"/>
              </w:rPr>
              <w:lastRenderedPageBreak/>
              <w:t>demographics and baseline parameters</w:t>
            </w:r>
            <w:r>
              <w:rPr>
                <w:i/>
                <w:sz w:val="20"/>
                <w:szCs w:val="20"/>
              </w:rPr>
              <w:t>. Alternatively, c</w:t>
            </w:r>
            <w:r w:rsidRPr="005B5296">
              <w:rPr>
                <w:i/>
                <w:sz w:val="20"/>
                <w:szCs w:val="20"/>
              </w:rPr>
              <w:t xml:space="preserve">haracteristics are not presented in </w:t>
            </w:r>
            <w:r>
              <w:rPr>
                <w:i/>
                <w:sz w:val="20"/>
                <w:szCs w:val="20"/>
              </w:rPr>
              <w:t xml:space="preserve">either </w:t>
            </w:r>
            <w:r w:rsidRPr="005B5296">
              <w:rPr>
                <w:i/>
                <w:sz w:val="20"/>
                <w:szCs w:val="20"/>
              </w:rPr>
              <w:t>text or table</w:t>
            </w:r>
          </w:p>
          <w:p w:rsidR="0019769C" w:rsidRPr="005409B0" w:rsidRDefault="0019769C" w:rsidP="00630215">
            <w:pPr>
              <w:rPr>
                <w:i/>
                <w:sz w:val="20"/>
                <w:szCs w:val="20"/>
              </w:rPr>
            </w:pPr>
          </w:p>
        </w:tc>
      </w:tr>
      <w:tr w:rsidR="0019769C" w:rsidRPr="005409B0" w:rsidTr="0019769C">
        <w:tc>
          <w:tcPr>
            <w:tcW w:w="0" w:type="auto"/>
            <w:tcBorders>
              <w:bottom w:val="single" w:sz="4" w:space="0" w:color="auto"/>
            </w:tcBorders>
          </w:tcPr>
          <w:p w:rsidR="0019769C" w:rsidRPr="005409B0" w:rsidRDefault="0019769C" w:rsidP="00630215">
            <w:pPr>
              <w:pStyle w:val="ListParagraph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19769C" w:rsidRPr="005409B0" w:rsidRDefault="0019769C" w:rsidP="00524C72">
            <w:pPr>
              <w:tabs>
                <w:tab w:val="left" w:pos="1842"/>
              </w:tabs>
              <w:rPr>
                <w:i/>
                <w:sz w:val="20"/>
                <w:szCs w:val="20"/>
              </w:rPr>
            </w:pPr>
            <w:r w:rsidRPr="0019769C">
              <w:rPr>
                <w:b/>
                <w:i/>
                <w:sz w:val="20"/>
                <w:szCs w:val="20"/>
              </w:rPr>
              <w:t>Unclear</w:t>
            </w:r>
            <w:r>
              <w:rPr>
                <w:i/>
                <w:sz w:val="20"/>
                <w:szCs w:val="20"/>
              </w:rPr>
              <w:t xml:space="preserve">- if characteristics are mentioned in text, but data </w:t>
            </w:r>
            <w:r w:rsidR="00524C72">
              <w:rPr>
                <w:i/>
                <w:sz w:val="20"/>
                <w:szCs w:val="20"/>
              </w:rPr>
              <w:t>are</w:t>
            </w:r>
            <w:r>
              <w:rPr>
                <w:i/>
                <w:sz w:val="20"/>
                <w:szCs w:val="20"/>
              </w:rPr>
              <w:t xml:space="preserve"> not presented</w:t>
            </w:r>
          </w:p>
        </w:tc>
      </w:tr>
    </w:tbl>
    <w:p w:rsidR="00DB7B6E" w:rsidRPr="002D059A" w:rsidRDefault="00DB7B6E" w:rsidP="00DB7B6E"/>
    <w:p w:rsidR="00017E3A" w:rsidRDefault="009038E4" w:rsidP="00DB7B6E"/>
    <w:sectPr w:rsidR="00017E3A" w:rsidSect="00DB7B6E">
      <w:footerReference w:type="default" r:id="rId8"/>
      <w:pgSz w:w="11900" w:h="16840"/>
      <w:pgMar w:top="1440" w:right="1440" w:bottom="1440" w:left="144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8E4" w:rsidRDefault="009038E4">
      <w:r>
        <w:separator/>
      </w:r>
    </w:p>
  </w:endnote>
  <w:endnote w:type="continuationSeparator" w:id="0">
    <w:p w:rsidR="009038E4" w:rsidRDefault="0090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2511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7F82" w:rsidRDefault="00DB7B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C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F82" w:rsidRDefault="009038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8E4" w:rsidRDefault="009038E4">
      <w:r>
        <w:separator/>
      </w:r>
    </w:p>
  </w:footnote>
  <w:footnote w:type="continuationSeparator" w:id="0">
    <w:p w:rsidR="009038E4" w:rsidRDefault="00903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2E2E"/>
    <w:multiLevelType w:val="hybridMultilevel"/>
    <w:tmpl w:val="979A8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222782"/>
    <w:multiLevelType w:val="hybridMultilevel"/>
    <w:tmpl w:val="D0DC15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AF2663"/>
    <w:multiLevelType w:val="hybridMultilevel"/>
    <w:tmpl w:val="5EE85C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142E0D"/>
    <w:multiLevelType w:val="hybridMultilevel"/>
    <w:tmpl w:val="C6BEEC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541BB6"/>
    <w:multiLevelType w:val="hybridMultilevel"/>
    <w:tmpl w:val="765294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924990"/>
    <w:multiLevelType w:val="hybridMultilevel"/>
    <w:tmpl w:val="D0D041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D2095E"/>
    <w:multiLevelType w:val="hybridMultilevel"/>
    <w:tmpl w:val="1C24FF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1546487"/>
    <w:multiLevelType w:val="hybridMultilevel"/>
    <w:tmpl w:val="D11482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78327E"/>
    <w:multiLevelType w:val="hybridMultilevel"/>
    <w:tmpl w:val="914A49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6E"/>
    <w:rsid w:val="000A196C"/>
    <w:rsid w:val="0019769C"/>
    <w:rsid w:val="00524C72"/>
    <w:rsid w:val="005411AD"/>
    <w:rsid w:val="009038E4"/>
    <w:rsid w:val="00DB7B6E"/>
    <w:rsid w:val="00DC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B6E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B6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B7B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B6E"/>
    <w:rPr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B7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B7B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B6E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B6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B7B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B6E"/>
    <w:rPr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B7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B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Persson</dc:creator>
  <cp:lastModifiedBy>Monica Persson</cp:lastModifiedBy>
  <cp:revision>3</cp:revision>
  <dcterms:created xsi:type="dcterms:W3CDTF">2016-03-09T16:59:00Z</dcterms:created>
  <dcterms:modified xsi:type="dcterms:W3CDTF">2016-06-02T11:07:00Z</dcterms:modified>
</cp:coreProperties>
</file>