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15F" w:rsidRDefault="00835BA0" w:rsidP="00290A6D">
      <w:pPr>
        <w:pStyle w:val="Heading1"/>
        <w:spacing w:line="240" w:lineRule="auto"/>
        <w:rPr>
          <w:rFonts w:ascii="Arial" w:hAnsi="Arial" w:cs="Arial"/>
          <w:color w:val="000033"/>
          <w:sz w:val="24"/>
          <w:szCs w:val="28"/>
        </w:rPr>
      </w:pPr>
      <w:bookmarkStart w:id="0" w:name="_GoBack"/>
      <w:bookmarkEnd w:id="0"/>
      <w:r>
        <w:rPr>
          <w:rFonts w:ascii="Arial" w:hAnsi="Arial" w:cs="Arial"/>
          <w:sz w:val="24"/>
          <w:szCs w:val="28"/>
        </w:rPr>
        <w:t xml:space="preserve">Additional File </w:t>
      </w:r>
      <w:r w:rsidR="007A56CD">
        <w:rPr>
          <w:rFonts w:ascii="Arial" w:hAnsi="Arial" w:cs="Arial"/>
          <w:sz w:val="24"/>
          <w:szCs w:val="28"/>
        </w:rPr>
        <w:t>5</w:t>
      </w:r>
      <w:r>
        <w:rPr>
          <w:rFonts w:ascii="Arial" w:hAnsi="Arial" w:cs="Arial"/>
          <w:sz w:val="24"/>
          <w:szCs w:val="28"/>
        </w:rPr>
        <w:t>.</w:t>
      </w:r>
      <w:r w:rsidR="004448B6" w:rsidRPr="00D716F3">
        <w:rPr>
          <w:rFonts w:ascii="Arial" w:hAnsi="Arial" w:cs="Arial"/>
          <w:sz w:val="24"/>
          <w:szCs w:val="28"/>
        </w:rPr>
        <w:t xml:space="preserve"> </w:t>
      </w:r>
      <w:r w:rsidR="00A37EBA" w:rsidRPr="00D716F3">
        <w:rPr>
          <w:rFonts w:ascii="Arial" w:hAnsi="Arial" w:cs="Arial"/>
          <w:sz w:val="24"/>
          <w:szCs w:val="28"/>
        </w:rPr>
        <w:t>Costs -</w:t>
      </w:r>
      <w:r w:rsidR="00667CE8" w:rsidRPr="00D716F3">
        <w:rPr>
          <w:rFonts w:ascii="Arial" w:hAnsi="Arial" w:cs="Arial"/>
          <w:sz w:val="24"/>
          <w:szCs w:val="28"/>
        </w:rPr>
        <w:t xml:space="preserve"> </w:t>
      </w:r>
      <w:r w:rsidR="00BE4C1E">
        <w:rPr>
          <w:rFonts w:ascii="Arial" w:hAnsi="Arial" w:cs="Arial"/>
          <w:color w:val="000033"/>
          <w:sz w:val="24"/>
          <w:szCs w:val="28"/>
        </w:rPr>
        <w:t>D</w:t>
      </w:r>
      <w:r w:rsidR="004B1625" w:rsidRPr="00D716F3">
        <w:rPr>
          <w:rFonts w:ascii="Arial" w:hAnsi="Arial" w:cs="Arial"/>
          <w:color w:val="000033"/>
          <w:sz w:val="24"/>
          <w:szCs w:val="28"/>
        </w:rPr>
        <w:t>e</w:t>
      </w:r>
      <w:r w:rsidR="00DC7480" w:rsidRPr="00D716F3">
        <w:rPr>
          <w:rFonts w:ascii="Arial" w:hAnsi="Arial" w:cs="Arial"/>
          <w:color w:val="000033"/>
          <w:sz w:val="24"/>
          <w:szCs w:val="28"/>
        </w:rPr>
        <w:t>scriptions by authors of included studies</w:t>
      </w:r>
    </w:p>
    <w:p w:rsidR="00CE17CE" w:rsidRPr="00CE17CE" w:rsidRDefault="00CE17CE" w:rsidP="00CE17CE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7218"/>
      </w:tblGrid>
      <w:tr w:rsidR="004B1625" w:rsidRPr="00835BA0" w:rsidTr="00835BA0">
        <w:tc>
          <w:tcPr>
            <w:tcW w:w="2358" w:type="dxa"/>
          </w:tcPr>
          <w:p w:rsidR="004B1625" w:rsidRPr="00835BA0" w:rsidRDefault="004B1625" w:rsidP="00835BA0">
            <w:pPr>
              <w:spacing w:after="0" w:line="240" w:lineRule="auto"/>
              <w:rPr>
                <w:rFonts w:ascii="Arial" w:eastAsia="Times New Roman" w:hAnsi="Arial" w:cs="Arial"/>
                <w:b/>
                <w:sz w:val="22"/>
                <w:szCs w:val="22"/>
                <w:lang w:eastAsia="en-CA"/>
              </w:rPr>
            </w:pPr>
            <w:r w:rsidRPr="00835BA0">
              <w:rPr>
                <w:rFonts w:ascii="Arial" w:eastAsia="Times New Roman" w:hAnsi="Arial" w:cs="Arial"/>
                <w:b/>
                <w:sz w:val="22"/>
                <w:szCs w:val="22"/>
                <w:lang w:eastAsia="en-CA"/>
              </w:rPr>
              <w:t>Author, Year</w:t>
            </w:r>
          </w:p>
        </w:tc>
        <w:tc>
          <w:tcPr>
            <w:tcW w:w="7218" w:type="dxa"/>
          </w:tcPr>
          <w:p w:rsidR="004B1625" w:rsidRPr="00835BA0" w:rsidRDefault="00667CE8" w:rsidP="00835BA0">
            <w:pPr>
              <w:spacing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35BA0">
              <w:rPr>
                <w:rFonts w:ascii="Arial" w:hAnsi="Arial" w:cs="Arial"/>
                <w:b/>
                <w:sz w:val="22"/>
                <w:szCs w:val="22"/>
              </w:rPr>
              <w:t>Description/Definition</w:t>
            </w:r>
          </w:p>
        </w:tc>
      </w:tr>
      <w:tr w:rsidR="00BA0CC4" w:rsidRPr="00835BA0" w:rsidTr="00835BA0">
        <w:tc>
          <w:tcPr>
            <w:tcW w:w="2358" w:type="dxa"/>
          </w:tcPr>
          <w:p w:rsidR="00BA0CC4" w:rsidRPr="00835BA0" w:rsidRDefault="00BA0CC4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t>Behrens, 2011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/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 &lt;EndNote&gt;&lt;Cite&gt;&lt;Author&gt;Behrens&lt;/Author&gt;&lt;Year&gt;2011&lt;/Year&gt;&lt;RecNum&gt;18&lt;/RecNum&gt;&lt;DisplayText&gt;[1]&lt;/DisplayText&gt;&lt;record&gt;&lt;rec-number&gt;18&lt;/rec-number&gt;&lt;foreign-keys&gt;&lt;key app="EN" db-id="vdts00ptq5ezwee9z97pxxtktxr2zp5dvzve" timestamp="1436818257"&gt;18&lt;/key&gt;&lt;/foreign-keys&gt;&lt;ref-type name="Journal Article"&gt;17&lt;/ref-type&gt;&lt;contributors&gt;&lt;authors&gt;&lt;author&gt;Behrens, M. A.&lt;/author&gt;&lt;/authors&gt;&lt;/contributors&gt;&lt;auth-address&gt;Shook, Hardy &amp;amp; Bacon, LLP, Washington, DC 20004, USA. mbehrens@shb.com&lt;/auth-address&gt;&lt;titles&gt;&lt;title&gt;Medical liability reform: a case study of Mississippi&lt;/title&gt;&lt;secondary-title&gt;Obstetrics and Gynecology&lt;/secondary-title&gt;&lt;/titles&gt;&lt;periodical&gt;&lt;full-title&gt;Obstetrics and Gynecology&lt;/full-title&gt;&lt;abbr-1&gt;Obstet. Gynecol.&lt;/abbr-1&gt;&lt;abbr-2&gt;Obstet Gynecol&lt;/abbr-2&gt;&lt;abbr-3&gt;Obstetrics &amp;amp; Gynecology&lt;/abbr-3&gt;&lt;/periodical&gt;&lt;pages&gt;335-9&lt;/pages&gt;&lt;volume&gt;118&lt;/volume&gt;&lt;number&gt;2 Pt 1&lt;/number&gt;&lt;keywords&gt;&lt;keyword&gt;Humans&lt;/keyword&gt;&lt;keyword&gt;Insurance, Liability/legislation &amp;amp; jurisprudence&lt;/keyword&gt;&lt;keyword&gt;*Liability, Legal&lt;/keyword&gt;&lt;keyword&gt;Malpractice/*legislation &amp;amp; jurisprudence&lt;/keyword&gt;&lt;keyword&gt;Mississippi&lt;/keyword&gt;&lt;/keywords&gt;&lt;dates&gt;&lt;year&gt;2011&lt;/year&gt;&lt;/dates&gt;&lt;isbn&gt;1873-233X (Electronic)&amp;#xD;0029-7844 (Linking)&lt;/isbn&gt;&lt;accession-num&gt;21670720&lt;/accession-num&gt;&lt;urls&gt;&lt;related-urls&gt;&lt;url&gt;http://www.ncbi.nlm.nih.gov/pubmed/21670720&lt;/url&gt;&lt;url&gt;http://graphics.tx.ovid.com/ovftpdfs/FPDDNCGCIBIMCB00/fs047/ovft/live/gv031/00006250/00006250-201108000-00019.pdf&lt;/url&gt;&lt;/related-urls&gt;&lt;/urls&gt;&lt;electronic-resource-num&gt;10.1097/AOG.0b013e318226ba47&lt;/electronic-resource-num&gt;&lt;/record&gt;&lt;/Cite&gt;&lt;/EndNote&gt;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separate"/>
            </w:r>
            <w:r w:rsidRPr="00835BA0">
              <w:rPr>
                <w:rFonts w:ascii="Arial" w:eastAsia="Times New Roman" w:hAnsi="Arial" w:cs="Arial"/>
                <w:noProof/>
                <w:sz w:val="22"/>
                <w:szCs w:val="22"/>
                <w:lang w:eastAsia="en-CA"/>
              </w:rPr>
              <w:t>[1]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7218" w:type="dxa"/>
          </w:tcPr>
          <w:p w:rsidR="00BA0CC4" w:rsidRPr="00835BA0" w:rsidRDefault="00AA0F9C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hAnsi="Arial" w:cs="Arial"/>
                <w:sz w:val="22"/>
                <w:szCs w:val="22"/>
              </w:rPr>
              <w:t>NR</w:t>
            </w:r>
          </w:p>
        </w:tc>
      </w:tr>
      <w:tr w:rsidR="00BA0CC4" w:rsidRPr="00835BA0" w:rsidTr="00835BA0">
        <w:trPr>
          <w:trHeight w:val="575"/>
        </w:trPr>
        <w:tc>
          <w:tcPr>
            <w:tcW w:w="2358" w:type="dxa"/>
          </w:tcPr>
          <w:p w:rsidR="00BA0CC4" w:rsidRPr="00835BA0" w:rsidRDefault="00BA0CC4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t>Bovbjerg, 2005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/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 &lt;EndNote&gt;&lt;Cite&gt;&lt;Author&gt;Bovbjerg&lt;/Author&gt;&lt;Year&gt;2005&lt;/Year&gt;&lt;RecNum&gt;21&lt;/RecNum&gt;&lt;DisplayText&gt;[2]&lt;/DisplayText&gt;&lt;record&gt;&lt;rec-number&gt;21&lt;/rec-number&gt;&lt;foreign-keys&gt;&lt;key app="EN" db-id="vdts00ptq5ezwee9z97pxxtktxr2zp5dvzve" timestamp="1436818425"&gt;21&lt;/key&gt;&lt;/foreign-keys&gt;&lt;ref-type name="Journal Article"&gt;17&lt;/ref-type&gt;&lt;contributors&gt;&lt;authors&gt;&lt;author&gt;Bovbjerg, R. R.&lt;/author&gt;&lt;/authors&gt;&lt;/contributors&gt;&lt;auth-address&gt;The Urban Institute, 2100 M Street, NW, Washington, DC 20037, USA. randyb@ui.urban.org&lt;/auth-address&gt;&lt;titles&gt;&lt;title&gt;Malpractice crisis and reform&lt;/title&gt;&lt;secondary-title&gt;Clinics in Perinatology&lt;/secondary-title&gt;&lt;/titles&gt;&lt;periodical&gt;&lt;full-title&gt;Clinics in Perinatology&lt;/full-title&gt;&lt;abbr-1&gt;Clin. Perinatol.&lt;/abbr-1&gt;&lt;abbr-2&gt;Clin Perinatol&lt;/abbr-2&gt;&lt;/periodical&gt;&lt;pages&gt;203-233&lt;/pages&gt;&lt;volume&gt;32&lt;/volume&gt;&lt;number&gt;1&lt;/number&gt;&lt;keywords&gt;&lt;keyword&gt;Compensation and Redress/*legislation &amp;amp; jurisprudence&lt;/keyword&gt;&lt;keyword&gt;Health Care Reform/*organization &amp;amp; administration&lt;/keyword&gt;&lt;keyword&gt;Health Policy&lt;/keyword&gt;&lt;keyword&gt;Health Services Accessibility&lt;/keyword&gt;&lt;keyword&gt;Humans&lt;/keyword&gt;&lt;keyword&gt;Insurance, Liability/economics/trends&lt;/keyword&gt;&lt;keyword&gt;Liability, Legal&lt;/keyword&gt;&lt;keyword&gt;Malpractice/*legislation &amp;amp; jurisprudence&lt;/keyword&gt;&lt;keyword&gt;United States&lt;/keyword&gt;&lt;/keywords&gt;&lt;dates&gt;&lt;year&gt;2005&lt;/year&gt;&lt;/dates&gt;&lt;isbn&gt;0095-5108 (Print)&amp;#xD;0095-5108 (Linking)&lt;/isbn&gt;&lt;accession-num&gt;15777830&lt;/accession-num&gt;&lt;urls&gt;&lt;related-urls&gt;&lt;url&gt;http://www.ncbi.nlm.nih.gov/pubmed/15777830&lt;/url&gt;&lt;url&gt;http://www.sciencedirect.com/science/article/pii/S0095510804001307&lt;/url&gt;&lt;/related-urls&gt;&lt;/urls&gt;&lt;electronic-resource-num&gt;10.1016/j.clp.2004.11.003&lt;/electronic-resource-num&gt;&lt;/record&gt;&lt;/Cite&gt;&lt;/EndNote&gt;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separate"/>
            </w:r>
            <w:r w:rsidRPr="00835BA0">
              <w:rPr>
                <w:rFonts w:ascii="Arial" w:eastAsia="Times New Roman" w:hAnsi="Arial" w:cs="Arial"/>
                <w:noProof/>
                <w:sz w:val="22"/>
                <w:szCs w:val="22"/>
                <w:lang w:eastAsia="en-CA"/>
              </w:rPr>
              <w:t>[2]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7218" w:type="dxa"/>
          </w:tcPr>
          <w:p w:rsidR="00BA0CC4" w:rsidRPr="00835BA0" w:rsidRDefault="00AA0F9C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hAnsi="Arial" w:cs="Arial"/>
                <w:sz w:val="22"/>
                <w:szCs w:val="22"/>
              </w:rPr>
              <w:t>NR</w:t>
            </w:r>
          </w:p>
        </w:tc>
      </w:tr>
      <w:tr w:rsidR="00BA0CC4" w:rsidRPr="00835BA0" w:rsidTr="00835BA0">
        <w:tc>
          <w:tcPr>
            <w:tcW w:w="2358" w:type="dxa"/>
          </w:tcPr>
          <w:p w:rsidR="00BA0CC4" w:rsidRPr="00835BA0" w:rsidRDefault="00BA0CC4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t>Currie, 2008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/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 &lt;EndNote&gt;&lt;Cite&gt;&lt;Author&gt;Currie&lt;/Author&gt;&lt;Year&gt;2008&lt;/Year&gt;&lt;RecNum&gt;82&lt;/RecNum&gt;&lt;DisplayText&gt;[3]&lt;/DisplayText&gt;&lt;record&gt;&lt;rec-number&gt;82&lt;/rec-number&gt;&lt;foreign-keys&gt;&lt;key app="EN" db-id="vdts00ptq5ezwee9z97pxxtktxr2zp5dvzve" timestamp="1459259437"&gt;82&lt;/key&gt;&lt;/foreign-keys&gt;&lt;ref-type name="Journal Article"&gt;17&lt;/ref-type&gt;&lt;contributors&gt;&lt;authors&gt;&lt;author&gt;Currie, Janet&lt;/author&gt;&lt;author&gt;MacLeod, W. Bentley&lt;/author&gt;&lt;/authors&gt;&lt;/contributors&gt;&lt;titles&gt;&lt;title&gt;First Do No Harm? Tort Reform and Birth Outcomes&lt;/title&gt;&lt;secondary-title&gt;The Quarterly Journal of Economics&lt;/secondary-title&gt;&lt;/titles&gt;&lt;pages&gt;795-830&lt;/pages&gt;&lt;volume&gt;123&lt;/volume&gt;&lt;number&gt;2&lt;/number&gt;&lt;dates&gt;&lt;year&gt;2008&lt;/year&gt;&lt;pub-dates&gt;&lt;date&gt;May 1, 2008&lt;/date&gt;&lt;/pub-dates&gt;&lt;/dates&gt;&lt;urls&gt;&lt;related-urls&gt;&lt;url&gt;http://qje.oxfordjournals.org/content/123/2/795.abstract&lt;/url&gt;&lt;/related-urls&gt;&lt;/urls&gt;&lt;electronic-resource-num&gt;10.1162/qjec.2008.123.2.795&lt;/electronic-resource-num&gt;&lt;/record&gt;&lt;/Cite&gt;&lt;/EndNote&gt;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separate"/>
            </w:r>
            <w:r w:rsidRPr="00835BA0">
              <w:rPr>
                <w:rFonts w:ascii="Arial" w:eastAsia="Times New Roman" w:hAnsi="Arial" w:cs="Arial"/>
                <w:noProof/>
                <w:sz w:val="22"/>
                <w:szCs w:val="22"/>
                <w:lang w:eastAsia="en-CA"/>
              </w:rPr>
              <w:t>[3]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7218" w:type="dxa"/>
          </w:tcPr>
          <w:p w:rsidR="00BA0CC4" w:rsidRPr="00835BA0" w:rsidRDefault="00AA0F9C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hAnsi="Arial" w:cs="Arial"/>
                <w:sz w:val="22"/>
                <w:szCs w:val="22"/>
              </w:rPr>
              <w:t>NR</w:t>
            </w:r>
          </w:p>
        </w:tc>
      </w:tr>
      <w:tr w:rsidR="00BA0CC4" w:rsidRPr="00835BA0" w:rsidTr="00835BA0">
        <w:tc>
          <w:tcPr>
            <w:tcW w:w="2358" w:type="dxa"/>
          </w:tcPr>
          <w:p w:rsidR="00BA0CC4" w:rsidRPr="00835BA0" w:rsidRDefault="00BA0CC4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t>Edwards, 2010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/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 &lt;EndNote&gt;&lt;Cite&gt;&lt;Author&gt;Edwards&lt;/Author&gt;&lt;Year&gt;2010&lt;/Year&gt;&lt;RecNum&gt;47&lt;/RecNum&gt;&lt;DisplayText&gt;[4]&lt;/DisplayText&gt;&lt;record&gt;&lt;rec-number&gt;47&lt;/rec-number&gt;&lt;foreign-keys&gt;&lt;key app="EN" db-id="vdts00ptq5ezwee9z97pxxtktxr2zp5dvzve" timestamp="1436836350"&gt;47&lt;/key&gt;&lt;/foreign-keys&gt;&lt;ref-type name="Journal Article"&gt;17&lt;/ref-type&gt;&lt;contributors&gt;&lt;authors&gt;&lt;author&gt;Edwards, C.T.&lt;/author&gt;&lt;/authors&gt;&lt;/contributors&gt;&lt;titles&gt;&lt;title&gt;The Impact of a No-Fault Tort Reform on Physician decision-making: a look at Virgina’s Birth Injury Program.&lt;/title&gt;&lt;secondary-title&gt;Rev Jurid Univ P R&lt;/secondary-title&gt;&lt;/titles&gt;&lt;volume&gt;80&lt;/volume&gt;&lt;section&gt;285&lt;/section&gt;&lt;dates&gt;&lt;year&gt;2010&lt;/year&gt;&lt;/dates&gt;&lt;urls&gt;&lt;/urls&gt;&lt;/record&gt;&lt;/Cite&gt;&lt;/EndNote&gt;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separate"/>
            </w:r>
            <w:r w:rsidRPr="00835BA0">
              <w:rPr>
                <w:rFonts w:ascii="Arial" w:eastAsia="Times New Roman" w:hAnsi="Arial" w:cs="Arial"/>
                <w:noProof/>
                <w:sz w:val="22"/>
                <w:szCs w:val="22"/>
                <w:lang w:eastAsia="en-CA"/>
              </w:rPr>
              <w:t>[4]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7218" w:type="dxa"/>
          </w:tcPr>
          <w:p w:rsidR="00BA0CC4" w:rsidRPr="00835BA0" w:rsidRDefault="00AA0F9C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hAnsi="Arial" w:cs="Arial"/>
                <w:sz w:val="22"/>
                <w:szCs w:val="22"/>
              </w:rPr>
              <w:t>NR</w:t>
            </w:r>
          </w:p>
        </w:tc>
      </w:tr>
      <w:tr w:rsidR="00BA0CC4" w:rsidRPr="00835BA0" w:rsidTr="00835BA0">
        <w:tc>
          <w:tcPr>
            <w:tcW w:w="2358" w:type="dxa"/>
          </w:tcPr>
          <w:p w:rsidR="00BA0CC4" w:rsidRPr="00835BA0" w:rsidRDefault="00BA0CC4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t>Ho,  2011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/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 &lt;EndNote&gt;&lt;Cite&gt;&lt;Author&gt;Ho&lt;/Author&gt;&lt;Year&gt;2011&lt;/Year&gt;&lt;RecNum&gt;53&lt;/RecNum&gt;&lt;DisplayText&gt;[5]&lt;/DisplayText&gt;&lt;record&gt;&lt;rec-number&gt;53&lt;/rec-number&gt;&lt;foreign-keys&gt;&lt;key app="EN" db-id="vdts00ptq5ezwee9z97pxxtktxr2zp5dvzve" timestamp="1436836751"&gt;53&lt;/key&gt;&lt;/foreign-keys&gt;&lt;ref-type name="Journal Article"&gt;17&lt;/ref-type&gt;&lt;contributors&gt;&lt;authors&gt;&lt;author&gt;Ho, B.&lt;/author&gt;&lt;author&gt;Liu, E.&lt;/author&gt;&lt;/authors&gt;&lt;/contributors&gt;&lt;titles&gt;&lt;title&gt;What&amp;apos;s an Apology Worth? Decomposing the Effect of Apologies on Medical Malpractice Payments Using State Apology Laws&lt;/title&gt;&lt;secondary-title&gt;J Empir Leg Stud&lt;/secondary-title&gt;&lt;/titles&gt;&lt;pages&gt;177-199&lt;/pages&gt;&lt;volume&gt;8&lt;/volume&gt;&lt;number&gt;S1&lt;/number&gt;&lt;dates&gt;&lt;year&gt;2011&lt;/year&gt;&lt;pub-dates&gt;&lt;date&gt;December&lt;/date&gt;&lt;/pub-dates&gt;&lt;/dates&gt;&lt;urls&gt;&lt;/urls&gt;&lt;/record&gt;&lt;/Cite&gt;&lt;/EndNote&gt;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separate"/>
            </w:r>
            <w:r w:rsidRPr="00835BA0">
              <w:rPr>
                <w:rFonts w:ascii="Arial" w:eastAsia="Times New Roman" w:hAnsi="Arial" w:cs="Arial"/>
                <w:noProof/>
                <w:sz w:val="22"/>
                <w:szCs w:val="22"/>
                <w:lang w:eastAsia="en-CA"/>
              </w:rPr>
              <w:t>[5]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7218" w:type="dxa"/>
          </w:tcPr>
          <w:p w:rsidR="00BA0CC4" w:rsidRPr="00835BA0" w:rsidRDefault="00AA0F9C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hAnsi="Arial" w:cs="Arial"/>
                <w:sz w:val="22"/>
                <w:szCs w:val="22"/>
              </w:rPr>
              <w:t>NR</w:t>
            </w:r>
          </w:p>
        </w:tc>
      </w:tr>
      <w:tr w:rsidR="00BA0CC4" w:rsidRPr="00835BA0" w:rsidTr="00835BA0">
        <w:tc>
          <w:tcPr>
            <w:tcW w:w="2358" w:type="dxa"/>
          </w:tcPr>
          <w:p w:rsidR="00BA0CC4" w:rsidRPr="00835BA0" w:rsidRDefault="00BA0CC4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t>Iizuka, 2013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/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 &lt;EndNote&gt;&lt;Cite&gt;&lt;Author&gt;Iizuka T&lt;/Author&gt;&lt;Year&gt;2013&lt;/Year&gt;&lt;RecNum&gt;56&lt;/RecNum&gt;&lt;DisplayText&gt;[6]&lt;/DisplayText&gt;&lt;record&gt;&lt;rec-number&gt;56&lt;/rec-number&gt;&lt;foreign-keys&gt;&lt;key app="EN" db-id="vdts00ptq5ezwee9z97pxxtktxr2zp5dvzve" timestamp="1436837199"&gt;56&lt;/key&gt;&lt;/foreign-keys&gt;&lt;ref-type name="Journal Article"&gt;17&lt;/ref-type&gt;&lt;contributors&gt;&lt;authors&gt;&lt;author&gt;Iizuka T,&lt;/author&gt;&lt;/authors&gt;&lt;/contributors&gt;&lt;titles&gt;&lt;title&gt;Does higher malpractice pressure deter medical errors?&lt;/title&gt;&lt;secondary-title&gt;Journal of Law and Economics&lt;/secondary-title&gt;&lt;/titles&gt;&lt;pages&gt;161-188&lt;/pages&gt;&lt;volume&gt;56&lt;/volume&gt;&lt;number&gt;1&lt;/number&gt;&lt;dates&gt;&lt;year&gt;2013&lt;/year&gt;&lt;/dates&gt;&lt;urls&gt;&lt;/urls&gt;&lt;/record&gt;&lt;/Cite&gt;&lt;/EndNote&gt;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separate"/>
            </w:r>
            <w:r w:rsidRPr="00835BA0">
              <w:rPr>
                <w:rFonts w:ascii="Arial" w:eastAsia="Times New Roman" w:hAnsi="Arial" w:cs="Arial"/>
                <w:noProof/>
                <w:sz w:val="22"/>
                <w:szCs w:val="22"/>
                <w:lang w:eastAsia="en-CA"/>
              </w:rPr>
              <w:t>[6]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7218" w:type="dxa"/>
          </w:tcPr>
          <w:p w:rsidR="00BA0CC4" w:rsidRPr="00835BA0" w:rsidRDefault="00AA0F9C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hAnsi="Arial" w:cs="Arial"/>
                <w:sz w:val="22"/>
                <w:szCs w:val="22"/>
              </w:rPr>
              <w:t>NR</w:t>
            </w:r>
          </w:p>
        </w:tc>
      </w:tr>
      <w:tr w:rsidR="00BA0CC4" w:rsidRPr="00835BA0" w:rsidTr="00835BA0">
        <w:tc>
          <w:tcPr>
            <w:tcW w:w="2358" w:type="dxa"/>
          </w:tcPr>
          <w:p w:rsidR="00BA0CC4" w:rsidRPr="00835BA0" w:rsidRDefault="00BA0CC4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t>Kachalia, 2010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>
                <w:fldData xml:space="preserve">PEVuZE5vdGU+PENpdGU+PEF1dGhvcj5LYWNoYWxpYTwvQXV0aG9yPjxZZWFyPjIwMTA8L1llYXI+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</w:fldData>
              </w:fldChar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 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>
                <w:fldData xml:space="preserve">PEVuZE5vdGU+PENpdGU+PEF1dGhvcj5LYWNoYWxpYTwvQXV0aG9yPjxZZWFyPjIwMTA8L1llYXI+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</w:fldData>
              </w:fldChar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EN.CITE.DATA 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separate"/>
            </w:r>
            <w:r w:rsidRPr="00835BA0">
              <w:rPr>
                <w:rFonts w:ascii="Arial" w:eastAsia="Times New Roman" w:hAnsi="Arial" w:cs="Arial"/>
                <w:noProof/>
                <w:sz w:val="22"/>
                <w:szCs w:val="22"/>
                <w:lang w:eastAsia="en-CA"/>
              </w:rPr>
              <w:t>[7]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7218" w:type="dxa"/>
          </w:tcPr>
          <w:p w:rsidR="00BA0CC4" w:rsidRPr="00835BA0" w:rsidRDefault="00DC7480" w:rsidP="00835BA0">
            <w:pPr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35BA0">
              <w:rPr>
                <w:rFonts w:ascii="Arial" w:hAnsi="Arial" w:cs="Arial"/>
                <w:color w:val="000000"/>
                <w:sz w:val="22"/>
                <w:szCs w:val="22"/>
              </w:rPr>
              <w:t>“</w:t>
            </w:r>
            <w:r w:rsidR="00AA0F9C" w:rsidRPr="00835BA0">
              <w:rPr>
                <w:rFonts w:ascii="Arial" w:hAnsi="Arial" w:cs="Arial"/>
                <w:color w:val="000000"/>
                <w:sz w:val="22"/>
                <w:szCs w:val="22"/>
              </w:rPr>
              <w:t xml:space="preserve">We defined </w:t>
            </w:r>
            <w:r w:rsidR="00AA0F9C" w:rsidRPr="00835BA0">
              <w:rPr>
                <w:rFonts w:ascii="Arial" w:hAnsi="Arial" w:cs="Arial"/>
                <w:b/>
                <w:color w:val="000000"/>
                <w:sz w:val="22"/>
                <w:szCs w:val="22"/>
              </w:rPr>
              <w:t>total liability costs</w:t>
            </w:r>
            <w:r w:rsidR="00AA0F9C" w:rsidRPr="00835BA0">
              <w:rPr>
                <w:rFonts w:ascii="Arial" w:hAnsi="Arial" w:cs="Arial"/>
                <w:color w:val="000000"/>
                <w:sz w:val="22"/>
                <w:szCs w:val="22"/>
              </w:rPr>
              <w:t xml:space="preserve"> as the sum of all patient compensation and legal costs incurred by UMHS. </w:t>
            </w:r>
            <w:r w:rsidR="00AA0F9C" w:rsidRPr="00835BA0">
              <w:rPr>
                <w:rFonts w:ascii="Arial" w:hAnsi="Arial" w:cs="Arial"/>
                <w:b/>
                <w:color w:val="000000"/>
                <w:sz w:val="22"/>
                <w:szCs w:val="22"/>
              </w:rPr>
              <w:t>Patient compensation costs</w:t>
            </w:r>
            <w:r w:rsidR="00AA0F9C" w:rsidRPr="00835BA0">
              <w:rPr>
                <w:rFonts w:ascii="Arial" w:hAnsi="Arial" w:cs="Arial"/>
                <w:color w:val="000000"/>
                <w:sz w:val="22"/>
                <w:szCs w:val="22"/>
              </w:rPr>
              <w:t xml:space="preserve"> included amounts paid to the patients (or families) and lien holders. </w:t>
            </w:r>
            <w:r w:rsidR="00AA0F9C" w:rsidRPr="00835BA0">
              <w:rPr>
                <w:rFonts w:ascii="Arial" w:hAnsi="Arial" w:cs="Arial"/>
                <w:b/>
                <w:color w:val="000000"/>
                <w:sz w:val="22"/>
                <w:szCs w:val="22"/>
              </w:rPr>
              <w:t>Total legal costs</w:t>
            </w:r>
            <w:r w:rsidR="00AA0F9C" w:rsidRPr="00835BA0">
              <w:rPr>
                <w:rFonts w:ascii="Arial" w:hAnsi="Arial" w:cs="Arial"/>
                <w:color w:val="000000"/>
                <w:sz w:val="22"/>
                <w:szCs w:val="22"/>
              </w:rPr>
              <w:t xml:space="preserve"> were primarily defense attorney and expert fees but also included lawsuit-associated items, such as filing fees.</w:t>
            </w:r>
            <w:r w:rsidRPr="00835BA0">
              <w:rPr>
                <w:rFonts w:ascii="Arial" w:hAnsi="Arial" w:cs="Arial"/>
                <w:color w:val="000000"/>
                <w:sz w:val="22"/>
                <w:szCs w:val="22"/>
              </w:rPr>
              <w:t>”</w:t>
            </w:r>
          </w:p>
        </w:tc>
      </w:tr>
      <w:tr w:rsidR="00BA0CC4" w:rsidRPr="00835BA0" w:rsidTr="00835BA0">
        <w:tc>
          <w:tcPr>
            <w:tcW w:w="2358" w:type="dxa"/>
          </w:tcPr>
          <w:p w:rsidR="00BA0CC4" w:rsidRPr="00835BA0" w:rsidRDefault="00BA0CC4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t>Kilgore, 2006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/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 &lt;EndNote&gt;&lt;Cite&gt;&lt;Author&gt;Kilgore&lt;/Author&gt;&lt;Year&gt;2006&lt;/Year&gt;&lt;RecNum&gt;84&lt;/RecNum&gt;&lt;DisplayText&gt;[8]&lt;/DisplayText&gt;&lt;record&gt;&lt;rec-number&gt;84&lt;/rec-number&gt;&lt;foreign-keys&gt;&lt;key app="EN" db-id="vdts00ptq5ezwee9z97pxxtktxr2zp5dvzve" timestamp="1459260880"&gt;84&lt;/key&gt;&lt;/foreign-keys&gt;&lt;ref-type name="Journal Article"&gt;17&lt;/ref-type&gt;&lt;contributors&gt;&lt;authors&gt;&lt;author&gt;Kilgore, M. L.&lt;/author&gt;&lt;author&gt;Morrisey, M. A.&lt;/author&gt;&lt;author&gt;Nelson, L. J.&lt;/author&gt;&lt;/authors&gt;&lt;/contributors&gt;&lt;auth-address&gt;Department of Health Care Organization and Policy, Lister Hill Center for Health Policy, University of Alabama at Birmingham, RPHB 330, 1665 University Blvd., 35294-0022, USA.&lt;/auth-address&gt;&lt;titles&gt;&lt;title&gt;Tort law and medical malpractice insurance premiums&lt;/title&gt;&lt;secondary-title&gt;Inquiry&lt;/secondary-title&gt;&lt;alt-title&gt;Inquiry : a journal of medical care organization, provision and financing&lt;/alt-title&gt;&lt;/titles&gt;&lt;periodical&gt;&lt;full-title&gt;Inquiry&lt;/full-title&gt;&lt;abbr-1&gt;Inquiry&lt;/abbr-1&gt;&lt;abbr-2&gt;Inquiry&lt;/abbr-2&gt;&lt;/periodical&gt;&lt;pages&gt;255-70&lt;/pages&gt;&lt;volume&gt;43&lt;/volume&gt;&lt;number&gt;3&lt;/number&gt;&lt;edition&gt;2006/12/21&lt;/edition&gt;&lt;keywords&gt;&lt;keyword&gt;*Economics, Medical&lt;/keyword&gt;&lt;keyword&gt;Fees and Charges/*trends&lt;/keyword&gt;&lt;keyword&gt;General Surgery/economics&lt;/keyword&gt;&lt;keyword&gt;Gynecology/economics&lt;/keyword&gt;&lt;keyword&gt;Humans&lt;/keyword&gt;&lt;keyword&gt;Insurance, Liability/*economics&lt;/keyword&gt;&lt;keyword&gt;Internal Medicine/economics&lt;/keyword&gt;&lt;keyword&gt;Investments&lt;/keyword&gt;&lt;keyword&gt;*Legislation, Medical&lt;/keyword&gt;&lt;keyword&gt;*Liability, Legal&lt;/keyword&gt;&lt;keyword&gt;Malpractice/*legislation &amp;amp; jurisprudence&lt;/keyword&gt;&lt;keyword&gt;Models, Econometric&lt;/keyword&gt;&lt;keyword&gt;Obstetrics/economics&lt;/keyword&gt;&lt;keyword&gt;Regression Analysis&lt;/keyword&gt;&lt;keyword&gt;*Specialization&lt;/keyword&gt;&lt;keyword&gt;United States&lt;/keyword&gt;&lt;/keywords&gt;&lt;dates&gt;&lt;year&gt;2006&lt;/year&gt;&lt;pub-dates&gt;&lt;date&gt;Fall&lt;/date&gt;&lt;/pub-dates&gt;&lt;/dates&gt;&lt;isbn&gt;0046-9580 (Print)&amp;#xD;0046-9580&lt;/isbn&gt;&lt;accession-num&gt;17176968&lt;/accession-num&gt;&lt;urls&gt;&lt;/urls&gt;&lt;remote-database-provider&gt;NLM&lt;/remote-database-provider&gt;&lt;language&gt;eng&lt;/language&gt;&lt;/record&gt;&lt;/Cite&gt;&lt;/EndNote&gt;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separate"/>
            </w:r>
            <w:r w:rsidRPr="00835BA0">
              <w:rPr>
                <w:rFonts w:ascii="Arial" w:eastAsia="Times New Roman" w:hAnsi="Arial" w:cs="Arial"/>
                <w:noProof/>
                <w:sz w:val="22"/>
                <w:szCs w:val="22"/>
                <w:lang w:eastAsia="en-CA"/>
              </w:rPr>
              <w:t>[8]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7218" w:type="dxa"/>
          </w:tcPr>
          <w:p w:rsidR="00BA0CC4" w:rsidRPr="00835BA0" w:rsidRDefault="00AA0F9C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hAnsi="Arial" w:cs="Arial"/>
                <w:sz w:val="22"/>
                <w:szCs w:val="22"/>
              </w:rPr>
              <w:t>NR</w:t>
            </w:r>
          </w:p>
        </w:tc>
      </w:tr>
      <w:tr w:rsidR="00BA0CC4" w:rsidRPr="00835BA0" w:rsidTr="00835BA0">
        <w:tc>
          <w:tcPr>
            <w:tcW w:w="2358" w:type="dxa"/>
          </w:tcPr>
          <w:p w:rsidR="00BA0CC4" w:rsidRPr="00835BA0" w:rsidRDefault="00BA0CC4" w:rsidP="00835BA0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t>Milne, 2013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>
                <w:fldData xml:space="preserve">PEVuZE5vdGU+PENpdGU+PEF1dGhvcj5NaWxuZTwvQXV0aG9yPjxZZWFyPjIwMTM8L1llYXI+PFJl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</w:fldData>
              </w:fldChar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 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>
                <w:fldData xml:space="preserve">PEVuZE5vdGU+PENpdGU+PEF1dGhvcj5NaWxuZTwvQXV0aG9yPjxZZWFyPjIwMTM8L1llYXI+PFJl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</w:fldData>
              </w:fldChar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EN.CITE.DATA 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separate"/>
            </w:r>
            <w:r w:rsidRPr="00835BA0">
              <w:rPr>
                <w:rFonts w:ascii="Arial" w:eastAsia="Times New Roman" w:hAnsi="Arial" w:cs="Arial"/>
                <w:noProof/>
                <w:sz w:val="22"/>
                <w:szCs w:val="22"/>
                <w:lang w:eastAsia="en-CA"/>
              </w:rPr>
              <w:t>[9]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7218" w:type="dxa"/>
          </w:tcPr>
          <w:p w:rsidR="00BA0CC4" w:rsidRPr="00835BA0" w:rsidRDefault="00DC7480" w:rsidP="00835BA0">
            <w:pPr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35BA0">
              <w:rPr>
                <w:rFonts w:ascii="Arial" w:hAnsi="Arial" w:cs="Arial"/>
                <w:color w:val="000000"/>
                <w:sz w:val="22"/>
                <w:szCs w:val="22"/>
              </w:rPr>
              <w:t>“</w:t>
            </w:r>
            <w:r w:rsidR="00AA0F9C" w:rsidRPr="00835BA0">
              <w:rPr>
                <w:rFonts w:ascii="Arial" w:hAnsi="Arial" w:cs="Arial"/>
                <w:b/>
                <w:color w:val="000000"/>
                <w:sz w:val="22"/>
                <w:szCs w:val="22"/>
              </w:rPr>
              <w:t>Incurred costs</w:t>
            </w:r>
            <w:r w:rsidR="00AA0F9C" w:rsidRPr="00835BA0">
              <w:rPr>
                <w:rFonts w:ascii="Arial" w:hAnsi="Arial" w:cs="Arial"/>
                <w:color w:val="000000"/>
                <w:sz w:val="22"/>
                <w:szCs w:val="22"/>
              </w:rPr>
              <w:t xml:space="preserve"> included payments for the following: theHIROC lawyer; the adjuster; expert opinion; settlements paid to claimants; claimant legal costs; and, the reserve in their Ultimate Probable Cost (likely to happen).</w:t>
            </w:r>
            <w:r w:rsidRPr="00835BA0">
              <w:rPr>
                <w:rFonts w:ascii="Arial" w:hAnsi="Arial" w:cs="Arial"/>
                <w:color w:val="000000"/>
                <w:sz w:val="22"/>
                <w:szCs w:val="22"/>
              </w:rPr>
              <w:t>”</w:t>
            </w:r>
          </w:p>
        </w:tc>
      </w:tr>
      <w:tr w:rsidR="00BA0CC4" w:rsidRPr="00835BA0" w:rsidTr="00835BA0">
        <w:tc>
          <w:tcPr>
            <w:tcW w:w="2358" w:type="dxa"/>
          </w:tcPr>
          <w:p w:rsidR="00BA0CC4" w:rsidRPr="00835BA0" w:rsidRDefault="00BA0CC4" w:rsidP="00835BA0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t>Pegalis, 2012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/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 &lt;EndNote&gt;&lt;Cite&gt;&lt;Author&gt;Pegalis&lt;/Author&gt;&lt;Year&gt;2012&lt;/Year&gt;&lt;RecNum&gt;33&lt;/RecNum&gt;&lt;DisplayText&gt;[10]&lt;/DisplayText&gt;&lt;record&gt;&lt;rec-number&gt;33&lt;/rec-number&gt;&lt;foreign-keys&gt;&lt;key app="EN" db-id="vdts00ptq5ezwee9z97pxxtktxr2zp5dvzve" timestamp="1436819248"&gt;33&lt;/key&gt;&lt;/foreign-keys&gt;&lt;ref-type name="Journal Article"&gt;17&lt;/ref-type&gt;&lt;contributors&gt;&lt;authors&gt;&lt;author&gt;Pegalis, S. E.&lt;/author&gt;&lt;author&gt;Bal, B. S.&lt;/author&gt;&lt;/authors&gt;&lt;/contributors&gt;&lt;auth-address&gt;New York Law School, New York, NY, USA. spegalis@pegalisanderickson.com&lt;/auth-address&gt;&lt;titles&gt;&lt;title&gt;Closed medical negligence claims can drive patient safety and reduce litigation&lt;/title&gt;&lt;secondary-title&gt;Clinical Orthopaedics and Related Research&lt;/secondary-title&gt;&lt;/titles&gt;&lt;periodical&gt;&lt;full-title&gt;Clinical Orthopaedics and Related Research&lt;/full-title&gt;&lt;abbr-1&gt;Clin. Orthop. Relat. Res.&lt;/abbr-1&gt;&lt;abbr-2&gt;Clin Orthop Relat Res&lt;/abbr-2&gt;&lt;abbr-3&gt;Clinical Orthopaedics &amp;amp; Related Research&lt;/abbr-3&gt;&lt;/periodical&gt;&lt;pages&gt;1398-1404&lt;/pages&gt;&lt;volume&gt;470&lt;/volume&gt;&lt;number&gt;5&lt;/number&gt;&lt;keywords&gt;&lt;keyword&gt;Guidelines as Topic&lt;/keyword&gt;&lt;keyword&gt;Humans&lt;/keyword&gt;&lt;keyword&gt;*Legislation, Medical&lt;/keyword&gt;&lt;keyword&gt;Liability, Legal&lt;/keyword&gt;&lt;keyword&gt;Malpractice/*legislation &amp;amp; jurisprudence&lt;/keyword&gt;&lt;keyword&gt;Medical Errors/*prevention &amp;amp; control&lt;/keyword&gt;&lt;keyword&gt;Medicine/*standards&lt;/keyword&gt;&lt;keyword&gt;Negotiating&lt;/keyword&gt;&lt;keyword&gt;Patient Safety/*legislation &amp;amp; jurisprudence&lt;/keyword&gt;&lt;/keywords&gt;&lt;dates&gt;&lt;year&gt;2012&lt;/year&gt;&lt;/dates&gt;&lt;isbn&gt;1528-1132 (Electronic)&amp;#xD;0009-921X (Linking)&lt;/isbn&gt;&lt;accession-num&gt;22419349&lt;/accession-num&gt;&lt;urls&gt;&lt;related-urls&gt;&lt;url&gt;http://www.ncbi.nlm.nih.gov/pubmed/22419349&lt;/url&gt;&lt;url&gt;http://www.ncbi.nlm.nih.gov/pmc/articles/PMC3314776/pdf/11999_2012_Article_2308.pdf&lt;/url&gt;&lt;/related-urls&gt;&lt;/urls&gt;&lt;custom2&gt;3314776&lt;/custom2&gt;&lt;electronic-resource-num&gt;10.1007/s11999-012-2308-5&lt;/electronic-resource-num&gt;&lt;/record&gt;&lt;/Cite&gt;&lt;/EndNote&gt;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separate"/>
            </w:r>
            <w:r w:rsidRPr="00835BA0">
              <w:rPr>
                <w:rFonts w:ascii="Arial" w:eastAsia="Times New Roman" w:hAnsi="Arial" w:cs="Arial"/>
                <w:noProof/>
                <w:sz w:val="22"/>
                <w:szCs w:val="22"/>
                <w:lang w:eastAsia="en-CA"/>
              </w:rPr>
              <w:t>[10]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7218" w:type="dxa"/>
          </w:tcPr>
          <w:p w:rsidR="00BA0CC4" w:rsidRPr="00835BA0" w:rsidRDefault="00DC7480" w:rsidP="00835BA0">
            <w:pPr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35BA0">
              <w:rPr>
                <w:rFonts w:ascii="Arial" w:hAnsi="Arial" w:cs="Arial"/>
                <w:color w:val="000000"/>
                <w:sz w:val="22"/>
                <w:szCs w:val="22"/>
              </w:rPr>
              <w:t>NR</w:t>
            </w:r>
          </w:p>
        </w:tc>
      </w:tr>
      <w:tr w:rsidR="00BA0CC4" w:rsidRPr="00835BA0" w:rsidTr="00835BA0">
        <w:tc>
          <w:tcPr>
            <w:tcW w:w="2358" w:type="dxa"/>
          </w:tcPr>
          <w:p w:rsidR="00BA0CC4" w:rsidRPr="00835BA0" w:rsidRDefault="00BA0CC4" w:rsidP="00835BA0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t>Santos, 2015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/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 &lt;EndNote&gt;&lt;Cite&gt;&lt;Author&gt;Santos&lt;/Author&gt;&lt;Year&gt;2015&lt;/Year&gt;&lt;RecNum&gt;35&lt;/RecNum&gt;&lt;DisplayText&gt;[11]&lt;/DisplayText&gt;&lt;record&gt;&lt;rec-number&gt;35&lt;/rec-number&gt;&lt;foreign-keys&gt;&lt;key app="EN" db-id="vdts00ptq5ezwee9z97pxxtktxr2zp5dvzve" timestamp="1436819320"&gt;35&lt;/key&gt;&lt;/foreign-keys&gt;&lt;ref-type name="Journal Article"&gt;17&lt;/ref-type&gt;&lt;contributors&gt;&lt;authors&gt;&lt;author&gt;Santos, P.&lt;/author&gt;&lt;author&gt;Ritter, G. A.&lt;/author&gt;&lt;author&gt;Hefele, J. L.&lt;/author&gt;&lt;author&gt;Hendrich, A.&lt;/author&gt;&lt;author&gt;McCoy, C. K.&lt;/author&gt;&lt;/authors&gt;&lt;/contributors&gt;&lt;auth-address&gt;Brandeis University.&lt;/auth-address&gt;&lt;titles&gt;&lt;title&gt;Decreasing intrapartum malpractice: Targeting the most injurious neonatal adverse events&lt;/title&gt;&lt;secondary-title&gt;Journal of Healthcare Risk Management&lt;/secondary-title&gt;&lt;/titles&gt;&lt;periodical&gt;&lt;full-title&gt;Journal of Healthcare Risk Management&lt;/full-title&gt;&lt;abbr-1&gt;J. Healthc. Risk Manag.&lt;/abbr-1&gt;&lt;abbr-2&gt;J Healthc Risk Manag&lt;/abbr-2&gt;&lt;/periodical&gt;&lt;pages&gt;20-27&lt;/pages&gt;&lt;volume&gt;34&lt;/volume&gt;&lt;number&gt;4&lt;/number&gt;&lt;dates&gt;&lt;year&gt;2015&lt;/year&gt;&lt;/dates&gt;&lt;isbn&gt;2040-0861 (Electronic)&amp;#xD;1074-4797 (Linking)&lt;/isbn&gt;&lt;accession-num&gt;25891287&lt;/accession-num&gt;&lt;urls&gt;&lt;related-urls&gt;&lt;url&gt;http://www.ncbi.nlm.nih.gov/pubmed/25891287&lt;/url&gt;&lt;url&gt;http://onlinelibrary.wiley.com/doi/10.1002/jhrm.21168/abstract&lt;/url&gt;&lt;/related-urls&gt;&lt;/urls&gt;&lt;electronic-resource-num&gt;10.1002/jhrm.21168&lt;/electronic-resource-num&gt;&lt;/record&gt;&lt;/Cite&gt;&lt;/EndNote&gt;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separate"/>
            </w:r>
            <w:r w:rsidRPr="00835BA0">
              <w:rPr>
                <w:rFonts w:ascii="Arial" w:eastAsia="Times New Roman" w:hAnsi="Arial" w:cs="Arial"/>
                <w:noProof/>
                <w:sz w:val="22"/>
                <w:szCs w:val="22"/>
                <w:lang w:eastAsia="en-CA"/>
              </w:rPr>
              <w:t>[11]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7218" w:type="dxa"/>
          </w:tcPr>
          <w:p w:rsidR="00BA0CC4" w:rsidRPr="00835BA0" w:rsidRDefault="00DC7480" w:rsidP="00835BA0">
            <w:pPr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35BA0">
              <w:rPr>
                <w:rFonts w:ascii="Arial" w:hAnsi="Arial" w:cs="Arial"/>
                <w:color w:val="000000"/>
                <w:sz w:val="22"/>
                <w:szCs w:val="22"/>
              </w:rPr>
              <w:t>“</w:t>
            </w:r>
            <w:r w:rsidR="00AA0F9C" w:rsidRPr="00835BA0">
              <w:rPr>
                <w:rFonts w:ascii="Arial" w:hAnsi="Arial" w:cs="Arial"/>
                <w:b/>
                <w:color w:val="000000"/>
                <w:sz w:val="22"/>
                <w:szCs w:val="22"/>
              </w:rPr>
              <w:t>Medical malpractice expenditures</w:t>
            </w:r>
            <w:r w:rsidR="00AA0F9C" w:rsidRPr="00835BA0">
              <w:rPr>
                <w:rFonts w:ascii="Arial" w:hAnsi="Arial" w:cs="Arial"/>
                <w:color w:val="000000"/>
                <w:sz w:val="22"/>
                <w:szCs w:val="22"/>
              </w:rPr>
              <w:t xml:space="preserve"> are mainly due to the occurrence of preventable harm with some of the highest liability rates in obstetrics.</w:t>
            </w:r>
            <w:r w:rsidRPr="00835BA0">
              <w:rPr>
                <w:rFonts w:ascii="Arial" w:hAnsi="Arial" w:cs="Arial"/>
                <w:color w:val="000000"/>
                <w:sz w:val="22"/>
                <w:szCs w:val="22"/>
              </w:rPr>
              <w:t>”</w:t>
            </w:r>
          </w:p>
        </w:tc>
      </w:tr>
      <w:tr w:rsidR="00BA0CC4" w:rsidRPr="00835BA0" w:rsidTr="00835BA0">
        <w:tc>
          <w:tcPr>
            <w:tcW w:w="2358" w:type="dxa"/>
          </w:tcPr>
          <w:p w:rsidR="00BA0CC4" w:rsidRPr="00835BA0" w:rsidRDefault="00BA0CC4" w:rsidP="00835BA0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t>Studdert, 2004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>
                <w:fldData xml:space="preserve">PEVuZE5vdGU+PENpdGU+PEF1dGhvcj5TdHVkZGVydDwvQXV0aG9yPjxZZWFyPjIwMDQ8L1llYXI+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</w:fldData>
              </w:fldChar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 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>
                <w:fldData xml:space="preserve">PEVuZE5vdGU+PENpdGU+PEF1dGhvcj5TdHVkZGVydDwvQXV0aG9yPjxZZWFyPjIwMDQ8L1llYXI+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</w:fldData>
              </w:fldChar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EN.CITE.DATA 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separate"/>
            </w:r>
            <w:r w:rsidRPr="00835BA0">
              <w:rPr>
                <w:rFonts w:ascii="Arial" w:eastAsia="Times New Roman" w:hAnsi="Arial" w:cs="Arial"/>
                <w:noProof/>
                <w:sz w:val="22"/>
                <w:szCs w:val="22"/>
                <w:lang w:eastAsia="en-CA"/>
              </w:rPr>
              <w:t>[12]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7218" w:type="dxa"/>
          </w:tcPr>
          <w:p w:rsidR="00BA0CC4" w:rsidRPr="00835BA0" w:rsidRDefault="00AA0F9C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hAnsi="Arial" w:cs="Arial"/>
                <w:sz w:val="22"/>
                <w:szCs w:val="22"/>
              </w:rPr>
              <w:t>NR</w:t>
            </w:r>
          </w:p>
        </w:tc>
      </w:tr>
      <w:tr w:rsidR="00BA0CC4" w:rsidRPr="00835BA0" w:rsidTr="00835BA0">
        <w:tc>
          <w:tcPr>
            <w:tcW w:w="2358" w:type="dxa"/>
          </w:tcPr>
          <w:p w:rsidR="00BA0CC4" w:rsidRPr="00835BA0" w:rsidRDefault="00BA0CC4" w:rsidP="00835BA0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t>Thorpe, 2004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/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 &lt;EndNote&gt;&lt;Cite&gt;&lt;Author&gt;Thorpe&lt;/Author&gt;&lt;Year&gt;2004&lt;/Year&gt;&lt;RecNum&gt;85&lt;/RecNum&gt;&lt;DisplayText&gt;[13]&lt;/DisplayText&gt;&lt;record&gt;&lt;rec-number&gt;85&lt;/rec-number&gt;&lt;foreign-keys&gt;&lt;key app="EN" db-id="vdts00ptq5ezwee9z97pxxtktxr2zp5dvzve" timestamp="1459260923"&gt;85&lt;/key&gt;&lt;/foreign-keys&gt;&lt;ref-type name="Journal Article"&gt;17&lt;/ref-type&gt;&lt;contributors&gt;&lt;authors&gt;&lt;author&gt;Thorpe, K. E.&lt;/author&gt;&lt;/authors&gt;&lt;/contributors&gt;&lt;auth-address&gt;Department of Health Policy and Management, Rollins School of Public Health, Emory University, Atlanta, Georgia, USA. kthorpe@sph.emory.edu&lt;/auth-address&gt;&lt;titles&gt;&lt;title&gt;The medical malpractice &amp;apos;crisis&amp;apos;: recent trends and the impact of state tort reforms&lt;/title&gt;&lt;secondary-title&gt;Health Aff (Millwood)&lt;/secondary-title&gt;&lt;alt-title&gt;Health affairs (Project Hope)&lt;/alt-title&gt;&lt;/titles&gt;&lt;periodical&gt;&lt;full-title&gt;Health Affairs&lt;/full-title&gt;&lt;abbr-1&gt;Health Aff. (Millwood)&lt;/abbr-1&gt;&lt;abbr-2&gt;Health Aff (Millwood)&lt;/abbr-2&gt;&lt;/periodical&gt;&lt;pages&gt;W4-20-30&lt;/pages&gt;&lt;volume&gt;Suppl Web Exclusives&lt;/volume&gt;&lt;edition&gt;2004/09/29&lt;/edition&gt;&lt;keywords&gt;&lt;keyword&gt;Insurance, Liability/economics&lt;/keyword&gt;&lt;keyword&gt;*Liability, Legal&lt;/keyword&gt;&lt;keyword&gt;Malpractice/economics/*legislation &amp;amp; jurisprudence/*trends&lt;/keyword&gt;&lt;keyword&gt;*State Government&lt;/keyword&gt;&lt;keyword&gt;United States&lt;/keyword&gt;&lt;/keywords&gt;&lt;dates&gt;&lt;year&gt;2004&lt;/year&gt;&lt;pub-dates&gt;&lt;date&gt;Jan-Jun&lt;/date&gt;&lt;/pub-dates&gt;&lt;/dates&gt;&lt;isbn&gt;0278-2715 (Print)&amp;#xD;0278-2715&lt;/isbn&gt;&lt;accession-num&gt;15452009&lt;/accession-num&gt;&lt;urls&gt;&lt;/urls&gt;&lt;electronic-resource-num&gt;10.1377/hlthaff.w4.20&lt;/electronic-resource-num&gt;&lt;remote-database-provider&gt;NLM&lt;/remote-database-provider&gt;&lt;language&gt;eng&lt;/language&gt;&lt;/record&gt;&lt;/Cite&gt;&lt;/EndNote&gt;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separate"/>
            </w:r>
            <w:r w:rsidRPr="00835BA0">
              <w:rPr>
                <w:rFonts w:ascii="Arial" w:eastAsia="Times New Roman" w:hAnsi="Arial" w:cs="Arial"/>
                <w:noProof/>
                <w:sz w:val="22"/>
                <w:szCs w:val="22"/>
                <w:lang w:eastAsia="en-CA"/>
              </w:rPr>
              <w:t>[13]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7218" w:type="dxa"/>
          </w:tcPr>
          <w:p w:rsidR="00BA0CC4" w:rsidRPr="00835BA0" w:rsidRDefault="00AA0F9C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hAnsi="Arial" w:cs="Arial"/>
                <w:sz w:val="22"/>
                <w:szCs w:val="22"/>
              </w:rPr>
              <w:t>NR</w:t>
            </w:r>
          </w:p>
        </w:tc>
      </w:tr>
      <w:tr w:rsidR="00BA0CC4" w:rsidRPr="00835BA0" w:rsidTr="00835BA0">
        <w:tc>
          <w:tcPr>
            <w:tcW w:w="2358" w:type="dxa"/>
          </w:tcPr>
          <w:p w:rsidR="00BA0CC4" w:rsidRPr="00835BA0" w:rsidRDefault="00BA0CC4" w:rsidP="00835BA0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t>Winn, 2007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begin"/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instrText xml:space="preserve"> ADDIN EN.CITE &lt;EndNote&gt;&lt;Cite&gt;&lt;Author&gt;Winn SH&lt;/Author&gt;&lt;Year&gt;2007&lt;/Year&gt;&lt;RecNum&gt;38&lt;/RecNum&gt;&lt;DisplayText&gt;[14]&lt;/DisplayText&gt;&lt;record&gt;&lt;rec-number&gt;38&lt;/rec-number&gt;&lt;foreign-keys&gt;&lt;key app="EN" db-id="vdts00ptq5ezwee9z97pxxtktxr2zp5dvzve" timestamp="1436819467"&gt;38&lt;/key&gt;&lt;/foreign-keys&gt;&lt;ref-type name="Journal Article"&gt;17&lt;/ref-type&gt;&lt;contributors&gt;&lt;authors&gt;&lt;author&gt;Winn SH,&lt;/author&gt;&lt;/authors&gt;&lt;/contributors&gt;&lt;auth-address&gt;Det Norske Veritas Ltd, Palace House, London, UK. sue.winn@dnv.com&lt;/auth-address&gt;&lt;titles&gt;&lt;title&gt;Assessing and credentialing standards of care: the UK Clinical Negligence Scheme for Trusts (CNST, Maternity)&lt;/title&gt;&lt;secondary-title&gt;Best Pract Res Clin Obstet Gynaecol&lt;/secondary-title&gt;&lt;/titles&gt;&lt;periodical&gt;&lt;full-title&gt;Best Practice &amp;amp; Research: Clinical Obstetrics &amp;amp; Gynaecology&lt;/full-title&gt;&lt;abbr-1&gt;Best Pract. Res. Clin. Obstet. Gynaecol.&lt;/abbr-1&gt;&lt;abbr-2&gt;Best Pract Res Clin Obstet Gynaecol&lt;/abbr-2&gt;&lt;/periodical&gt;&lt;pages&gt;537-555&lt;/pages&gt;&lt;volume&gt;21&lt;/volume&gt;&lt;number&gt;4&lt;/number&gt;&lt;keywords&gt;&lt;keyword&gt;Adult&lt;/keyword&gt;&lt;keyword&gt;Credentialing/*organization &amp;amp; administration&lt;/keyword&gt;&lt;keyword&gt;Female&lt;/keyword&gt;&lt;keyword&gt;Foundations/organization &amp;amp; administration/standards&lt;/keyword&gt;&lt;keyword&gt;Great Britain&lt;/keyword&gt;&lt;keyword&gt;Humans&lt;/keyword&gt;&lt;keyword&gt;Liability, Legal&lt;/keyword&gt;&lt;keyword&gt;*Models, Organizational&lt;/keyword&gt;&lt;keyword&gt;Obstetrics/legislation &amp;amp; jurisprudence/*standards&lt;/keyword&gt;&lt;keyword&gt;Pregnancy&lt;/keyword&gt;&lt;keyword&gt;Safety Management/methods/*standards&lt;/keyword&gt;&lt;keyword&gt;State Medicine/organization &amp;amp; administration/standards&lt;/keyword&gt;&lt;/keywords&gt;&lt;dates&gt;&lt;year&gt;2007&lt;/year&gt;&lt;/dates&gt;&lt;isbn&gt;1521-6934 (Print)&amp;#xD;1521-6934 (Linking)&lt;/isbn&gt;&lt;accession-num&gt;17434798&lt;/accession-num&gt;&lt;urls&gt;&lt;related-urls&gt;&lt;url&gt;http://www.ncbi.nlm.nih.gov/pubmed/17434798&lt;/url&gt;&lt;url&gt;http://www.bestpracticeobgyn.com/article/S1521-6934(07)00040-5/abstract&lt;/url&gt;&lt;url&gt;http://www.sciencedirect.com/science/article/pii/S1521693407000405&lt;/url&gt;&lt;/related-urls&gt;&lt;/urls&gt;&lt;electronic-resource-num&gt;10.1016/j.bpobgyn.2007.02.011&lt;/electronic-resource-num&gt;&lt;/record&gt;&lt;/Cite&gt;&lt;/EndNote&gt;</w:instrTex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separate"/>
            </w:r>
            <w:r w:rsidRPr="00835BA0">
              <w:rPr>
                <w:rFonts w:ascii="Arial" w:eastAsia="Times New Roman" w:hAnsi="Arial" w:cs="Arial"/>
                <w:noProof/>
                <w:sz w:val="22"/>
                <w:szCs w:val="22"/>
                <w:lang w:eastAsia="en-CA"/>
              </w:rPr>
              <w:t>[14]</w:t>
            </w:r>
            <w:r w:rsidRPr="00835BA0">
              <w:rPr>
                <w:rFonts w:ascii="Arial" w:eastAsia="Times New Roman" w:hAnsi="Arial" w:cs="Arial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7218" w:type="dxa"/>
          </w:tcPr>
          <w:p w:rsidR="00BA0CC4" w:rsidRPr="00835BA0" w:rsidRDefault="00AA0F9C" w:rsidP="00835BA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35BA0">
              <w:rPr>
                <w:rFonts w:ascii="Arial" w:hAnsi="Arial" w:cs="Arial"/>
                <w:sz w:val="22"/>
                <w:szCs w:val="22"/>
              </w:rPr>
              <w:t>NR</w:t>
            </w:r>
          </w:p>
        </w:tc>
      </w:tr>
    </w:tbl>
    <w:p w:rsidR="00FA6CEF" w:rsidRDefault="00FA6CEF" w:rsidP="00FA6CEF">
      <w:pPr>
        <w:spacing w:after="0" w:line="240" w:lineRule="auto"/>
        <w:rPr>
          <w:rFonts w:ascii="Arial" w:hAnsi="Arial" w:cs="Arial"/>
          <w:b/>
          <w:sz w:val="20"/>
        </w:rPr>
      </w:pPr>
    </w:p>
    <w:p w:rsidR="005D750E" w:rsidRDefault="00FA6CEF" w:rsidP="00FA6CEF">
      <w:pPr>
        <w:spacing w:after="0" w:line="240" w:lineRule="auto"/>
        <w:rPr>
          <w:rFonts w:ascii="Arial" w:hAnsi="Arial" w:cs="Arial"/>
          <w:sz w:val="20"/>
        </w:rPr>
      </w:pPr>
      <w:r w:rsidRPr="00FA6CEF">
        <w:rPr>
          <w:rFonts w:ascii="Arial" w:hAnsi="Arial" w:cs="Arial"/>
          <w:b/>
          <w:sz w:val="20"/>
        </w:rPr>
        <w:t xml:space="preserve">Abbreviations: </w:t>
      </w:r>
      <w:r w:rsidRPr="00FA6CEF">
        <w:rPr>
          <w:rFonts w:ascii="Arial" w:hAnsi="Arial" w:cs="Arial"/>
          <w:sz w:val="20"/>
        </w:rPr>
        <w:t>NR – not reported</w:t>
      </w:r>
    </w:p>
    <w:p w:rsidR="005D750E" w:rsidRDefault="005D750E" w:rsidP="00FA6CEF">
      <w:pPr>
        <w:spacing w:after="0" w:line="240" w:lineRule="auto"/>
        <w:rPr>
          <w:rFonts w:ascii="Arial" w:hAnsi="Arial" w:cs="Arial"/>
          <w:sz w:val="20"/>
        </w:rPr>
      </w:pPr>
    </w:p>
    <w:p w:rsidR="005D750E" w:rsidRPr="005D750E" w:rsidRDefault="005D750E" w:rsidP="00FA6CEF">
      <w:pPr>
        <w:spacing w:after="0" w:line="240" w:lineRule="auto"/>
        <w:rPr>
          <w:rFonts w:ascii="Arial" w:hAnsi="Arial" w:cs="Arial"/>
          <w:b/>
        </w:rPr>
      </w:pPr>
      <w:r w:rsidRPr="005D750E">
        <w:rPr>
          <w:rFonts w:ascii="Arial" w:hAnsi="Arial" w:cs="Arial"/>
          <w:b/>
        </w:rPr>
        <w:t>References</w:t>
      </w:r>
    </w:p>
    <w:p w:rsidR="005D750E" w:rsidRDefault="005D750E" w:rsidP="00FA6CEF">
      <w:pPr>
        <w:spacing w:after="0" w:line="240" w:lineRule="auto"/>
        <w:rPr>
          <w:rFonts w:ascii="Arial" w:hAnsi="Arial" w:cs="Arial"/>
          <w:sz w:val="20"/>
        </w:rPr>
      </w:pPr>
    </w:p>
    <w:p w:rsidR="00946BFE" w:rsidRPr="00946BFE" w:rsidRDefault="005D750E" w:rsidP="00946BFE">
      <w:pPr>
        <w:pStyle w:val="EndNoteBibliography"/>
        <w:spacing w:after="0"/>
      </w:pPr>
      <w:r>
        <w:rPr>
          <w:sz w:val="20"/>
        </w:rPr>
        <w:fldChar w:fldCharType="begin"/>
      </w:r>
      <w:r>
        <w:rPr>
          <w:sz w:val="20"/>
        </w:rPr>
        <w:instrText xml:space="preserve"> ADDIN EN.REFLIST </w:instrText>
      </w:r>
      <w:r>
        <w:rPr>
          <w:sz w:val="20"/>
        </w:rPr>
        <w:fldChar w:fldCharType="separate"/>
      </w:r>
      <w:r w:rsidR="00946BFE" w:rsidRPr="00946BFE">
        <w:t>1.</w:t>
      </w:r>
      <w:r w:rsidR="00946BFE" w:rsidRPr="00946BFE">
        <w:tab/>
        <w:t>Behrens MA. Medical liability reform: a case study of Mississippi. Obstet Gynecol. 2011;118(2 Pt 1):335-9.</w:t>
      </w:r>
    </w:p>
    <w:p w:rsidR="00946BFE" w:rsidRPr="00946BFE" w:rsidRDefault="00946BFE" w:rsidP="00946BFE">
      <w:pPr>
        <w:pStyle w:val="EndNoteBibliography"/>
        <w:spacing w:after="0"/>
      </w:pPr>
      <w:r w:rsidRPr="00946BFE">
        <w:t>2.</w:t>
      </w:r>
      <w:r w:rsidRPr="00946BFE">
        <w:tab/>
        <w:t>Bovbjerg RR. Malpractice crisis and reform. Clin Perinatol. 2005;32(1):203-33.</w:t>
      </w:r>
    </w:p>
    <w:p w:rsidR="00946BFE" w:rsidRPr="00946BFE" w:rsidRDefault="00946BFE" w:rsidP="00946BFE">
      <w:pPr>
        <w:pStyle w:val="EndNoteBibliography"/>
        <w:spacing w:after="0"/>
      </w:pPr>
      <w:r w:rsidRPr="00946BFE">
        <w:t>3.</w:t>
      </w:r>
      <w:r w:rsidRPr="00946BFE">
        <w:tab/>
        <w:t>Currie J, MacLeod WB. First Do No Harm? Tort Reform and Birth Outcomes. The Quarterly Journal of Economics. 2008;123(2):795-830.</w:t>
      </w:r>
    </w:p>
    <w:p w:rsidR="00946BFE" w:rsidRPr="00946BFE" w:rsidRDefault="00946BFE" w:rsidP="00946BFE">
      <w:pPr>
        <w:pStyle w:val="EndNoteBibliography"/>
        <w:spacing w:after="0"/>
      </w:pPr>
      <w:r w:rsidRPr="00946BFE">
        <w:t>4.</w:t>
      </w:r>
      <w:r w:rsidRPr="00946BFE">
        <w:tab/>
        <w:t>Edwards CT. The Impact of a No-Fault Tort Reform on Physician decision-making: a look at Virgina’s Birth Injury Program. Rev Jurid Univ P R. 2010;80.</w:t>
      </w:r>
    </w:p>
    <w:p w:rsidR="00946BFE" w:rsidRPr="00946BFE" w:rsidRDefault="00946BFE" w:rsidP="00946BFE">
      <w:pPr>
        <w:pStyle w:val="EndNoteBibliography"/>
        <w:spacing w:after="0"/>
      </w:pPr>
      <w:r w:rsidRPr="00946BFE">
        <w:t>5.</w:t>
      </w:r>
      <w:r w:rsidRPr="00946BFE">
        <w:tab/>
        <w:t>Ho B, Liu E. What's an Apology Worth? Decomposing the Effect of Apologies on Medical Malpractice Payments Using State Apology Laws. J Empir Leg Stud. 2011;8(S1):177-99.</w:t>
      </w:r>
    </w:p>
    <w:p w:rsidR="00946BFE" w:rsidRPr="00946BFE" w:rsidRDefault="00946BFE" w:rsidP="00946BFE">
      <w:pPr>
        <w:pStyle w:val="EndNoteBibliography"/>
        <w:spacing w:after="0"/>
      </w:pPr>
      <w:r w:rsidRPr="00946BFE">
        <w:t>6.</w:t>
      </w:r>
      <w:r w:rsidRPr="00946BFE">
        <w:tab/>
        <w:t>Iizuka T. Does higher malpractice pressure deter medical errors? Journal of Law and Economics. 2013;56(1):161-88.</w:t>
      </w:r>
    </w:p>
    <w:p w:rsidR="00946BFE" w:rsidRPr="00946BFE" w:rsidRDefault="00946BFE" w:rsidP="00946BFE">
      <w:pPr>
        <w:pStyle w:val="EndNoteBibliography"/>
        <w:spacing w:after="0"/>
      </w:pPr>
      <w:r w:rsidRPr="00946BFE">
        <w:t>7.</w:t>
      </w:r>
      <w:r w:rsidRPr="00946BFE">
        <w:tab/>
        <w:t>Kachalia A, Kaufman SR, Boothman R, Anderson S, Welch K, Saint S, et al. Liability claims and costs before and after implementation of a medical error disclosure program. Ann Intern Med. 2010;153(4):213-21.</w:t>
      </w:r>
    </w:p>
    <w:p w:rsidR="00946BFE" w:rsidRPr="00946BFE" w:rsidRDefault="00946BFE" w:rsidP="00946BFE">
      <w:pPr>
        <w:pStyle w:val="EndNoteBibliography"/>
        <w:spacing w:after="0"/>
      </w:pPr>
      <w:r w:rsidRPr="00946BFE">
        <w:t>8.</w:t>
      </w:r>
      <w:r w:rsidRPr="00946BFE">
        <w:tab/>
        <w:t>Kilgore ML, Morrisey MA, Nelson LJ. Tort law and medical malpractice insurance premiums. Inquiry. 2006;43(3):255-70.</w:t>
      </w:r>
    </w:p>
    <w:p w:rsidR="00946BFE" w:rsidRPr="00946BFE" w:rsidRDefault="00946BFE" w:rsidP="00946BFE">
      <w:pPr>
        <w:pStyle w:val="EndNoteBibliography"/>
        <w:spacing w:after="0"/>
      </w:pPr>
      <w:r w:rsidRPr="00946BFE">
        <w:t>9.</w:t>
      </w:r>
      <w:r w:rsidRPr="00946BFE">
        <w:tab/>
        <w:t>Milne JK, Walker DE, Vlahaki D. Reflections on the Canadian MORE(OB) obstetrical risk management programme. Best Pract Res Clin Obstet Gynaecol. 2013;27(4):563-9.</w:t>
      </w:r>
    </w:p>
    <w:p w:rsidR="00946BFE" w:rsidRPr="00946BFE" w:rsidRDefault="00946BFE" w:rsidP="00946BFE">
      <w:pPr>
        <w:pStyle w:val="EndNoteBibliography"/>
        <w:spacing w:after="0"/>
      </w:pPr>
      <w:r w:rsidRPr="00946BFE">
        <w:lastRenderedPageBreak/>
        <w:t>10.</w:t>
      </w:r>
      <w:r w:rsidRPr="00946BFE">
        <w:tab/>
        <w:t>Pegalis SE, Bal BS. Closed medical negligence claims can drive patient safety and reduce litigation. Clin Orthop Relat Res. 2012;470(5):1398-404.</w:t>
      </w:r>
    </w:p>
    <w:p w:rsidR="00946BFE" w:rsidRPr="00946BFE" w:rsidRDefault="00946BFE" w:rsidP="00946BFE">
      <w:pPr>
        <w:pStyle w:val="EndNoteBibliography"/>
        <w:spacing w:after="0"/>
      </w:pPr>
      <w:r w:rsidRPr="00946BFE">
        <w:t>11.</w:t>
      </w:r>
      <w:r w:rsidRPr="00946BFE">
        <w:tab/>
        <w:t>Santos P, Ritter GA, Hefele JL, Hendrich A, McCoy CK. Decreasing intrapartum malpractice: Targeting the most injurious neonatal adverse events. J Healthc Risk Manag. 2015;34(4):20-7.</w:t>
      </w:r>
    </w:p>
    <w:p w:rsidR="00946BFE" w:rsidRPr="00946BFE" w:rsidRDefault="00946BFE" w:rsidP="00946BFE">
      <w:pPr>
        <w:pStyle w:val="EndNoteBibliography"/>
        <w:spacing w:after="0"/>
      </w:pPr>
      <w:r w:rsidRPr="00946BFE">
        <w:t>12.</w:t>
      </w:r>
      <w:r w:rsidRPr="00946BFE">
        <w:tab/>
        <w:t>Studdert DM, Mello MM, Brennan TA. Medical malpractice. N Engl J Med. 2004;350(3):283-92.</w:t>
      </w:r>
    </w:p>
    <w:p w:rsidR="00946BFE" w:rsidRPr="00946BFE" w:rsidRDefault="00946BFE" w:rsidP="00946BFE">
      <w:pPr>
        <w:pStyle w:val="EndNoteBibliography"/>
        <w:spacing w:after="0"/>
      </w:pPr>
      <w:r w:rsidRPr="00946BFE">
        <w:t>13.</w:t>
      </w:r>
      <w:r w:rsidRPr="00946BFE">
        <w:tab/>
        <w:t>Thorpe KE. The medical malpractice 'crisis': recent trends and the impact of state tort reforms. Health Aff (Millwood). 2004;Suppl Web Exclusives:W4-20-30.</w:t>
      </w:r>
    </w:p>
    <w:p w:rsidR="00946BFE" w:rsidRPr="00946BFE" w:rsidRDefault="00946BFE" w:rsidP="00946BFE">
      <w:pPr>
        <w:pStyle w:val="EndNoteBibliography"/>
      </w:pPr>
      <w:r w:rsidRPr="00946BFE">
        <w:t>14.</w:t>
      </w:r>
      <w:r w:rsidRPr="00946BFE">
        <w:tab/>
        <w:t>Winn SH. Assessing and credentialing standards of care: the UK Clinical Negligence Scheme for Trusts (CNST, Maternity). Best Pract Res Clin Obstet Gynaecol. 2007;21(4):537-55.</w:t>
      </w:r>
    </w:p>
    <w:p w:rsidR="004448B6" w:rsidRPr="00FA6CEF" w:rsidRDefault="005D750E" w:rsidP="00FA6CEF">
      <w:pPr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end"/>
      </w:r>
    </w:p>
    <w:sectPr w:rsidR="004448B6" w:rsidRPr="00FA6CE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21B" w:rsidRDefault="0011221B" w:rsidP="00875EAD">
      <w:pPr>
        <w:spacing w:after="0" w:line="240" w:lineRule="auto"/>
      </w:pPr>
      <w:r>
        <w:separator/>
      </w:r>
    </w:p>
  </w:endnote>
  <w:endnote w:type="continuationSeparator" w:id="0">
    <w:p w:rsidR="0011221B" w:rsidRDefault="0011221B" w:rsidP="00875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848105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</w:rPr>
    </w:sdtEndPr>
    <w:sdtContent>
      <w:p w:rsidR="00875EAD" w:rsidRPr="00875EAD" w:rsidRDefault="00875EAD" w:rsidP="00875EAD">
        <w:pPr>
          <w:pStyle w:val="Footer"/>
          <w:jc w:val="center"/>
          <w:rPr>
            <w:rFonts w:ascii="Arial" w:hAnsi="Arial" w:cs="Arial"/>
            <w:sz w:val="22"/>
          </w:rPr>
        </w:pPr>
        <w:r w:rsidRPr="00875EAD">
          <w:rPr>
            <w:rFonts w:ascii="Arial" w:hAnsi="Arial" w:cs="Arial"/>
            <w:sz w:val="22"/>
          </w:rPr>
          <w:fldChar w:fldCharType="begin"/>
        </w:r>
        <w:r w:rsidRPr="00875EAD">
          <w:rPr>
            <w:rFonts w:ascii="Arial" w:hAnsi="Arial" w:cs="Arial"/>
            <w:sz w:val="22"/>
          </w:rPr>
          <w:instrText xml:space="preserve"> PAGE   \* MERGEFORMAT </w:instrText>
        </w:r>
        <w:r w:rsidRPr="00875EAD">
          <w:rPr>
            <w:rFonts w:ascii="Arial" w:hAnsi="Arial" w:cs="Arial"/>
            <w:sz w:val="22"/>
          </w:rPr>
          <w:fldChar w:fldCharType="separate"/>
        </w:r>
        <w:r w:rsidR="00760A70">
          <w:rPr>
            <w:rFonts w:ascii="Arial" w:hAnsi="Arial" w:cs="Arial"/>
            <w:noProof/>
            <w:sz w:val="22"/>
          </w:rPr>
          <w:t>1</w:t>
        </w:r>
        <w:r w:rsidRPr="00875EAD">
          <w:rPr>
            <w:rFonts w:ascii="Arial" w:hAnsi="Arial" w:cs="Arial"/>
            <w:noProof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21B" w:rsidRDefault="0011221B" w:rsidP="00875EAD">
      <w:pPr>
        <w:spacing w:after="0" w:line="240" w:lineRule="auto"/>
      </w:pPr>
      <w:r>
        <w:separator/>
      </w:r>
    </w:p>
  </w:footnote>
  <w:footnote w:type="continuationSeparator" w:id="0">
    <w:p w:rsidR="0011221B" w:rsidRDefault="0011221B" w:rsidP="00875E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_Syst Rev_WHO I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dts00ptq5ezwee9z97pxxtktxr2zp5dvzve&quot;&gt;WHO Medical Malpractice&lt;record-ids&gt;&lt;item&gt;5&lt;/item&gt;&lt;item&gt;18&lt;/item&gt;&lt;item&gt;21&lt;/item&gt;&lt;item&gt;31&lt;/item&gt;&lt;item&gt;33&lt;/item&gt;&lt;item&gt;35&lt;/item&gt;&lt;item&gt;38&lt;/item&gt;&lt;item&gt;47&lt;/item&gt;&lt;item&gt;53&lt;/item&gt;&lt;item&gt;56&lt;/item&gt;&lt;item&gt;82&lt;/item&gt;&lt;item&gt;83&lt;/item&gt;&lt;item&gt;84&lt;/item&gt;&lt;item&gt;85&lt;/item&gt;&lt;/record-ids&gt;&lt;/item&gt;&lt;/Libraries&gt;"/>
  </w:docVars>
  <w:rsids>
    <w:rsidRoot w:val="004448B6"/>
    <w:rsid w:val="0011221B"/>
    <w:rsid w:val="00186DA7"/>
    <w:rsid w:val="00240246"/>
    <w:rsid w:val="002435E7"/>
    <w:rsid w:val="00277F95"/>
    <w:rsid w:val="00290A6D"/>
    <w:rsid w:val="002A4453"/>
    <w:rsid w:val="004448B6"/>
    <w:rsid w:val="004B1625"/>
    <w:rsid w:val="005D750E"/>
    <w:rsid w:val="00667CE8"/>
    <w:rsid w:val="00670FA3"/>
    <w:rsid w:val="00711B8A"/>
    <w:rsid w:val="00760A70"/>
    <w:rsid w:val="007A56CD"/>
    <w:rsid w:val="00835BA0"/>
    <w:rsid w:val="00875EAD"/>
    <w:rsid w:val="00946BFE"/>
    <w:rsid w:val="00A37EBA"/>
    <w:rsid w:val="00AA0F9C"/>
    <w:rsid w:val="00BA0CC4"/>
    <w:rsid w:val="00BE4C1E"/>
    <w:rsid w:val="00CE17CE"/>
    <w:rsid w:val="00CF6AFA"/>
    <w:rsid w:val="00D46157"/>
    <w:rsid w:val="00D716F3"/>
    <w:rsid w:val="00D96FB1"/>
    <w:rsid w:val="00DC7480"/>
    <w:rsid w:val="00E62006"/>
    <w:rsid w:val="00F8038E"/>
    <w:rsid w:val="00FA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8B6"/>
    <w:pPr>
      <w:spacing w:after="240" w:line="480" w:lineRule="auto"/>
    </w:pPr>
    <w:rPr>
      <w:rFonts w:ascii="Times New Roman" w:eastAsiaTheme="minorEastAsia" w:hAnsi="Times New Roman" w:cs="Times New Roman"/>
      <w:sz w:val="24"/>
      <w:szCs w:val="24"/>
      <w:lang w:val="pt-BR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4448B6"/>
    <w:pPr>
      <w:keepNext w:val="0"/>
      <w:keepLines w:val="0"/>
      <w:spacing w:before="0"/>
      <w:outlineLvl w:val="0"/>
    </w:pPr>
    <w:rPr>
      <w:rFonts w:ascii="Times New Roman" w:eastAsiaTheme="minorEastAsia" w:hAnsi="Times New Roman" w:cs="Times New Roman"/>
      <w:bCs w:val="0"/>
      <w:color w:val="auto"/>
      <w:sz w:val="36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8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8B6"/>
    <w:rPr>
      <w:rFonts w:ascii="Times New Roman" w:eastAsiaTheme="minorEastAsia" w:hAnsi="Times New Roman" w:cs="Times New Roman"/>
      <w:b/>
      <w:sz w:val="36"/>
      <w:szCs w:val="24"/>
      <w:lang w:val="pt-BR"/>
    </w:rPr>
  </w:style>
  <w:style w:type="table" w:customStyle="1" w:styleId="TableGrid2">
    <w:name w:val="Table Grid2"/>
    <w:basedOn w:val="TableNormal"/>
    <w:next w:val="TableGrid"/>
    <w:uiPriority w:val="39"/>
    <w:rsid w:val="004448B6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4448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BR"/>
    </w:rPr>
  </w:style>
  <w:style w:type="table" w:styleId="TableGrid">
    <w:name w:val="Table Grid"/>
    <w:basedOn w:val="TableNormal"/>
    <w:uiPriority w:val="59"/>
    <w:rsid w:val="00444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77F9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670F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F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FA3"/>
    <w:rPr>
      <w:rFonts w:ascii="Times New Roman" w:eastAsiaTheme="minorEastAsia" w:hAnsi="Times New Roman" w:cs="Times New Roman"/>
      <w:sz w:val="20"/>
      <w:szCs w:val="20"/>
      <w:lang w:val="pt-B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F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FA3"/>
    <w:rPr>
      <w:rFonts w:ascii="Times New Roman" w:eastAsiaTheme="minorEastAsia" w:hAnsi="Times New Roman" w:cs="Times New Roman"/>
      <w:b/>
      <w:bCs/>
      <w:sz w:val="20"/>
      <w:szCs w:val="20"/>
      <w:lang w:val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FA3"/>
    <w:rPr>
      <w:rFonts w:ascii="Tahoma" w:eastAsiaTheme="minorEastAsia" w:hAnsi="Tahoma" w:cs="Tahoma"/>
      <w:sz w:val="16"/>
      <w:szCs w:val="16"/>
      <w:lang w:val="pt-BR"/>
    </w:rPr>
  </w:style>
  <w:style w:type="paragraph" w:styleId="Header">
    <w:name w:val="header"/>
    <w:basedOn w:val="Normal"/>
    <w:link w:val="HeaderChar"/>
    <w:uiPriority w:val="99"/>
    <w:unhideWhenUsed/>
    <w:rsid w:val="00875E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EAD"/>
    <w:rPr>
      <w:rFonts w:ascii="Times New Roman" w:eastAsiaTheme="minorEastAsia" w:hAnsi="Times New Roman" w:cs="Times New Roman"/>
      <w:sz w:val="24"/>
      <w:szCs w:val="24"/>
      <w:lang w:val="pt-BR"/>
    </w:rPr>
  </w:style>
  <w:style w:type="paragraph" w:styleId="Footer">
    <w:name w:val="footer"/>
    <w:basedOn w:val="Normal"/>
    <w:link w:val="FooterChar"/>
    <w:uiPriority w:val="99"/>
    <w:unhideWhenUsed/>
    <w:rsid w:val="00875E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EAD"/>
    <w:rPr>
      <w:rFonts w:ascii="Times New Roman" w:eastAsiaTheme="minorEastAsia" w:hAnsi="Times New Roman" w:cs="Times New Roman"/>
      <w:sz w:val="24"/>
      <w:szCs w:val="24"/>
      <w:lang w:val="pt-BR"/>
    </w:rPr>
  </w:style>
  <w:style w:type="paragraph" w:customStyle="1" w:styleId="EndNoteBibliographyTitle">
    <w:name w:val="EndNote Bibliography Title"/>
    <w:basedOn w:val="Normal"/>
    <w:link w:val="EndNoteBibliographyTitleChar"/>
    <w:rsid w:val="005D750E"/>
    <w:pPr>
      <w:spacing w:after="0"/>
      <w:jc w:val="center"/>
    </w:pPr>
    <w:rPr>
      <w:rFonts w:ascii="Arial" w:hAnsi="Arial" w:cs="Arial"/>
      <w:noProof/>
      <w:sz w:val="22"/>
      <w:lang w:val="en-US"/>
    </w:rPr>
  </w:style>
  <w:style w:type="character" w:customStyle="1" w:styleId="EndNoteBibliographyTitleChar">
    <w:name w:val="EndNote Bibliography Title Char"/>
    <w:basedOn w:val="Heading1Char"/>
    <w:link w:val="EndNoteBibliographyTitle"/>
    <w:rsid w:val="005D750E"/>
    <w:rPr>
      <w:rFonts w:ascii="Arial" w:eastAsiaTheme="minorEastAsia" w:hAnsi="Arial" w:cs="Arial"/>
      <w:b w:val="0"/>
      <w:noProof/>
      <w:sz w:val="36"/>
      <w:szCs w:val="24"/>
      <w:lang w:val="pt-BR"/>
    </w:rPr>
  </w:style>
  <w:style w:type="paragraph" w:customStyle="1" w:styleId="EndNoteBibliography">
    <w:name w:val="EndNote Bibliography"/>
    <w:basedOn w:val="Normal"/>
    <w:link w:val="EndNoteBibliographyChar"/>
    <w:rsid w:val="005D750E"/>
    <w:pPr>
      <w:spacing w:line="240" w:lineRule="auto"/>
    </w:pPr>
    <w:rPr>
      <w:rFonts w:ascii="Arial" w:hAnsi="Arial" w:cs="Arial"/>
      <w:noProof/>
      <w:sz w:val="22"/>
      <w:lang w:val="en-US"/>
    </w:rPr>
  </w:style>
  <w:style w:type="character" w:customStyle="1" w:styleId="EndNoteBibliographyChar">
    <w:name w:val="EndNote Bibliography Char"/>
    <w:basedOn w:val="Heading1Char"/>
    <w:link w:val="EndNoteBibliography"/>
    <w:rsid w:val="005D750E"/>
    <w:rPr>
      <w:rFonts w:ascii="Arial" w:eastAsiaTheme="minorEastAsia" w:hAnsi="Arial" w:cs="Arial"/>
      <w:b w:val="0"/>
      <w:noProof/>
      <w:sz w:val="36"/>
      <w:szCs w:val="24"/>
      <w:lang w:val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8B6"/>
    <w:pPr>
      <w:spacing w:after="240" w:line="480" w:lineRule="auto"/>
    </w:pPr>
    <w:rPr>
      <w:rFonts w:ascii="Times New Roman" w:eastAsiaTheme="minorEastAsia" w:hAnsi="Times New Roman" w:cs="Times New Roman"/>
      <w:sz w:val="24"/>
      <w:szCs w:val="24"/>
      <w:lang w:val="pt-BR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4448B6"/>
    <w:pPr>
      <w:keepNext w:val="0"/>
      <w:keepLines w:val="0"/>
      <w:spacing w:before="0"/>
      <w:outlineLvl w:val="0"/>
    </w:pPr>
    <w:rPr>
      <w:rFonts w:ascii="Times New Roman" w:eastAsiaTheme="minorEastAsia" w:hAnsi="Times New Roman" w:cs="Times New Roman"/>
      <w:bCs w:val="0"/>
      <w:color w:val="auto"/>
      <w:sz w:val="36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8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8B6"/>
    <w:rPr>
      <w:rFonts w:ascii="Times New Roman" w:eastAsiaTheme="minorEastAsia" w:hAnsi="Times New Roman" w:cs="Times New Roman"/>
      <w:b/>
      <w:sz w:val="36"/>
      <w:szCs w:val="24"/>
      <w:lang w:val="pt-BR"/>
    </w:rPr>
  </w:style>
  <w:style w:type="table" w:customStyle="1" w:styleId="TableGrid2">
    <w:name w:val="Table Grid2"/>
    <w:basedOn w:val="TableNormal"/>
    <w:next w:val="TableGrid"/>
    <w:uiPriority w:val="39"/>
    <w:rsid w:val="004448B6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4448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BR"/>
    </w:rPr>
  </w:style>
  <w:style w:type="table" w:styleId="TableGrid">
    <w:name w:val="Table Grid"/>
    <w:basedOn w:val="TableNormal"/>
    <w:uiPriority w:val="59"/>
    <w:rsid w:val="00444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77F9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670F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F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FA3"/>
    <w:rPr>
      <w:rFonts w:ascii="Times New Roman" w:eastAsiaTheme="minorEastAsia" w:hAnsi="Times New Roman" w:cs="Times New Roman"/>
      <w:sz w:val="20"/>
      <w:szCs w:val="20"/>
      <w:lang w:val="pt-B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F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FA3"/>
    <w:rPr>
      <w:rFonts w:ascii="Times New Roman" w:eastAsiaTheme="minorEastAsia" w:hAnsi="Times New Roman" w:cs="Times New Roman"/>
      <w:b/>
      <w:bCs/>
      <w:sz w:val="20"/>
      <w:szCs w:val="20"/>
      <w:lang w:val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FA3"/>
    <w:rPr>
      <w:rFonts w:ascii="Tahoma" w:eastAsiaTheme="minorEastAsia" w:hAnsi="Tahoma" w:cs="Tahoma"/>
      <w:sz w:val="16"/>
      <w:szCs w:val="16"/>
      <w:lang w:val="pt-BR"/>
    </w:rPr>
  </w:style>
  <w:style w:type="paragraph" w:styleId="Header">
    <w:name w:val="header"/>
    <w:basedOn w:val="Normal"/>
    <w:link w:val="HeaderChar"/>
    <w:uiPriority w:val="99"/>
    <w:unhideWhenUsed/>
    <w:rsid w:val="00875E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EAD"/>
    <w:rPr>
      <w:rFonts w:ascii="Times New Roman" w:eastAsiaTheme="minorEastAsia" w:hAnsi="Times New Roman" w:cs="Times New Roman"/>
      <w:sz w:val="24"/>
      <w:szCs w:val="24"/>
      <w:lang w:val="pt-BR"/>
    </w:rPr>
  </w:style>
  <w:style w:type="paragraph" w:styleId="Footer">
    <w:name w:val="footer"/>
    <w:basedOn w:val="Normal"/>
    <w:link w:val="FooterChar"/>
    <w:uiPriority w:val="99"/>
    <w:unhideWhenUsed/>
    <w:rsid w:val="00875E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EAD"/>
    <w:rPr>
      <w:rFonts w:ascii="Times New Roman" w:eastAsiaTheme="minorEastAsia" w:hAnsi="Times New Roman" w:cs="Times New Roman"/>
      <w:sz w:val="24"/>
      <w:szCs w:val="24"/>
      <w:lang w:val="pt-BR"/>
    </w:rPr>
  </w:style>
  <w:style w:type="paragraph" w:customStyle="1" w:styleId="EndNoteBibliographyTitle">
    <w:name w:val="EndNote Bibliography Title"/>
    <w:basedOn w:val="Normal"/>
    <w:link w:val="EndNoteBibliographyTitleChar"/>
    <w:rsid w:val="005D750E"/>
    <w:pPr>
      <w:spacing w:after="0"/>
      <w:jc w:val="center"/>
    </w:pPr>
    <w:rPr>
      <w:rFonts w:ascii="Arial" w:hAnsi="Arial" w:cs="Arial"/>
      <w:noProof/>
      <w:sz w:val="22"/>
      <w:lang w:val="en-US"/>
    </w:rPr>
  </w:style>
  <w:style w:type="character" w:customStyle="1" w:styleId="EndNoteBibliographyTitleChar">
    <w:name w:val="EndNote Bibliography Title Char"/>
    <w:basedOn w:val="Heading1Char"/>
    <w:link w:val="EndNoteBibliographyTitle"/>
    <w:rsid w:val="005D750E"/>
    <w:rPr>
      <w:rFonts w:ascii="Arial" w:eastAsiaTheme="minorEastAsia" w:hAnsi="Arial" w:cs="Arial"/>
      <w:b w:val="0"/>
      <w:noProof/>
      <w:sz w:val="36"/>
      <w:szCs w:val="24"/>
      <w:lang w:val="pt-BR"/>
    </w:rPr>
  </w:style>
  <w:style w:type="paragraph" w:customStyle="1" w:styleId="EndNoteBibliography">
    <w:name w:val="EndNote Bibliography"/>
    <w:basedOn w:val="Normal"/>
    <w:link w:val="EndNoteBibliographyChar"/>
    <w:rsid w:val="005D750E"/>
    <w:pPr>
      <w:spacing w:line="240" w:lineRule="auto"/>
    </w:pPr>
    <w:rPr>
      <w:rFonts w:ascii="Arial" w:hAnsi="Arial" w:cs="Arial"/>
      <w:noProof/>
      <w:sz w:val="22"/>
      <w:lang w:val="en-US"/>
    </w:rPr>
  </w:style>
  <w:style w:type="character" w:customStyle="1" w:styleId="EndNoteBibliographyChar">
    <w:name w:val="EndNote Bibliography Char"/>
    <w:basedOn w:val="Heading1Char"/>
    <w:link w:val="EndNoteBibliography"/>
    <w:rsid w:val="005D750E"/>
    <w:rPr>
      <w:rFonts w:ascii="Arial" w:eastAsiaTheme="minorEastAsia" w:hAnsi="Arial" w:cs="Arial"/>
      <w:b w:val="0"/>
      <w:noProof/>
      <w:sz w:val="36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2786</Words>
  <Characters>15884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Michael's</Company>
  <LinksUpToDate>false</LinksUpToDate>
  <CharactersWithSpaces>18633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Cardoso</dc:creator>
  <cp:lastModifiedBy>Susan Le</cp:lastModifiedBy>
  <cp:revision>16</cp:revision>
  <dcterms:created xsi:type="dcterms:W3CDTF">2017-06-15T18:44:00Z</dcterms:created>
  <dcterms:modified xsi:type="dcterms:W3CDTF">2017-07-27T21:53:00Z</dcterms:modified>
</cp:coreProperties>
</file>