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F2F" w:rsidRDefault="00742FFC" w:rsidP="00FF7F2F">
      <w:pPr>
        <w:pStyle w:val="Heading1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Additional File 7</w:t>
      </w:r>
      <w:bookmarkStart w:id="0" w:name="_GoBack"/>
      <w:bookmarkEnd w:id="0"/>
      <w:r w:rsidR="006F0B8A" w:rsidRPr="00FF7F2F">
        <w:rPr>
          <w:rFonts w:ascii="Arial" w:hAnsi="Arial" w:cs="Arial"/>
          <w:sz w:val="24"/>
        </w:rPr>
        <w:t>. Initiatives for improving medical malpractice</w:t>
      </w:r>
      <w:r w:rsidR="00FC34F9">
        <w:rPr>
          <w:rFonts w:ascii="Arial" w:hAnsi="Arial" w:cs="Arial"/>
          <w:sz w:val="24"/>
        </w:rPr>
        <w:t xml:space="preserve"> definitions</w:t>
      </w:r>
    </w:p>
    <w:p w:rsidR="00FF7F2F" w:rsidRPr="00FF7F2F" w:rsidRDefault="00FF7F2F" w:rsidP="00FF7F2F">
      <w:pPr>
        <w:spacing w:after="0"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313"/>
        <w:gridCol w:w="6263"/>
      </w:tblGrid>
      <w:tr w:rsidR="006F0B8A" w:rsidRPr="00FF7F2F" w:rsidTr="00FF7F2F">
        <w:trPr>
          <w:trHeight w:val="372"/>
        </w:trPr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bookmarkStart w:id="1" w:name="_Toc427146559"/>
            <w:r w:rsidRPr="00FF7F2F">
              <w:rPr>
                <w:rFonts w:ascii="Arial" w:hAnsi="Arial" w:cs="Arial"/>
                <w:b/>
                <w:sz w:val="22"/>
                <w:lang w:val="en-US"/>
              </w:rPr>
              <w:t>Initiatives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r w:rsidRPr="00FF7F2F">
              <w:rPr>
                <w:rFonts w:ascii="Arial" w:hAnsi="Arial" w:cs="Arial"/>
                <w:b/>
                <w:sz w:val="22"/>
                <w:lang w:val="en-US"/>
              </w:rPr>
              <w:t>Definitions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No-fault approach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 w:rsidRPr="00FF7F2F">
              <w:rPr>
                <w:rFonts w:ascii="Arial" w:eastAsia="Times New Roman" w:hAnsi="Arial" w:cs="Arial"/>
                <w:sz w:val="22"/>
                <w:lang w:val="en-US"/>
              </w:rPr>
              <w:t xml:space="preserve">Strategies when </w:t>
            </w:r>
            <w:r w:rsidRPr="00FF7F2F">
              <w:rPr>
                <w:rFonts w:ascii="Arial" w:hAnsi="Arial" w:cs="Arial"/>
                <w:sz w:val="22"/>
                <w:shd w:val="clear" w:color="auto" w:fill="FFFFFF"/>
                <w:lang w:val="en-US"/>
              </w:rPr>
              <w:t>medical injuries are compensated without proof of fault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Patient safety initiatives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 w:rsidRPr="00FF7F2F">
              <w:rPr>
                <w:rFonts w:ascii="Arial" w:eastAsia="Times New Roman" w:hAnsi="Arial" w:cs="Arial"/>
                <w:sz w:val="22"/>
                <w:lang w:val="en-US"/>
              </w:rPr>
              <w:t xml:space="preserve">Frameworks and system models aimed to </w:t>
            </w:r>
            <w:r w:rsidRPr="00FF7F2F">
              <w:rPr>
                <w:rFonts w:ascii="Arial" w:hAnsi="Arial" w:cs="Arial"/>
                <w:sz w:val="22"/>
                <w:shd w:val="clear" w:color="auto" w:fill="FFFFFF"/>
                <w:lang w:val="en-US"/>
              </w:rPr>
              <w:t xml:space="preserve">reduce </w:t>
            </w:r>
            <w:r w:rsidRPr="00FF7F2F">
              <w:rPr>
                <w:rFonts w:ascii="Arial" w:hAnsi="Arial" w:cs="Arial"/>
                <w:sz w:val="22"/>
                <w:lang w:val="en-US"/>
              </w:rPr>
              <w:t xml:space="preserve">medical malpractice and ultimately </w:t>
            </w:r>
            <w:r w:rsidRPr="00FF7F2F">
              <w:rPr>
                <w:rFonts w:ascii="Arial" w:hAnsi="Arial" w:cs="Arial"/>
                <w:sz w:val="22"/>
                <w:shd w:val="clear" w:color="auto" w:fill="FFFFFF"/>
                <w:lang w:val="en-US"/>
              </w:rPr>
              <w:t>clinical negligence claims</w:t>
            </w:r>
            <w:r w:rsidRPr="00FF7F2F">
              <w:rPr>
                <w:rFonts w:ascii="Arial" w:hAnsi="Arial" w:cs="Arial"/>
                <w:color w:val="000000"/>
                <w:sz w:val="22"/>
                <w:szCs w:val="16"/>
                <w:lang w:val="en-US"/>
              </w:rPr>
              <w:t xml:space="preserve"> </w:t>
            </w:r>
            <w:r w:rsidRPr="00FF7F2F">
              <w:rPr>
                <w:rFonts w:ascii="Arial" w:hAnsi="Arial" w:cs="Arial"/>
                <w:sz w:val="22"/>
                <w:shd w:val="clear" w:color="auto" w:fill="FFFFFF"/>
                <w:lang w:val="en-US"/>
              </w:rPr>
              <w:t>at the population level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Communication and resolution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 xml:space="preserve">Strategies that involve communication between physician and patient outside the court setting to reach a mutual agreement </w:t>
            </w:r>
            <w:r w:rsidRPr="00FF7F2F">
              <w:rPr>
                <w:rFonts w:ascii="Arial" w:hAnsi="Arial" w:cs="Arial"/>
                <w:sz w:val="22"/>
                <w:shd w:val="clear" w:color="auto" w:fill="FFFFFF"/>
                <w:lang w:val="en-US"/>
              </w:rPr>
              <w:t>to resolve the</w:t>
            </w:r>
            <w:r w:rsidRPr="00FF7F2F">
              <w:rPr>
                <w:rFonts w:ascii="Arial" w:hAnsi="Arial" w:cs="Arial"/>
                <w:sz w:val="22"/>
                <w:lang w:val="en-US"/>
              </w:rPr>
              <w:t xml:space="preserve"> dispute and fair compensation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Caps on compensation and attorney fees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eastAsia="Times New Roman" w:hAnsi="Arial" w:cs="Arial"/>
                <w:sz w:val="22"/>
                <w:lang w:val="en-US"/>
              </w:rPr>
            </w:pPr>
            <w:r w:rsidRPr="00FF7F2F">
              <w:rPr>
                <w:rFonts w:ascii="Arial" w:eastAsia="Times New Roman" w:hAnsi="Arial" w:cs="Arial"/>
                <w:sz w:val="22"/>
                <w:lang w:val="en-US"/>
              </w:rPr>
              <w:t xml:space="preserve">Strategies </w:t>
            </w:r>
            <w:r w:rsidRPr="00FF7F2F">
              <w:rPr>
                <w:rFonts w:ascii="Arial" w:hAnsi="Arial" w:cs="Arial"/>
                <w:sz w:val="22"/>
                <w:lang w:val="en-US"/>
              </w:rPr>
              <w:t>that limit the amount of non-economic or punitive damages that may be awarded for a case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Alternative payment system and liabilities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Strategies that reduce the burden of liability pressure and financial burden of claims payment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Limitations on litigation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Strategies that limit the type and amount of medical malpractice claims entering the system</w:t>
            </w:r>
          </w:p>
        </w:tc>
      </w:tr>
      <w:tr w:rsidR="006F0B8A" w:rsidRPr="00FF7F2F" w:rsidTr="00FF7F2F">
        <w:tc>
          <w:tcPr>
            <w:tcW w:w="173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Multi-component models</w:t>
            </w:r>
          </w:p>
        </w:tc>
        <w:tc>
          <w:tcPr>
            <w:tcW w:w="3270" w:type="pct"/>
          </w:tcPr>
          <w:p w:rsidR="006F0B8A" w:rsidRPr="00FF7F2F" w:rsidRDefault="006F0B8A" w:rsidP="00FF7F2F">
            <w:pPr>
              <w:spacing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FF7F2F">
              <w:rPr>
                <w:rFonts w:ascii="Arial" w:hAnsi="Arial" w:cs="Arial"/>
                <w:sz w:val="22"/>
                <w:lang w:val="en-US"/>
              </w:rPr>
              <w:t>Combination of the aforementioned strategies</w:t>
            </w:r>
          </w:p>
        </w:tc>
      </w:tr>
      <w:bookmarkEnd w:id="1"/>
    </w:tbl>
    <w:p w:rsidR="0050515F" w:rsidRDefault="00742FFC"/>
    <w:sectPr w:rsidR="0050515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C24" w:rsidRDefault="00366C24" w:rsidP="00366C24">
      <w:pPr>
        <w:spacing w:after="0" w:line="240" w:lineRule="auto"/>
      </w:pPr>
      <w:r>
        <w:separator/>
      </w:r>
    </w:p>
  </w:endnote>
  <w:endnote w:type="continuationSeparator" w:id="0">
    <w:p w:rsidR="00366C24" w:rsidRDefault="00366C24" w:rsidP="00366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729284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</w:rPr>
    </w:sdtEndPr>
    <w:sdtContent>
      <w:p w:rsidR="00366C24" w:rsidRPr="00366C24" w:rsidRDefault="00366C24" w:rsidP="00366C24">
        <w:pPr>
          <w:pStyle w:val="Footer"/>
          <w:jc w:val="center"/>
          <w:rPr>
            <w:rFonts w:ascii="Arial" w:hAnsi="Arial" w:cs="Arial"/>
            <w:sz w:val="22"/>
          </w:rPr>
        </w:pPr>
        <w:r w:rsidRPr="00366C24">
          <w:rPr>
            <w:rFonts w:ascii="Arial" w:hAnsi="Arial" w:cs="Arial"/>
            <w:sz w:val="22"/>
          </w:rPr>
          <w:fldChar w:fldCharType="begin"/>
        </w:r>
        <w:r w:rsidRPr="00366C24">
          <w:rPr>
            <w:rFonts w:ascii="Arial" w:hAnsi="Arial" w:cs="Arial"/>
            <w:sz w:val="22"/>
          </w:rPr>
          <w:instrText xml:space="preserve"> PAGE   \* MERGEFORMAT </w:instrText>
        </w:r>
        <w:r w:rsidRPr="00366C24">
          <w:rPr>
            <w:rFonts w:ascii="Arial" w:hAnsi="Arial" w:cs="Arial"/>
            <w:sz w:val="22"/>
          </w:rPr>
          <w:fldChar w:fldCharType="separate"/>
        </w:r>
        <w:r w:rsidR="00742FFC">
          <w:rPr>
            <w:rFonts w:ascii="Arial" w:hAnsi="Arial" w:cs="Arial"/>
            <w:noProof/>
            <w:sz w:val="22"/>
          </w:rPr>
          <w:t>1</w:t>
        </w:r>
        <w:r w:rsidRPr="00366C24">
          <w:rPr>
            <w:rFonts w:ascii="Arial" w:hAnsi="Arial" w:cs="Arial"/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C24" w:rsidRDefault="00366C24" w:rsidP="00366C24">
      <w:pPr>
        <w:spacing w:after="0" w:line="240" w:lineRule="auto"/>
      </w:pPr>
      <w:r>
        <w:separator/>
      </w:r>
    </w:p>
  </w:footnote>
  <w:footnote w:type="continuationSeparator" w:id="0">
    <w:p w:rsidR="00366C24" w:rsidRDefault="00366C24" w:rsidP="00366C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8A"/>
    <w:rsid w:val="00240246"/>
    <w:rsid w:val="003146A4"/>
    <w:rsid w:val="00366C24"/>
    <w:rsid w:val="00544B93"/>
    <w:rsid w:val="005C336A"/>
    <w:rsid w:val="006F0B8A"/>
    <w:rsid w:val="00742FFC"/>
    <w:rsid w:val="00861E64"/>
    <w:rsid w:val="009D4E3D"/>
    <w:rsid w:val="00D96FB1"/>
    <w:rsid w:val="00E62006"/>
    <w:rsid w:val="00FC34F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B8A"/>
    <w:pPr>
      <w:spacing w:after="240" w:line="480" w:lineRule="auto"/>
    </w:pPr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F0B8A"/>
    <w:pPr>
      <w:keepNext w:val="0"/>
      <w:keepLines w:val="0"/>
      <w:spacing w:before="0"/>
      <w:outlineLvl w:val="0"/>
    </w:pPr>
    <w:rPr>
      <w:rFonts w:ascii="Times New Roman" w:eastAsiaTheme="minorEastAsia" w:hAnsi="Times New Roman" w:cs="Times New Roman"/>
      <w:bCs w:val="0"/>
      <w:color w:val="auto"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B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B8A"/>
    <w:rPr>
      <w:rFonts w:ascii="Times New Roman" w:eastAsiaTheme="minorEastAsia" w:hAnsi="Times New Roman" w:cs="Times New Roman"/>
      <w:b/>
      <w:sz w:val="36"/>
      <w:szCs w:val="24"/>
      <w:lang w:val="pt-BR"/>
    </w:rPr>
  </w:style>
  <w:style w:type="table" w:customStyle="1" w:styleId="TableGrid2">
    <w:name w:val="Table Grid2"/>
    <w:basedOn w:val="TableNormal"/>
    <w:next w:val="TableGrid"/>
    <w:uiPriority w:val="39"/>
    <w:rsid w:val="006F0B8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6F0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table" w:styleId="TableGrid">
    <w:name w:val="Table Grid"/>
    <w:basedOn w:val="TableNormal"/>
    <w:uiPriority w:val="59"/>
    <w:rsid w:val="006F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6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C24"/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366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C24"/>
    <w:rPr>
      <w:rFonts w:ascii="Times New Roman" w:eastAsiaTheme="minorEastAsia" w:hAnsi="Times New Roman" w:cs="Times New Roman"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B8A"/>
    <w:pPr>
      <w:spacing w:after="240" w:line="480" w:lineRule="auto"/>
    </w:pPr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F0B8A"/>
    <w:pPr>
      <w:keepNext w:val="0"/>
      <w:keepLines w:val="0"/>
      <w:spacing w:before="0"/>
      <w:outlineLvl w:val="0"/>
    </w:pPr>
    <w:rPr>
      <w:rFonts w:ascii="Times New Roman" w:eastAsiaTheme="minorEastAsia" w:hAnsi="Times New Roman" w:cs="Times New Roman"/>
      <w:bCs w:val="0"/>
      <w:color w:val="auto"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B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B8A"/>
    <w:rPr>
      <w:rFonts w:ascii="Times New Roman" w:eastAsiaTheme="minorEastAsia" w:hAnsi="Times New Roman" w:cs="Times New Roman"/>
      <w:b/>
      <w:sz w:val="36"/>
      <w:szCs w:val="24"/>
      <w:lang w:val="pt-BR"/>
    </w:rPr>
  </w:style>
  <w:style w:type="table" w:customStyle="1" w:styleId="TableGrid2">
    <w:name w:val="Table Grid2"/>
    <w:basedOn w:val="TableNormal"/>
    <w:next w:val="TableGrid"/>
    <w:uiPriority w:val="39"/>
    <w:rsid w:val="006F0B8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6F0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/>
    </w:rPr>
  </w:style>
  <w:style w:type="table" w:styleId="TableGrid">
    <w:name w:val="Table Grid"/>
    <w:basedOn w:val="TableNormal"/>
    <w:uiPriority w:val="59"/>
    <w:rsid w:val="006F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6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C24"/>
    <w:rPr>
      <w:rFonts w:ascii="Times New Roman" w:eastAsiaTheme="minorEastAsia" w:hAnsi="Times New Roman" w:cs="Times New Roman"/>
      <w:sz w:val="24"/>
      <w:szCs w:val="24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366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C24"/>
    <w:rPr>
      <w:rFonts w:ascii="Times New Roman" w:eastAsiaTheme="minorEastAsia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Cardoso</dc:creator>
  <cp:lastModifiedBy>Susan Le</cp:lastModifiedBy>
  <cp:revision>9</cp:revision>
  <dcterms:created xsi:type="dcterms:W3CDTF">2017-06-15T18:55:00Z</dcterms:created>
  <dcterms:modified xsi:type="dcterms:W3CDTF">2017-07-27T21:44:00Z</dcterms:modified>
</cp:coreProperties>
</file>