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894"/>
        <w:tblW w:w="5000" w:type="pct"/>
        <w:tblLook w:val="04A0" w:firstRow="1" w:lastRow="0" w:firstColumn="1" w:lastColumn="0" w:noHBand="0" w:noVBand="1"/>
      </w:tblPr>
      <w:tblGrid>
        <w:gridCol w:w="1367"/>
        <w:gridCol w:w="8209"/>
      </w:tblGrid>
      <w:tr w:rsidR="009F26C9" w:rsidRPr="003A0E7F" w:rsidTr="00C51C87">
        <w:trPr>
          <w:trHeight w:val="1008"/>
        </w:trPr>
        <w:tc>
          <w:tcPr>
            <w:tcW w:w="5000" w:type="pct"/>
            <w:gridSpan w:val="2"/>
            <w:shd w:val="clear" w:color="auto" w:fill="CCCCCC"/>
            <w:vAlign w:val="center"/>
          </w:tcPr>
          <w:p w:rsidR="00506313" w:rsidRPr="00506313" w:rsidRDefault="009F26C9" w:rsidP="00C51C87">
            <w:pPr>
              <w:spacing w:line="276" w:lineRule="auto"/>
              <w:rPr>
                <w:b/>
                <w:sz w:val="22"/>
              </w:rPr>
            </w:pPr>
            <w:bookmarkStart w:id="0" w:name="_GoBack"/>
            <w:bookmarkEnd w:id="0"/>
            <w:r w:rsidRPr="009F26C9">
              <w:rPr>
                <w:b/>
                <w:sz w:val="36"/>
              </w:rPr>
              <w:t xml:space="preserve">Reliability – Internal Consistency </w:t>
            </w:r>
          </w:p>
        </w:tc>
      </w:tr>
      <w:tr w:rsidR="009F26C9" w:rsidRPr="003A0E7F" w:rsidTr="00C51C87">
        <w:trPr>
          <w:trHeight w:val="72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06313" w:rsidRPr="00C51C87" w:rsidRDefault="00506313" w:rsidP="00C51C87">
            <w:pPr>
              <w:spacing w:line="276" w:lineRule="auto"/>
              <w:jc w:val="center"/>
              <w:rPr>
                <w:b/>
                <w:sz w:val="22"/>
              </w:rPr>
            </w:pPr>
            <w:r w:rsidRPr="00C51C87">
              <w:rPr>
                <w:b/>
              </w:rPr>
              <w:t>Note: When only subscale α values are given, provide all and apply ‘worst score counts’ rule.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506313" w:rsidRPr="009F26C9" w:rsidRDefault="00506313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-1</w:t>
            </w:r>
          </w:p>
        </w:tc>
        <w:tc>
          <w:tcPr>
            <w:tcW w:w="4286" w:type="pct"/>
            <w:vAlign w:val="center"/>
          </w:tcPr>
          <w:p w:rsidR="00506313" w:rsidRPr="00506313" w:rsidRDefault="00506313" w:rsidP="00C51C87">
            <w:pPr>
              <w:spacing w:line="276" w:lineRule="auto"/>
              <w:jc w:val="center"/>
              <w:rPr>
                <w:sz w:val="22"/>
              </w:rPr>
            </w:pPr>
            <w:r w:rsidRPr="009F26C9">
              <w:rPr>
                <w:sz w:val="28"/>
              </w:rPr>
              <w:t xml:space="preserve">Poor (P): </w:t>
            </w:r>
            <w:r w:rsidR="002762CD">
              <w:rPr>
                <w:sz w:val="28"/>
              </w:rPr>
              <w:t xml:space="preserve">Cronbach’s </w:t>
            </w:r>
            <w:r w:rsidRPr="009F26C9">
              <w:rPr>
                <w:sz w:val="28"/>
              </w:rPr>
              <w:t xml:space="preserve">α values of </w:t>
            </w:r>
            <w:r w:rsidRPr="00FB1AA7">
              <w:rPr>
                <w:b/>
                <w:sz w:val="28"/>
              </w:rPr>
              <w:t>&lt;</w:t>
            </w:r>
            <w:r w:rsidR="00966B99" w:rsidRPr="00FB1AA7">
              <w:rPr>
                <w:b/>
                <w:sz w:val="28"/>
              </w:rPr>
              <w:t xml:space="preserve"> 0.5</w:t>
            </w:r>
            <w:r w:rsidRPr="00FB1AA7">
              <w:rPr>
                <w:b/>
                <w:sz w:val="28"/>
              </w:rPr>
              <w:t>0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506313" w:rsidRPr="009F26C9" w:rsidRDefault="00506313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0</w:t>
            </w:r>
          </w:p>
        </w:tc>
        <w:tc>
          <w:tcPr>
            <w:tcW w:w="4286" w:type="pct"/>
            <w:vAlign w:val="center"/>
          </w:tcPr>
          <w:p w:rsidR="00506313" w:rsidRPr="00506313" w:rsidRDefault="00506313" w:rsidP="00C51C87">
            <w:pPr>
              <w:keepNext/>
              <w:spacing w:line="276" w:lineRule="auto"/>
              <w:contextualSpacing/>
              <w:jc w:val="center"/>
              <w:rPr>
                <w:color w:val="auto"/>
                <w:sz w:val="22"/>
              </w:rPr>
            </w:pPr>
            <w:r w:rsidRPr="00EA2407">
              <w:rPr>
                <w:color w:val="auto"/>
              </w:rPr>
              <w:t>None (N):  Internal consistency measures are not ap</w:t>
            </w:r>
            <w:r w:rsidR="009F26C9" w:rsidRPr="00EA2407">
              <w:rPr>
                <w:color w:val="auto"/>
              </w:rPr>
              <w:t xml:space="preserve">plicable for this instrument </w:t>
            </w:r>
            <w:r w:rsidR="00EA2407" w:rsidRPr="00EA2407">
              <w:rPr>
                <w:b/>
                <w:color w:val="auto"/>
              </w:rPr>
              <w:t>OR</w:t>
            </w:r>
            <w:r w:rsidRPr="00EA2407">
              <w:rPr>
                <w:color w:val="auto"/>
              </w:rPr>
              <w:t xml:space="preserve"> classical test theory anchors are not appropriat</w:t>
            </w:r>
            <w:r w:rsidR="009F26C9" w:rsidRPr="00EA2407">
              <w:rPr>
                <w:color w:val="auto"/>
              </w:rPr>
              <w:t>e</w:t>
            </w:r>
            <w:r w:rsidRPr="00EA2407">
              <w:rPr>
                <w:color w:val="auto"/>
              </w:rPr>
              <w:t xml:space="preserve"> </w:t>
            </w:r>
            <w:r w:rsidR="009F26C9" w:rsidRPr="00EA2407">
              <w:rPr>
                <w:color w:val="auto"/>
              </w:rPr>
              <w:t>(</w:t>
            </w:r>
            <w:r w:rsidRPr="00EA2407">
              <w:rPr>
                <w:color w:val="auto"/>
              </w:rPr>
              <w:t>results reported using item response theory</w:t>
            </w:r>
            <w:r w:rsidR="009F26C9" w:rsidRPr="00EA2407">
              <w:rPr>
                <w:color w:val="auto"/>
              </w:rPr>
              <w:t>)</w:t>
            </w:r>
            <w:r w:rsidRPr="00EA2407">
              <w:rPr>
                <w:color w:val="auto"/>
              </w:rPr>
              <w:t xml:space="preserve"> </w:t>
            </w:r>
            <w:r w:rsidR="00EA2407" w:rsidRPr="00EA2407">
              <w:rPr>
                <w:b/>
                <w:color w:val="auto"/>
              </w:rPr>
              <w:t>OR</w:t>
            </w:r>
            <w:r w:rsidRPr="00EA2407">
              <w:rPr>
                <w:color w:val="auto"/>
              </w:rPr>
              <w:t xml:space="preserve"> α values are not yet available for the full measure </w:t>
            </w:r>
            <w:r w:rsidR="009F26C9" w:rsidRPr="00EA2407">
              <w:rPr>
                <w:color w:val="auto"/>
              </w:rPr>
              <w:t>scale or</w:t>
            </w:r>
            <w:r w:rsidRPr="00EA2407">
              <w:rPr>
                <w:color w:val="auto"/>
              </w:rPr>
              <w:t xml:space="preserve"> any associated subscales</w:t>
            </w:r>
            <w:r w:rsidR="00A6311B" w:rsidRPr="00EA2407">
              <w:rPr>
                <w:color w:val="auto"/>
              </w:rPr>
              <w:t>.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506313" w:rsidRPr="009F26C9" w:rsidRDefault="00506313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1</w:t>
            </w:r>
          </w:p>
        </w:tc>
        <w:tc>
          <w:tcPr>
            <w:tcW w:w="4286" w:type="pct"/>
            <w:vAlign w:val="center"/>
          </w:tcPr>
          <w:p w:rsidR="00506313" w:rsidRPr="00DF4168" w:rsidRDefault="00506313" w:rsidP="00C51C8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168">
              <w:rPr>
                <w:sz w:val="28"/>
                <w:szCs w:val="28"/>
              </w:rPr>
              <w:t>Minimal/Emerging</w:t>
            </w:r>
            <w:r w:rsidR="00F37905" w:rsidRPr="00DF4168">
              <w:rPr>
                <w:sz w:val="28"/>
                <w:szCs w:val="28"/>
              </w:rPr>
              <w:t xml:space="preserve"> </w:t>
            </w:r>
            <w:r w:rsidR="00FB1AA7" w:rsidRPr="00DF4168">
              <w:rPr>
                <w:sz w:val="28"/>
                <w:szCs w:val="28"/>
              </w:rPr>
              <w:t xml:space="preserve">(M): </w:t>
            </w:r>
            <w:r w:rsidR="002762CD" w:rsidRPr="00DF4168">
              <w:rPr>
                <w:sz w:val="28"/>
                <w:szCs w:val="28"/>
              </w:rPr>
              <w:t xml:space="preserve"> Cronbach’s </w:t>
            </w:r>
            <w:r w:rsidR="00FB1AA7" w:rsidRPr="00DF4168">
              <w:rPr>
                <w:sz w:val="28"/>
                <w:szCs w:val="28"/>
              </w:rPr>
              <w:t>α values =</w:t>
            </w:r>
            <w:r w:rsidRPr="00DF4168">
              <w:rPr>
                <w:sz w:val="28"/>
                <w:szCs w:val="28"/>
              </w:rPr>
              <w:t xml:space="preserve"> </w:t>
            </w:r>
            <w:r w:rsidR="00217ABF" w:rsidRPr="00DF4168">
              <w:rPr>
                <w:b/>
                <w:sz w:val="28"/>
                <w:szCs w:val="28"/>
              </w:rPr>
              <w:t>0.50-0.</w:t>
            </w:r>
            <w:r w:rsidR="008C4640" w:rsidRPr="00DF4168">
              <w:rPr>
                <w:b/>
                <w:sz w:val="28"/>
                <w:szCs w:val="28"/>
              </w:rPr>
              <w:t>6</w:t>
            </w:r>
            <w:r w:rsidR="00217ABF" w:rsidRPr="00DF4168">
              <w:rPr>
                <w:b/>
                <w:sz w:val="28"/>
                <w:szCs w:val="28"/>
              </w:rPr>
              <w:t>9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506313" w:rsidRPr="009F26C9" w:rsidRDefault="00506313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2</w:t>
            </w:r>
          </w:p>
        </w:tc>
        <w:tc>
          <w:tcPr>
            <w:tcW w:w="4286" w:type="pct"/>
            <w:vAlign w:val="center"/>
          </w:tcPr>
          <w:p w:rsidR="00506313" w:rsidRPr="00DF4168" w:rsidRDefault="00F37905" w:rsidP="00C51C8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168">
              <w:rPr>
                <w:sz w:val="28"/>
                <w:szCs w:val="28"/>
              </w:rPr>
              <w:t xml:space="preserve">Adequate </w:t>
            </w:r>
            <w:r w:rsidR="00506313" w:rsidRPr="00DF4168">
              <w:rPr>
                <w:sz w:val="28"/>
                <w:szCs w:val="28"/>
              </w:rPr>
              <w:t xml:space="preserve">(A): </w:t>
            </w:r>
            <w:r w:rsidR="002762CD" w:rsidRPr="00DF4168">
              <w:rPr>
                <w:sz w:val="28"/>
                <w:szCs w:val="28"/>
              </w:rPr>
              <w:t xml:space="preserve"> Cronbach’s </w:t>
            </w:r>
            <w:r w:rsidR="00506313" w:rsidRPr="00DF4168">
              <w:rPr>
                <w:sz w:val="28"/>
                <w:szCs w:val="28"/>
              </w:rPr>
              <w:t xml:space="preserve">α values of </w:t>
            </w:r>
            <w:r w:rsidR="00FB1AA7" w:rsidRPr="00DF4168">
              <w:rPr>
                <w:sz w:val="28"/>
                <w:szCs w:val="28"/>
              </w:rPr>
              <w:t xml:space="preserve">= </w:t>
            </w:r>
            <w:r w:rsidR="00FB1AA7" w:rsidRPr="00DF4168">
              <w:rPr>
                <w:b/>
                <w:sz w:val="28"/>
                <w:szCs w:val="28"/>
              </w:rPr>
              <w:t>0</w:t>
            </w:r>
            <w:r w:rsidR="00506313" w:rsidRPr="00DF4168">
              <w:rPr>
                <w:b/>
                <w:sz w:val="28"/>
                <w:szCs w:val="28"/>
              </w:rPr>
              <w:t>.</w:t>
            </w:r>
            <w:r w:rsidR="008C4640" w:rsidRPr="00DF4168">
              <w:rPr>
                <w:b/>
                <w:sz w:val="28"/>
                <w:szCs w:val="28"/>
              </w:rPr>
              <w:t>7</w:t>
            </w:r>
            <w:r w:rsidR="00506313" w:rsidRPr="00DF4168">
              <w:rPr>
                <w:b/>
                <w:sz w:val="28"/>
                <w:szCs w:val="28"/>
              </w:rPr>
              <w:t xml:space="preserve">0 - </w:t>
            </w:r>
            <w:r w:rsidR="00FB1AA7" w:rsidRPr="00DF4168">
              <w:rPr>
                <w:b/>
                <w:sz w:val="28"/>
                <w:szCs w:val="28"/>
              </w:rPr>
              <w:t>0</w:t>
            </w:r>
            <w:r w:rsidR="00506313" w:rsidRPr="00DF4168">
              <w:rPr>
                <w:b/>
                <w:sz w:val="28"/>
                <w:szCs w:val="28"/>
              </w:rPr>
              <w:t>.</w:t>
            </w:r>
            <w:r w:rsidR="008C4640" w:rsidRPr="00DF4168">
              <w:rPr>
                <w:b/>
                <w:sz w:val="28"/>
                <w:szCs w:val="28"/>
              </w:rPr>
              <w:t>7</w:t>
            </w:r>
            <w:r w:rsidR="00506313" w:rsidRPr="00DF4168">
              <w:rPr>
                <w:b/>
                <w:sz w:val="28"/>
                <w:szCs w:val="28"/>
              </w:rPr>
              <w:t>9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506313" w:rsidRPr="009F26C9" w:rsidRDefault="00506313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3</w:t>
            </w:r>
          </w:p>
        </w:tc>
        <w:tc>
          <w:tcPr>
            <w:tcW w:w="4286" w:type="pct"/>
            <w:vAlign w:val="center"/>
          </w:tcPr>
          <w:p w:rsidR="00506313" w:rsidRPr="00DF4168" w:rsidRDefault="00506313" w:rsidP="00C51C8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168">
              <w:rPr>
                <w:sz w:val="28"/>
                <w:szCs w:val="28"/>
              </w:rPr>
              <w:t xml:space="preserve">Good (G): </w:t>
            </w:r>
            <w:r w:rsidR="002762CD" w:rsidRPr="00DF4168">
              <w:rPr>
                <w:sz w:val="28"/>
                <w:szCs w:val="28"/>
              </w:rPr>
              <w:t xml:space="preserve"> Cronbach’s </w:t>
            </w:r>
            <w:r w:rsidRPr="00DF4168">
              <w:rPr>
                <w:sz w:val="28"/>
                <w:szCs w:val="28"/>
              </w:rPr>
              <w:t xml:space="preserve">α values of </w:t>
            </w:r>
            <w:r w:rsidR="00FB1AA7" w:rsidRPr="00DF4168">
              <w:rPr>
                <w:sz w:val="28"/>
                <w:szCs w:val="28"/>
              </w:rPr>
              <w:t xml:space="preserve">= </w:t>
            </w:r>
            <w:r w:rsidR="00FB1AA7" w:rsidRPr="00DF4168">
              <w:rPr>
                <w:b/>
                <w:sz w:val="28"/>
                <w:szCs w:val="28"/>
              </w:rPr>
              <w:t>0</w:t>
            </w:r>
            <w:r w:rsidRPr="00DF4168">
              <w:rPr>
                <w:b/>
                <w:sz w:val="28"/>
                <w:szCs w:val="28"/>
              </w:rPr>
              <w:t>.</w:t>
            </w:r>
            <w:r w:rsidR="008C4640" w:rsidRPr="00DF4168">
              <w:rPr>
                <w:b/>
                <w:sz w:val="28"/>
                <w:szCs w:val="28"/>
              </w:rPr>
              <w:t>8</w:t>
            </w:r>
            <w:r w:rsidRPr="00DF4168">
              <w:rPr>
                <w:b/>
                <w:sz w:val="28"/>
                <w:szCs w:val="28"/>
              </w:rPr>
              <w:t xml:space="preserve">0 - </w:t>
            </w:r>
            <w:r w:rsidR="00FB1AA7" w:rsidRPr="00DF4168">
              <w:rPr>
                <w:b/>
                <w:sz w:val="28"/>
                <w:szCs w:val="28"/>
              </w:rPr>
              <w:t>0</w:t>
            </w:r>
            <w:r w:rsidRPr="00DF4168">
              <w:rPr>
                <w:b/>
                <w:sz w:val="28"/>
                <w:szCs w:val="28"/>
              </w:rPr>
              <w:t>.</w:t>
            </w:r>
            <w:r w:rsidR="008C4640" w:rsidRPr="00DF4168">
              <w:rPr>
                <w:b/>
                <w:sz w:val="28"/>
                <w:szCs w:val="28"/>
              </w:rPr>
              <w:t>8</w:t>
            </w:r>
            <w:r w:rsidRPr="00DF4168">
              <w:rPr>
                <w:b/>
                <w:sz w:val="28"/>
                <w:szCs w:val="28"/>
              </w:rPr>
              <w:t>9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506313" w:rsidRPr="009F26C9" w:rsidRDefault="00506313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4</w:t>
            </w:r>
          </w:p>
        </w:tc>
        <w:tc>
          <w:tcPr>
            <w:tcW w:w="4286" w:type="pct"/>
            <w:vAlign w:val="center"/>
          </w:tcPr>
          <w:p w:rsidR="00506313" w:rsidRPr="00DF4168" w:rsidRDefault="00506313" w:rsidP="00C51C8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F4168">
              <w:rPr>
                <w:sz w:val="28"/>
                <w:szCs w:val="28"/>
              </w:rPr>
              <w:t xml:space="preserve">Excellent (E): </w:t>
            </w:r>
            <w:r w:rsidR="002762CD" w:rsidRPr="00DF4168">
              <w:rPr>
                <w:sz w:val="28"/>
                <w:szCs w:val="28"/>
              </w:rPr>
              <w:t xml:space="preserve"> Cronbach’s </w:t>
            </w:r>
            <w:r w:rsidRPr="00DF4168">
              <w:rPr>
                <w:sz w:val="28"/>
                <w:szCs w:val="28"/>
              </w:rPr>
              <w:t xml:space="preserve">α values of </w:t>
            </w:r>
            <w:r w:rsidRPr="00DF4168">
              <w:rPr>
                <w:b/>
                <w:sz w:val="28"/>
                <w:szCs w:val="28"/>
              </w:rPr>
              <w:t xml:space="preserve">≥ </w:t>
            </w:r>
            <w:r w:rsidR="00FB1AA7" w:rsidRPr="00DF4168">
              <w:rPr>
                <w:b/>
                <w:sz w:val="28"/>
                <w:szCs w:val="28"/>
              </w:rPr>
              <w:t>0</w:t>
            </w:r>
            <w:r w:rsidRPr="00DF4168">
              <w:rPr>
                <w:b/>
                <w:sz w:val="28"/>
                <w:szCs w:val="28"/>
              </w:rPr>
              <w:t>.</w:t>
            </w:r>
            <w:r w:rsidR="008C4640" w:rsidRPr="00DF4168">
              <w:rPr>
                <w:b/>
                <w:sz w:val="28"/>
                <w:szCs w:val="28"/>
              </w:rPr>
              <w:t>9</w:t>
            </w:r>
            <w:r w:rsidRPr="00DF4168">
              <w:rPr>
                <w:b/>
                <w:sz w:val="28"/>
                <w:szCs w:val="28"/>
              </w:rPr>
              <w:t>0</w:t>
            </w:r>
          </w:p>
        </w:tc>
      </w:tr>
      <w:tr w:rsidR="009F26C9" w:rsidRPr="003A0E7F" w:rsidTr="00C51C87">
        <w:trPr>
          <w:trHeight w:val="864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:rsidR="009F26C9" w:rsidRPr="009F26C9" w:rsidRDefault="00A17BA3" w:rsidP="00C51C87">
            <w:pPr>
              <w:spacing w:line="276" w:lineRule="auto"/>
              <w:rPr>
                <w:sz w:val="36"/>
              </w:rPr>
            </w:pPr>
            <w:r>
              <w:rPr>
                <w:b/>
                <w:sz w:val="36"/>
              </w:rPr>
              <w:t xml:space="preserve">Construct </w:t>
            </w:r>
            <w:r w:rsidR="009F26C9">
              <w:rPr>
                <w:b/>
                <w:sz w:val="36"/>
              </w:rPr>
              <w:t>Validity - Convergent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9F26C9" w:rsidRPr="009F26C9" w:rsidRDefault="009F26C9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-1</w:t>
            </w:r>
          </w:p>
        </w:tc>
        <w:tc>
          <w:tcPr>
            <w:tcW w:w="4286" w:type="pct"/>
            <w:vAlign w:val="center"/>
          </w:tcPr>
          <w:p w:rsidR="009F26C9" w:rsidRPr="004D3574" w:rsidRDefault="004D3574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4D3574">
              <w:rPr>
                <w:bCs/>
                <w:color w:val="auto"/>
                <w:sz w:val="28"/>
                <w:szCs w:val="28"/>
              </w:rPr>
              <w:t xml:space="preserve">Poor: </w:t>
            </w:r>
            <w:r w:rsidRPr="004D3574">
              <w:rPr>
                <w:b/>
                <w:bCs/>
                <w:color w:val="auto"/>
                <w:sz w:val="28"/>
                <w:szCs w:val="28"/>
              </w:rPr>
              <w:t xml:space="preserve">Cohen’s </w:t>
            </w:r>
            <w:r w:rsidRPr="004D3574">
              <w:rPr>
                <w:b/>
                <w:bCs/>
                <w:i/>
                <w:iCs/>
                <w:color w:val="auto"/>
                <w:sz w:val="28"/>
                <w:szCs w:val="28"/>
              </w:rPr>
              <w:t>d</w:t>
            </w:r>
            <w:r w:rsidRPr="004D3574">
              <w:rPr>
                <w:b/>
                <w:bCs/>
                <w:color w:val="auto"/>
                <w:sz w:val="28"/>
                <w:szCs w:val="28"/>
              </w:rPr>
              <w:t xml:space="preserve"> ≤ 0.10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9F26C9" w:rsidRPr="009F26C9" w:rsidRDefault="009F26C9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0</w:t>
            </w:r>
          </w:p>
        </w:tc>
        <w:tc>
          <w:tcPr>
            <w:tcW w:w="4286" w:type="pct"/>
            <w:vAlign w:val="center"/>
          </w:tcPr>
          <w:p w:rsidR="009F26C9" w:rsidRPr="004D3574" w:rsidRDefault="003A677B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4D3574">
              <w:rPr>
                <w:color w:val="auto"/>
                <w:sz w:val="28"/>
                <w:szCs w:val="28"/>
              </w:rPr>
              <w:t xml:space="preserve">None (N): Convergent validity measures are not applicable for this instrument </w:t>
            </w:r>
            <w:r w:rsidR="00EA2407" w:rsidRPr="004D3574">
              <w:rPr>
                <w:color w:val="auto"/>
                <w:sz w:val="28"/>
                <w:szCs w:val="28"/>
              </w:rPr>
              <w:t>OR</w:t>
            </w:r>
            <w:r w:rsidRPr="004D3574">
              <w:rPr>
                <w:color w:val="auto"/>
                <w:sz w:val="28"/>
                <w:szCs w:val="28"/>
              </w:rPr>
              <w:t xml:space="preserve"> convergent validity was not assessed.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9F26C9" w:rsidRPr="009F26C9" w:rsidRDefault="009F26C9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1</w:t>
            </w:r>
          </w:p>
        </w:tc>
        <w:tc>
          <w:tcPr>
            <w:tcW w:w="4286" w:type="pct"/>
            <w:vAlign w:val="center"/>
          </w:tcPr>
          <w:p w:rsidR="003A677B" w:rsidRPr="004D3574" w:rsidRDefault="004D3574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4D3574">
              <w:rPr>
                <w:bCs/>
                <w:color w:val="auto"/>
                <w:sz w:val="28"/>
                <w:szCs w:val="28"/>
              </w:rPr>
              <w:t xml:space="preserve">Minimal/Emerging: </w:t>
            </w:r>
            <w:r w:rsidRPr="004D3574">
              <w:rPr>
                <w:b/>
                <w:bCs/>
                <w:color w:val="auto"/>
                <w:sz w:val="28"/>
                <w:szCs w:val="28"/>
              </w:rPr>
              <w:t xml:space="preserve">0.10 &lt; Cohen’s </w:t>
            </w:r>
            <w:r w:rsidRPr="004D3574">
              <w:rPr>
                <w:b/>
                <w:bCs/>
                <w:i/>
                <w:iCs/>
                <w:color w:val="auto"/>
                <w:sz w:val="28"/>
                <w:szCs w:val="28"/>
              </w:rPr>
              <w:t>d</w:t>
            </w:r>
            <w:r w:rsidRPr="004D3574">
              <w:rPr>
                <w:b/>
                <w:bCs/>
                <w:color w:val="auto"/>
                <w:sz w:val="28"/>
                <w:szCs w:val="28"/>
              </w:rPr>
              <w:t xml:space="preserve"> ≤ 0.20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9F26C9" w:rsidRPr="009F26C9" w:rsidRDefault="009F26C9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2</w:t>
            </w:r>
          </w:p>
        </w:tc>
        <w:tc>
          <w:tcPr>
            <w:tcW w:w="4286" w:type="pct"/>
            <w:vAlign w:val="center"/>
          </w:tcPr>
          <w:p w:rsidR="009F26C9" w:rsidRPr="004D3574" w:rsidRDefault="004D3574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4D3574">
              <w:rPr>
                <w:bCs/>
                <w:color w:val="auto"/>
                <w:sz w:val="28"/>
                <w:szCs w:val="28"/>
              </w:rPr>
              <w:t xml:space="preserve">Adequate: </w:t>
            </w:r>
            <w:r w:rsidRPr="004D3574">
              <w:rPr>
                <w:b/>
                <w:bCs/>
                <w:color w:val="auto"/>
                <w:sz w:val="28"/>
                <w:szCs w:val="28"/>
              </w:rPr>
              <w:t xml:space="preserve">0.20 &lt; Cohen’s </w:t>
            </w:r>
            <w:r w:rsidRPr="004D3574">
              <w:rPr>
                <w:b/>
                <w:bCs/>
                <w:i/>
                <w:iCs/>
                <w:color w:val="auto"/>
                <w:sz w:val="28"/>
                <w:szCs w:val="28"/>
              </w:rPr>
              <w:t>d</w:t>
            </w:r>
            <w:r w:rsidRPr="004D3574">
              <w:rPr>
                <w:b/>
                <w:bCs/>
                <w:color w:val="auto"/>
                <w:sz w:val="28"/>
                <w:szCs w:val="28"/>
              </w:rPr>
              <w:t xml:space="preserve"> ≤ 0.50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9F26C9" w:rsidRPr="009F26C9" w:rsidRDefault="009F26C9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3</w:t>
            </w:r>
          </w:p>
        </w:tc>
        <w:tc>
          <w:tcPr>
            <w:tcW w:w="4286" w:type="pct"/>
            <w:vAlign w:val="center"/>
          </w:tcPr>
          <w:p w:rsidR="009F26C9" w:rsidRPr="004D3574" w:rsidRDefault="004D3574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4D3574">
              <w:rPr>
                <w:bCs/>
                <w:color w:val="auto"/>
                <w:sz w:val="28"/>
                <w:szCs w:val="28"/>
              </w:rPr>
              <w:t xml:space="preserve">Good: </w:t>
            </w:r>
            <w:r w:rsidRPr="004D3574">
              <w:rPr>
                <w:b/>
                <w:bCs/>
                <w:color w:val="auto"/>
                <w:sz w:val="28"/>
                <w:szCs w:val="28"/>
              </w:rPr>
              <w:t xml:space="preserve">0.50 &lt; Cohen’s </w:t>
            </w:r>
            <w:r w:rsidRPr="004D3574">
              <w:rPr>
                <w:b/>
                <w:bCs/>
                <w:i/>
                <w:iCs/>
                <w:color w:val="auto"/>
                <w:sz w:val="28"/>
                <w:szCs w:val="28"/>
              </w:rPr>
              <w:t>d</w:t>
            </w:r>
            <w:r w:rsidRPr="004D3574">
              <w:rPr>
                <w:b/>
                <w:bCs/>
                <w:color w:val="auto"/>
                <w:sz w:val="28"/>
                <w:szCs w:val="28"/>
              </w:rPr>
              <w:t xml:space="preserve"> ≤ 0.80</w:t>
            </w:r>
          </w:p>
        </w:tc>
      </w:tr>
      <w:tr w:rsidR="009F26C9" w:rsidRPr="003A0E7F" w:rsidTr="00C51C87">
        <w:trPr>
          <w:trHeight w:val="720"/>
        </w:trPr>
        <w:tc>
          <w:tcPr>
            <w:tcW w:w="714" w:type="pct"/>
            <w:vAlign w:val="center"/>
          </w:tcPr>
          <w:p w:rsidR="009F26C9" w:rsidRPr="009F26C9" w:rsidRDefault="009F26C9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4</w:t>
            </w:r>
          </w:p>
        </w:tc>
        <w:tc>
          <w:tcPr>
            <w:tcW w:w="4286" w:type="pct"/>
            <w:vAlign w:val="center"/>
          </w:tcPr>
          <w:p w:rsidR="009F26C9" w:rsidRPr="004D3574" w:rsidRDefault="004D3574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4D3574">
              <w:rPr>
                <w:bCs/>
                <w:color w:val="auto"/>
                <w:sz w:val="28"/>
                <w:szCs w:val="28"/>
              </w:rPr>
              <w:t xml:space="preserve">Excellent: </w:t>
            </w:r>
            <w:r w:rsidRPr="004D3574">
              <w:rPr>
                <w:b/>
                <w:bCs/>
                <w:color w:val="auto"/>
                <w:sz w:val="28"/>
                <w:szCs w:val="28"/>
              </w:rPr>
              <w:t xml:space="preserve">Cohen’s </w:t>
            </w:r>
            <w:r w:rsidRPr="004D3574">
              <w:rPr>
                <w:b/>
                <w:bCs/>
                <w:i/>
                <w:iCs/>
                <w:color w:val="auto"/>
                <w:sz w:val="28"/>
                <w:szCs w:val="28"/>
              </w:rPr>
              <w:t>d</w:t>
            </w:r>
            <w:r w:rsidRPr="004D3574">
              <w:rPr>
                <w:b/>
                <w:bCs/>
                <w:color w:val="auto"/>
                <w:sz w:val="28"/>
                <w:szCs w:val="28"/>
              </w:rPr>
              <w:t xml:space="preserve"> &gt; 0.80</w:t>
            </w:r>
          </w:p>
        </w:tc>
      </w:tr>
      <w:tr w:rsidR="00D63712" w:rsidRPr="003A0E7F" w:rsidTr="00C51C87">
        <w:trPr>
          <w:trHeight w:val="720"/>
        </w:trPr>
        <w:tc>
          <w:tcPr>
            <w:tcW w:w="5000" w:type="pct"/>
            <w:gridSpan w:val="2"/>
            <w:vAlign w:val="center"/>
          </w:tcPr>
          <w:p w:rsidR="003624B2" w:rsidRDefault="00D63712" w:rsidP="00C51C8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3712">
              <w:rPr>
                <w:b/>
                <w:szCs w:val="28"/>
              </w:rPr>
              <w:t xml:space="preserve">NOTE: If Pearson’s </w:t>
            </w:r>
            <w:r w:rsidRPr="00D63712">
              <w:rPr>
                <w:b/>
                <w:i/>
                <w:szCs w:val="28"/>
              </w:rPr>
              <w:t>r</w:t>
            </w:r>
            <w:r w:rsidRPr="00D63712">
              <w:rPr>
                <w:b/>
                <w:szCs w:val="28"/>
              </w:rPr>
              <w:t xml:space="preserve"> is given, use the effect size calculator to calculate Cohen’s</w:t>
            </w:r>
            <w:r w:rsidRPr="00D63712">
              <w:rPr>
                <w:b/>
                <w:i/>
                <w:szCs w:val="28"/>
              </w:rPr>
              <w:t xml:space="preserve"> d. </w:t>
            </w:r>
            <w:hyperlink r:id="rId7" w:tgtFrame="_blank" w:history="1">
              <w:r w:rsidRPr="00D63712">
                <w:rPr>
                  <w:rStyle w:val="Hyperlink"/>
                  <w:color w:val="4183C4"/>
                  <w:szCs w:val="28"/>
                  <w:shd w:val="clear" w:color="auto" w:fill="FFFFFF"/>
                </w:rPr>
                <w:t>https://www.polyu.edu.hk/mm/effectsizefaqs/calculator/calculator.html</w:t>
              </w:r>
            </w:hyperlink>
            <w:r w:rsidRPr="00D63712">
              <w:rPr>
                <w:sz w:val="28"/>
                <w:szCs w:val="28"/>
              </w:rPr>
              <w:t xml:space="preserve"> </w:t>
            </w:r>
          </w:p>
          <w:p w:rsidR="003624B2" w:rsidRPr="003624B2" w:rsidRDefault="003624B2" w:rsidP="00C51C8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624B2">
              <w:rPr>
                <w:b/>
                <w:szCs w:val="28"/>
              </w:rPr>
              <w:t>Also, note that these criteria</w:t>
            </w:r>
            <w:r>
              <w:rPr>
                <w:b/>
                <w:szCs w:val="28"/>
              </w:rPr>
              <w:t xml:space="preserve"> also</w:t>
            </w:r>
            <w:r w:rsidRPr="003624B2">
              <w:rPr>
                <w:b/>
                <w:szCs w:val="28"/>
              </w:rPr>
              <w:t xml:space="preserve"> apply to </w:t>
            </w:r>
            <w:r>
              <w:rPr>
                <w:b/>
                <w:szCs w:val="28"/>
              </w:rPr>
              <w:t>comparisons between subscales.</w:t>
            </w:r>
            <w:r w:rsidRPr="003624B2">
              <w:rPr>
                <w:b/>
                <w:szCs w:val="28"/>
              </w:rPr>
              <w:t xml:space="preserve"> </w:t>
            </w:r>
          </w:p>
        </w:tc>
      </w:tr>
      <w:tr w:rsidR="003A677B" w:rsidRPr="009F26C9" w:rsidTr="00C51C87">
        <w:trPr>
          <w:trHeight w:val="864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:rsidR="003A677B" w:rsidRPr="003A677B" w:rsidRDefault="00A17BA3" w:rsidP="00C51C87">
            <w:pPr>
              <w:spacing w:line="276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 xml:space="preserve">Construct </w:t>
            </w:r>
            <w:r w:rsidR="003A677B">
              <w:rPr>
                <w:b/>
                <w:sz w:val="36"/>
              </w:rPr>
              <w:t>Validity-Discriminant</w:t>
            </w:r>
            <w:r w:rsidR="003624B2">
              <w:rPr>
                <w:b/>
                <w:sz w:val="36"/>
              </w:rPr>
              <w:t xml:space="preserve"> </w:t>
            </w:r>
          </w:p>
        </w:tc>
      </w:tr>
      <w:tr w:rsidR="00A81210" w:rsidRPr="009F26C9" w:rsidTr="00C51C87">
        <w:trPr>
          <w:trHeight w:val="720"/>
        </w:trPr>
        <w:tc>
          <w:tcPr>
            <w:tcW w:w="714" w:type="pct"/>
            <w:vAlign w:val="center"/>
          </w:tcPr>
          <w:p w:rsidR="00A81210" w:rsidRPr="009F26C9" w:rsidRDefault="00A81210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-1</w:t>
            </w:r>
          </w:p>
        </w:tc>
        <w:tc>
          <w:tcPr>
            <w:tcW w:w="4286" w:type="pct"/>
            <w:vAlign w:val="center"/>
          </w:tcPr>
          <w:p w:rsidR="00A81210" w:rsidRPr="008B6F63" w:rsidRDefault="008B6F63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8B6F63">
              <w:rPr>
                <w:bCs/>
                <w:color w:val="auto"/>
                <w:sz w:val="28"/>
                <w:szCs w:val="28"/>
              </w:rPr>
              <w:t xml:space="preserve">Poor: </w:t>
            </w:r>
            <w:r w:rsidRPr="008B6F63">
              <w:rPr>
                <w:b/>
                <w:bCs/>
                <w:color w:val="auto"/>
                <w:sz w:val="28"/>
                <w:szCs w:val="28"/>
              </w:rPr>
              <w:t xml:space="preserve">Cohen’s </w:t>
            </w:r>
            <w:r w:rsidRPr="008B6F63">
              <w:rPr>
                <w:b/>
                <w:bCs/>
                <w:i/>
                <w:iCs/>
                <w:color w:val="auto"/>
                <w:sz w:val="28"/>
                <w:szCs w:val="28"/>
              </w:rPr>
              <w:t>d</w:t>
            </w:r>
            <w:r w:rsidRPr="008B6F63">
              <w:rPr>
                <w:b/>
                <w:bCs/>
                <w:color w:val="auto"/>
                <w:sz w:val="28"/>
                <w:szCs w:val="28"/>
              </w:rPr>
              <w:t xml:space="preserve"> &gt; 0.80</w:t>
            </w:r>
          </w:p>
        </w:tc>
      </w:tr>
      <w:tr w:rsidR="00A81210" w:rsidRPr="009F26C9" w:rsidTr="00C51C87">
        <w:trPr>
          <w:trHeight w:val="720"/>
        </w:trPr>
        <w:tc>
          <w:tcPr>
            <w:tcW w:w="714" w:type="pct"/>
            <w:vAlign w:val="center"/>
          </w:tcPr>
          <w:p w:rsidR="00A81210" w:rsidRPr="009F26C9" w:rsidRDefault="00A81210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0</w:t>
            </w:r>
          </w:p>
        </w:tc>
        <w:tc>
          <w:tcPr>
            <w:tcW w:w="4286" w:type="pct"/>
            <w:vAlign w:val="center"/>
          </w:tcPr>
          <w:p w:rsidR="00A81210" w:rsidRPr="008B6F63" w:rsidRDefault="00A81210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8B6F63">
              <w:rPr>
                <w:color w:val="auto"/>
                <w:sz w:val="28"/>
                <w:szCs w:val="28"/>
              </w:rPr>
              <w:t xml:space="preserve">None (N): Discriminant validity measures are not applicable for this instrument OR </w:t>
            </w:r>
            <w:r w:rsidR="00C23968" w:rsidRPr="008B6F63">
              <w:rPr>
                <w:color w:val="auto"/>
                <w:sz w:val="28"/>
                <w:szCs w:val="28"/>
              </w:rPr>
              <w:t>discriminant</w:t>
            </w:r>
            <w:r w:rsidRPr="008B6F63">
              <w:rPr>
                <w:color w:val="auto"/>
                <w:sz w:val="28"/>
                <w:szCs w:val="28"/>
              </w:rPr>
              <w:t xml:space="preserve"> validity was not assessed.</w:t>
            </w:r>
          </w:p>
        </w:tc>
      </w:tr>
      <w:tr w:rsidR="00A81210" w:rsidRPr="009F26C9" w:rsidTr="00C51C87">
        <w:trPr>
          <w:trHeight w:val="720"/>
        </w:trPr>
        <w:tc>
          <w:tcPr>
            <w:tcW w:w="714" w:type="pct"/>
            <w:vAlign w:val="center"/>
          </w:tcPr>
          <w:p w:rsidR="00A81210" w:rsidRPr="009F26C9" w:rsidRDefault="00A81210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1</w:t>
            </w:r>
          </w:p>
        </w:tc>
        <w:tc>
          <w:tcPr>
            <w:tcW w:w="4286" w:type="pct"/>
            <w:vAlign w:val="center"/>
          </w:tcPr>
          <w:p w:rsidR="00A81210" w:rsidRPr="008B6F63" w:rsidRDefault="008B6F63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8B6F63">
              <w:rPr>
                <w:bCs/>
                <w:color w:val="auto"/>
                <w:sz w:val="28"/>
                <w:szCs w:val="28"/>
              </w:rPr>
              <w:t xml:space="preserve">Minimal/Emerging: </w:t>
            </w:r>
            <w:r w:rsidRPr="008B6F63">
              <w:rPr>
                <w:b/>
                <w:bCs/>
                <w:color w:val="auto"/>
                <w:sz w:val="28"/>
                <w:szCs w:val="28"/>
              </w:rPr>
              <w:t xml:space="preserve">0.50 &lt; Cohen’s </w:t>
            </w:r>
            <w:r w:rsidRPr="008B6F63">
              <w:rPr>
                <w:b/>
                <w:bCs/>
                <w:i/>
                <w:iCs/>
                <w:color w:val="auto"/>
                <w:sz w:val="28"/>
                <w:szCs w:val="28"/>
              </w:rPr>
              <w:t>d</w:t>
            </w:r>
            <w:r w:rsidRPr="008B6F63">
              <w:rPr>
                <w:b/>
                <w:bCs/>
                <w:color w:val="auto"/>
                <w:sz w:val="28"/>
                <w:szCs w:val="28"/>
              </w:rPr>
              <w:t xml:space="preserve"> ≤ 0.80</w:t>
            </w:r>
          </w:p>
        </w:tc>
      </w:tr>
      <w:tr w:rsidR="00A81210" w:rsidRPr="009F26C9" w:rsidTr="00C51C87">
        <w:trPr>
          <w:trHeight w:val="720"/>
        </w:trPr>
        <w:tc>
          <w:tcPr>
            <w:tcW w:w="714" w:type="pct"/>
            <w:vAlign w:val="center"/>
          </w:tcPr>
          <w:p w:rsidR="00A81210" w:rsidRPr="009F26C9" w:rsidRDefault="00A81210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2</w:t>
            </w:r>
          </w:p>
        </w:tc>
        <w:tc>
          <w:tcPr>
            <w:tcW w:w="4286" w:type="pct"/>
            <w:vAlign w:val="center"/>
          </w:tcPr>
          <w:p w:rsidR="00A81210" w:rsidRPr="008B6F63" w:rsidRDefault="008B6F63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8B6F63">
              <w:rPr>
                <w:bCs/>
                <w:color w:val="auto"/>
                <w:sz w:val="28"/>
                <w:szCs w:val="28"/>
              </w:rPr>
              <w:t xml:space="preserve">Adequate: </w:t>
            </w:r>
            <w:r w:rsidRPr="008B6F63">
              <w:rPr>
                <w:b/>
                <w:bCs/>
                <w:color w:val="auto"/>
                <w:sz w:val="28"/>
                <w:szCs w:val="28"/>
              </w:rPr>
              <w:t xml:space="preserve">0.20 &lt; Cohen’s </w:t>
            </w:r>
            <w:r w:rsidRPr="008B6F63">
              <w:rPr>
                <w:b/>
                <w:bCs/>
                <w:i/>
                <w:iCs/>
                <w:color w:val="auto"/>
                <w:sz w:val="28"/>
                <w:szCs w:val="28"/>
              </w:rPr>
              <w:t>d</w:t>
            </w:r>
            <w:r w:rsidRPr="008B6F63">
              <w:rPr>
                <w:b/>
                <w:bCs/>
                <w:color w:val="auto"/>
                <w:sz w:val="28"/>
                <w:szCs w:val="28"/>
              </w:rPr>
              <w:t xml:space="preserve"> ≤ 0.50</w:t>
            </w:r>
          </w:p>
        </w:tc>
      </w:tr>
      <w:tr w:rsidR="00A81210" w:rsidRPr="009F26C9" w:rsidTr="00C51C87">
        <w:trPr>
          <w:trHeight w:val="720"/>
        </w:trPr>
        <w:tc>
          <w:tcPr>
            <w:tcW w:w="714" w:type="pct"/>
            <w:vAlign w:val="center"/>
          </w:tcPr>
          <w:p w:rsidR="00A81210" w:rsidRPr="009F26C9" w:rsidRDefault="00A81210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3</w:t>
            </w:r>
          </w:p>
        </w:tc>
        <w:tc>
          <w:tcPr>
            <w:tcW w:w="4286" w:type="pct"/>
            <w:vAlign w:val="center"/>
          </w:tcPr>
          <w:p w:rsidR="00A81210" w:rsidRPr="008B6F63" w:rsidRDefault="008B6F63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8B6F63">
              <w:rPr>
                <w:bCs/>
                <w:color w:val="auto"/>
                <w:sz w:val="28"/>
                <w:szCs w:val="28"/>
              </w:rPr>
              <w:t xml:space="preserve">Good: </w:t>
            </w:r>
            <w:r w:rsidRPr="008B6F63">
              <w:rPr>
                <w:b/>
                <w:bCs/>
                <w:color w:val="auto"/>
                <w:sz w:val="28"/>
                <w:szCs w:val="28"/>
              </w:rPr>
              <w:t xml:space="preserve">0.10 &lt; Cohen’s </w:t>
            </w:r>
            <w:r w:rsidRPr="008B6F63">
              <w:rPr>
                <w:b/>
                <w:bCs/>
                <w:i/>
                <w:iCs/>
                <w:color w:val="auto"/>
                <w:sz w:val="28"/>
                <w:szCs w:val="28"/>
              </w:rPr>
              <w:t>d</w:t>
            </w:r>
            <w:r w:rsidRPr="008B6F63">
              <w:rPr>
                <w:b/>
                <w:bCs/>
                <w:color w:val="auto"/>
                <w:sz w:val="28"/>
                <w:szCs w:val="28"/>
              </w:rPr>
              <w:t xml:space="preserve"> ≤ 0.20</w:t>
            </w:r>
          </w:p>
        </w:tc>
      </w:tr>
      <w:tr w:rsidR="00A81210" w:rsidRPr="009F26C9" w:rsidTr="00C51C87">
        <w:trPr>
          <w:trHeight w:val="720"/>
        </w:trPr>
        <w:tc>
          <w:tcPr>
            <w:tcW w:w="714" w:type="pct"/>
            <w:vAlign w:val="center"/>
          </w:tcPr>
          <w:p w:rsidR="00A81210" w:rsidRPr="009F26C9" w:rsidRDefault="00A81210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4</w:t>
            </w:r>
          </w:p>
        </w:tc>
        <w:tc>
          <w:tcPr>
            <w:tcW w:w="4286" w:type="pct"/>
            <w:vAlign w:val="center"/>
          </w:tcPr>
          <w:p w:rsidR="00A81210" w:rsidRPr="008B6F63" w:rsidRDefault="008B6F63" w:rsidP="00C51C87">
            <w:pPr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8B6F63">
              <w:rPr>
                <w:bCs/>
                <w:color w:val="auto"/>
                <w:sz w:val="28"/>
                <w:szCs w:val="28"/>
              </w:rPr>
              <w:t xml:space="preserve">Excellent: </w:t>
            </w:r>
            <w:r w:rsidRPr="008B6F63">
              <w:rPr>
                <w:b/>
                <w:bCs/>
                <w:color w:val="auto"/>
                <w:sz w:val="28"/>
                <w:szCs w:val="28"/>
              </w:rPr>
              <w:t xml:space="preserve">Cohen’s </w:t>
            </w:r>
            <w:r w:rsidRPr="008B6F63">
              <w:rPr>
                <w:b/>
                <w:bCs/>
                <w:i/>
                <w:iCs/>
                <w:color w:val="auto"/>
                <w:sz w:val="28"/>
                <w:szCs w:val="28"/>
              </w:rPr>
              <w:t>d</w:t>
            </w:r>
            <w:r w:rsidRPr="008B6F63">
              <w:rPr>
                <w:b/>
                <w:bCs/>
                <w:color w:val="auto"/>
                <w:sz w:val="28"/>
                <w:szCs w:val="28"/>
              </w:rPr>
              <w:t xml:space="preserve"> ≤ 0.10</w:t>
            </w:r>
          </w:p>
        </w:tc>
      </w:tr>
      <w:tr w:rsidR="00D63712" w:rsidRPr="009F26C9" w:rsidTr="00C51C87">
        <w:trPr>
          <w:trHeight w:val="720"/>
        </w:trPr>
        <w:tc>
          <w:tcPr>
            <w:tcW w:w="5000" w:type="pct"/>
            <w:gridSpan w:val="2"/>
            <w:vAlign w:val="center"/>
          </w:tcPr>
          <w:p w:rsidR="00D63712" w:rsidRDefault="00D63712" w:rsidP="00C51C8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63712">
              <w:rPr>
                <w:b/>
                <w:szCs w:val="28"/>
              </w:rPr>
              <w:t xml:space="preserve">NOTE: If Pearson’s </w:t>
            </w:r>
            <w:r w:rsidRPr="00D63712">
              <w:rPr>
                <w:b/>
                <w:i/>
                <w:szCs w:val="28"/>
              </w:rPr>
              <w:t>r</w:t>
            </w:r>
            <w:r w:rsidRPr="00D63712">
              <w:rPr>
                <w:b/>
                <w:szCs w:val="28"/>
              </w:rPr>
              <w:t xml:space="preserve"> is given, use the effect size calculator to calculate Cohen’s</w:t>
            </w:r>
            <w:r w:rsidRPr="00D63712">
              <w:rPr>
                <w:b/>
                <w:i/>
                <w:szCs w:val="28"/>
              </w:rPr>
              <w:t xml:space="preserve"> d. </w:t>
            </w:r>
            <w:hyperlink r:id="rId8" w:tgtFrame="_blank" w:history="1">
              <w:r w:rsidRPr="00D63712">
                <w:rPr>
                  <w:rStyle w:val="Hyperlink"/>
                  <w:color w:val="4183C4"/>
                  <w:szCs w:val="28"/>
                  <w:shd w:val="clear" w:color="auto" w:fill="FFFFFF"/>
                </w:rPr>
                <w:t>https://www.polyu.edu.hk/mm/effectsizefaqs/calculator/calculator.html</w:t>
              </w:r>
            </w:hyperlink>
            <w:r w:rsidRPr="00D63712">
              <w:rPr>
                <w:sz w:val="28"/>
                <w:szCs w:val="28"/>
              </w:rPr>
              <w:t xml:space="preserve"> </w:t>
            </w:r>
          </w:p>
          <w:p w:rsidR="003624B2" w:rsidRPr="00D63712" w:rsidRDefault="003624B2" w:rsidP="00C51C8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3624B2">
              <w:rPr>
                <w:b/>
                <w:szCs w:val="28"/>
              </w:rPr>
              <w:t>Also, note that these criteria</w:t>
            </w:r>
            <w:r>
              <w:rPr>
                <w:b/>
                <w:szCs w:val="28"/>
              </w:rPr>
              <w:t xml:space="preserve"> also</w:t>
            </w:r>
            <w:r w:rsidRPr="003624B2">
              <w:rPr>
                <w:b/>
                <w:szCs w:val="28"/>
              </w:rPr>
              <w:t xml:space="preserve"> apply to </w:t>
            </w:r>
            <w:r>
              <w:rPr>
                <w:b/>
                <w:szCs w:val="28"/>
              </w:rPr>
              <w:t>comparisons between subscales.</w:t>
            </w:r>
          </w:p>
        </w:tc>
      </w:tr>
      <w:tr w:rsidR="003A677B" w:rsidRPr="003A677B" w:rsidTr="00C51C87">
        <w:trPr>
          <w:trHeight w:val="512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:rsidR="003A677B" w:rsidRPr="003A677B" w:rsidRDefault="00A17BA3" w:rsidP="00C51C87">
            <w:pPr>
              <w:spacing w:line="276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Construct </w:t>
            </w:r>
            <w:r w:rsidR="003A677B">
              <w:rPr>
                <w:b/>
                <w:sz w:val="36"/>
              </w:rPr>
              <w:t>Validity-Known-Groups</w:t>
            </w:r>
          </w:p>
        </w:tc>
      </w:tr>
      <w:tr w:rsidR="008C5368" w:rsidRPr="003A677B" w:rsidTr="00C51C87">
        <w:trPr>
          <w:trHeight w:val="77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C5368" w:rsidRPr="008C5368" w:rsidRDefault="008C5368" w:rsidP="00C51C87">
            <w:pPr>
              <w:spacing w:line="276" w:lineRule="auto"/>
              <w:rPr>
                <w:sz w:val="28"/>
              </w:rPr>
            </w:pPr>
            <w:r w:rsidRPr="008C5368">
              <w:rPr>
                <w:b/>
              </w:rPr>
              <w:t xml:space="preserve">Categories: </w:t>
            </w:r>
            <w:r w:rsidRPr="008C5368">
              <w:t>Demographics, Roles/Professions, Programs/Treatments, Organizations, Intervention Conditions</w:t>
            </w:r>
          </w:p>
        </w:tc>
      </w:tr>
      <w:tr w:rsidR="003A677B" w:rsidRPr="009F26C9" w:rsidTr="00C51C87">
        <w:trPr>
          <w:trHeight w:val="864"/>
        </w:trPr>
        <w:tc>
          <w:tcPr>
            <w:tcW w:w="714" w:type="pct"/>
            <w:vAlign w:val="center"/>
          </w:tcPr>
          <w:p w:rsidR="003A677B" w:rsidRPr="00CD7E5A" w:rsidRDefault="003A677B" w:rsidP="00C51C87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7E5A">
              <w:rPr>
                <w:b/>
                <w:sz w:val="36"/>
                <w:szCs w:val="36"/>
              </w:rPr>
              <w:t>-1</w:t>
            </w:r>
          </w:p>
        </w:tc>
        <w:tc>
          <w:tcPr>
            <w:tcW w:w="4286" w:type="pct"/>
            <w:vAlign w:val="center"/>
          </w:tcPr>
          <w:p w:rsidR="003A677B" w:rsidRPr="009F26C9" w:rsidRDefault="003A677B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Poor (P): </w:t>
            </w:r>
            <w:r w:rsidR="008C5368">
              <w:rPr>
                <w:sz w:val="28"/>
              </w:rPr>
              <w:t>Known-groups validity failed to be detected.</w:t>
            </w:r>
          </w:p>
        </w:tc>
      </w:tr>
      <w:tr w:rsidR="00CD7E5A" w:rsidRPr="009F26C9" w:rsidTr="00C51C87">
        <w:trPr>
          <w:trHeight w:val="864"/>
        </w:trPr>
        <w:tc>
          <w:tcPr>
            <w:tcW w:w="714" w:type="pct"/>
            <w:vAlign w:val="center"/>
          </w:tcPr>
          <w:p w:rsidR="00CD7E5A" w:rsidRPr="00CD7E5A" w:rsidRDefault="00CD7E5A" w:rsidP="00C51C87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7E5A">
              <w:rPr>
                <w:b/>
                <w:sz w:val="36"/>
                <w:szCs w:val="36"/>
              </w:rPr>
              <w:t>0</w:t>
            </w:r>
          </w:p>
        </w:tc>
        <w:tc>
          <w:tcPr>
            <w:tcW w:w="4286" w:type="pct"/>
            <w:vAlign w:val="center"/>
          </w:tcPr>
          <w:p w:rsidR="00CD7E5A" w:rsidRPr="00CD7E5A" w:rsidRDefault="00CD7E5A" w:rsidP="00C51C87">
            <w:pPr>
              <w:spacing w:line="276" w:lineRule="auto"/>
              <w:jc w:val="center"/>
              <w:rPr>
                <w:sz w:val="28"/>
              </w:rPr>
            </w:pPr>
            <w:r w:rsidRPr="00CD7E5A">
              <w:rPr>
                <w:sz w:val="28"/>
              </w:rPr>
              <w:t>None (N): Known-</w:t>
            </w:r>
            <w:r w:rsidR="008C5368">
              <w:rPr>
                <w:sz w:val="28"/>
              </w:rPr>
              <w:t xml:space="preserve">groups validity not yet </w:t>
            </w:r>
            <w:r w:rsidR="008C4640">
              <w:rPr>
                <w:sz w:val="28"/>
              </w:rPr>
              <w:t>tested</w:t>
            </w:r>
            <w:r w:rsidR="008C5368">
              <w:rPr>
                <w:sz w:val="28"/>
              </w:rPr>
              <w:t>.</w:t>
            </w:r>
          </w:p>
        </w:tc>
      </w:tr>
      <w:tr w:rsidR="00CD7E5A" w:rsidRPr="009F26C9" w:rsidTr="00C51C87">
        <w:trPr>
          <w:trHeight w:val="864"/>
        </w:trPr>
        <w:tc>
          <w:tcPr>
            <w:tcW w:w="714" w:type="pct"/>
            <w:vAlign w:val="center"/>
          </w:tcPr>
          <w:p w:rsidR="00CD7E5A" w:rsidRPr="00CD7E5A" w:rsidRDefault="00CD7E5A" w:rsidP="00C51C87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7E5A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4286" w:type="pct"/>
            <w:vAlign w:val="center"/>
          </w:tcPr>
          <w:p w:rsidR="00CD7E5A" w:rsidRPr="00CD7E5A" w:rsidRDefault="00CD7E5A" w:rsidP="00C51C87">
            <w:pPr>
              <w:keepNext/>
              <w:spacing w:line="276" w:lineRule="auto"/>
              <w:jc w:val="center"/>
              <w:rPr>
                <w:color w:val="auto"/>
                <w:sz w:val="28"/>
              </w:rPr>
            </w:pPr>
            <w:r w:rsidRPr="00CD7E5A">
              <w:rPr>
                <w:color w:val="auto"/>
                <w:sz w:val="28"/>
              </w:rPr>
              <w:t>Minimal/Emerging (M): Statistically significant difference between groups detected, but no hypothesis tested</w:t>
            </w:r>
          </w:p>
        </w:tc>
      </w:tr>
      <w:tr w:rsidR="00CD7E5A" w:rsidRPr="009F26C9" w:rsidTr="00C51C87">
        <w:trPr>
          <w:trHeight w:val="864"/>
        </w:trPr>
        <w:tc>
          <w:tcPr>
            <w:tcW w:w="714" w:type="pct"/>
            <w:vAlign w:val="center"/>
          </w:tcPr>
          <w:p w:rsidR="00CD7E5A" w:rsidRPr="00CD7E5A" w:rsidRDefault="00CD7E5A" w:rsidP="00C51C87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7E5A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4286" w:type="pct"/>
            <w:vAlign w:val="center"/>
          </w:tcPr>
          <w:p w:rsidR="00CD7E5A" w:rsidRPr="00CD7E5A" w:rsidRDefault="00CD7E5A" w:rsidP="00C51C87">
            <w:pPr>
              <w:keepNext/>
              <w:spacing w:line="276" w:lineRule="auto"/>
              <w:jc w:val="center"/>
              <w:rPr>
                <w:color w:val="auto"/>
                <w:sz w:val="28"/>
              </w:rPr>
            </w:pPr>
            <w:r w:rsidRPr="00CD7E5A">
              <w:rPr>
                <w:color w:val="auto"/>
                <w:sz w:val="28"/>
              </w:rPr>
              <w:t>Adequate (A): Two or more statistically significant difference between groups detected, but no hypotheses tested</w:t>
            </w:r>
          </w:p>
        </w:tc>
      </w:tr>
      <w:tr w:rsidR="00CD7E5A" w:rsidRPr="009F26C9" w:rsidTr="00C51C87">
        <w:trPr>
          <w:trHeight w:val="864"/>
        </w:trPr>
        <w:tc>
          <w:tcPr>
            <w:tcW w:w="714" w:type="pct"/>
            <w:vAlign w:val="center"/>
          </w:tcPr>
          <w:p w:rsidR="00CD7E5A" w:rsidRPr="00CD7E5A" w:rsidRDefault="00CD7E5A" w:rsidP="00C51C87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7E5A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4286" w:type="pct"/>
            <w:vAlign w:val="center"/>
          </w:tcPr>
          <w:p w:rsidR="00CD7E5A" w:rsidRPr="00CD7E5A" w:rsidRDefault="00CD7E5A" w:rsidP="00C51C87">
            <w:pPr>
              <w:keepNext/>
              <w:spacing w:line="276" w:lineRule="auto"/>
              <w:jc w:val="center"/>
              <w:rPr>
                <w:color w:val="auto"/>
                <w:sz w:val="28"/>
              </w:rPr>
            </w:pPr>
            <w:r w:rsidRPr="00CD7E5A">
              <w:rPr>
                <w:color w:val="auto"/>
                <w:sz w:val="28"/>
              </w:rPr>
              <w:t>Good (G): Statistically significant difference between groups detected AND hypothesis tested</w:t>
            </w:r>
          </w:p>
        </w:tc>
      </w:tr>
      <w:tr w:rsidR="00CD7E5A" w:rsidRPr="009F26C9" w:rsidTr="00C51C87">
        <w:trPr>
          <w:trHeight w:val="864"/>
        </w:trPr>
        <w:tc>
          <w:tcPr>
            <w:tcW w:w="714" w:type="pct"/>
            <w:vAlign w:val="center"/>
          </w:tcPr>
          <w:p w:rsidR="00CD7E5A" w:rsidRPr="00CD7E5A" w:rsidRDefault="00CD7E5A" w:rsidP="00C51C87">
            <w:pPr>
              <w:spacing w:line="276" w:lineRule="auto"/>
              <w:jc w:val="center"/>
              <w:rPr>
                <w:b/>
                <w:sz w:val="36"/>
                <w:szCs w:val="36"/>
              </w:rPr>
            </w:pPr>
            <w:r w:rsidRPr="00CD7E5A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4286" w:type="pct"/>
            <w:vAlign w:val="center"/>
          </w:tcPr>
          <w:p w:rsidR="00CD7E5A" w:rsidRPr="00CD7E5A" w:rsidRDefault="00CD7E5A" w:rsidP="00C51C87">
            <w:pPr>
              <w:spacing w:line="276" w:lineRule="auto"/>
              <w:jc w:val="center"/>
              <w:rPr>
                <w:sz w:val="28"/>
              </w:rPr>
            </w:pPr>
            <w:r w:rsidRPr="00CD7E5A">
              <w:rPr>
                <w:color w:val="auto"/>
                <w:sz w:val="28"/>
              </w:rPr>
              <w:t>Excellent (E): Two or more statistically significant differences between groups detected AND hypotheses tested</w:t>
            </w:r>
          </w:p>
        </w:tc>
      </w:tr>
      <w:tr w:rsidR="00FB1AA7" w:rsidRPr="003A677B" w:rsidTr="00C51C87">
        <w:trPr>
          <w:trHeight w:val="720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:rsidR="00FB1AA7" w:rsidRPr="003A677B" w:rsidRDefault="00A17BA3" w:rsidP="00C51C87">
            <w:pPr>
              <w:spacing w:line="276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 xml:space="preserve">Criterion </w:t>
            </w:r>
            <w:r w:rsidR="00FB1AA7">
              <w:rPr>
                <w:b/>
                <w:sz w:val="36"/>
              </w:rPr>
              <w:t>Validity-Predictive</w:t>
            </w:r>
          </w:p>
        </w:tc>
      </w:tr>
      <w:tr w:rsidR="00206D8E" w:rsidRPr="009F26C9" w:rsidTr="00C51C87">
        <w:trPr>
          <w:trHeight w:val="20"/>
        </w:trPr>
        <w:tc>
          <w:tcPr>
            <w:tcW w:w="5000" w:type="pct"/>
            <w:gridSpan w:val="2"/>
            <w:vAlign w:val="center"/>
          </w:tcPr>
          <w:p w:rsidR="00206D8E" w:rsidRPr="00206D8E" w:rsidRDefault="00206D8E" w:rsidP="00C51C87">
            <w:pPr>
              <w:spacing w:line="276" w:lineRule="auto"/>
              <w:jc w:val="center"/>
            </w:pPr>
            <w:r w:rsidRPr="00206D8E">
              <w:t xml:space="preserve">Evidence of correlation (Pearson’s </w:t>
            </w:r>
            <w:r w:rsidRPr="00206D8E">
              <w:rPr>
                <w:i/>
              </w:rPr>
              <w:t>r</w:t>
            </w:r>
            <w:r w:rsidRPr="00206D8E">
              <w:t xml:space="preserve">) between instrument and scores on another test (measuring a distinct construct of interest or outcome) administered </w:t>
            </w:r>
            <w:r w:rsidRPr="00B855DE">
              <w:rPr>
                <w:b/>
              </w:rPr>
              <w:t xml:space="preserve">at some point in </w:t>
            </w:r>
            <w:r w:rsidR="00CB2B56" w:rsidRPr="00B855DE">
              <w:rPr>
                <w:b/>
              </w:rPr>
              <w:t>the future.</w:t>
            </w:r>
            <w:r w:rsidRPr="00206D8E">
              <w:t xml:space="preserve"> </w:t>
            </w:r>
          </w:p>
        </w:tc>
      </w:tr>
      <w:tr w:rsidR="00FB1AA7" w:rsidRPr="009F26C9" w:rsidTr="00C51C87">
        <w:trPr>
          <w:trHeight w:val="20"/>
        </w:trPr>
        <w:tc>
          <w:tcPr>
            <w:tcW w:w="714" w:type="pct"/>
            <w:vAlign w:val="center"/>
          </w:tcPr>
          <w:p w:rsidR="00FB1AA7" w:rsidRPr="009F26C9" w:rsidRDefault="00FB1AA7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-1</w:t>
            </w:r>
          </w:p>
        </w:tc>
        <w:tc>
          <w:tcPr>
            <w:tcW w:w="4286" w:type="pct"/>
            <w:vAlign w:val="center"/>
          </w:tcPr>
          <w:p w:rsidR="00FB1AA7" w:rsidRPr="00FB1AA7" w:rsidRDefault="00FB1AA7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Poor (P): Pearson’s </w:t>
            </w:r>
            <w:r>
              <w:rPr>
                <w:i/>
                <w:sz w:val="28"/>
              </w:rPr>
              <w:t>r</w:t>
            </w:r>
            <w:r>
              <w:rPr>
                <w:sz w:val="28"/>
              </w:rPr>
              <w:t xml:space="preserve"> </w:t>
            </w:r>
            <w:r w:rsidRPr="00FB1AA7">
              <w:rPr>
                <w:b/>
                <w:sz w:val="28"/>
              </w:rPr>
              <w:t>&lt; 0.10</w:t>
            </w:r>
          </w:p>
        </w:tc>
      </w:tr>
      <w:tr w:rsidR="00FB1AA7" w:rsidRPr="009F26C9" w:rsidTr="00C51C87">
        <w:trPr>
          <w:trHeight w:val="20"/>
        </w:trPr>
        <w:tc>
          <w:tcPr>
            <w:tcW w:w="714" w:type="pct"/>
            <w:vAlign w:val="center"/>
          </w:tcPr>
          <w:p w:rsidR="00FB1AA7" w:rsidRPr="009F26C9" w:rsidRDefault="00FB1AA7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0</w:t>
            </w:r>
          </w:p>
        </w:tc>
        <w:tc>
          <w:tcPr>
            <w:tcW w:w="4286" w:type="pct"/>
            <w:vAlign w:val="center"/>
          </w:tcPr>
          <w:p w:rsidR="00FB1AA7" w:rsidRPr="00B27194" w:rsidRDefault="00FB1AA7" w:rsidP="00C51C87">
            <w:pPr>
              <w:spacing w:line="276" w:lineRule="auto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None (N):  </w:t>
            </w:r>
            <w:r w:rsidR="00B27194">
              <w:rPr>
                <w:sz w:val="28"/>
              </w:rPr>
              <w:t>Predictive validity not tested.</w:t>
            </w:r>
            <w:proofErr w:type="gramEnd"/>
          </w:p>
        </w:tc>
      </w:tr>
      <w:tr w:rsidR="00FB1AA7" w:rsidRPr="009F26C9" w:rsidTr="00C51C87">
        <w:trPr>
          <w:trHeight w:val="20"/>
        </w:trPr>
        <w:tc>
          <w:tcPr>
            <w:tcW w:w="714" w:type="pct"/>
            <w:vAlign w:val="center"/>
          </w:tcPr>
          <w:p w:rsidR="00FB1AA7" w:rsidRPr="009F26C9" w:rsidRDefault="00FB1AA7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1</w:t>
            </w:r>
          </w:p>
        </w:tc>
        <w:tc>
          <w:tcPr>
            <w:tcW w:w="4286" w:type="pct"/>
            <w:vAlign w:val="center"/>
          </w:tcPr>
          <w:p w:rsidR="00FB1AA7" w:rsidRPr="00B27194" w:rsidRDefault="00FB1AA7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Minimal/Emerging (M):  Pearson’s </w:t>
            </w:r>
            <w:r>
              <w:rPr>
                <w:i/>
                <w:sz w:val="28"/>
              </w:rPr>
              <w:t>r</w:t>
            </w:r>
            <w:r w:rsidR="00B27194">
              <w:rPr>
                <w:sz w:val="28"/>
              </w:rPr>
              <w:t xml:space="preserve"> = </w:t>
            </w:r>
            <w:r w:rsidR="00B27194">
              <w:rPr>
                <w:b/>
                <w:sz w:val="28"/>
              </w:rPr>
              <w:t>0.10-0.29</w:t>
            </w:r>
          </w:p>
        </w:tc>
      </w:tr>
      <w:tr w:rsidR="00FB1AA7" w:rsidRPr="009F26C9" w:rsidTr="00C51C87">
        <w:trPr>
          <w:trHeight w:val="20"/>
        </w:trPr>
        <w:tc>
          <w:tcPr>
            <w:tcW w:w="714" w:type="pct"/>
            <w:vAlign w:val="center"/>
          </w:tcPr>
          <w:p w:rsidR="00FB1AA7" w:rsidRPr="009F26C9" w:rsidRDefault="00FB1AA7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2</w:t>
            </w:r>
          </w:p>
        </w:tc>
        <w:tc>
          <w:tcPr>
            <w:tcW w:w="4286" w:type="pct"/>
            <w:vAlign w:val="center"/>
          </w:tcPr>
          <w:p w:rsidR="00FB1AA7" w:rsidRPr="00B27194" w:rsidRDefault="00FB1AA7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Adequate (A):  Pearson’s </w:t>
            </w:r>
            <w:r>
              <w:rPr>
                <w:i/>
                <w:sz w:val="28"/>
              </w:rPr>
              <w:t>r</w:t>
            </w:r>
            <w:r w:rsidR="00B27194">
              <w:rPr>
                <w:sz w:val="28"/>
              </w:rPr>
              <w:t xml:space="preserve"> = </w:t>
            </w:r>
            <w:r w:rsidR="00B27194">
              <w:rPr>
                <w:b/>
                <w:sz w:val="28"/>
              </w:rPr>
              <w:t>0.30-0.49</w:t>
            </w:r>
          </w:p>
        </w:tc>
      </w:tr>
      <w:tr w:rsidR="00FB1AA7" w:rsidRPr="009F26C9" w:rsidTr="00C51C87">
        <w:trPr>
          <w:trHeight w:val="20"/>
        </w:trPr>
        <w:tc>
          <w:tcPr>
            <w:tcW w:w="714" w:type="pct"/>
            <w:vAlign w:val="center"/>
          </w:tcPr>
          <w:p w:rsidR="00FB1AA7" w:rsidRPr="009F26C9" w:rsidRDefault="00FB1AA7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3</w:t>
            </w:r>
          </w:p>
        </w:tc>
        <w:tc>
          <w:tcPr>
            <w:tcW w:w="4286" w:type="pct"/>
            <w:vAlign w:val="center"/>
          </w:tcPr>
          <w:p w:rsidR="00FB1AA7" w:rsidRPr="00B27194" w:rsidRDefault="00FB1AA7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Good (G):  Pearson’s </w:t>
            </w:r>
            <w:r>
              <w:rPr>
                <w:i/>
                <w:sz w:val="28"/>
              </w:rPr>
              <w:t>r</w:t>
            </w:r>
            <w:r w:rsidR="00B27194">
              <w:rPr>
                <w:sz w:val="28"/>
              </w:rPr>
              <w:t xml:space="preserve"> = </w:t>
            </w:r>
            <w:r w:rsidR="00B27194">
              <w:rPr>
                <w:b/>
                <w:sz w:val="28"/>
              </w:rPr>
              <w:t>0.50-0.69</w:t>
            </w:r>
          </w:p>
        </w:tc>
      </w:tr>
      <w:tr w:rsidR="00FB1AA7" w:rsidRPr="009F26C9" w:rsidTr="00C51C87">
        <w:trPr>
          <w:trHeight w:val="20"/>
        </w:trPr>
        <w:tc>
          <w:tcPr>
            <w:tcW w:w="714" w:type="pct"/>
            <w:vAlign w:val="center"/>
          </w:tcPr>
          <w:p w:rsidR="00FB1AA7" w:rsidRPr="009F26C9" w:rsidRDefault="00FB1AA7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4</w:t>
            </w:r>
          </w:p>
        </w:tc>
        <w:tc>
          <w:tcPr>
            <w:tcW w:w="4286" w:type="pct"/>
            <w:vAlign w:val="center"/>
          </w:tcPr>
          <w:p w:rsidR="00FB1AA7" w:rsidRPr="00B27194" w:rsidRDefault="00FB1AA7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Excellent (E):  Pearson’s </w:t>
            </w:r>
            <w:r>
              <w:rPr>
                <w:i/>
                <w:sz w:val="28"/>
              </w:rPr>
              <w:t>r</w:t>
            </w:r>
            <w:r w:rsidR="00B27194">
              <w:rPr>
                <w:sz w:val="28"/>
              </w:rPr>
              <w:t xml:space="preserve"> </w:t>
            </w:r>
            <w:r w:rsidR="00B27194">
              <w:rPr>
                <w:b/>
                <w:sz w:val="28"/>
              </w:rPr>
              <w:t>&gt; 0.</w:t>
            </w:r>
            <w:r w:rsidR="0094691D">
              <w:rPr>
                <w:b/>
                <w:sz w:val="28"/>
              </w:rPr>
              <w:t>70</w:t>
            </w:r>
          </w:p>
        </w:tc>
      </w:tr>
      <w:tr w:rsidR="00206D8E" w:rsidRPr="009F26C9" w:rsidTr="00C51C87">
        <w:trPr>
          <w:trHeight w:val="20"/>
        </w:trPr>
        <w:tc>
          <w:tcPr>
            <w:tcW w:w="5000" w:type="pct"/>
            <w:gridSpan w:val="2"/>
            <w:vAlign w:val="center"/>
          </w:tcPr>
          <w:p w:rsidR="00206D8E" w:rsidRDefault="00206D8E" w:rsidP="00C51C87">
            <w:pPr>
              <w:spacing w:line="276" w:lineRule="auto"/>
              <w:jc w:val="center"/>
              <w:rPr>
                <w:b/>
              </w:rPr>
            </w:pPr>
            <w:r w:rsidRPr="00206D8E">
              <w:rPr>
                <w:b/>
              </w:rPr>
              <w:t xml:space="preserve">NOTE: If unstandardized regression coefficients (betas) are reported, use the effect size calculator to translate them into Pearson’s </w:t>
            </w:r>
            <w:r w:rsidRPr="00206D8E">
              <w:rPr>
                <w:b/>
                <w:i/>
              </w:rPr>
              <w:t>r</w:t>
            </w:r>
            <w:r w:rsidRPr="00206D8E">
              <w:rPr>
                <w:b/>
              </w:rPr>
              <w:t xml:space="preserve"> values and follow the same rules as above.</w:t>
            </w:r>
          </w:p>
          <w:p w:rsidR="00206D8E" w:rsidRDefault="00FD4E1A" w:rsidP="00C51C87">
            <w:pPr>
              <w:spacing w:line="276" w:lineRule="auto"/>
              <w:jc w:val="center"/>
            </w:pPr>
            <w:hyperlink r:id="rId9" w:history="1">
              <w:r w:rsidR="00206D8E" w:rsidRPr="00BE3095">
                <w:rPr>
                  <w:rStyle w:val="Hyperlink"/>
                </w:rPr>
                <w:t>https://www.campbellcollaboration.org/escalc/html/EffectSizeCalculator-R7.php</w:t>
              </w:r>
            </w:hyperlink>
            <w:r w:rsidR="00206D8E">
              <w:t xml:space="preserve"> </w:t>
            </w:r>
          </w:p>
          <w:p w:rsidR="00206D8E" w:rsidRPr="00206D8E" w:rsidRDefault="00206D8E" w:rsidP="00C51C87">
            <w:pPr>
              <w:spacing w:line="276" w:lineRule="auto"/>
              <w:jc w:val="center"/>
              <w:rPr>
                <w:b/>
              </w:rPr>
            </w:pPr>
            <w:r w:rsidRPr="00206D8E">
              <w:rPr>
                <w:b/>
              </w:rPr>
              <w:t>&amp;</w:t>
            </w:r>
          </w:p>
          <w:p w:rsidR="00206D8E" w:rsidRPr="00206D8E" w:rsidRDefault="00206D8E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</w:rPr>
              <w:t>If discriminant function analysis is reported, use the measure of variance explained. Anchors for this can be found in “Structural Validity” section.</w:t>
            </w:r>
          </w:p>
        </w:tc>
      </w:tr>
      <w:tr w:rsidR="00A17BA3" w:rsidRPr="003A677B" w:rsidTr="00C51C87">
        <w:trPr>
          <w:trHeight w:val="720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:rsidR="00A17BA3" w:rsidRPr="003A677B" w:rsidRDefault="00A17BA3" w:rsidP="00C51C87">
            <w:pPr>
              <w:spacing w:line="276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Criterion Validity-Concurrent </w:t>
            </w:r>
          </w:p>
        </w:tc>
      </w:tr>
      <w:tr w:rsidR="00CB2B56" w:rsidRPr="00FB1AA7" w:rsidTr="00C51C87">
        <w:trPr>
          <w:trHeight w:val="20"/>
        </w:trPr>
        <w:tc>
          <w:tcPr>
            <w:tcW w:w="5000" w:type="pct"/>
            <w:gridSpan w:val="2"/>
            <w:vAlign w:val="center"/>
          </w:tcPr>
          <w:p w:rsidR="00CB2B56" w:rsidRPr="00206D8E" w:rsidRDefault="00CB2B56" w:rsidP="00C51C87">
            <w:pPr>
              <w:spacing w:line="276" w:lineRule="auto"/>
              <w:jc w:val="center"/>
            </w:pPr>
            <w:r w:rsidRPr="00206D8E">
              <w:t xml:space="preserve">Evidence of correlation (Pearson’s </w:t>
            </w:r>
            <w:r w:rsidRPr="00206D8E">
              <w:rPr>
                <w:i/>
              </w:rPr>
              <w:t>r</w:t>
            </w:r>
            <w:r w:rsidRPr="00206D8E">
              <w:t xml:space="preserve">) between instrument and scores on another test (measuring a distinct construct of interest or outcome) administered </w:t>
            </w:r>
            <w:r>
              <w:t xml:space="preserve">at the </w:t>
            </w:r>
            <w:r w:rsidRPr="00B855DE">
              <w:rPr>
                <w:b/>
              </w:rPr>
              <w:t>same point in time.</w:t>
            </w:r>
            <w:r>
              <w:t xml:space="preserve">  </w:t>
            </w:r>
            <w:r w:rsidRPr="00206D8E">
              <w:t xml:space="preserve"> </w:t>
            </w:r>
          </w:p>
        </w:tc>
      </w:tr>
      <w:tr w:rsidR="00CB2B56" w:rsidRPr="00FB1AA7" w:rsidTr="00C51C87">
        <w:trPr>
          <w:trHeight w:val="20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-1</w:t>
            </w:r>
          </w:p>
        </w:tc>
        <w:tc>
          <w:tcPr>
            <w:tcW w:w="4286" w:type="pct"/>
            <w:vAlign w:val="center"/>
          </w:tcPr>
          <w:p w:rsidR="00CB2B56" w:rsidRPr="00FB1AA7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Poor (P): Pearson’s </w:t>
            </w:r>
            <w:r>
              <w:rPr>
                <w:i/>
                <w:sz w:val="28"/>
              </w:rPr>
              <w:t>r</w:t>
            </w:r>
            <w:r>
              <w:rPr>
                <w:sz w:val="28"/>
              </w:rPr>
              <w:t xml:space="preserve"> </w:t>
            </w:r>
            <w:r w:rsidRPr="00FB1AA7">
              <w:rPr>
                <w:b/>
                <w:sz w:val="28"/>
              </w:rPr>
              <w:t>&lt; 0.10</w:t>
            </w:r>
          </w:p>
        </w:tc>
      </w:tr>
      <w:tr w:rsidR="00CB2B56" w:rsidRPr="00B27194" w:rsidTr="00C51C87">
        <w:trPr>
          <w:trHeight w:val="20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0</w:t>
            </w:r>
          </w:p>
        </w:tc>
        <w:tc>
          <w:tcPr>
            <w:tcW w:w="4286" w:type="pct"/>
            <w:vAlign w:val="center"/>
          </w:tcPr>
          <w:p w:rsidR="00CB2B56" w:rsidRPr="00B27194" w:rsidRDefault="00CB2B56" w:rsidP="00C51C87">
            <w:pPr>
              <w:spacing w:line="276" w:lineRule="auto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None (N):  </w:t>
            </w:r>
            <w:r w:rsidR="00B855DE">
              <w:rPr>
                <w:sz w:val="28"/>
              </w:rPr>
              <w:t>Concurrent</w:t>
            </w:r>
            <w:r>
              <w:rPr>
                <w:sz w:val="28"/>
              </w:rPr>
              <w:t xml:space="preserve"> validity not tested.</w:t>
            </w:r>
            <w:proofErr w:type="gramEnd"/>
          </w:p>
        </w:tc>
      </w:tr>
      <w:tr w:rsidR="00CB2B56" w:rsidRPr="00B27194" w:rsidTr="00C51C87">
        <w:trPr>
          <w:trHeight w:val="20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1</w:t>
            </w:r>
          </w:p>
        </w:tc>
        <w:tc>
          <w:tcPr>
            <w:tcW w:w="4286" w:type="pct"/>
            <w:vAlign w:val="center"/>
          </w:tcPr>
          <w:p w:rsidR="00CB2B56" w:rsidRPr="00B27194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Minimal/Emerging (M):  Pearson’s </w:t>
            </w:r>
            <w:r>
              <w:rPr>
                <w:i/>
                <w:sz w:val="28"/>
              </w:rPr>
              <w:t>r</w:t>
            </w:r>
            <w:r>
              <w:rPr>
                <w:sz w:val="28"/>
              </w:rPr>
              <w:t xml:space="preserve"> = </w:t>
            </w:r>
            <w:r>
              <w:rPr>
                <w:b/>
                <w:sz w:val="28"/>
              </w:rPr>
              <w:t>0.10-0.29</w:t>
            </w:r>
          </w:p>
        </w:tc>
      </w:tr>
      <w:tr w:rsidR="00CB2B56" w:rsidRPr="00B27194" w:rsidTr="00C51C87">
        <w:trPr>
          <w:trHeight w:val="20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2</w:t>
            </w:r>
          </w:p>
        </w:tc>
        <w:tc>
          <w:tcPr>
            <w:tcW w:w="4286" w:type="pct"/>
            <w:vAlign w:val="center"/>
          </w:tcPr>
          <w:p w:rsidR="00CB2B56" w:rsidRPr="00B27194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Adequate (A):  Pearson’s </w:t>
            </w:r>
            <w:r>
              <w:rPr>
                <w:i/>
                <w:sz w:val="28"/>
              </w:rPr>
              <w:t>r</w:t>
            </w:r>
            <w:r>
              <w:rPr>
                <w:sz w:val="28"/>
              </w:rPr>
              <w:t xml:space="preserve"> = </w:t>
            </w:r>
            <w:r>
              <w:rPr>
                <w:b/>
                <w:sz w:val="28"/>
              </w:rPr>
              <w:t>0.30-0.49</w:t>
            </w:r>
          </w:p>
        </w:tc>
      </w:tr>
      <w:tr w:rsidR="00CB2B56" w:rsidRPr="00B27194" w:rsidTr="00C51C87">
        <w:trPr>
          <w:trHeight w:val="20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3</w:t>
            </w:r>
          </w:p>
        </w:tc>
        <w:tc>
          <w:tcPr>
            <w:tcW w:w="4286" w:type="pct"/>
            <w:vAlign w:val="center"/>
          </w:tcPr>
          <w:p w:rsidR="00CB2B56" w:rsidRPr="00B27194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Good (G):  Pearson’s </w:t>
            </w:r>
            <w:r>
              <w:rPr>
                <w:i/>
                <w:sz w:val="28"/>
              </w:rPr>
              <w:t>r</w:t>
            </w:r>
            <w:r>
              <w:rPr>
                <w:sz w:val="28"/>
              </w:rPr>
              <w:t xml:space="preserve"> = </w:t>
            </w:r>
            <w:r>
              <w:rPr>
                <w:b/>
                <w:sz w:val="28"/>
              </w:rPr>
              <w:t>0.50-0.69</w:t>
            </w:r>
          </w:p>
        </w:tc>
      </w:tr>
      <w:tr w:rsidR="00CB2B56" w:rsidRPr="00B27194" w:rsidTr="00C51C87">
        <w:trPr>
          <w:trHeight w:val="20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4</w:t>
            </w:r>
          </w:p>
        </w:tc>
        <w:tc>
          <w:tcPr>
            <w:tcW w:w="4286" w:type="pct"/>
            <w:vAlign w:val="center"/>
          </w:tcPr>
          <w:p w:rsidR="00CB2B56" w:rsidRPr="00B27194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Excellent (E):  Pearson’s </w:t>
            </w:r>
            <w:r>
              <w:rPr>
                <w:i/>
                <w:sz w:val="28"/>
              </w:rPr>
              <w:t>r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>&gt; 0.70</w:t>
            </w:r>
          </w:p>
        </w:tc>
      </w:tr>
      <w:tr w:rsidR="00CB2B56" w:rsidRPr="00B27194" w:rsidTr="00C51C87">
        <w:trPr>
          <w:trHeight w:val="432"/>
        </w:trPr>
        <w:tc>
          <w:tcPr>
            <w:tcW w:w="5000" w:type="pct"/>
            <w:gridSpan w:val="2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b/>
              </w:rPr>
            </w:pPr>
            <w:r w:rsidRPr="00206D8E">
              <w:rPr>
                <w:b/>
              </w:rPr>
              <w:t xml:space="preserve">NOTE: If unstandardized regression coefficients (betas) are reported, use the effect size calculator to translate them into Pearson’s </w:t>
            </w:r>
            <w:r w:rsidRPr="00206D8E">
              <w:rPr>
                <w:b/>
                <w:i/>
              </w:rPr>
              <w:t>r</w:t>
            </w:r>
            <w:r w:rsidRPr="00206D8E">
              <w:rPr>
                <w:b/>
              </w:rPr>
              <w:t xml:space="preserve"> values and follow the same rules as above.</w:t>
            </w:r>
          </w:p>
          <w:p w:rsidR="00CB2B56" w:rsidRDefault="00FD4E1A" w:rsidP="00C51C87">
            <w:pPr>
              <w:spacing w:line="276" w:lineRule="auto"/>
              <w:jc w:val="center"/>
            </w:pPr>
            <w:hyperlink r:id="rId10" w:history="1">
              <w:r w:rsidR="00CB2B56" w:rsidRPr="00BE3095">
                <w:rPr>
                  <w:rStyle w:val="Hyperlink"/>
                </w:rPr>
                <w:t>https://www.campbellcollaboration.org/escalc/html/EffectSizeCalculator-R7.php</w:t>
              </w:r>
            </w:hyperlink>
            <w:r w:rsidR="00CB2B56">
              <w:t xml:space="preserve"> </w:t>
            </w:r>
          </w:p>
          <w:p w:rsidR="00CB2B56" w:rsidRPr="00206D8E" w:rsidRDefault="00CB2B56" w:rsidP="00C51C87">
            <w:pPr>
              <w:spacing w:line="276" w:lineRule="auto"/>
              <w:jc w:val="center"/>
              <w:rPr>
                <w:b/>
              </w:rPr>
            </w:pPr>
            <w:r w:rsidRPr="00206D8E">
              <w:rPr>
                <w:b/>
              </w:rPr>
              <w:t>&amp;</w:t>
            </w:r>
          </w:p>
          <w:p w:rsidR="00CB2B56" w:rsidRPr="00206D8E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</w:rPr>
              <w:t>If discriminant function analysis is reported, use the measure of variance explained. Anchors for this can be found in “Structural Validity” section.</w:t>
            </w:r>
          </w:p>
        </w:tc>
      </w:tr>
      <w:tr w:rsidR="00CB2B56" w:rsidRPr="003A677B" w:rsidTr="00C51C87">
        <w:trPr>
          <w:trHeight w:val="720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:rsidR="00CB2B56" w:rsidRPr="003A677B" w:rsidRDefault="00CB2B56" w:rsidP="00C51C87">
            <w:pPr>
              <w:spacing w:line="276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 xml:space="preserve">Dimensionality-Structural Validity </w:t>
            </w:r>
          </w:p>
        </w:tc>
      </w:tr>
      <w:tr w:rsidR="00CB2B56" w:rsidRPr="00FB1AA7" w:rsidTr="00C51C87">
        <w:trPr>
          <w:trHeight w:val="864"/>
        </w:trPr>
        <w:tc>
          <w:tcPr>
            <w:tcW w:w="5000" w:type="pct"/>
            <w:gridSpan w:val="2"/>
            <w:vAlign w:val="center"/>
          </w:tcPr>
          <w:p w:rsidR="00CB2B56" w:rsidRPr="003A5E90" w:rsidRDefault="00CB2B56" w:rsidP="00C51C87">
            <w:pPr>
              <w:spacing w:line="276" w:lineRule="auto"/>
              <w:jc w:val="center"/>
            </w:pPr>
            <w:r w:rsidRPr="003A5E90">
              <w:t xml:space="preserve">Normed Fit Index = NFI </w:t>
            </w:r>
            <w:r>
              <w:t>;</w:t>
            </w:r>
            <w:r w:rsidRPr="003A5E90">
              <w:t xml:space="preserve"> Incremental Fit Index = IFI </w:t>
            </w:r>
          </w:p>
          <w:p w:rsidR="00CB2B56" w:rsidRPr="003A5E90" w:rsidRDefault="00CB2B56" w:rsidP="00C51C87">
            <w:pPr>
              <w:spacing w:line="276" w:lineRule="auto"/>
              <w:jc w:val="center"/>
            </w:pPr>
            <w:r w:rsidRPr="003A5E90">
              <w:t xml:space="preserve">Goodness of Fit Index = GFI </w:t>
            </w:r>
            <w:r>
              <w:t xml:space="preserve">; </w:t>
            </w:r>
            <w:r w:rsidRPr="003A5E90">
              <w:t>Tucker-Lewis Index = TLI</w:t>
            </w:r>
          </w:p>
          <w:p w:rsidR="00CB2B56" w:rsidRDefault="00CB2B56" w:rsidP="00C51C87">
            <w:pPr>
              <w:spacing w:line="276" w:lineRule="auto"/>
              <w:jc w:val="center"/>
            </w:pPr>
            <w:r w:rsidRPr="003A5E90">
              <w:t>Comparative Fit Index = CFI</w:t>
            </w:r>
            <w:r>
              <w:t xml:space="preserve"> ;</w:t>
            </w:r>
            <w:r w:rsidRPr="003A5E90">
              <w:t xml:space="preserve"> Relative Noncentrality Fit Index = RNI</w:t>
            </w:r>
          </w:p>
          <w:p w:rsidR="00CB2B56" w:rsidRDefault="00CB2B56" w:rsidP="00C51C87">
            <w:pPr>
              <w:spacing w:line="276" w:lineRule="auto"/>
              <w:jc w:val="center"/>
            </w:pPr>
            <w:r>
              <w:t>Standardized RMR = SRMR</w:t>
            </w:r>
            <w:r w:rsidR="00264489">
              <w:t xml:space="preserve"> </w:t>
            </w:r>
            <w:r>
              <w:t xml:space="preserve">; </w:t>
            </w:r>
            <w:r w:rsidR="00264489">
              <w:t>Root Mean Square Error of Approximation = RMSEA</w:t>
            </w:r>
          </w:p>
          <w:p w:rsidR="00CB2B56" w:rsidRDefault="00264489" w:rsidP="00C51C87">
            <w:pPr>
              <w:spacing w:line="276" w:lineRule="auto"/>
              <w:jc w:val="center"/>
              <w:rPr>
                <w:sz w:val="28"/>
              </w:rPr>
            </w:pPr>
            <w:r>
              <w:t>Weighted Root Mean Residual = WRMR</w:t>
            </w:r>
          </w:p>
        </w:tc>
      </w:tr>
      <w:tr w:rsidR="00CB2B56" w:rsidRPr="00FB1AA7" w:rsidTr="00C51C87">
        <w:trPr>
          <w:trHeight w:val="864"/>
        </w:trPr>
        <w:tc>
          <w:tcPr>
            <w:tcW w:w="714" w:type="pct"/>
            <w:vMerge w:val="restar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-1</w:t>
            </w: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Poor (P): </w:t>
            </w:r>
          </w:p>
          <w:p w:rsidR="00CB2B56" w:rsidRPr="007D001E" w:rsidRDefault="00CB2B56" w:rsidP="00C51C87">
            <w:pPr>
              <w:spacing w:line="276" w:lineRule="auto"/>
              <w:jc w:val="center"/>
              <w:rPr>
                <w:b/>
              </w:rPr>
            </w:pPr>
            <w:r>
              <w:t xml:space="preserve">The sample consisted of less than 5 times the number of items AND exploratory factor analysis explained </w:t>
            </w:r>
            <w:r w:rsidR="00646527" w:rsidRPr="00C90745">
              <w:rPr>
                <w:b/>
              </w:rPr>
              <w:t>&lt; 25</w:t>
            </w:r>
            <w:r w:rsidRPr="00C90745">
              <w:rPr>
                <w:b/>
              </w:rPr>
              <w:t>%</w:t>
            </w:r>
            <w:r>
              <w:t xml:space="preserve"> of variance </w:t>
            </w:r>
            <w:r>
              <w:rPr>
                <w:b/>
              </w:rPr>
              <w:t>OR</w:t>
            </w:r>
          </w:p>
        </w:tc>
      </w:tr>
      <w:tr w:rsidR="00CB2B56" w:rsidRPr="00FB1AA7" w:rsidTr="00C51C87">
        <w:trPr>
          <w:trHeight w:val="864"/>
        </w:trPr>
        <w:tc>
          <w:tcPr>
            <w:tcW w:w="714" w:type="pct"/>
            <w:vMerge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</w:p>
        </w:tc>
        <w:tc>
          <w:tcPr>
            <w:tcW w:w="4286" w:type="pct"/>
            <w:vAlign w:val="center"/>
          </w:tcPr>
          <w:p w:rsidR="00CB2B56" w:rsidRPr="0089681D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NFI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IFI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GFI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</w:t>
            </w:r>
            <w:r w:rsidRPr="0089681D">
              <w:rPr>
                <w:sz w:val="28"/>
              </w:rPr>
              <w:t xml:space="preserve">TLI </w:t>
            </w:r>
            <w:r w:rsidRPr="0089681D">
              <w:rPr>
                <w:b/>
                <w:sz w:val="28"/>
              </w:rPr>
              <w:t>OR</w:t>
            </w:r>
            <w:r w:rsidRPr="0089681D">
              <w:rPr>
                <w:sz w:val="28"/>
              </w:rPr>
              <w:t xml:space="preserve"> CFI </w:t>
            </w:r>
            <w:r w:rsidRPr="0089681D">
              <w:rPr>
                <w:b/>
                <w:sz w:val="28"/>
              </w:rPr>
              <w:t>OR</w:t>
            </w:r>
            <w:r w:rsidRPr="0089681D">
              <w:rPr>
                <w:sz w:val="28"/>
              </w:rPr>
              <w:t xml:space="preserve"> RNI </w:t>
            </w:r>
            <w:r w:rsidRPr="0089681D">
              <w:rPr>
                <w:b/>
                <w:sz w:val="28"/>
              </w:rPr>
              <w:t xml:space="preserve"> </w:t>
            </w:r>
            <w:r w:rsidR="009F28C9" w:rsidRPr="0089681D">
              <w:rPr>
                <w:b/>
                <w:sz w:val="28"/>
              </w:rPr>
              <w:t>≤</w:t>
            </w:r>
            <w:r w:rsidRPr="0089681D">
              <w:rPr>
                <w:b/>
                <w:sz w:val="28"/>
              </w:rPr>
              <w:t xml:space="preserve"> 0.88</w:t>
            </w:r>
          </w:p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 w:rsidRPr="0089681D">
              <w:rPr>
                <w:b/>
                <w:sz w:val="28"/>
              </w:rPr>
              <w:t>OR</w:t>
            </w:r>
            <w:r w:rsidRPr="0089681D">
              <w:rPr>
                <w:sz w:val="28"/>
              </w:rPr>
              <w:t xml:space="preserve"> SRMR</w:t>
            </w:r>
            <w:r w:rsidRPr="0089681D">
              <w:rPr>
                <w:b/>
                <w:sz w:val="28"/>
              </w:rPr>
              <w:t xml:space="preserve"> OR</w:t>
            </w:r>
            <w:r w:rsidRPr="0089681D">
              <w:rPr>
                <w:sz w:val="28"/>
              </w:rPr>
              <w:t xml:space="preserve"> RMSEA =</w:t>
            </w:r>
            <w:r w:rsidR="0089681D" w:rsidRPr="0089681D">
              <w:rPr>
                <w:b/>
              </w:rPr>
              <w:t xml:space="preserve"> X ≥ 0.10</w:t>
            </w:r>
          </w:p>
          <w:p w:rsidR="00CB2B56" w:rsidRPr="00DA75DF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OR </w:t>
            </w:r>
            <w:r>
              <w:rPr>
                <w:sz w:val="28"/>
              </w:rPr>
              <w:t xml:space="preserve">WRMR </w:t>
            </w:r>
            <w:r w:rsidR="002759CC">
              <w:rPr>
                <w:b/>
                <w:sz w:val="28"/>
              </w:rPr>
              <w:t>≥ 0.92</w:t>
            </w:r>
          </w:p>
        </w:tc>
      </w:tr>
      <w:tr w:rsidR="00CB2B56" w:rsidRPr="00B27194" w:rsidTr="00C51C87">
        <w:trPr>
          <w:trHeight w:val="864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0</w:t>
            </w:r>
          </w:p>
        </w:tc>
        <w:tc>
          <w:tcPr>
            <w:tcW w:w="4286" w:type="pct"/>
            <w:vAlign w:val="center"/>
          </w:tcPr>
          <w:p w:rsidR="00CB2B56" w:rsidRPr="00EA2407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 w:rsidRPr="00EA2407">
              <w:t xml:space="preserve">None (N): No exploratory or confirmatory factor analysis has yet been performed, nor have any Item Response Theory (IRT) tests of (uni-) dimensionality have been conducted </w:t>
            </w:r>
            <w:r w:rsidRPr="00EA2407">
              <w:rPr>
                <w:b/>
              </w:rPr>
              <w:t>OR</w:t>
            </w:r>
            <w:r w:rsidRPr="00EA2407">
              <w:t xml:space="preserve"> analysis has been conducted but percent variance is unexplained and cannot be calculated </w:t>
            </w:r>
            <w:r w:rsidRPr="00EA2407">
              <w:rPr>
                <w:b/>
              </w:rPr>
              <w:t>OR</w:t>
            </w:r>
            <w:r w:rsidRPr="00EA2407">
              <w:t xml:space="preserve"> only principal components analysis has been conducted.</w:t>
            </w:r>
          </w:p>
        </w:tc>
      </w:tr>
      <w:tr w:rsidR="00CB2B56" w:rsidRPr="00B27194" w:rsidTr="00C51C87">
        <w:trPr>
          <w:trHeight w:val="864"/>
        </w:trPr>
        <w:tc>
          <w:tcPr>
            <w:tcW w:w="714" w:type="pct"/>
            <w:vMerge w:val="restar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1</w:t>
            </w: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Minimal/Emerging (M): </w:t>
            </w:r>
          </w:p>
          <w:p w:rsidR="00CB2B56" w:rsidRPr="00EE672C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 w:rsidRPr="000C5E29">
              <w:t xml:space="preserve">The sample consisted of 5 times the number of items AND exploratory factor analysis explained </w:t>
            </w:r>
            <w:r w:rsidR="00646527">
              <w:rPr>
                <w:b/>
              </w:rPr>
              <w:t>&lt; 25</w:t>
            </w:r>
            <w:r w:rsidRPr="000C5E29">
              <w:rPr>
                <w:b/>
              </w:rPr>
              <w:t>%</w:t>
            </w:r>
            <w:r>
              <w:t xml:space="preserve"> of variance </w:t>
            </w:r>
            <w:r>
              <w:rPr>
                <w:b/>
              </w:rPr>
              <w:t>OR</w:t>
            </w:r>
            <w:r>
              <w:rPr>
                <w:b/>
                <w:sz w:val="28"/>
              </w:rPr>
              <w:t xml:space="preserve"> </w:t>
            </w:r>
          </w:p>
        </w:tc>
      </w:tr>
      <w:tr w:rsidR="00CB2B56" w:rsidRPr="00B27194" w:rsidTr="00C51C87">
        <w:trPr>
          <w:trHeight w:val="864"/>
        </w:trPr>
        <w:tc>
          <w:tcPr>
            <w:tcW w:w="714" w:type="pct"/>
            <w:vMerge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</w:p>
        </w:tc>
        <w:tc>
          <w:tcPr>
            <w:tcW w:w="4286" w:type="pct"/>
            <w:vAlign w:val="center"/>
          </w:tcPr>
          <w:p w:rsidR="00395A8F" w:rsidRPr="009F28C9" w:rsidRDefault="00CB2B56" w:rsidP="00C51C87">
            <w:pPr>
              <w:spacing w:line="276" w:lineRule="auto"/>
              <w:ind w:left="360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NFI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IFI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GFI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TLI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CFI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RNI = </w:t>
            </w:r>
            <w:r w:rsidR="002761AC" w:rsidRPr="009F28C9">
              <w:rPr>
                <w:b/>
                <w:sz w:val="28"/>
              </w:rPr>
              <w:t>0.88 &lt; X ≤ 0.90</w:t>
            </w:r>
          </w:p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SRMR</w:t>
            </w:r>
            <w:r>
              <w:rPr>
                <w:b/>
                <w:sz w:val="28"/>
              </w:rPr>
              <w:t xml:space="preserve"> OR </w:t>
            </w:r>
            <w:r w:rsidR="00747551">
              <w:rPr>
                <w:sz w:val="28"/>
              </w:rPr>
              <w:t>RMSEA =</w:t>
            </w:r>
            <w:r w:rsidR="001D5D67">
              <w:rPr>
                <w:sz w:val="28"/>
              </w:rPr>
              <w:t xml:space="preserve"> </w:t>
            </w:r>
            <w:r w:rsidR="001D5D67" w:rsidRPr="001D5D67">
              <w:rPr>
                <w:b/>
              </w:rPr>
              <w:t>0.08 ≤ X &lt; 0.10</w:t>
            </w:r>
          </w:p>
          <w:p w:rsidR="00CB2B56" w:rsidRPr="002759CC" w:rsidRDefault="00CB2B56" w:rsidP="00C51C87">
            <w:pPr>
              <w:spacing w:line="276" w:lineRule="auto"/>
              <w:ind w:left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OR </w:t>
            </w:r>
            <w:r>
              <w:rPr>
                <w:sz w:val="28"/>
              </w:rPr>
              <w:t xml:space="preserve">WRMR = </w:t>
            </w:r>
            <w:r w:rsidR="002759CC" w:rsidRPr="002759CC">
              <w:rPr>
                <w:rFonts w:eastAsiaTheme="minorEastAsia" w:hAnsi="Calibri"/>
                <w:color w:val="FFFFFF" w:themeColor="light1"/>
                <w:sz w:val="28"/>
                <w:szCs w:val="28"/>
              </w:rPr>
              <w:t xml:space="preserve"> </w:t>
            </w:r>
            <w:r w:rsidR="002761AC" w:rsidRPr="002759CC">
              <w:rPr>
                <w:b/>
                <w:sz w:val="28"/>
              </w:rPr>
              <w:t>0.90 ≤ X &lt; 0.92</w:t>
            </w:r>
          </w:p>
        </w:tc>
      </w:tr>
      <w:tr w:rsidR="00CB2B56" w:rsidRPr="00B27194" w:rsidTr="00C51C87">
        <w:trPr>
          <w:trHeight w:val="864"/>
        </w:trPr>
        <w:tc>
          <w:tcPr>
            <w:tcW w:w="714" w:type="pct"/>
            <w:vMerge w:val="restar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2</w:t>
            </w: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Adequate (A): </w:t>
            </w:r>
          </w:p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t xml:space="preserve">The sample consisted of 5 times the number of items but is less than 100 in total AND an exploratory factor analysis explained </w:t>
            </w:r>
            <w:r>
              <w:rPr>
                <w:b/>
              </w:rPr>
              <w:t>&lt; 50%</w:t>
            </w:r>
            <w:r>
              <w:t xml:space="preserve"> of variance </w:t>
            </w:r>
            <w:r>
              <w:rPr>
                <w:b/>
              </w:rPr>
              <w:t>OR</w:t>
            </w:r>
          </w:p>
        </w:tc>
      </w:tr>
      <w:tr w:rsidR="00CB2B56" w:rsidRPr="00B27194" w:rsidTr="00C51C87">
        <w:trPr>
          <w:trHeight w:val="864"/>
        </w:trPr>
        <w:tc>
          <w:tcPr>
            <w:tcW w:w="714" w:type="pct"/>
            <w:vMerge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ind w:left="360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NFI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IFI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GFI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TLI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CFI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RNI = </w:t>
            </w:r>
            <w:r w:rsidR="002761AC" w:rsidRPr="009F28C9">
              <w:rPr>
                <w:b/>
                <w:sz w:val="28"/>
              </w:rPr>
              <w:t>0.90 &lt; X ≤ 0.95</w:t>
            </w:r>
          </w:p>
          <w:p w:rsidR="00CB2B56" w:rsidRDefault="00CB2B56" w:rsidP="00C51C87">
            <w:pPr>
              <w:spacing w:line="276" w:lineRule="auto"/>
              <w:ind w:left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SRMR </w:t>
            </w:r>
            <w:r>
              <w:rPr>
                <w:b/>
                <w:sz w:val="28"/>
              </w:rPr>
              <w:t xml:space="preserve">OR </w:t>
            </w:r>
            <w:r>
              <w:rPr>
                <w:sz w:val="28"/>
              </w:rPr>
              <w:t xml:space="preserve">RMSEA  = </w:t>
            </w:r>
            <w:r w:rsidR="002761AC" w:rsidRPr="002761AC">
              <w:rPr>
                <w:rFonts w:eastAsiaTheme="minorEastAsia" w:hAnsi="Calibri"/>
                <w:color w:val="FFFFFF" w:themeColor="light1"/>
                <w:sz w:val="28"/>
                <w:szCs w:val="28"/>
              </w:rPr>
              <w:t xml:space="preserve"> </w:t>
            </w:r>
            <w:r w:rsidR="002761AC" w:rsidRPr="002761AC">
              <w:rPr>
                <w:b/>
                <w:sz w:val="28"/>
              </w:rPr>
              <w:t>0.05 ≤ X &lt; 0.08</w:t>
            </w:r>
          </w:p>
          <w:p w:rsidR="00CB2B56" w:rsidRPr="00DA75DF" w:rsidRDefault="00CB2B56" w:rsidP="00C51C87">
            <w:pPr>
              <w:spacing w:line="276" w:lineRule="auto"/>
              <w:ind w:left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OR </w:t>
            </w:r>
            <w:r>
              <w:rPr>
                <w:sz w:val="28"/>
              </w:rPr>
              <w:t xml:space="preserve">WRMR = </w:t>
            </w:r>
            <w:r w:rsidR="002759CC" w:rsidRPr="002759CC">
              <w:rPr>
                <w:rFonts w:eastAsiaTheme="minorEastAsia" w:hAnsi="Calibri"/>
                <w:color w:val="FFFFFF" w:themeColor="light1"/>
                <w:sz w:val="28"/>
                <w:szCs w:val="28"/>
              </w:rPr>
              <w:t xml:space="preserve"> </w:t>
            </w:r>
            <w:r w:rsidR="002761AC" w:rsidRPr="002759CC">
              <w:rPr>
                <w:b/>
                <w:sz w:val="28"/>
              </w:rPr>
              <w:t xml:space="preserve">0.85 ≤ X &lt; 0.90 </w:t>
            </w:r>
          </w:p>
        </w:tc>
      </w:tr>
      <w:tr w:rsidR="00CB2B56" w:rsidRPr="00B27194" w:rsidTr="00C51C87">
        <w:trPr>
          <w:trHeight w:val="864"/>
        </w:trPr>
        <w:tc>
          <w:tcPr>
            <w:tcW w:w="714" w:type="pct"/>
            <w:vMerge w:val="restar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3</w:t>
            </w: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Good (G): </w:t>
            </w:r>
          </w:p>
          <w:p w:rsidR="00CB2B56" w:rsidRDefault="00CB2B56" w:rsidP="00C51C87">
            <w:pPr>
              <w:spacing w:line="276" w:lineRule="auto"/>
              <w:jc w:val="center"/>
            </w:pPr>
            <w:r>
              <w:t>The sample consisted of 5 times the number of items and is greater than or equal to 100 in total OR the sample consisted of 5-7 times the number of items but is less than 100 in total AND in either case exploratory</w:t>
            </w:r>
          </w:p>
          <w:p w:rsidR="00CB2B56" w:rsidRPr="000C5E29" w:rsidRDefault="00CB2B56" w:rsidP="00C51C87">
            <w:pPr>
              <w:spacing w:line="276" w:lineRule="auto"/>
              <w:jc w:val="center"/>
            </w:pPr>
            <w:r>
              <w:t xml:space="preserve"> factor analysis explained </w:t>
            </w:r>
            <w:r>
              <w:rPr>
                <w:b/>
              </w:rPr>
              <w:t xml:space="preserve"> &lt; 50%</w:t>
            </w:r>
            <w:r>
              <w:t xml:space="preserve"> of variance </w:t>
            </w:r>
            <w:r>
              <w:rPr>
                <w:b/>
              </w:rPr>
              <w:t>OR</w:t>
            </w:r>
          </w:p>
        </w:tc>
      </w:tr>
      <w:tr w:rsidR="00CB2B56" w:rsidRPr="00B27194" w:rsidTr="00C51C87">
        <w:trPr>
          <w:trHeight w:val="20"/>
        </w:trPr>
        <w:tc>
          <w:tcPr>
            <w:tcW w:w="714" w:type="pct"/>
            <w:vMerge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ind w:left="360"/>
              <w:rPr>
                <w:b/>
                <w:sz w:val="28"/>
              </w:rPr>
            </w:pPr>
            <w:r>
              <w:rPr>
                <w:sz w:val="28"/>
              </w:rPr>
              <w:t xml:space="preserve">NFI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IFI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GFI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TLI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CFI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RNI = </w:t>
            </w:r>
            <w:r w:rsidR="002761AC" w:rsidRPr="009F28C9">
              <w:rPr>
                <w:b/>
                <w:sz w:val="28"/>
              </w:rPr>
              <w:t>0.95 &lt; X ≤ 0.97</w:t>
            </w:r>
          </w:p>
          <w:p w:rsidR="00CB2B56" w:rsidRPr="002761AC" w:rsidRDefault="00CB2B56" w:rsidP="00C51C87">
            <w:pPr>
              <w:spacing w:line="276" w:lineRule="auto"/>
              <w:ind w:left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SRMR</w:t>
            </w:r>
            <w:r>
              <w:rPr>
                <w:b/>
                <w:sz w:val="28"/>
              </w:rPr>
              <w:t xml:space="preserve"> OR </w:t>
            </w:r>
            <w:r>
              <w:rPr>
                <w:sz w:val="28"/>
              </w:rPr>
              <w:t xml:space="preserve">RMSEA  = </w:t>
            </w:r>
            <w:r w:rsidR="002761AC" w:rsidRPr="002761AC">
              <w:rPr>
                <w:rFonts w:eastAsiaTheme="minorEastAsia" w:hAnsi="Calibri"/>
                <w:color w:val="FFFFFF" w:themeColor="light1"/>
                <w:sz w:val="28"/>
                <w:szCs w:val="28"/>
              </w:rPr>
              <w:t xml:space="preserve"> </w:t>
            </w:r>
            <w:r w:rsidR="002761AC" w:rsidRPr="002761AC">
              <w:rPr>
                <w:b/>
                <w:sz w:val="28"/>
              </w:rPr>
              <w:t>0.03 ≤ X &lt; 0.05</w:t>
            </w:r>
          </w:p>
          <w:p w:rsidR="00CB2B56" w:rsidRPr="002759CC" w:rsidRDefault="00CB2B56" w:rsidP="00C51C87">
            <w:pPr>
              <w:spacing w:line="276" w:lineRule="auto"/>
              <w:ind w:left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OR </w:t>
            </w:r>
            <w:r>
              <w:rPr>
                <w:sz w:val="28"/>
              </w:rPr>
              <w:t xml:space="preserve">WRMR = </w:t>
            </w:r>
            <w:r w:rsidR="002761AC" w:rsidRPr="002759CC">
              <w:rPr>
                <w:b/>
                <w:sz w:val="28"/>
              </w:rPr>
              <w:t>0.83 ≤ X &lt; 0.85</w:t>
            </w:r>
          </w:p>
        </w:tc>
      </w:tr>
      <w:tr w:rsidR="00CB2B56" w:rsidRPr="00B27194" w:rsidTr="00C51C87">
        <w:trPr>
          <w:trHeight w:val="20"/>
        </w:trPr>
        <w:tc>
          <w:tcPr>
            <w:tcW w:w="714" w:type="pct"/>
            <w:vMerge w:val="restar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4</w:t>
            </w: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Excellent (E):</w:t>
            </w:r>
          </w:p>
          <w:p w:rsidR="00CB2B56" w:rsidRPr="000C5E29" w:rsidRDefault="00CB2B56" w:rsidP="00C51C87">
            <w:pPr>
              <w:spacing w:line="276" w:lineRule="auto"/>
              <w:jc w:val="center"/>
              <w:rPr>
                <w:b/>
              </w:rPr>
            </w:pPr>
            <w:r>
              <w:t xml:space="preserve">The sample consisted of 7 times the number of items and is greater than 100 in total AND an exploratory factor analysis explained </w:t>
            </w:r>
            <w:r>
              <w:rPr>
                <w:b/>
              </w:rPr>
              <w:t>&gt; 50%</w:t>
            </w:r>
            <w:r>
              <w:t xml:space="preserve"> of variance</w:t>
            </w:r>
            <w:r>
              <w:rPr>
                <w:b/>
              </w:rPr>
              <w:t xml:space="preserve"> OR</w:t>
            </w:r>
          </w:p>
        </w:tc>
      </w:tr>
      <w:tr w:rsidR="00CB2B56" w:rsidRPr="00B27194" w:rsidTr="00C51C87">
        <w:trPr>
          <w:trHeight w:val="20"/>
        </w:trPr>
        <w:tc>
          <w:tcPr>
            <w:tcW w:w="714" w:type="pct"/>
            <w:vMerge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NFI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IFI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GFI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TLI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CFI </w:t>
            </w:r>
            <w:r w:rsidRPr="00EA2407"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RNI </w:t>
            </w:r>
            <w:r>
              <w:rPr>
                <w:b/>
                <w:sz w:val="28"/>
              </w:rPr>
              <w:t xml:space="preserve"> &gt; 0.97</w:t>
            </w:r>
          </w:p>
          <w:p w:rsidR="00CB2B56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OR</w:t>
            </w:r>
            <w:r>
              <w:rPr>
                <w:sz w:val="28"/>
              </w:rPr>
              <w:t xml:space="preserve"> SRMR</w:t>
            </w:r>
            <w:r>
              <w:rPr>
                <w:b/>
                <w:sz w:val="28"/>
              </w:rPr>
              <w:t xml:space="preserve"> OR </w:t>
            </w:r>
            <w:r>
              <w:rPr>
                <w:sz w:val="28"/>
              </w:rPr>
              <w:t xml:space="preserve">RMSEA  = </w:t>
            </w:r>
            <w:r>
              <w:rPr>
                <w:b/>
                <w:sz w:val="28"/>
              </w:rPr>
              <w:t>&lt; 0.03</w:t>
            </w:r>
          </w:p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 xml:space="preserve">OR </w:t>
            </w:r>
            <w:r>
              <w:rPr>
                <w:sz w:val="28"/>
              </w:rPr>
              <w:t xml:space="preserve">WRMR </w:t>
            </w:r>
            <w:r w:rsidR="002759CC">
              <w:rPr>
                <w:b/>
                <w:sz w:val="28"/>
              </w:rPr>
              <w:t>&lt; 0.83</w:t>
            </w:r>
          </w:p>
        </w:tc>
      </w:tr>
      <w:tr w:rsidR="00C51C87" w:rsidRPr="00B27194" w:rsidTr="00C51C87">
        <w:trPr>
          <w:trHeight w:val="20"/>
        </w:trPr>
        <w:tc>
          <w:tcPr>
            <w:tcW w:w="5000" w:type="pct"/>
            <w:gridSpan w:val="2"/>
            <w:vAlign w:val="center"/>
          </w:tcPr>
          <w:p w:rsidR="00C51C87" w:rsidRPr="00C51C87" w:rsidRDefault="00C51C87" w:rsidP="00C51C87">
            <w:pPr>
              <w:spacing w:line="276" w:lineRule="auto"/>
              <w:jc w:val="center"/>
              <w:rPr>
                <w:b/>
                <w:sz w:val="28"/>
              </w:rPr>
            </w:pPr>
            <w:r w:rsidRPr="00C51C87">
              <w:rPr>
                <w:b/>
              </w:rPr>
              <w:t>Note: If multiple indices are given and they fall within differing rating anchors, use the mode score (three “good” ratings, 1 excellent rating, 1 poor rating → rated as “good.”)</w:t>
            </w:r>
          </w:p>
        </w:tc>
      </w:tr>
      <w:tr w:rsidR="00CB2B56" w:rsidRPr="003A677B" w:rsidTr="00C51C87">
        <w:trPr>
          <w:trHeight w:val="1152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:rsidR="00CB2B56" w:rsidRPr="003A677B" w:rsidRDefault="00CB2B56" w:rsidP="00C51C87">
            <w:pPr>
              <w:spacing w:line="276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Responsiveness </w:t>
            </w:r>
          </w:p>
        </w:tc>
      </w:tr>
      <w:tr w:rsidR="00CB2B56" w:rsidRPr="00FB1AA7" w:rsidTr="00C51C87">
        <w:trPr>
          <w:trHeight w:val="1152"/>
        </w:trPr>
        <w:tc>
          <w:tcPr>
            <w:tcW w:w="5000" w:type="pct"/>
            <w:gridSpan w:val="2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Standardized Response Mean = SRM</w:t>
            </w:r>
          </w:p>
        </w:tc>
      </w:tr>
      <w:tr w:rsidR="00CB2B56" w:rsidRPr="00FB1AA7" w:rsidTr="00C51C87">
        <w:trPr>
          <w:trHeight w:val="1152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-1</w:t>
            </w: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Poor (P): </w:t>
            </w:r>
          </w:p>
          <w:p w:rsidR="00CB2B56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SRM </w:t>
            </w:r>
            <w:r>
              <w:rPr>
                <w:b/>
                <w:sz w:val="28"/>
              </w:rPr>
              <w:t>&lt; 0.10 OR</w:t>
            </w:r>
          </w:p>
          <w:p w:rsidR="00CB2B56" w:rsidRPr="00B80DB3" w:rsidRDefault="00B565B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Pearson’s </w:t>
            </w:r>
            <w:r>
              <w:rPr>
                <w:i/>
                <w:sz w:val="28"/>
              </w:rPr>
              <w:t xml:space="preserve">r </w:t>
            </w:r>
            <w:r w:rsidR="00CB2B56">
              <w:rPr>
                <w:b/>
                <w:sz w:val="28"/>
              </w:rPr>
              <w:t>&lt; 0.10</w:t>
            </w:r>
          </w:p>
        </w:tc>
      </w:tr>
      <w:tr w:rsidR="00CB2B56" w:rsidRPr="00B27194" w:rsidTr="00C51C87">
        <w:trPr>
          <w:trHeight w:val="1152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0</w:t>
            </w:r>
          </w:p>
        </w:tc>
        <w:tc>
          <w:tcPr>
            <w:tcW w:w="4286" w:type="pct"/>
            <w:vAlign w:val="center"/>
          </w:tcPr>
          <w:p w:rsidR="00CB2B56" w:rsidRPr="00470441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None (N):  The instrument has not been administered both pre- and post- implementation to evaluate sensitivity to change.</w:t>
            </w:r>
          </w:p>
        </w:tc>
      </w:tr>
      <w:tr w:rsidR="00CB2B56" w:rsidRPr="00B27194" w:rsidTr="00C51C87">
        <w:trPr>
          <w:trHeight w:val="1152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1</w:t>
            </w: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Minimal/Emerging (M):</w:t>
            </w:r>
          </w:p>
          <w:p w:rsidR="00CB2B56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SRM = </w:t>
            </w:r>
            <w:r>
              <w:rPr>
                <w:b/>
                <w:sz w:val="28"/>
              </w:rPr>
              <w:t>0.10-0.19  OR</w:t>
            </w:r>
          </w:p>
          <w:p w:rsidR="00CB2B56" w:rsidRPr="00B80DB3" w:rsidRDefault="00B565B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Pearson’s </w:t>
            </w:r>
            <w:r>
              <w:rPr>
                <w:i/>
                <w:sz w:val="28"/>
              </w:rPr>
              <w:t xml:space="preserve">r </w:t>
            </w:r>
            <w:r w:rsidR="00CB2B56">
              <w:rPr>
                <w:sz w:val="28"/>
              </w:rPr>
              <w:t xml:space="preserve">= </w:t>
            </w:r>
            <w:r w:rsidR="00CB2B56">
              <w:rPr>
                <w:b/>
                <w:sz w:val="28"/>
              </w:rPr>
              <w:t>0.10-0.29</w:t>
            </w:r>
          </w:p>
        </w:tc>
      </w:tr>
      <w:tr w:rsidR="00CB2B56" w:rsidRPr="00B27194" w:rsidTr="00C51C87">
        <w:trPr>
          <w:trHeight w:val="1152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2</w:t>
            </w: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Adequate (A):</w:t>
            </w:r>
          </w:p>
          <w:p w:rsidR="00CB2B56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SRM = </w:t>
            </w:r>
            <w:r>
              <w:rPr>
                <w:b/>
                <w:sz w:val="28"/>
              </w:rPr>
              <w:t>0.20-0.49  OR</w:t>
            </w:r>
          </w:p>
          <w:p w:rsidR="00CB2B56" w:rsidRPr="00B80DB3" w:rsidRDefault="00B565B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Pearson’s </w:t>
            </w:r>
            <w:r>
              <w:rPr>
                <w:i/>
                <w:sz w:val="28"/>
              </w:rPr>
              <w:t xml:space="preserve">r </w:t>
            </w:r>
            <w:r w:rsidR="00CB2B56">
              <w:rPr>
                <w:sz w:val="28"/>
              </w:rPr>
              <w:t xml:space="preserve">= </w:t>
            </w:r>
            <w:r w:rsidR="00CB2B56">
              <w:rPr>
                <w:b/>
                <w:sz w:val="28"/>
              </w:rPr>
              <w:t>0.30-0.49</w:t>
            </w:r>
          </w:p>
        </w:tc>
      </w:tr>
      <w:tr w:rsidR="00CB2B56" w:rsidRPr="00B27194" w:rsidTr="00C51C87">
        <w:trPr>
          <w:trHeight w:val="1152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3</w:t>
            </w: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Good (G):</w:t>
            </w:r>
          </w:p>
          <w:p w:rsidR="00CB2B56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SRM = </w:t>
            </w:r>
            <w:r>
              <w:rPr>
                <w:b/>
                <w:sz w:val="28"/>
              </w:rPr>
              <w:t>0.50-0.79  OR</w:t>
            </w:r>
          </w:p>
          <w:p w:rsidR="00CB2B56" w:rsidRPr="00B80DB3" w:rsidRDefault="00B565B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Pearson’s </w:t>
            </w:r>
            <w:r>
              <w:rPr>
                <w:i/>
                <w:sz w:val="28"/>
              </w:rPr>
              <w:t xml:space="preserve">r </w:t>
            </w:r>
            <w:r w:rsidR="00CB2B56">
              <w:rPr>
                <w:sz w:val="28"/>
              </w:rPr>
              <w:t xml:space="preserve">= </w:t>
            </w:r>
            <w:r w:rsidR="00CB2B56">
              <w:rPr>
                <w:b/>
                <w:sz w:val="28"/>
              </w:rPr>
              <w:t>0.50-0.69</w:t>
            </w:r>
          </w:p>
        </w:tc>
      </w:tr>
      <w:tr w:rsidR="00CB2B56" w:rsidRPr="00B27194" w:rsidTr="00C51C87">
        <w:trPr>
          <w:trHeight w:val="1152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4</w:t>
            </w: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>Excellent (E):</w:t>
            </w:r>
          </w:p>
          <w:p w:rsidR="00CB2B56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SRM </w:t>
            </w:r>
            <w:r>
              <w:rPr>
                <w:b/>
                <w:sz w:val="28"/>
              </w:rPr>
              <w:t>&gt; 0.80  OR</w:t>
            </w:r>
          </w:p>
          <w:p w:rsidR="00CB2B56" w:rsidRPr="00B80DB3" w:rsidRDefault="00B565B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Pearson’s </w:t>
            </w:r>
            <w:r>
              <w:rPr>
                <w:i/>
                <w:sz w:val="28"/>
              </w:rPr>
              <w:t xml:space="preserve">r </w:t>
            </w:r>
            <w:r w:rsidR="00CB2B56">
              <w:rPr>
                <w:b/>
                <w:sz w:val="28"/>
              </w:rPr>
              <w:t>&gt; 0.70</w:t>
            </w:r>
          </w:p>
        </w:tc>
      </w:tr>
      <w:tr w:rsidR="00CB2B56" w:rsidRPr="003A677B" w:rsidTr="00C51C87">
        <w:trPr>
          <w:trHeight w:val="1152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:rsidR="00CB2B56" w:rsidRPr="003A677B" w:rsidRDefault="00CB2B56" w:rsidP="00C51C87">
            <w:pPr>
              <w:spacing w:line="276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lastRenderedPageBreak/>
              <w:t>Norms</w:t>
            </w:r>
          </w:p>
        </w:tc>
      </w:tr>
      <w:tr w:rsidR="00CB2B56" w:rsidRPr="00FB1AA7" w:rsidTr="00C51C87">
        <w:trPr>
          <w:trHeight w:val="864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-1</w:t>
            </w:r>
          </w:p>
        </w:tc>
        <w:tc>
          <w:tcPr>
            <w:tcW w:w="4286" w:type="pct"/>
            <w:vAlign w:val="center"/>
          </w:tcPr>
          <w:p w:rsidR="00CB2B56" w:rsidRPr="00FB1AA7" w:rsidRDefault="00CB2B56" w:rsidP="00C51C87">
            <w:pPr>
              <w:spacing w:line="276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Poor (P): </w:t>
            </w:r>
            <w:r>
              <w:rPr>
                <w:sz w:val="23"/>
                <w:szCs w:val="23"/>
              </w:rPr>
              <w:t xml:space="preserve"> Measures of central tendency and distribution for the total score (and subscales if relevant) based only on a very small (</w:t>
            </w:r>
            <w:r w:rsidR="00332E49">
              <w:rPr>
                <w:b/>
                <w:sz w:val="23"/>
                <w:szCs w:val="23"/>
              </w:rPr>
              <w:t>n &lt; 5</w:t>
            </w:r>
            <w:r w:rsidRPr="002A7165">
              <w:rPr>
                <w:b/>
                <w:sz w:val="23"/>
                <w:szCs w:val="23"/>
              </w:rPr>
              <w:t>0</w:t>
            </w:r>
            <w:r>
              <w:rPr>
                <w:sz w:val="23"/>
                <w:szCs w:val="23"/>
              </w:rPr>
              <w:t>) sample are available.</w:t>
            </w:r>
          </w:p>
        </w:tc>
      </w:tr>
      <w:tr w:rsidR="00CB2B56" w:rsidRPr="00B27194" w:rsidTr="00C51C87">
        <w:trPr>
          <w:trHeight w:val="864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0</w:t>
            </w:r>
          </w:p>
        </w:tc>
        <w:tc>
          <w:tcPr>
            <w:tcW w:w="4286" w:type="pct"/>
            <w:vAlign w:val="center"/>
          </w:tcPr>
          <w:p w:rsidR="00CB2B56" w:rsidRPr="00B27194" w:rsidRDefault="00CB2B56" w:rsidP="00C51C87">
            <w:pPr>
              <w:spacing w:line="276" w:lineRule="auto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None (N): Norms not yet available.</w:t>
            </w:r>
            <w:proofErr w:type="gramEnd"/>
          </w:p>
        </w:tc>
      </w:tr>
      <w:tr w:rsidR="00CB2B56" w:rsidRPr="00B27194" w:rsidTr="00C51C87">
        <w:trPr>
          <w:trHeight w:val="864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1</w:t>
            </w:r>
          </w:p>
        </w:tc>
        <w:tc>
          <w:tcPr>
            <w:tcW w:w="4286" w:type="pct"/>
            <w:vAlign w:val="center"/>
          </w:tcPr>
          <w:p w:rsidR="00CB2B56" w:rsidRPr="00B27194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Minimal/Emerging (M):  </w:t>
            </w:r>
          </w:p>
          <w:p w:rsidR="00CB2B56" w:rsidRDefault="00CB2B56" w:rsidP="00C51C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Measures of central tendency and distribution for the total score (and subscales if relevant) based only on a small (</w:t>
            </w:r>
            <w:r w:rsidR="00332E49">
              <w:rPr>
                <w:b/>
                <w:sz w:val="23"/>
                <w:szCs w:val="23"/>
              </w:rPr>
              <w:t>n = 50-9</w:t>
            </w:r>
            <w:r w:rsidRPr="002A7165">
              <w:rPr>
                <w:b/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) sample are available. </w:t>
            </w:r>
          </w:p>
          <w:p w:rsidR="00CB2B56" w:rsidRPr="00B27194" w:rsidRDefault="00CB2B56" w:rsidP="00C51C87">
            <w:pPr>
              <w:pStyle w:val="Default"/>
              <w:jc w:val="center"/>
              <w:rPr>
                <w:b/>
                <w:sz w:val="28"/>
              </w:rPr>
            </w:pPr>
          </w:p>
        </w:tc>
      </w:tr>
      <w:tr w:rsidR="00CB2B56" w:rsidRPr="00B27194" w:rsidTr="00C51C87">
        <w:trPr>
          <w:trHeight w:val="864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2</w:t>
            </w:r>
          </w:p>
        </w:tc>
        <w:tc>
          <w:tcPr>
            <w:tcW w:w="4286" w:type="pct"/>
            <w:vAlign w:val="center"/>
          </w:tcPr>
          <w:p w:rsidR="00CB2B56" w:rsidRDefault="00CB2B56" w:rsidP="00C51C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8"/>
              </w:rPr>
              <w:t xml:space="preserve">Adequate (A):  </w:t>
            </w:r>
            <w:r>
              <w:rPr>
                <w:sz w:val="23"/>
                <w:szCs w:val="23"/>
              </w:rPr>
              <w:t xml:space="preserve"> Measures of central tendency and distribution for the total score (and subscales if relevant) based only on a small (</w:t>
            </w:r>
            <w:r w:rsidRPr="002A7165">
              <w:rPr>
                <w:b/>
                <w:sz w:val="23"/>
                <w:szCs w:val="23"/>
              </w:rPr>
              <w:t xml:space="preserve">n </w:t>
            </w:r>
            <w:r w:rsidR="00332E49">
              <w:rPr>
                <w:b/>
                <w:sz w:val="23"/>
                <w:szCs w:val="23"/>
              </w:rPr>
              <w:t>= 100-29</w:t>
            </w:r>
            <w:r w:rsidRPr="002A7165">
              <w:rPr>
                <w:b/>
                <w:sz w:val="23"/>
                <w:szCs w:val="23"/>
              </w:rPr>
              <w:t>9</w:t>
            </w:r>
            <w:r>
              <w:rPr>
                <w:sz w:val="23"/>
                <w:szCs w:val="23"/>
              </w:rPr>
              <w:t xml:space="preserve">) sample are available. </w:t>
            </w:r>
          </w:p>
          <w:p w:rsidR="00CB2B56" w:rsidRPr="00B27194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</w:tr>
      <w:tr w:rsidR="00CB2B56" w:rsidRPr="00B27194" w:rsidTr="00C51C87">
        <w:trPr>
          <w:trHeight w:val="864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3</w:t>
            </w:r>
          </w:p>
        </w:tc>
        <w:tc>
          <w:tcPr>
            <w:tcW w:w="4286" w:type="pct"/>
            <w:vAlign w:val="center"/>
          </w:tcPr>
          <w:p w:rsidR="00CB2B56" w:rsidRPr="00B27194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Good (G):  </w:t>
            </w:r>
          </w:p>
          <w:p w:rsidR="00CB2B56" w:rsidRDefault="00CB2B56" w:rsidP="00C51C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Measures of central tendency and distribution for the total score (and subscales if relevant) based on a medium (</w:t>
            </w:r>
            <w:r w:rsidR="00332E49">
              <w:rPr>
                <w:b/>
                <w:sz w:val="23"/>
                <w:szCs w:val="23"/>
              </w:rPr>
              <w:t>n = 300</w:t>
            </w:r>
            <w:r w:rsidRPr="002A7165">
              <w:rPr>
                <w:b/>
                <w:sz w:val="23"/>
                <w:szCs w:val="23"/>
              </w:rPr>
              <w:t>-</w:t>
            </w:r>
            <w:r w:rsidR="00332E49">
              <w:rPr>
                <w:b/>
                <w:sz w:val="23"/>
                <w:szCs w:val="23"/>
              </w:rPr>
              <w:t>4</w:t>
            </w:r>
            <w:r w:rsidRPr="002A7165">
              <w:rPr>
                <w:b/>
                <w:sz w:val="23"/>
                <w:szCs w:val="23"/>
              </w:rPr>
              <w:t>99</w:t>
            </w:r>
            <w:r>
              <w:rPr>
                <w:sz w:val="23"/>
                <w:szCs w:val="23"/>
              </w:rPr>
              <w:t xml:space="preserve">) sample are available. </w:t>
            </w:r>
          </w:p>
          <w:p w:rsidR="00CB2B56" w:rsidRPr="00B27194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</w:tr>
      <w:tr w:rsidR="00CB2B56" w:rsidRPr="00B27194" w:rsidTr="00C51C87">
        <w:trPr>
          <w:trHeight w:val="864"/>
        </w:trPr>
        <w:tc>
          <w:tcPr>
            <w:tcW w:w="714" w:type="pct"/>
            <w:vAlign w:val="center"/>
          </w:tcPr>
          <w:p w:rsidR="00CB2B56" w:rsidRPr="009F26C9" w:rsidRDefault="00CB2B56" w:rsidP="00C51C87">
            <w:pPr>
              <w:spacing w:line="276" w:lineRule="auto"/>
              <w:jc w:val="center"/>
              <w:rPr>
                <w:b/>
                <w:sz w:val="36"/>
              </w:rPr>
            </w:pPr>
            <w:r w:rsidRPr="009F26C9">
              <w:rPr>
                <w:b/>
                <w:sz w:val="36"/>
              </w:rPr>
              <w:t>4</w:t>
            </w:r>
          </w:p>
        </w:tc>
        <w:tc>
          <w:tcPr>
            <w:tcW w:w="4286" w:type="pct"/>
            <w:vAlign w:val="center"/>
          </w:tcPr>
          <w:p w:rsidR="00CB2B56" w:rsidRPr="00B27194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Excellent (E):  </w:t>
            </w:r>
          </w:p>
          <w:p w:rsidR="00CB2B56" w:rsidRDefault="00CB2B56" w:rsidP="00C51C87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Measures of central tendency and distribution for the total score (and subscales if relevant) based on a large (</w:t>
            </w:r>
            <w:r w:rsidR="00332E49">
              <w:rPr>
                <w:b/>
                <w:sz w:val="23"/>
                <w:szCs w:val="23"/>
              </w:rPr>
              <w:t>n ≥ 5</w:t>
            </w:r>
            <w:r w:rsidRPr="002A7165">
              <w:rPr>
                <w:b/>
                <w:sz w:val="23"/>
                <w:szCs w:val="23"/>
              </w:rPr>
              <w:t>00</w:t>
            </w:r>
            <w:r>
              <w:rPr>
                <w:sz w:val="23"/>
                <w:szCs w:val="23"/>
              </w:rPr>
              <w:t xml:space="preserve">) sample are available. </w:t>
            </w:r>
          </w:p>
          <w:p w:rsidR="00CB2B56" w:rsidRPr="00B27194" w:rsidRDefault="00CB2B56" w:rsidP="00C51C87">
            <w:pPr>
              <w:spacing w:line="276" w:lineRule="auto"/>
              <w:jc w:val="center"/>
              <w:rPr>
                <w:b/>
                <w:sz w:val="28"/>
              </w:rPr>
            </w:pPr>
          </w:p>
        </w:tc>
      </w:tr>
    </w:tbl>
    <w:p w:rsidR="009F26C9" w:rsidRDefault="009F26C9" w:rsidP="00D10D85"/>
    <w:p w:rsidR="009F26C9" w:rsidRDefault="009F26C9" w:rsidP="00D10D85"/>
    <w:p w:rsidR="009F26C9" w:rsidRDefault="009F26C9" w:rsidP="00D10D85"/>
    <w:p w:rsidR="009F26C9" w:rsidRDefault="009F26C9" w:rsidP="00D10D85"/>
    <w:p w:rsidR="009F26C9" w:rsidRDefault="009F26C9" w:rsidP="00D10D85"/>
    <w:p w:rsidR="009F26C9" w:rsidRDefault="009F26C9" w:rsidP="00D10D85"/>
    <w:p w:rsidR="009F26C9" w:rsidRDefault="009F26C9" w:rsidP="00D10D85"/>
    <w:sectPr w:rsidR="009F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27CF"/>
    <w:multiLevelType w:val="hybridMultilevel"/>
    <w:tmpl w:val="FB0EEB10"/>
    <w:lvl w:ilvl="0" w:tplc="5E7ADB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8CF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F8B7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B63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C06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344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669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BEC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8E3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1C17D17"/>
    <w:multiLevelType w:val="hybridMultilevel"/>
    <w:tmpl w:val="3D22A5DA"/>
    <w:lvl w:ilvl="0" w:tplc="2E70E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B85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B0B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4FED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D67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D425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E83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4CC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288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C3D2B97"/>
    <w:multiLevelType w:val="hybridMultilevel"/>
    <w:tmpl w:val="0EA2CDBE"/>
    <w:lvl w:ilvl="0" w:tplc="8DBCF8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68C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8489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9824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8EE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242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78E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C65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1C1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B0F48E7"/>
    <w:multiLevelType w:val="hybridMultilevel"/>
    <w:tmpl w:val="367446C4"/>
    <w:lvl w:ilvl="0" w:tplc="46326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46C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4C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703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FA2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3EB5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A02E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AA9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34F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69A0A1A"/>
    <w:multiLevelType w:val="hybridMultilevel"/>
    <w:tmpl w:val="72DAA0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DE13EA5"/>
    <w:multiLevelType w:val="hybridMultilevel"/>
    <w:tmpl w:val="077EDE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0C64CD9"/>
    <w:multiLevelType w:val="hybridMultilevel"/>
    <w:tmpl w:val="8B920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C527F"/>
    <w:multiLevelType w:val="hybridMultilevel"/>
    <w:tmpl w:val="0C8CB076"/>
    <w:lvl w:ilvl="0" w:tplc="32BCD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D8B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945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1E4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BC9D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CEE0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66D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A6E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506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5C9342C5"/>
    <w:multiLevelType w:val="hybridMultilevel"/>
    <w:tmpl w:val="7B5A9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C43DAB"/>
    <w:multiLevelType w:val="hybridMultilevel"/>
    <w:tmpl w:val="EE6C25A2"/>
    <w:lvl w:ilvl="0" w:tplc="0FBCE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AEF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0EF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44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602D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0EE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4CD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403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A0B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3A44B5D"/>
    <w:multiLevelType w:val="hybridMultilevel"/>
    <w:tmpl w:val="E55EDF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81655E"/>
    <w:multiLevelType w:val="hybridMultilevel"/>
    <w:tmpl w:val="EE0E1A58"/>
    <w:lvl w:ilvl="0" w:tplc="9DFC7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EE6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B015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384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898B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76A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A40B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04F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5280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8A85105"/>
    <w:multiLevelType w:val="hybridMultilevel"/>
    <w:tmpl w:val="F732CC6A"/>
    <w:lvl w:ilvl="0" w:tplc="8DB4C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F46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B2BC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5C9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9AF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D0E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B8B0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B234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5CB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0A70528"/>
    <w:multiLevelType w:val="hybridMultilevel"/>
    <w:tmpl w:val="1ABAB4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3530508"/>
    <w:multiLevelType w:val="hybridMultilevel"/>
    <w:tmpl w:val="7668FBA6"/>
    <w:lvl w:ilvl="0" w:tplc="C03EC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460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CA6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88A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AA79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9AF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F0A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D65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90C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73CF301B"/>
    <w:multiLevelType w:val="hybridMultilevel"/>
    <w:tmpl w:val="4F98D1DA"/>
    <w:lvl w:ilvl="0" w:tplc="29CE1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70A4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3C8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9222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BE86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A4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26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CA4C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A63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5"/>
  </w:num>
  <w:num w:numId="5">
    <w:abstractNumId w:val="10"/>
  </w:num>
  <w:num w:numId="6">
    <w:abstractNumId w:val="13"/>
  </w:num>
  <w:num w:numId="7">
    <w:abstractNumId w:val="11"/>
  </w:num>
  <w:num w:numId="8">
    <w:abstractNumId w:val="14"/>
  </w:num>
  <w:num w:numId="9">
    <w:abstractNumId w:val="7"/>
  </w:num>
  <w:num w:numId="10">
    <w:abstractNumId w:val="1"/>
  </w:num>
  <w:num w:numId="11">
    <w:abstractNumId w:val="3"/>
  </w:num>
  <w:num w:numId="12">
    <w:abstractNumId w:val="15"/>
  </w:num>
  <w:num w:numId="13">
    <w:abstractNumId w:val="12"/>
  </w:num>
  <w:num w:numId="14">
    <w:abstractNumId w:val="9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2F5"/>
    <w:rsid w:val="00001CF1"/>
    <w:rsid w:val="00022320"/>
    <w:rsid w:val="000326B6"/>
    <w:rsid w:val="00046936"/>
    <w:rsid w:val="00047EF3"/>
    <w:rsid w:val="00062F38"/>
    <w:rsid w:val="00075951"/>
    <w:rsid w:val="00075AEE"/>
    <w:rsid w:val="00092541"/>
    <w:rsid w:val="000926E1"/>
    <w:rsid w:val="000A3F8B"/>
    <w:rsid w:val="000C2C9C"/>
    <w:rsid w:val="000C5E29"/>
    <w:rsid w:val="000C6315"/>
    <w:rsid w:val="000C632A"/>
    <w:rsid w:val="000D0267"/>
    <w:rsid w:val="000D77DA"/>
    <w:rsid w:val="000F547A"/>
    <w:rsid w:val="00114611"/>
    <w:rsid w:val="00121D9E"/>
    <w:rsid w:val="00122CDF"/>
    <w:rsid w:val="001236A8"/>
    <w:rsid w:val="00131849"/>
    <w:rsid w:val="00165B9C"/>
    <w:rsid w:val="00170FD8"/>
    <w:rsid w:val="0017344C"/>
    <w:rsid w:val="00180B5A"/>
    <w:rsid w:val="00184622"/>
    <w:rsid w:val="001B283C"/>
    <w:rsid w:val="001C5ADE"/>
    <w:rsid w:val="001C6988"/>
    <w:rsid w:val="001D1046"/>
    <w:rsid w:val="001D5D67"/>
    <w:rsid w:val="001E2827"/>
    <w:rsid w:val="00206D8E"/>
    <w:rsid w:val="00217ABF"/>
    <w:rsid w:val="00220D83"/>
    <w:rsid w:val="00237B2C"/>
    <w:rsid w:val="0024031B"/>
    <w:rsid w:val="00243EDA"/>
    <w:rsid w:val="002634ED"/>
    <w:rsid w:val="00264489"/>
    <w:rsid w:val="00271897"/>
    <w:rsid w:val="002759CC"/>
    <w:rsid w:val="00275E54"/>
    <w:rsid w:val="002761AC"/>
    <w:rsid w:val="002762CD"/>
    <w:rsid w:val="002A208F"/>
    <w:rsid w:val="002A7165"/>
    <w:rsid w:val="002C4E30"/>
    <w:rsid w:val="002D3398"/>
    <w:rsid w:val="002E6B67"/>
    <w:rsid w:val="002F7CE3"/>
    <w:rsid w:val="00310C0F"/>
    <w:rsid w:val="00313A56"/>
    <w:rsid w:val="0031557A"/>
    <w:rsid w:val="00327EA2"/>
    <w:rsid w:val="00332E49"/>
    <w:rsid w:val="00360574"/>
    <w:rsid w:val="003624B2"/>
    <w:rsid w:val="00376B7B"/>
    <w:rsid w:val="00390947"/>
    <w:rsid w:val="00395A8F"/>
    <w:rsid w:val="003A5E90"/>
    <w:rsid w:val="003A677B"/>
    <w:rsid w:val="003A6EE9"/>
    <w:rsid w:val="003D3D5C"/>
    <w:rsid w:val="004127C6"/>
    <w:rsid w:val="004226E7"/>
    <w:rsid w:val="00447A5A"/>
    <w:rsid w:val="00463122"/>
    <w:rsid w:val="00470441"/>
    <w:rsid w:val="00492C5C"/>
    <w:rsid w:val="004D3574"/>
    <w:rsid w:val="004E0A12"/>
    <w:rsid w:val="004E1990"/>
    <w:rsid w:val="004E1B4C"/>
    <w:rsid w:val="004E7B8D"/>
    <w:rsid w:val="00506313"/>
    <w:rsid w:val="00513737"/>
    <w:rsid w:val="005144A0"/>
    <w:rsid w:val="00526111"/>
    <w:rsid w:val="00537639"/>
    <w:rsid w:val="0054223E"/>
    <w:rsid w:val="0056076A"/>
    <w:rsid w:val="005661B4"/>
    <w:rsid w:val="00570604"/>
    <w:rsid w:val="005A0BBB"/>
    <w:rsid w:val="005A2266"/>
    <w:rsid w:val="005C278C"/>
    <w:rsid w:val="005C6C9C"/>
    <w:rsid w:val="005E560F"/>
    <w:rsid w:val="005F1508"/>
    <w:rsid w:val="00602A95"/>
    <w:rsid w:val="00603A81"/>
    <w:rsid w:val="00634C33"/>
    <w:rsid w:val="00646527"/>
    <w:rsid w:val="00655385"/>
    <w:rsid w:val="00656C97"/>
    <w:rsid w:val="006707D1"/>
    <w:rsid w:val="006A7F1F"/>
    <w:rsid w:val="006B3258"/>
    <w:rsid w:val="006B4EAD"/>
    <w:rsid w:val="006C74FF"/>
    <w:rsid w:val="006D64F3"/>
    <w:rsid w:val="006E1298"/>
    <w:rsid w:val="006F7015"/>
    <w:rsid w:val="00701187"/>
    <w:rsid w:val="00747551"/>
    <w:rsid w:val="00752724"/>
    <w:rsid w:val="00755ADD"/>
    <w:rsid w:val="00777A7F"/>
    <w:rsid w:val="007829AD"/>
    <w:rsid w:val="0079264D"/>
    <w:rsid w:val="007B2292"/>
    <w:rsid w:val="007D001E"/>
    <w:rsid w:val="007D12B3"/>
    <w:rsid w:val="007D52CB"/>
    <w:rsid w:val="007D68C4"/>
    <w:rsid w:val="0081366E"/>
    <w:rsid w:val="008253A9"/>
    <w:rsid w:val="00831697"/>
    <w:rsid w:val="00840519"/>
    <w:rsid w:val="00865942"/>
    <w:rsid w:val="008814D3"/>
    <w:rsid w:val="0089681D"/>
    <w:rsid w:val="008A00FA"/>
    <w:rsid w:val="008A03ED"/>
    <w:rsid w:val="008A69E1"/>
    <w:rsid w:val="008B10F2"/>
    <w:rsid w:val="008B2BBD"/>
    <w:rsid w:val="008B6F63"/>
    <w:rsid w:val="008C4640"/>
    <w:rsid w:val="008C5368"/>
    <w:rsid w:val="008E11E5"/>
    <w:rsid w:val="008F2A6C"/>
    <w:rsid w:val="00902E6D"/>
    <w:rsid w:val="009054F0"/>
    <w:rsid w:val="00926E75"/>
    <w:rsid w:val="00927DD8"/>
    <w:rsid w:val="00940315"/>
    <w:rsid w:val="00944E06"/>
    <w:rsid w:val="0094539F"/>
    <w:rsid w:val="0094691D"/>
    <w:rsid w:val="00950B8D"/>
    <w:rsid w:val="0095267A"/>
    <w:rsid w:val="00966B99"/>
    <w:rsid w:val="009A4D48"/>
    <w:rsid w:val="009B32F5"/>
    <w:rsid w:val="009B4013"/>
    <w:rsid w:val="009D0294"/>
    <w:rsid w:val="009D726C"/>
    <w:rsid w:val="009E5F9C"/>
    <w:rsid w:val="009F26C9"/>
    <w:rsid w:val="009F28C9"/>
    <w:rsid w:val="00A00158"/>
    <w:rsid w:val="00A1557E"/>
    <w:rsid w:val="00A17BA3"/>
    <w:rsid w:val="00A6311B"/>
    <w:rsid w:val="00A734F2"/>
    <w:rsid w:val="00A7525F"/>
    <w:rsid w:val="00A81210"/>
    <w:rsid w:val="00A878B1"/>
    <w:rsid w:val="00A97BE1"/>
    <w:rsid w:val="00AA0781"/>
    <w:rsid w:val="00AB2CC4"/>
    <w:rsid w:val="00AC1195"/>
    <w:rsid w:val="00AC1757"/>
    <w:rsid w:val="00AE26BC"/>
    <w:rsid w:val="00B113CB"/>
    <w:rsid w:val="00B24AA7"/>
    <w:rsid w:val="00B27194"/>
    <w:rsid w:val="00B30933"/>
    <w:rsid w:val="00B54164"/>
    <w:rsid w:val="00B565B6"/>
    <w:rsid w:val="00B73B41"/>
    <w:rsid w:val="00B80DB3"/>
    <w:rsid w:val="00B855DE"/>
    <w:rsid w:val="00BA2A7F"/>
    <w:rsid w:val="00BC0F96"/>
    <w:rsid w:val="00BD311D"/>
    <w:rsid w:val="00BE5DA3"/>
    <w:rsid w:val="00C10824"/>
    <w:rsid w:val="00C22296"/>
    <w:rsid w:val="00C23624"/>
    <w:rsid w:val="00C23968"/>
    <w:rsid w:val="00C51C87"/>
    <w:rsid w:val="00C70480"/>
    <w:rsid w:val="00C83CF7"/>
    <w:rsid w:val="00C90745"/>
    <w:rsid w:val="00CB2B56"/>
    <w:rsid w:val="00CB4A62"/>
    <w:rsid w:val="00CC2B18"/>
    <w:rsid w:val="00CC407F"/>
    <w:rsid w:val="00CC6BD8"/>
    <w:rsid w:val="00CD2460"/>
    <w:rsid w:val="00CD7E5A"/>
    <w:rsid w:val="00CE67E8"/>
    <w:rsid w:val="00CF4E50"/>
    <w:rsid w:val="00D10D85"/>
    <w:rsid w:val="00D2644F"/>
    <w:rsid w:val="00D31D8C"/>
    <w:rsid w:val="00D31F65"/>
    <w:rsid w:val="00D503E3"/>
    <w:rsid w:val="00D63372"/>
    <w:rsid w:val="00D63712"/>
    <w:rsid w:val="00D93EB5"/>
    <w:rsid w:val="00DA75DF"/>
    <w:rsid w:val="00DC7B44"/>
    <w:rsid w:val="00DD78E9"/>
    <w:rsid w:val="00DD7A8F"/>
    <w:rsid w:val="00DF4168"/>
    <w:rsid w:val="00E00D38"/>
    <w:rsid w:val="00E06596"/>
    <w:rsid w:val="00E220CE"/>
    <w:rsid w:val="00E23ABD"/>
    <w:rsid w:val="00E50918"/>
    <w:rsid w:val="00E7778E"/>
    <w:rsid w:val="00E82AF4"/>
    <w:rsid w:val="00EA2407"/>
    <w:rsid w:val="00EA4E14"/>
    <w:rsid w:val="00EC6C25"/>
    <w:rsid w:val="00ED08AD"/>
    <w:rsid w:val="00EE672C"/>
    <w:rsid w:val="00F025F1"/>
    <w:rsid w:val="00F20A8E"/>
    <w:rsid w:val="00F37905"/>
    <w:rsid w:val="00F51866"/>
    <w:rsid w:val="00F836B5"/>
    <w:rsid w:val="00F87E30"/>
    <w:rsid w:val="00FA6A9C"/>
    <w:rsid w:val="00FB1932"/>
    <w:rsid w:val="00FB1AA7"/>
    <w:rsid w:val="00FC0A0C"/>
    <w:rsid w:val="00FC6670"/>
    <w:rsid w:val="00FD4E1A"/>
    <w:rsid w:val="00FE63BA"/>
    <w:rsid w:val="00FE6AF3"/>
    <w:rsid w:val="00FE6D80"/>
    <w:rsid w:val="00FF3D4D"/>
    <w:rsid w:val="00FF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2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2F5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9B3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2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2F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2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2F5"/>
    <w:rPr>
      <w:rFonts w:ascii="Tahoma" w:eastAsia="Times New Roman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2F5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9F26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element-citation">
    <w:name w:val="element-citation"/>
    <w:basedOn w:val="DefaultParagraphFont"/>
    <w:rsid w:val="003A677B"/>
  </w:style>
  <w:style w:type="character" w:customStyle="1" w:styleId="ref-journal">
    <w:name w:val="ref-journal"/>
    <w:basedOn w:val="DefaultParagraphFont"/>
    <w:rsid w:val="003A677B"/>
  </w:style>
  <w:style w:type="character" w:customStyle="1" w:styleId="ref-vol">
    <w:name w:val="ref-vol"/>
    <w:basedOn w:val="DefaultParagraphFont"/>
    <w:rsid w:val="003A677B"/>
  </w:style>
  <w:style w:type="character" w:styleId="Hyperlink">
    <w:name w:val="Hyperlink"/>
    <w:basedOn w:val="DefaultParagraphFont"/>
    <w:uiPriority w:val="99"/>
    <w:unhideWhenUsed/>
    <w:rsid w:val="00206D8E"/>
    <w:rPr>
      <w:color w:val="0000FF" w:themeColor="hyperlink"/>
      <w:u w:val="single"/>
    </w:rPr>
  </w:style>
  <w:style w:type="paragraph" w:customStyle="1" w:styleId="Default">
    <w:name w:val="Default"/>
    <w:rsid w:val="0031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21D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661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2F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2F5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9B3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2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2F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2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2F5"/>
    <w:rPr>
      <w:rFonts w:ascii="Tahoma" w:eastAsia="Times New Roman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2F5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9F26C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element-citation">
    <w:name w:val="element-citation"/>
    <w:basedOn w:val="DefaultParagraphFont"/>
    <w:rsid w:val="003A677B"/>
  </w:style>
  <w:style w:type="character" w:customStyle="1" w:styleId="ref-journal">
    <w:name w:val="ref-journal"/>
    <w:basedOn w:val="DefaultParagraphFont"/>
    <w:rsid w:val="003A677B"/>
  </w:style>
  <w:style w:type="character" w:customStyle="1" w:styleId="ref-vol">
    <w:name w:val="ref-vol"/>
    <w:basedOn w:val="DefaultParagraphFont"/>
    <w:rsid w:val="003A677B"/>
  </w:style>
  <w:style w:type="character" w:styleId="Hyperlink">
    <w:name w:val="Hyperlink"/>
    <w:basedOn w:val="DefaultParagraphFont"/>
    <w:uiPriority w:val="99"/>
    <w:unhideWhenUsed/>
    <w:rsid w:val="00206D8E"/>
    <w:rPr>
      <w:color w:val="0000FF" w:themeColor="hyperlink"/>
      <w:u w:val="single"/>
    </w:rPr>
  </w:style>
  <w:style w:type="paragraph" w:customStyle="1" w:styleId="Default">
    <w:name w:val="Default"/>
    <w:rsid w:val="0031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21D9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66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7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5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12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8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074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1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93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3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yu.edu.hk/mm/effectsizefaqs/calculator/calculator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olyu.edu.hk/mm/effectsizefaqs/calculator/calculator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campbellcollaboration.org/escalc/html/EffectSizeCalculator-R7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ampbellcollaboration.org/escalc/html/EffectSizeCalculator-R7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52F8F-036C-4F2B-9A35-E0395C22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1231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GHC</Company>
  <LinksUpToDate>false</LinksUpToDate>
  <CharactersWithSpaces>8232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Mettert, Kayne</dc:creator>
  <cp:lastModifiedBy>Lewis, Cara</cp:lastModifiedBy>
  <cp:revision>2</cp:revision>
  <dcterms:created xsi:type="dcterms:W3CDTF">2017-10-05T21:05:00Z</dcterms:created>
  <dcterms:modified xsi:type="dcterms:W3CDTF">2017-10-05T21:05:00Z</dcterms:modified>
</cp:coreProperties>
</file>