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49E" w:rsidRPr="00827AEB" w:rsidRDefault="00FC149E" w:rsidP="00FC149E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827AEB">
        <w:rPr>
          <w:rFonts w:ascii="Times New Roman" w:hAnsi="Times New Roman" w:cs="Times New Roman"/>
          <w:noProof/>
          <w:sz w:val="24"/>
          <w:szCs w:val="24"/>
        </w:rPr>
        <w:t>Appendix 2</w:t>
      </w:r>
    </w:p>
    <w:p w:rsidR="00FC149E" w:rsidRPr="00827AEB" w:rsidRDefault="00FC149E" w:rsidP="00FC149E">
      <w:pPr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827AEB">
        <w:rPr>
          <w:rFonts w:ascii="Times New Roman" w:hAnsi="Times New Roman" w:cs="Times New Roman"/>
          <w:noProof/>
          <w:sz w:val="24"/>
          <w:szCs w:val="24"/>
        </w:rPr>
        <w:t>Risk of bias</w:t>
      </w:r>
    </w:p>
    <w:p w:rsidR="00FC149E" w:rsidRPr="00827AEB" w:rsidRDefault="00FC149E" w:rsidP="00FC149E">
      <w:pPr>
        <w:spacing w:after="0" w:line="36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FC149E" w:rsidRPr="00827AEB" w:rsidRDefault="00FC149E" w:rsidP="00FC149E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en-GB"/>
        </w:rPr>
      </w:pPr>
      <w:r w:rsidRPr="00827AEB">
        <w:rPr>
          <w:rFonts w:ascii="Times New Roman" w:hAnsi="Times New Roman" w:cs="Times New Roman"/>
          <w:noProof/>
          <w:sz w:val="24"/>
          <w:szCs w:val="24"/>
        </w:rPr>
        <w:t>R</w:t>
      </w:r>
      <w:proofErr w:type="spellStart"/>
      <w:r w:rsidRPr="00827AEB">
        <w:rPr>
          <w:rFonts w:ascii="Times New Roman" w:hAnsi="Times New Roman" w:cs="Times New Roman"/>
          <w:sz w:val="24"/>
          <w:szCs w:val="24"/>
          <w:lang w:eastAsia="en-GB"/>
        </w:rPr>
        <w:t>eview</w:t>
      </w:r>
      <w:proofErr w:type="spellEnd"/>
      <w:r w:rsidRPr="00827AEB">
        <w:rPr>
          <w:rFonts w:ascii="Times New Roman" w:hAnsi="Times New Roman" w:cs="Times New Roman"/>
          <w:sz w:val="24"/>
          <w:szCs w:val="24"/>
          <w:lang w:eastAsia="en-GB"/>
        </w:rPr>
        <w:t xml:space="preserve"> authors’ judgements about each risk of bias item presented as percentages for all included studies. </w:t>
      </w:r>
    </w:p>
    <w:p w:rsidR="00FC149E" w:rsidRPr="00827AEB" w:rsidRDefault="00FC149E" w:rsidP="00FC149E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en-GB"/>
        </w:rPr>
      </w:pPr>
      <w:r w:rsidRPr="00827AEB">
        <w:rPr>
          <w:noProof/>
        </w:rPr>
        <w:drawing>
          <wp:inline distT="0" distB="0" distL="0" distR="0" wp14:anchorId="73165492" wp14:editId="3AB7537C">
            <wp:extent cx="5727962" cy="2523490"/>
            <wp:effectExtent l="0" t="0" r="635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78" t="7667"/>
                    <a:stretch/>
                  </pic:blipFill>
                  <pic:spPr bwMode="auto">
                    <a:xfrm>
                      <a:off x="0" y="0"/>
                      <a:ext cx="5732705" cy="2525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C149E" w:rsidRPr="00827AEB" w:rsidRDefault="00FC149E" w:rsidP="00FC149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27AEB">
        <w:rPr>
          <w:rFonts w:ascii="Times New Roman" w:hAnsi="Times New Roman" w:cs="Times New Roman"/>
          <w:sz w:val="24"/>
          <w:szCs w:val="24"/>
        </w:rPr>
        <w:t>9/14 RCTs (RCTs that contributed aggregate data) were used to assess risk of bias from incomplete outcome data and selective outcome reporting</w:t>
      </w:r>
      <w:proofErr w:type="gramStart"/>
      <w:r w:rsidRPr="00827AEB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 w:rsidRPr="00827AEB">
        <w:rPr>
          <w:rFonts w:ascii="Times New Roman" w:hAnsi="Times New Roman" w:cs="Times New Roman"/>
          <w:sz w:val="24"/>
          <w:szCs w:val="24"/>
        </w:rPr>
        <w:t>For all other risk of bias domains all 14 RCTs were used.</w:t>
      </w:r>
    </w:p>
    <w:p w:rsidR="00FC149E" w:rsidRPr="00827AEB" w:rsidRDefault="00FC149E" w:rsidP="00FC149E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en-GB"/>
        </w:rPr>
      </w:pPr>
    </w:p>
    <w:p w:rsidR="00FC149E" w:rsidRPr="00827AEB" w:rsidRDefault="00FC149E" w:rsidP="00FC149E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en-GB"/>
        </w:rPr>
      </w:pPr>
    </w:p>
    <w:p w:rsidR="00FC149E" w:rsidRPr="00827AEB" w:rsidRDefault="00FC149E" w:rsidP="00FC149E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en-GB"/>
        </w:rPr>
      </w:pPr>
    </w:p>
    <w:p w:rsidR="00FC149E" w:rsidRPr="00827AEB" w:rsidRDefault="00FC149E" w:rsidP="00FC149E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en-GB"/>
        </w:rPr>
      </w:pPr>
    </w:p>
    <w:p w:rsidR="00FC149E" w:rsidRPr="00827AEB" w:rsidRDefault="00FC149E" w:rsidP="00FC149E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en-GB"/>
        </w:rPr>
      </w:pPr>
    </w:p>
    <w:p w:rsidR="00FC149E" w:rsidRPr="00827AEB" w:rsidRDefault="00FC149E" w:rsidP="00FC149E">
      <w:pPr>
        <w:spacing w:after="0" w:line="360" w:lineRule="auto"/>
        <w:rPr>
          <w:rFonts w:ascii="Times New Roman" w:hAnsi="Times New Roman" w:cs="Times New Roman"/>
          <w:sz w:val="24"/>
          <w:szCs w:val="24"/>
          <w:lang w:eastAsia="en-GB"/>
        </w:rPr>
      </w:pPr>
    </w:p>
    <w:p w:rsidR="00FC149E" w:rsidRPr="00827AEB" w:rsidRDefault="00FC149E" w:rsidP="00FC149E">
      <w:pPr>
        <w:rPr>
          <w:rFonts w:ascii="Times New Roman" w:hAnsi="Times New Roman" w:cs="Times New Roman"/>
          <w:noProof/>
          <w:sz w:val="24"/>
          <w:szCs w:val="24"/>
        </w:rPr>
      </w:pPr>
      <w:r w:rsidRPr="00827AEB">
        <w:rPr>
          <w:rFonts w:ascii="Times New Roman" w:hAnsi="Times New Roman" w:cs="Times New Roman"/>
          <w:noProof/>
          <w:sz w:val="24"/>
          <w:szCs w:val="24"/>
        </w:rPr>
        <w:br w:type="page"/>
      </w:r>
    </w:p>
    <w:p w:rsidR="00FC149E" w:rsidRPr="00827AEB" w:rsidRDefault="00FC149E" w:rsidP="00FC149E">
      <w:pPr>
        <w:jc w:val="center"/>
        <w:rPr>
          <w:rFonts w:ascii="Times New Roman" w:hAnsi="Times New Roman" w:cs="Times New Roman"/>
          <w:noProof/>
          <w:sz w:val="24"/>
          <w:szCs w:val="24"/>
        </w:rPr>
        <w:sectPr w:rsidR="00FC149E" w:rsidRPr="00827AEB" w:rsidSect="009C270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FC149E" w:rsidRPr="00827AEB" w:rsidRDefault="00FC149E" w:rsidP="00FC149E">
      <w:pPr>
        <w:rPr>
          <w:rFonts w:ascii="Times New Roman" w:hAnsi="Times New Roman" w:cs="Times New Roman"/>
          <w:noProof/>
          <w:sz w:val="24"/>
          <w:szCs w:val="24"/>
        </w:rPr>
      </w:pPr>
      <w:r w:rsidRPr="00827AEB">
        <w:rPr>
          <w:rFonts w:ascii="Times New Roman" w:hAnsi="Times New Roman" w:cs="Times New Roman"/>
          <w:noProof/>
          <w:sz w:val="24"/>
          <w:szCs w:val="24"/>
        </w:rPr>
        <w:lastRenderedPageBreak/>
        <w:t>Review authors’ judgements about each risk of bias item presented for all the included studies</w:t>
      </w:r>
    </w:p>
    <w:p w:rsidR="00FC149E" w:rsidRDefault="00FC149E" w:rsidP="009E3185">
      <w:pPr>
        <w:spacing w:before="40" w:after="4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5840" w:type="pct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9"/>
        <w:gridCol w:w="990"/>
        <w:gridCol w:w="1079"/>
        <w:gridCol w:w="810"/>
        <w:gridCol w:w="902"/>
        <w:gridCol w:w="810"/>
        <w:gridCol w:w="813"/>
        <w:gridCol w:w="899"/>
        <w:gridCol w:w="899"/>
        <w:gridCol w:w="810"/>
        <w:gridCol w:w="729"/>
        <w:gridCol w:w="896"/>
        <w:gridCol w:w="893"/>
        <w:gridCol w:w="816"/>
        <w:gridCol w:w="822"/>
        <w:gridCol w:w="893"/>
        <w:gridCol w:w="800"/>
      </w:tblGrid>
      <w:tr w:rsidR="00004A3F" w:rsidRPr="00004A3F" w:rsidTr="00004A3F">
        <w:tc>
          <w:tcPr>
            <w:tcW w:w="497" w:type="pct"/>
            <w:vMerge w:val="restart"/>
            <w:shd w:val="clear" w:color="auto" w:fill="auto"/>
            <w:noWrap/>
            <w:hideMark/>
          </w:tcPr>
          <w:p w:rsidR="00004A3F" w:rsidRPr="00004A3F" w:rsidRDefault="00004A3F" w:rsidP="00004A3F">
            <w:pPr>
              <w:pStyle w:val="Heading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 Study</w:t>
            </w:r>
          </w:p>
          <w:p w:rsidR="00004A3F" w:rsidRPr="00004A3F" w:rsidRDefault="00004A3F" w:rsidP="00004A3F">
            <w:pPr>
              <w:pStyle w:val="Heading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004A3F" w:rsidRPr="00004A3F" w:rsidRDefault="00004A3F" w:rsidP="00004A3F">
            <w:pPr>
              <w:pStyle w:val="Heading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pct"/>
            <w:gridSpan w:val="2"/>
            <w:vMerge w:val="restart"/>
            <w:shd w:val="clear" w:color="auto" w:fill="auto"/>
            <w:noWrap/>
            <w:hideMark/>
          </w:tcPr>
          <w:p w:rsidR="00004A3F" w:rsidRPr="00004A3F" w:rsidRDefault="00004A3F" w:rsidP="00004A3F">
            <w:pPr>
              <w:pStyle w:val="Heading1"/>
              <w:rPr>
                <w:rFonts w:ascii="Times New Roman" w:eastAsia="Times New Roman" w:hAnsi="Times New Roman" w:cs="Times New Roman"/>
                <w:bCs w:val="0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Selection bias</w:t>
            </w:r>
          </w:p>
          <w:p w:rsidR="00004A3F" w:rsidRPr="00004A3F" w:rsidRDefault="00004A3F" w:rsidP="00004A3F">
            <w:pPr>
              <w:pStyle w:val="Heading1"/>
              <w:rPr>
                <w:rFonts w:ascii="Times New Roman" w:eastAsia="Times New Roman" w:hAnsi="Times New Roman" w:cs="Times New Roman"/>
                <w:bCs w:val="0"/>
                <w:sz w:val="16"/>
                <w:szCs w:val="16"/>
              </w:rPr>
            </w:pPr>
          </w:p>
          <w:p w:rsidR="00004A3F" w:rsidRPr="00004A3F" w:rsidRDefault="00004A3F" w:rsidP="00004A3F">
            <w:pPr>
              <w:pStyle w:val="Heading1"/>
              <w:ind w:left="-2512"/>
              <w:rPr>
                <w:rFonts w:ascii="Times New Roman" w:eastAsia="Times New Roman" w:hAnsi="Times New Roman" w:cs="Times New Roman"/>
                <w:bCs w:val="0"/>
                <w:sz w:val="16"/>
                <w:szCs w:val="16"/>
              </w:rPr>
            </w:pPr>
          </w:p>
          <w:p w:rsidR="00004A3F" w:rsidRPr="00004A3F" w:rsidRDefault="00004A3F" w:rsidP="00004A3F">
            <w:pPr>
              <w:pStyle w:val="Heading1"/>
              <w:rPr>
                <w:rFonts w:ascii="Times New Roman" w:eastAsia="Times New Roman" w:hAnsi="Times New Roman" w:cs="Times New Roman"/>
                <w:bCs w:val="0"/>
                <w:sz w:val="16"/>
                <w:szCs w:val="16"/>
              </w:rPr>
            </w:pPr>
          </w:p>
        </w:tc>
        <w:tc>
          <w:tcPr>
            <w:tcW w:w="1083" w:type="pct"/>
            <w:gridSpan w:val="4"/>
            <w:shd w:val="clear" w:color="auto" w:fill="auto"/>
            <w:noWrap/>
            <w:hideMark/>
          </w:tcPr>
          <w:p w:rsidR="00004A3F" w:rsidRPr="00004A3F" w:rsidRDefault="00004A3F" w:rsidP="00004A3F">
            <w:pPr>
              <w:pStyle w:val="Heading1"/>
              <w:rPr>
                <w:rFonts w:ascii="Times New Roman" w:eastAsia="Times New Roman" w:hAnsi="Times New Roman" w:cs="Times New Roman"/>
                <w:bCs w:val="0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Performance bias</w:t>
            </w:r>
          </w:p>
          <w:p w:rsidR="00004A3F" w:rsidRPr="00004A3F" w:rsidRDefault="00004A3F" w:rsidP="00004A3F">
            <w:pPr>
              <w:pStyle w:val="Heading1"/>
              <w:rPr>
                <w:rFonts w:ascii="Times New Roman" w:eastAsia="Times New Roman" w:hAnsi="Times New Roman" w:cs="Times New Roman"/>
                <w:bCs w:val="0"/>
                <w:sz w:val="16"/>
                <w:szCs w:val="16"/>
              </w:rPr>
            </w:pPr>
          </w:p>
        </w:tc>
        <w:tc>
          <w:tcPr>
            <w:tcW w:w="1084" w:type="pct"/>
            <w:gridSpan w:val="4"/>
            <w:shd w:val="clear" w:color="auto" w:fill="auto"/>
            <w:noWrap/>
            <w:hideMark/>
          </w:tcPr>
          <w:p w:rsidR="00004A3F" w:rsidRPr="00004A3F" w:rsidRDefault="00004A3F" w:rsidP="00004A3F">
            <w:pPr>
              <w:pStyle w:val="Heading1"/>
              <w:rPr>
                <w:rFonts w:ascii="Times New Roman" w:eastAsia="Times New Roman" w:hAnsi="Times New Roman" w:cs="Times New Roman"/>
                <w:bCs w:val="0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Detection bias</w:t>
            </w:r>
          </w:p>
          <w:p w:rsidR="00004A3F" w:rsidRPr="00004A3F" w:rsidRDefault="00004A3F" w:rsidP="00004A3F">
            <w:pPr>
              <w:pStyle w:val="Heading1"/>
              <w:rPr>
                <w:rFonts w:ascii="Times New Roman" w:eastAsia="Times New Roman" w:hAnsi="Times New Roman" w:cs="Times New Roman"/>
                <w:bCs w:val="0"/>
                <w:sz w:val="16"/>
                <w:szCs w:val="16"/>
              </w:rPr>
            </w:pPr>
          </w:p>
        </w:tc>
        <w:tc>
          <w:tcPr>
            <w:tcW w:w="1113" w:type="pct"/>
            <w:gridSpan w:val="4"/>
            <w:shd w:val="clear" w:color="auto" w:fill="auto"/>
            <w:noWrap/>
            <w:hideMark/>
          </w:tcPr>
          <w:p w:rsidR="00004A3F" w:rsidRPr="00004A3F" w:rsidRDefault="00004A3F" w:rsidP="00004A3F">
            <w:pPr>
              <w:pStyle w:val="Heading1"/>
              <w:rPr>
                <w:rFonts w:ascii="Times New Roman" w:eastAsia="Times New Roman" w:hAnsi="Times New Roman" w:cs="Times New Roman"/>
                <w:bCs w:val="0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Attrition bias</w:t>
            </w:r>
          </w:p>
        </w:tc>
        <w:tc>
          <w:tcPr>
            <w:tcW w:w="290" w:type="pct"/>
            <w:shd w:val="clear" w:color="auto" w:fill="auto"/>
            <w:noWrap/>
            <w:hideMark/>
          </w:tcPr>
          <w:p w:rsidR="00004A3F" w:rsidRPr="00004A3F" w:rsidRDefault="00004A3F" w:rsidP="00004A3F">
            <w:pPr>
              <w:pStyle w:val="Heading1"/>
              <w:rPr>
                <w:rFonts w:ascii="Times New Roman" w:eastAsia="Times New Roman" w:hAnsi="Times New Roman" w:cs="Times New Roman"/>
                <w:bCs w:val="0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Reporting bias</w:t>
            </w:r>
          </w:p>
        </w:tc>
        <w:tc>
          <w:tcPr>
            <w:tcW w:w="260" w:type="pct"/>
            <w:shd w:val="clear" w:color="auto" w:fill="auto"/>
            <w:noWrap/>
            <w:hideMark/>
          </w:tcPr>
          <w:p w:rsidR="00004A3F" w:rsidRPr="00004A3F" w:rsidRDefault="00004A3F" w:rsidP="00004A3F">
            <w:pPr>
              <w:pStyle w:val="Heading1"/>
              <w:rPr>
                <w:rFonts w:ascii="Times New Roman" w:eastAsia="Times New Roman" w:hAnsi="Times New Roman" w:cs="Times New Roman"/>
                <w:bCs w:val="0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Other bias</w:t>
            </w:r>
          </w:p>
        </w:tc>
      </w:tr>
      <w:tr w:rsidR="00004A3F" w:rsidRPr="00004A3F" w:rsidTr="00004A3F">
        <w:trPr>
          <w:trHeight w:val="107"/>
        </w:trPr>
        <w:tc>
          <w:tcPr>
            <w:tcW w:w="497" w:type="pct"/>
            <w:vMerge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73" w:type="pct"/>
            <w:gridSpan w:val="2"/>
            <w:vMerge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083" w:type="pct"/>
            <w:gridSpan w:val="4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Blinding of participants and personnel</w:t>
            </w:r>
          </w:p>
        </w:tc>
        <w:tc>
          <w:tcPr>
            <w:tcW w:w="1084" w:type="pct"/>
            <w:gridSpan w:val="4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Blinding of outcome assessment</w:t>
            </w:r>
          </w:p>
          <w:p w:rsidR="00004A3F" w:rsidRPr="00004A3F" w:rsidRDefault="00004A3F" w:rsidP="00B032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004A3F" w:rsidRPr="00004A3F" w:rsidRDefault="00004A3F" w:rsidP="00B032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113" w:type="pct"/>
            <w:gridSpan w:val="4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Incomplete outcome data</w:t>
            </w:r>
            <w:r w:rsidRPr="00004A3F">
              <w:rPr>
                <w:rFonts w:ascii="Times New Roman" w:eastAsia="Times New Roman" w:hAnsi="Times New Roman" w:cs="Times New Roman"/>
                <w:bCs/>
                <w:sz w:val="16"/>
                <w:szCs w:val="16"/>
                <w:vertAlign w:val="superscript"/>
              </w:rPr>
              <w:t>§</w:t>
            </w:r>
          </w:p>
        </w:tc>
        <w:tc>
          <w:tcPr>
            <w:tcW w:w="290" w:type="pct"/>
            <w:vMerge w:val="restar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Selective reporting</w:t>
            </w:r>
            <w:r w:rsidRPr="00004A3F">
              <w:rPr>
                <w:rFonts w:ascii="Times New Roman" w:eastAsia="Times New Roman" w:hAnsi="Times New Roman" w:cs="Times New Roman"/>
                <w:bCs/>
                <w:sz w:val="16"/>
                <w:szCs w:val="16"/>
                <w:vertAlign w:val="superscript"/>
              </w:rPr>
              <w:t>§</w:t>
            </w:r>
          </w:p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60" w:type="pct"/>
            <w:vMerge w:val="restar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Other sources of bias</w:t>
            </w:r>
          </w:p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004A3F" w:rsidRPr="00004A3F" w:rsidTr="00004A3F">
        <w:tc>
          <w:tcPr>
            <w:tcW w:w="497" w:type="pct"/>
            <w:vMerge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Random sequence generation</w:t>
            </w:r>
          </w:p>
        </w:tc>
        <w:tc>
          <w:tcPr>
            <w:tcW w:w="351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Allocation concealment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All-cause mortality</w:t>
            </w:r>
          </w:p>
        </w:tc>
        <w:tc>
          <w:tcPr>
            <w:tcW w:w="29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Cause specific mortality</w:t>
            </w:r>
            <w:r w:rsidRPr="00004A3F">
              <w:rPr>
                <w:rFonts w:ascii="Times New Roman" w:eastAsia="Times New Roman" w:hAnsi="Times New Roman" w:cs="Times New Roman"/>
                <w:bCs/>
                <w:sz w:val="16"/>
                <w:szCs w:val="16"/>
                <w:vertAlign w:val="superscript"/>
              </w:rPr>
              <w:t>*</w:t>
            </w:r>
            <w:r w:rsidRPr="00004A3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Harms</w:t>
            </w:r>
            <w:r w:rsidRPr="00004A3F">
              <w:rPr>
                <w:rFonts w:ascii="Times New Roman" w:eastAsia="Times New Roman" w:hAnsi="Times New Roman" w:cs="Times New Roman"/>
                <w:bCs/>
                <w:sz w:val="16"/>
                <w:szCs w:val="16"/>
                <w:vertAlign w:val="superscript"/>
              </w:rPr>
              <w:t xml:space="preserve">** 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Quality of life</w:t>
            </w:r>
          </w:p>
        </w:tc>
        <w:tc>
          <w:tcPr>
            <w:tcW w:w="29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All-cause mortality</w:t>
            </w:r>
          </w:p>
        </w:tc>
        <w:tc>
          <w:tcPr>
            <w:tcW w:w="29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Cause specific mortality</w:t>
            </w:r>
            <w:r w:rsidRPr="00004A3F">
              <w:rPr>
                <w:rFonts w:ascii="Times New Roman" w:eastAsia="Times New Roman" w:hAnsi="Times New Roman" w:cs="Times New Roman"/>
                <w:bCs/>
                <w:sz w:val="16"/>
                <w:szCs w:val="16"/>
                <w:vertAlign w:val="superscript"/>
              </w:rPr>
              <w:t xml:space="preserve">* 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Harms</w:t>
            </w:r>
            <w:r w:rsidRPr="00004A3F">
              <w:rPr>
                <w:rFonts w:ascii="Times New Roman" w:eastAsia="Times New Roman" w:hAnsi="Times New Roman" w:cs="Times New Roman"/>
                <w:bCs/>
                <w:sz w:val="16"/>
                <w:szCs w:val="16"/>
                <w:vertAlign w:val="superscript"/>
              </w:rPr>
              <w:t xml:space="preserve">** </w:t>
            </w:r>
          </w:p>
        </w:tc>
        <w:tc>
          <w:tcPr>
            <w:tcW w:w="237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Quality of life</w:t>
            </w:r>
          </w:p>
        </w:tc>
        <w:tc>
          <w:tcPr>
            <w:tcW w:w="291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All-cause mortality</w:t>
            </w:r>
          </w:p>
        </w:tc>
        <w:tc>
          <w:tcPr>
            <w:tcW w:w="290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Cause specific mortality</w:t>
            </w:r>
            <w:r w:rsidRPr="00004A3F">
              <w:rPr>
                <w:rFonts w:ascii="Times New Roman" w:eastAsia="Times New Roman" w:hAnsi="Times New Roman" w:cs="Times New Roman"/>
                <w:bCs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265" w:type="pct"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Harms</w:t>
            </w:r>
            <w:r w:rsidRPr="00004A3F">
              <w:rPr>
                <w:rFonts w:ascii="Times New Roman" w:eastAsia="Times New Roman" w:hAnsi="Times New Roman" w:cs="Times New Roman"/>
                <w:bCs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267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Quality of life</w:t>
            </w:r>
          </w:p>
        </w:tc>
        <w:tc>
          <w:tcPr>
            <w:tcW w:w="290" w:type="pct"/>
            <w:vMerge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60" w:type="pct"/>
            <w:vMerge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004A3F" w:rsidRPr="00004A3F" w:rsidTr="00004A3F">
        <w:tc>
          <w:tcPr>
            <w:tcW w:w="497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Anguita</w:t>
            </w:r>
            <w:proofErr w:type="spellEnd"/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004A3F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>[20]</w:t>
            </w:r>
          </w:p>
        </w:tc>
        <w:tc>
          <w:tcPr>
            <w:tcW w:w="32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351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29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High 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9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9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237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91" w:type="pct"/>
            <w:shd w:val="clear" w:color="auto" w:fill="auto"/>
            <w:noWrap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90" w:type="pct"/>
            <w:shd w:val="clear" w:color="auto" w:fill="auto"/>
            <w:noWrap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5" w:type="pct"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7" w:type="pct"/>
            <w:shd w:val="clear" w:color="auto" w:fill="auto"/>
            <w:noWrap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90" w:type="pct"/>
            <w:shd w:val="clear" w:color="auto" w:fill="auto"/>
            <w:noWrap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0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004A3F" w:rsidRPr="00004A3F" w:rsidTr="00004A3F">
        <w:tc>
          <w:tcPr>
            <w:tcW w:w="497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Northstar</w:t>
            </w:r>
            <w:proofErr w:type="spellEnd"/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004A3F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>[27]</w:t>
            </w:r>
          </w:p>
        </w:tc>
        <w:tc>
          <w:tcPr>
            <w:tcW w:w="32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351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29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High 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29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9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37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291" w:type="pct"/>
            <w:shd w:val="clear" w:color="auto" w:fill="auto"/>
            <w:noWrap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90" w:type="pct"/>
            <w:shd w:val="clear" w:color="auto" w:fill="auto"/>
            <w:noWrap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5" w:type="pct"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7" w:type="pct"/>
            <w:shd w:val="clear" w:color="auto" w:fill="auto"/>
            <w:noWrap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90" w:type="pct"/>
            <w:shd w:val="clear" w:color="auto" w:fill="auto"/>
            <w:noWrap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0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</w:tr>
      <w:tr w:rsidR="00004A3F" w:rsidRPr="00004A3F" w:rsidTr="00004A3F">
        <w:tc>
          <w:tcPr>
            <w:tcW w:w="497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Shochat</w:t>
            </w:r>
            <w:proofErr w:type="spellEnd"/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004A3F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>[32]</w:t>
            </w:r>
          </w:p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hAnsi="Times New Roman" w:cs="Times New Roman"/>
                <w:i/>
                <w:sz w:val="16"/>
                <w:szCs w:val="16"/>
                <w:shd w:val="clear" w:color="auto" w:fill="FFFFFE"/>
              </w:rPr>
              <w:t>Published as abstract only</w:t>
            </w:r>
          </w:p>
        </w:tc>
        <w:tc>
          <w:tcPr>
            <w:tcW w:w="32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351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9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bookmarkStart w:id="0" w:name="_GoBack"/>
            <w:bookmarkEnd w:id="0"/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9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9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37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91" w:type="pct"/>
            <w:shd w:val="clear" w:color="auto" w:fill="auto"/>
            <w:noWrap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90" w:type="pct"/>
            <w:shd w:val="clear" w:color="auto" w:fill="auto"/>
            <w:noWrap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5" w:type="pct"/>
            <w:shd w:val="clear" w:color="auto" w:fill="auto"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7" w:type="pct"/>
            <w:shd w:val="clear" w:color="auto" w:fill="auto"/>
            <w:noWrap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90" w:type="pct"/>
            <w:shd w:val="clear" w:color="auto" w:fill="auto"/>
            <w:noWrap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0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</w:tr>
      <w:tr w:rsidR="00004A3F" w:rsidRPr="00004A3F" w:rsidTr="00004A3F">
        <w:tc>
          <w:tcPr>
            <w:tcW w:w="497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Starbrite</w:t>
            </w:r>
            <w:proofErr w:type="spellEnd"/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004A3F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>[31]</w:t>
            </w:r>
          </w:p>
        </w:tc>
        <w:tc>
          <w:tcPr>
            <w:tcW w:w="32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351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29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High 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9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9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237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91" w:type="pct"/>
            <w:shd w:val="clear" w:color="auto" w:fill="auto"/>
            <w:noWrap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90" w:type="pct"/>
            <w:shd w:val="clear" w:color="auto" w:fill="auto"/>
            <w:noWrap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5" w:type="pct"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7" w:type="pct"/>
            <w:shd w:val="clear" w:color="auto" w:fill="auto"/>
            <w:noWrap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90" w:type="pct"/>
            <w:shd w:val="clear" w:color="auto" w:fill="auto"/>
            <w:noWrap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0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004A3F" w:rsidRPr="00004A3F" w:rsidTr="00004A3F">
        <w:tc>
          <w:tcPr>
            <w:tcW w:w="497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Upstep</w:t>
            </w:r>
            <w:proofErr w:type="spellEnd"/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004A3F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>[24]</w:t>
            </w:r>
          </w:p>
        </w:tc>
        <w:tc>
          <w:tcPr>
            <w:tcW w:w="32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351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29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High 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9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9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37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91" w:type="pct"/>
            <w:shd w:val="clear" w:color="auto" w:fill="auto"/>
            <w:noWrap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90" w:type="pct"/>
            <w:shd w:val="clear" w:color="auto" w:fill="auto"/>
            <w:noWrap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5" w:type="pct"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7" w:type="pct"/>
            <w:shd w:val="clear" w:color="auto" w:fill="auto"/>
            <w:noWrap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90" w:type="pct"/>
            <w:shd w:val="clear" w:color="auto" w:fill="auto"/>
            <w:noWrap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60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</w:tr>
      <w:tr w:rsidR="00004A3F" w:rsidRPr="00004A3F" w:rsidTr="00004A3F">
        <w:tc>
          <w:tcPr>
            <w:tcW w:w="497" w:type="pct"/>
            <w:shd w:val="clear" w:color="auto" w:fill="auto"/>
            <w:noWrap/>
            <w:hideMark/>
          </w:tcPr>
          <w:p w:rsidR="00004A3F" w:rsidRPr="00004A3F" w:rsidRDefault="00004A3F" w:rsidP="00004A3F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Christchurch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Pilot </w:t>
            </w:r>
            <w:r w:rsidRPr="00004A3F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>[29]</w:t>
            </w:r>
          </w:p>
        </w:tc>
        <w:tc>
          <w:tcPr>
            <w:tcW w:w="32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351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9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9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9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37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91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90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65" w:type="pct"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67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90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60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004A3F" w:rsidRPr="00004A3F" w:rsidTr="00004A3F">
        <w:tc>
          <w:tcPr>
            <w:tcW w:w="497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Time-CHF</w:t>
            </w: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*</w:t>
            </w: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004A3F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>[26, 33]</w:t>
            </w:r>
          </w:p>
        </w:tc>
        <w:tc>
          <w:tcPr>
            <w:tcW w:w="32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351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29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High 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9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9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37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91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90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65" w:type="pct"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67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90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60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004A3F" w:rsidRPr="00004A3F" w:rsidTr="00004A3F">
        <w:tc>
          <w:tcPr>
            <w:tcW w:w="497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Berger </w:t>
            </w:r>
            <w:r w:rsidRPr="00004A3F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>[21]</w:t>
            </w:r>
          </w:p>
        </w:tc>
        <w:tc>
          <w:tcPr>
            <w:tcW w:w="32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351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29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High 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9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9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37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91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90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65" w:type="pct"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67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90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60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004A3F" w:rsidRPr="00004A3F" w:rsidTr="00004A3F">
        <w:tc>
          <w:tcPr>
            <w:tcW w:w="497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Prima </w:t>
            </w:r>
            <w:r w:rsidRPr="00004A3F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>[22]</w:t>
            </w:r>
          </w:p>
        </w:tc>
        <w:tc>
          <w:tcPr>
            <w:tcW w:w="32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351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29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High 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9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9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37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291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90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65" w:type="pct"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67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90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60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004A3F" w:rsidRPr="00004A3F" w:rsidTr="00004A3F">
        <w:tc>
          <w:tcPr>
            <w:tcW w:w="497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Signal-HF </w:t>
            </w:r>
            <w:r w:rsidRPr="00004A3F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>[25]</w:t>
            </w:r>
          </w:p>
        </w:tc>
        <w:tc>
          <w:tcPr>
            <w:tcW w:w="32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351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29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High 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9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9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237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91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90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65" w:type="pct"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67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90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260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</w:tr>
      <w:tr w:rsidR="00004A3F" w:rsidRPr="00004A3F" w:rsidTr="00004A3F">
        <w:tc>
          <w:tcPr>
            <w:tcW w:w="497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Battlescarred</w:t>
            </w:r>
            <w:proofErr w:type="spellEnd"/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004A3F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>[28]</w:t>
            </w:r>
          </w:p>
        </w:tc>
        <w:tc>
          <w:tcPr>
            <w:tcW w:w="32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351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9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9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9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37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91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90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65" w:type="pct"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67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90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60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004A3F" w:rsidRPr="00004A3F" w:rsidTr="00004A3F">
        <w:tc>
          <w:tcPr>
            <w:tcW w:w="497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hAnsi="Times New Roman" w:cs="Times New Roman"/>
                <w:sz w:val="16"/>
                <w:szCs w:val="16"/>
                <w:shd w:val="clear" w:color="auto" w:fill="FFFFFE"/>
              </w:rPr>
              <w:t xml:space="preserve">Stars-BNP </w:t>
            </w:r>
            <w:r w:rsidRPr="00004A3F">
              <w:rPr>
                <w:rFonts w:ascii="Times New Roman" w:hAnsi="Times New Roman" w:cs="Times New Roman"/>
                <w:noProof/>
                <w:sz w:val="16"/>
                <w:szCs w:val="16"/>
                <w:shd w:val="clear" w:color="auto" w:fill="FFFFFE"/>
              </w:rPr>
              <w:t>[23]</w:t>
            </w:r>
          </w:p>
        </w:tc>
        <w:tc>
          <w:tcPr>
            <w:tcW w:w="32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351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29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High 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9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9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37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91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90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65" w:type="pct"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67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90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60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</w:tr>
      <w:tr w:rsidR="00004A3F" w:rsidRPr="00004A3F" w:rsidTr="00004A3F">
        <w:tc>
          <w:tcPr>
            <w:tcW w:w="497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hAnsi="Times New Roman" w:cs="Times New Roman"/>
                <w:sz w:val="16"/>
                <w:szCs w:val="16"/>
                <w:shd w:val="clear" w:color="auto" w:fill="FFFFFE"/>
              </w:rPr>
              <w:t xml:space="preserve">Protect </w:t>
            </w:r>
            <w:r w:rsidRPr="00004A3F">
              <w:rPr>
                <w:rFonts w:ascii="Times New Roman" w:hAnsi="Times New Roman" w:cs="Times New Roman"/>
                <w:noProof/>
                <w:sz w:val="16"/>
                <w:szCs w:val="16"/>
                <w:shd w:val="clear" w:color="auto" w:fill="FFFFFE"/>
              </w:rPr>
              <w:t>[30]</w:t>
            </w:r>
          </w:p>
        </w:tc>
        <w:tc>
          <w:tcPr>
            <w:tcW w:w="32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351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29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High </w:t>
            </w:r>
          </w:p>
        </w:tc>
        <w:tc>
          <w:tcPr>
            <w:tcW w:w="264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29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92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63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37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291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90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65" w:type="pct"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67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90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60" w:type="pct"/>
            <w:shd w:val="clear" w:color="auto" w:fill="auto"/>
            <w:noWrap/>
            <w:hideMark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</w:tr>
      <w:tr w:rsidR="00004A3F" w:rsidRPr="00004A3F" w:rsidTr="00004A3F">
        <w:tc>
          <w:tcPr>
            <w:tcW w:w="497" w:type="pct"/>
            <w:shd w:val="clear" w:color="auto" w:fill="auto"/>
            <w:noWrap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E"/>
              </w:rPr>
            </w:pPr>
            <w:r w:rsidRPr="00004A3F">
              <w:rPr>
                <w:rFonts w:ascii="Times New Roman" w:hAnsi="Times New Roman" w:cs="Times New Roman"/>
                <w:sz w:val="16"/>
                <w:szCs w:val="16"/>
                <w:shd w:val="clear" w:color="auto" w:fill="FFFFFE"/>
              </w:rPr>
              <w:t xml:space="preserve">Guide-IT </w:t>
            </w:r>
            <w:r w:rsidRPr="00004A3F">
              <w:rPr>
                <w:rFonts w:ascii="Times New Roman" w:hAnsi="Times New Roman" w:cs="Times New Roman"/>
                <w:noProof/>
                <w:sz w:val="16"/>
                <w:szCs w:val="16"/>
                <w:shd w:val="clear" w:color="auto" w:fill="FFFFFE"/>
              </w:rPr>
              <w:t>[11]</w:t>
            </w:r>
          </w:p>
        </w:tc>
        <w:tc>
          <w:tcPr>
            <w:tcW w:w="322" w:type="pct"/>
            <w:shd w:val="clear" w:color="auto" w:fill="auto"/>
            <w:noWrap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351" w:type="pct"/>
            <w:shd w:val="clear" w:color="auto" w:fill="auto"/>
            <w:noWrap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63" w:type="pct"/>
            <w:shd w:val="clear" w:color="auto" w:fill="auto"/>
            <w:noWrap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293" w:type="pct"/>
            <w:shd w:val="clear" w:color="auto" w:fill="auto"/>
            <w:noWrap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263" w:type="pct"/>
            <w:shd w:val="clear" w:color="auto" w:fill="auto"/>
            <w:noWrap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High</w:t>
            </w:r>
          </w:p>
        </w:tc>
        <w:tc>
          <w:tcPr>
            <w:tcW w:w="264" w:type="pct"/>
            <w:shd w:val="clear" w:color="auto" w:fill="auto"/>
            <w:noWrap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92" w:type="pct"/>
            <w:shd w:val="clear" w:color="auto" w:fill="auto"/>
            <w:noWrap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92" w:type="pct"/>
            <w:shd w:val="clear" w:color="auto" w:fill="auto"/>
            <w:noWrap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63" w:type="pct"/>
            <w:shd w:val="clear" w:color="auto" w:fill="auto"/>
            <w:noWrap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37" w:type="pct"/>
            <w:shd w:val="clear" w:color="auto" w:fill="auto"/>
            <w:noWrap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91" w:type="pct"/>
            <w:shd w:val="clear" w:color="auto" w:fill="auto"/>
            <w:noWrap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90" w:type="pct"/>
            <w:shd w:val="clear" w:color="auto" w:fill="auto"/>
            <w:noWrap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65" w:type="pct"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67" w:type="pct"/>
            <w:shd w:val="clear" w:color="auto" w:fill="auto"/>
            <w:noWrap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Unclear</w:t>
            </w:r>
          </w:p>
        </w:tc>
        <w:tc>
          <w:tcPr>
            <w:tcW w:w="290" w:type="pct"/>
            <w:shd w:val="clear" w:color="auto" w:fill="auto"/>
            <w:noWrap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260" w:type="pct"/>
            <w:shd w:val="clear" w:color="auto" w:fill="auto"/>
            <w:noWrap/>
          </w:tcPr>
          <w:p w:rsidR="00004A3F" w:rsidRPr="00004A3F" w:rsidRDefault="00004A3F" w:rsidP="00B032D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4A3F">
              <w:rPr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</w:tr>
    </w:tbl>
    <w:p w:rsidR="00FC149E" w:rsidRPr="00827AEB" w:rsidRDefault="00FC149E" w:rsidP="00FC149E">
      <w:pPr>
        <w:spacing w:after="0" w:line="240" w:lineRule="auto"/>
        <w:ind w:left="-990"/>
        <w:rPr>
          <w:rFonts w:ascii="Times New Roman" w:hAnsi="Times New Roman" w:cs="Times New Roman"/>
          <w:sz w:val="18"/>
          <w:szCs w:val="18"/>
        </w:rPr>
      </w:pPr>
      <w:r w:rsidRPr="00827AEB">
        <w:rPr>
          <w:rFonts w:ascii="Times New Roman" w:eastAsia="Times New Roman" w:hAnsi="Times New Roman" w:cs="Times New Roman"/>
          <w:bCs/>
          <w:sz w:val="18"/>
          <w:szCs w:val="18"/>
          <w:vertAlign w:val="superscript"/>
        </w:rPr>
        <w:t>§</w:t>
      </w:r>
      <w:r w:rsidRPr="00827AEB">
        <w:rPr>
          <w:rFonts w:ascii="Times New Roman" w:eastAsia="Times New Roman" w:hAnsi="Times New Roman" w:cs="Times New Roman"/>
          <w:bCs/>
          <w:sz w:val="18"/>
          <w:szCs w:val="18"/>
        </w:rPr>
        <w:t xml:space="preserve"> Only trials that provided aggregate data were assessed for risk of bias from incomplete outcome data and selective outcome reporting</w:t>
      </w:r>
    </w:p>
    <w:p w:rsidR="00FC149E" w:rsidRPr="00827AEB" w:rsidRDefault="00FC149E" w:rsidP="00FC149E">
      <w:pPr>
        <w:spacing w:after="0" w:line="240" w:lineRule="auto"/>
        <w:ind w:left="-990"/>
        <w:rPr>
          <w:rFonts w:ascii="Times New Roman" w:hAnsi="Times New Roman" w:cs="Times New Roman"/>
          <w:sz w:val="18"/>
          <w:szCs w:val="18"/>
        </w:rPr>
      </w:pPr>
      <w:r w:rsidRPr="00827AEB">
        <w:rPr>
          <w:rFonts w:ascii="Times New Roman" w:hAnsi="Times New Roman" w:cs="Times New Roman"/>
          <w:sz w:val="18"/>
          <w:szCs w:val="18"/>
          <w:vertAlign w:val="superscript"/>
        </w:rPr>
        <w:t>*</w:t>
      </w:r>
      <w:r w:rsidRPr="00827AEB">
        <w:rPr>
          <w:rFonts w:ascii="Times New Roman" w:hAnsi="Times New Roman" w:cs="Times New Roman"/>
          <w:sz w:val="18"/>
          <w:szCs w:val="18"/>
        </w:rPr>
        <w:t xml:space="preserve">Death related to HF and death from any cardiovascular cause </w:t>
      </w:r>
      <w:r w:rsidRPr="00827AEB">
        <w:rPr>
          <w:rFonts w:ascii="Times New Roman" w:hAnsi="Times New Roman" w:cs="Times New Roman"/>
          <w:sz w:val="18"/>
          <w:szCs w:val="18"/>
          <w:vertAlign w:val="superscript"/>
        </w:rPr>
        <w:t>**</w:t>
      </w:r>
      <w:r w:rsidRPr="00827AEB">
        <w:rPr>
          <w:rFonts w:ascii="Times New Roman" w:hAnsi="Times New Roman" w:cs="Times New Roman"/>
          <w:sz w:val="18"/>
          <w:szCs w:val="18"/>
        </w:rPr>
        <w:t>All-cause hospital admission, hospital admission for HF, other serious adverse events</w:t>
      </w:r>
    </w:p>
    <w:p w:rsidR="00914ECC" w:rsidRDefault="00914ECC"/>
    <w:sectPr w:rsidR="00914ECC" w:rsidSect="00FC149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FC149E"/>
    <w:rsid w:val="00004A3F"/>
    <w:rsid w:val="00760C5D"/>
    <w:rsid w:val="00914ECC"/>
    <w:rsid w:val="00967C90"/>
    <w:rsid w:val="00C311B3"/>
    <w:rsid w:val="00FC1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4A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1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49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04A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4A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1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49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004A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379</Words>
  <Characters>2302</Characters>
  <Application>Microsoft Office Word</Application>
  <DocSecurity>0</DocSecurity>
  <Lines>74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GSABORDO</dc:creator>
  <cp:lastModifiedBy>WDESALES</cp:lastModifiedBy>
  <cp:revision>2</cp:revision>
  <dcterms:created xsi:type="dcterms:W3CDTF">2018-07-18T10:11:00Z</dcterms:created>
  <dcterms:modified xsi:type="dcterms:W3CDTF">2018-07-18T18:42:00Z</dcterms:modified>
</cp:coreProperties>
</file>