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16F" w:rsidRDefault="00CE1730" w:rsidP="00D2616F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Additional file 5</w:t>
      </w:r>
      <w:r w:rsidR="00CC3AFD">
        <w:rPr>
          <w:rFonts w:ascii="Times New Roman" w:hAnsi="Times New Roman" w:cs="Times New Roman"/>
          <w:b/>
          <w:sz w:val="28"/>
          <w:szCs w:val="28"/>
          <w:lang w:val="en-GB"/>
        </w:rPr>
        <w:t>. Funnel plots</w:t>
      </w:r>
      <w:r w:rsidR="006752B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Egger’s test for small study effects</w:t>
      </w:r>
    </w:p>
    <w:p w:rsidR="00D2616F" w:rsidRPr="00CC3AFD" w:rsidRDefault="00CC3AFD" w:rsidP="00D2616F">
      <w:pPr>
        <w:rPr>
          <w:rFonts w:ascii="Times New Roman" w:hAnsi="Times New Roman" w:cs="Times New Roman"/>
          <w:b/>
          <w:lang w:val="en-GB"/>
        </w:rPr>
      </w:pPr>
      <w:r w:rsidRPr="00CC3AFD">
        <w:rPr>
          <w:rFonts w:ascii="Times New Roman" w:hAnsi="Times New Roman" w:cs="Times New Roman"/>
          <w:b/>
          <w:lang w:val="en-GB"/>
        </w:rPr>
        <w:t xml:space="preserve">Figure </w:t>
      </w:r>
      <w:r w:rsidR="00E94C98">
        <w:rPr>
          <w:rFonts w:ascii="Times New Roman" w:hAnsi="Times New Roman" w:cs="Times New Roman"/>
          <w:b/>
          <w:lang w:val="en-GB"/>
        </w:rPr>
        <w:t>A</w:t>
      </w:r>
      <w:r w:rsidRPr="00CC3AFD">
        <w:rPr>
          <w:rFonts w:ascii="Times New Roman" w:hAnsi="Times New Roman" w:cs="Times New Roman"/>
          <w:b/>
          <w:lang w:val="en-GB"/>
        </w:rPr>
        <w:t>. M</w:t>
      </w:r>
      <w:r w:rsidR="00D304F5" w:rsidRPr="00CC3AFD">
        <w:rPr>
          <w:rFonts w:ascii="Times New Roman" w:hAnsi="Times New Roman" w:cs="Times New Roman"/>
          <w:b/>
          <w:lang w:val="en-GB"/>
        </w:rPr>
        <w:t>ortality</w:t>
      </w:r>
      <w:r w:rsidR="00D2616F" w:rsidRPr="00CC3AFD">
        <w:rPr>
          <w:rFonts w:ascii="Times New Roman" w:hAnsi="Times New Roman" w:cs="Times New Roman"/>
          <w:b/>
          <w:lang w:val="en-GB"/>
        </w:rPr>
        <w:t xml:space="preserve"> 30 days</w:t>
      </w:r>
      <w:r w:rsidRPr="00CC3AFD">
        <w:rPr>
          <w:rFonts w:ascii="Times New Roman" w:hAnsi="Times New Roman" w:cs="Times New Roman"/>
          <w:b/>
          <w:lang w:val="en-GB"/>
        </w:rPr>
        <w:t xml:space="preserve"> TAVI versus SAVR</w:t>
      </w:r>
    </w:p>
    <w:p w:rsidR="00D2616F" w:rsidRPr="00D304F5" w:rsidRDefault="00D304F5" w:rsidP="00D304F5">
      <w:pPr>
        <w:rPr>
          <w:lang w:val="en-GB"/>
        </w:rPr>
      </w:pPr>
      <w:r w:rsidRPr="00D304F5">
        <w:rPr>
          <w:noProof/>
          <w:lang w:val="en-US"/>
        </w:rPr>
        <w:drawing>
          <wp:inline distT="0" distB="0" distL="0" distR="0" wp14:anchorId="6ED44B77" wp14:editId="615FFB68">
            <wp:extent cx="5112385" cy="37407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FD" w:rsidRPr="007F1B36" w:rsidRDefault="00CC3AFD" w:rsidP="00CC3AFD">
      <w:pPr>
        <w:pStyle w:val="StandardWeb"/>
        <w:spacing w:before="0" w:beforeAutospacing="0" w:after="0" w:afterAutospacing="0"/>
        <w:contextualSpacing/>
        <w:rPr>
          <w:color w:val="000000"/>
          <w:sz w:val="18"/>
          <w:szCs w:val="18"/>
          <w:lang w:val="en-GB"/>
        </w:rPr>
      </w:pPr>
      <w:r w:rsidRPr="00CC3AFD">
        <w:rPr>
          <w:b/>
          <w:bCs/>
          <w:color w:val="000000"/>
          <w:sz w:val="18"/>
          <w:szCs w:val="18"/>
          <w:lang w:val="en-GB"/>
        </w:rPr>
        <w:t xml:space="preserve">Abbreviations: </w:t>
      </w:r>
      <w:r w:rsidRPr="007F1B36">
        <w:rPr>
          <w:bCs/>
          <w:color w:val="000000"/>
          <w:sz w:val="18"/>
          <w:szCs w:val="18"/>
          <w:lang w:val="en-GB"/>
        </w:rPr>
        <w:t>CI =</w:t>
      </w:r>
      <w:r w:rsidRPr="007F1B36">
        <w:rPr>
          <w:color w:val="000000"/>
          <w:sz w:val="18"/>
          <w:szCs w:val="18"/>
          <w:lang w:val="en-GB"/>
        </w:rPr>
        <w:t xml:space="preserve"> Confidence interval;</w:t>
      </w:r>
      <w:r w:rsidRPr="007F1B36">
        <w:rPr>
          <w:noProof/>
          <w:sz w:val="18"/>
          <w:szCs w:val="18"/>
          <w:lang w:val="en-GB"/>
        </w:rPr>
        <w:t xml:space="preserve"> </w:t>
      </w:r>
      <w:r>
        <w:rPr>
          <w:noProof/>
          <w:sz w:val="18"/>
          <w:szCs w:val="18"/>
          <w:lang w:val="en-GB"/>
        </w:rPr>
        <w:t xml:space="preserve">RCT = Randomized controlled trial; </w:t>
      </w:r>
      <w:r w:rsidRPr="007F1B36">
        <w:rPr>
          <w:noProof/>
          <w:sz w:val="18"/>
          <w:szCs w:val="18"/>
          <w:lang w:val="en-GB"/>
        </w:rPr>
        <w:t>SAVR = Su</w:t>
      </w:r>
      <w:r>
        <w:rPr>
          <w:noProof/>
          <w:sz w:val="18"/>
          <w:szCs w:val="18"/>
          <w:lang w:val="en-GB"/>
        </w:rPr>
        <w:t xml:space="preserve">rgical aortic valve replacement; </w:t>
      </w:r>
      <w:r w:rsidRPr="007F1B36">
        <w:rPr>
          <w:noProof/>
          <w:sz w:val="18"/>
          <w:szCs w:val="18"/>
          <w:lang w:val="en-GB"/>
        </w:rPr>
        <w:t>TAVI = Transcatheter-aoritc valve replacment</w:t>
      </w:r>
    </w:p>
    <w:p w:rsidR="004B136B" w:rsidRDefault="004B136B" w:rsidP="00CC3AFD">
      <w:pPr>
        <w:pStyle w:val="berschrift4"/>
        <w:spacing w:before="0" w:beforeAutospacing="0" w:after="0" w:afterAutospacing="0"/>
        <w:contextualSpacing/>
        <w:rPr>
          <w:rFonts w:eastAsia="Times New Roman"/>
          <w:color w:val="000000"/>
          <w:sz w:val="18"/>
          <w:szCs w:val="18"/>
          <w:lang w:val="en-GB"/>
        </w:rPr>
      </w:pPr>
    </w:p>
    <w:p w:rsidR="006752B0" w:rsidRDefault="006752B0" w:rsidP="00CC3AFD">
      <w:pPr>
        <w:pStyle w:val="berschrift4"/>
        <w:spacing w:before="0" w:beforeAutospacing="0" w:after="0" w:afterAutospacing="0"/>
        <w:contextualSpacing/>
        <w:rPr>
          <w:rFonts w:eastAsia="Times New Roman"/>
          <w:color w:val="000000"/>
          <w:sz w:val="18"/>
          <w:szCs w:val="18"/>
          <w:lang w:val="en-GB"/>
        </w:rPr>
      </w:pPr>
    </w:p>
    <w:p w:rsidR="006752B0" w:rsidRDefault="006752B0" w:rsidP="00CC3AFD">
      <w:pPr>
        <w:pStyle w:val="berschrift4"/>
        <w:spacing w:before="0" w:beforeAutospacing="0" w:after="0" w:afterAutospacing="0"/>
        <w:contextualSpacing/>
        <w:rPr>
          <w:rFonts w:eastAsia="Times New Roman"/>
          <w:color w:val="000000"/>
          <w:sz w:val="18"/>
          <w:szCs w:val="18"/>
          <w:lang w:val="en-GB"/>
        </w:rPr>
      </w:pPr>
    </w:p>
    <w:p w:rsidR="006752B0" w:rsidRDefault="006752B0" w:rsidP="00CC3AFD">
      <w:pPr>
        <w:pStyle w:val="berschrift4"/>
        <w:spacing w:before="0" w:beforeAutospacing="0" w:after="0" w:afterAutospacing="0"/>
        <w:contextualSpacing/>
        <w:rPr>
          <w:rFonts w:eastAsia="Times New Roman"/>
          <w:color w:val="000000"/>
          <w:sz w:val="18"/>
          <w:szCs w:val="18"/>
          <w:lang w:val="en-GB"/>
        </w:rPr>
      </w:pPr>
      <w:r w:rsidRPr="006752B0">
        <w:rPr>
          <w:rFonts w:eastAsia="Times New Roman"/>
          <w:noProof/>
          <w:color w:val="000000"/>
          <w:sz w:val="18"/>
          <w:szCs w:val="18"/>
          <w:lang w:val="en-US" w:eastAsia="en-US"/>
        </w:rPr>
        <w:drawing>
          <wp:inline distT="0" distB="0" distL="0" distR="0">
            <wp:extent cx="6188710" cy="1648751"/>
            <wp:effectExtent l="0" t="0" r="0" b="889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4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B0" w:rsidRPr="00DB6706" w:rsidRDefault="006752B0" w:rsidP="00CC3AFD">
      <w:pPr>
        <w:pStyle w:val="berschrift4"/>
        <w:spacing w:before="0" w:beforeAutospacing="0" w:after="0" w:afterAutospacing="0"/>
        <w:contextualSpacing/>
        <w:rPr>
          <w:rFonts w:eastAsia="Times New Roman"/>
          <w:color w:val="000000"/>
          <w:sz w:val="18"/>
          <w:szCs w:val="18"/>
          <w:lang w:val="en-GB"/>
        </w:rPr>
      </w:pPr>
    </w:p>
    <w:p w:rsidR="006F25C3" w:rsidRDefault="006F25C3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BF5082" w:rsidRDefault="00BF5082" w:rsidP="00D2616F">
      <w:pPr>
        <w:rPr>
          <w:rFonts w:ascii="Times New Roman" w:hAnsi="Times New Roman" w:cs="Times New Roman"/>
          <w:b/>
          <w:lang w:val="en-GB"/>
        </w:rPr>
      </w:pPr>
    </w:p>
    <w:p w:rsidR="00D2616F" w:rsidRPr="00D304F5" w:rsidRDefault="00CC3AFD" w:rsidP="00D2616F">
      <w:pPr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GB"/>
        </w:rPr>
        <w:t xml:space="preserve">Figure </w:t>
      </w:r>
      <w:r w:rsidR="00E94C98">
        <w:rPr>
          <w:rFonts w:ascii="Times New Roman" w:hAnsi="Times New Roman" w:cs="Times New Roman"/>
          <w:b/>
          <w:lang w:val="en-GB"/>
        </w:rPr>
        <w:t>B</w:t>
      </w:r>
      <w:r>
        <w:rPr>
          <w:rFonts w:ascii="Times New Roman" w:hAnsi="Times New Roman" w:cs="Times New Roman"/>
          <w:b/>
          <w:lang w:val="en-GB"/>
        </w:rPr>
        <w:t xml:space="preserve">. Mortality </w:t>
      </w:r>
      <w:r w:rsidR="00D2616F" w:rsidRPr="00D304F5">
        <w:rPr>
          <w:rFonts w:ascii="Times New Roman" w:hAnsi="Times New Roman" w:cs="Times New Roman"/>
          <w:b/>
          <w:lang w:val="en-GB"/>
        </w:rPr>
        <w:t>1 year</w:t>
      </w:r>
      <w:r>
        <w:rPr>
          <w:rFonts w:ascii="Times New Roman" w:hAnsi="Times New Roman" w:cs="Times New Roman"/>
          <w:b/>
          <w:lang w:val="en-GB"/>
        </w:rPr>
        <w:t xml:space="preserve"> TAVI versus SAVR</w:t>
      </w:r>
    </w:p>
    <w:p w:rsidR="00D2616F" w:rsidRDefault="004B136B" w:rsidP="00D2616F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112385" cy="374078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FD" w:rsidRDefault="00CC3AFD" w:rsidP="004B136B">
      <w:pPr>
        <w:pStyle w:val="StandardWeb"/>
        <w:spacing w:before="0" w:beforeAutospacing="0" w:after="0" w:afterAutospacing="0"/>
        <w:contextualSpacing/>
        <w:rPr>
          <w:noProof/>
          <w:sz w:val="18"/>
          <w:szCs w:val="18"/>
          <w:lang w:val="en-GB"/>
        </w:rPr>
      </w:pPr>
      <w:r w:rsidRPr="00CC3AFD">
        <w:rPr>
          <w:b/>
          <w:bCs/>
          <w:color w:val="000000"/>
          <w:sz w:val="18"/>
          <w:szCs w:val="18"/>
          <w:lang w:val="en-GB"/>
        </w:rPr>
        <w:t xml:space="preserve">Abbreviations: </w:t>
      </w:r>
      <w:r w:rsidRPr="007F1B36">
        <w:rPr>
          <w:bCs/>
          <w:color w:val="000000"/>
          <w:sz w:val="18"/>
          <w:szCs w:val="18"/>
          <w:lang w:val="en-GB"/>
        </w:rPr>
        <w:t>CI =</w:t>
      </w:r>
      <w:r w:rsidRPr="007F1B36">
        <w:rPr>
          <w:color w:val="000000"/>
          <w:sz w:val="18"/>
          <w:szCs w:val="18"/>
          <w:lang w:val="en-GB"/>
        </w:rPr>
        <w:t xml:space="preserve"> Confidence interval;</w:t>
      </w:r>
      <w:r w:rsidRPr="007F1B36">
        <w:rPr>
          <w:noProof/>
          <w:sz w:val="18"/>
          <w:szCs w:val="18"/>
          <w:lang w:val="en-GB"/>
        </w:rPr>
        <w:t xml:space="preserve"> </w:t>
      </w:r>
      <w:r>
        <w:rPr>
          <w:noProof/>
          <w:sz w:val="18"/>
          <w:szCs w:val="18"/>
          <w:lang w:val="en-GB"/>
        </w:rPr>
        <w:t xml:space="preserve">RCT = Randomized controlled trial; </w:t>
      </w:r>
      <w:r w:rsidRPr="007F1B36">
        <w:rPr>
          <w:noProof/>
          <w:sz w:val="18"/>
          <w:szCs w:val="18"/>
          <w:lang w:val="en-GB"/>
        </w:rPr>
        <w:t>SAVR = Su</w:t>
      </w:r>
      <w:r>
        <w:rPr>
          <w:noProof/>
          <w:sz w:val="18"/>
          <w:szCs w:val="18"/>
          <w:lang w:val="en-GB"/>
        </w:rPr>
        <w:t xml:space="preserve">rgical aortic valve replacement; </w:t>
      </w:r>
      <w:r w:rsidRPr="007F1B36">
        <w:rPr>
          <w:noProof/>
          <w:sz w:val="18"/>
          <w:szCs w:val="18"/>
          <w:lang w:val="en-GB"/>
        </w:rPr>
        <w:t>TAVI = Transcatheter-aoritc valve replacment</w:t>
      </w:r>
    </w:p>
    <w:p w:rsidR="001A6E5D" w:rsidRDefault="001A6E5D" w:rsidP="004B136B">
      <w:pPr>
        <w:pStyle w:val="StandardWeb"/>
        <w:spacing w:before="0" w:beforeAutospacing="0" w:after="0" w:afterAutospacing="0"/>
        <w:contextualSpacing/>
        <w:rPr>
          <w:noProof/>
          <w:sz w:val="18"/>
          <w:szCs w:val="18"/>
          <w:lang w:val="en-GB"/>
        </w:rPr>
      </w:pPr>
    </w:p>
    <w:p w:rsidR="001A6E5D" w:rsidRDefault="001A6E5D" w:rsidP="004B136B">
      <w:pPr>
        <w:pStyle w:val="StandardWeb"/>
        <w:spacing w:before="0" w:beforeAutospacing="0" w:after="0" w:afterAutospacing="0"/>
        <w:contextualSpacing/>
        <w:rPr>
          <w:noProof/>
          <w:sz w:val="18"/>
          <w:szCs w:val="18"/>
          <w:lang w:val="en-GB"/>
        </w:rPr>
      </w:pPr>
    </w:p>
    <w:p w:rsidR="001A6E5D" w:rsidRPr="00CC3AFD" w:rsidRDefault="001A6E5D" w:rsidP="004B136B">
      <w:pPr>
        <w:pStyle w:val="StandardWeb"/>
        <w:spacing w:before="0" w:beforeAutospacing="0" w:after="0" w:afterAutospacing="0"/>
        <w:contextualSpacing/>
        <w:rPr>
          <w:lang w:val="en-GB"/>
        </w:rPr>
      </w:pPr>
      <w:r w:rsidRPr="001A6E5D">
        <w:rPr>
          <w:noProof/>
          <w:lang w:val="en-US" w:eastAsia="en-US"/>
        </w:rPr>
        <w:drawing>
          <wp:inline distT="0" distB="0" distL="0" distR="0">
            <wp:extent cx="6188710" cy="1771572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7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E5D" w:rsidRPr="00CC3AFD" w:rsidSect="00D2616F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6F"/>
    <w:rsid w:val="001A6E5D"/>
    <w:rsid w:val="003D5B0F"/>
    <w:rsid w:val="004A6515"/>
    <w:rsid w:val="004B136B"/>
    <w:rsid w:val="005155D5"/>
    <w:rsid w:val="006752B0"/>
    <w:rsid w:val="006F25C3"/>
    <w:rsid w:val="006F2D0F"/>
    <w:rsid w:val="00790F3C"/>
    <w:rsid w:val="00BF5082"/>
    <w:rsid w:val="00C21696"/>
    <w:rsid w:val="00CC3AFD"/>
    <w:rsid w:val="00CE1730"/>
    <w:rsid w:val="00D2616F"/>
    <w:rsid w:val="00D304F5"/>
    <w:rsid w:val="00E94C98"/>
    <w:rsid w:val="00F1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49BCB"/>
  <w15:docId w15:val="{F7837066-6E98-4C1D-AE01-1B3F96D0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link w:val="berschrift4Zchn"/>
    <w:uiPriority w:val="9"/>
    <w:qFormat/>
    <w:rsid w:val="00CC3AFD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16F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C3AFD"/>
    <w:rPr>
      <w:rFonts w:ascii="Times New Roman" w:eastAsiaTheme="minorEastAsia" w:hAnsi="Times New Roman" w:cs="Times New Roman"/>
      <w:b/>
      <w:bCs/>
      <w:sz w:val="24"/>
      <w:szCs w:val="24"/>
      <w:lang w:eastAsia="de-AT"/>
    </w:rPr>
  </w:style>
  <w:style w:type="paragraph" w:styleId="StandardWeb">
    <w:name w:val="Normal (Web)"/>
    <w:basedOn w:val="Standard"/>
    <w:uiPriority w:val="99"/>
    <w:unhideWhenUsed/>
    <w:rsid w:val="00CC3A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GerWagner</dc:creator>
  <cp:lastModifiedBy>Wagner Gernot</cp:lastModifiedBy>
  <cp:revision>4</cp:revision>
  <dcterms:created xsi:type="dcterms:W3CDTF">2018-10-31T07:55:00Z</dcterms:created>
  <dcterms:modified xsi:type="dcterms:W3CDTF">2018-11-01T10:57:00Z</dcterms:modified>
</cp:coreProperties>
</file>