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BB0" w:rsidRPr="00AB3BB0" w:rsidRDefault="00B73D47" w:rsidP="00AB3BB0">
      <w:pPr>
        <w:pStyle w:val="Caption"/>
        <w:keepNext/>
        <w:rPr>
          <w:rFonts w:ascii="Times New Roman" w:hAnsi="Times New Roman" w:cs="Times New Roman"/>
          <w:i w:val="0"/>
          <w:color w:val="auto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i w:val="0"/>
          <w:color w:val="auto"/>
          <w:sz w:val="22"/>
          <w:szCs w:val="22"/>
        </w:rPr>
        <w:t>Additional file 3</w:t>
      </w:r>
      <w:r w:rsidR="00AB3BB0" w:rsidRPr="00AB3BB0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Description of studies included in the review</w:t>
      </w:r>
      <w:r w:rsidR="00AB3BB0" w:rsidRPr="00AB3BB0">
        <w:rPr>
          <w:rFonts w:ascii="Times New Roman" w:hAnsi="Times New Roman" w:cs="Times New Roman"/>
          <w:i w:val="0"/>
          <w:color w:val="auto"/>
          <w:sz w:val="22"/>
          <w:szCs w:val="22"/>
        </w:rPr>
        <w:tab/>
      </w:r>
    </w:p>
    <w:tbl>
      <w:tblPr>
        <w:tblStyle w:val="TableGrid"/>
        <w:tblW w:w="15180" w:type="dxa"/>
        <w:tblInd w:w="-972" w:type="dxa"/>
        <w:tblLook w:val="04A0" w:firstRow="1" w:lastRow="0" w:firstColumn="1" w:lastColumn="0" w:noHBand="0" w:noVBand="1"/>
      </w:tblPr>
      <w:tblGrid>
        <w:gridCol w:w="630"/>
        <w:gridCol w:w="1231"/>
        <w:gridCol w:w="1156"/>
        <w:gridCol w:w="1693"/>
        <w:gridCol w:w="2130"/>
        <w:gridCol w:w="5535"/>
        <w:gridCol w:w="2805"/>
      </w:tblGrid>
      <w:tr w:rsidR="00AB3BB0" w:rsidRPr="008B08A3" w:rsidTr="00AB3BB0">
        <w:trPr>
          <w:trHeight w:val="467"/>
        </w:trPr>
        <w:tc>
          <w:tcPr>
            <w:tcW w:w="630" w:type="dxa"/>
          </w:tcPr>
          <w:p w:rsidR="00AB3BB0" w:rsidRPr="008B08A3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</w:tcPr>
          <w:p w:rsidR="00AB3BB0" w:rsidRPr="008B08A3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8B08A3">
              <w:rPr>
                <w:rFonts w:ascii="Times New Roman" w:hAnsi="Times New Roman" w:cs="Times New Roman"/>
              </w:rPr>
              <w:t xml:space="preserve">Authors and Year </w:t>
            </w:r>
          </w:p>
        </w:tc>
        <w:tc>
          <w:tcPr>
            <w:tcW w:w="1156" w:type="dxa"/>
          </w:tcPr>
          <w:p w:rsidR="00AB3BB0" w:rsidRPr="008B08A3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8B08A3">
              <w:rPr>
                <w:rFonts w:ascii="Times New Roman" w:hAnsi="Times New Roman" w:cs="Times New Roman"/>
              </w:rPr>
              <w:t>Country</w:t>
            </w:r>
          </w:p>
        </w:tc>
        <w:tc>
          <w:tcPr>
            <w:tcW w:w="1693" w:type="dxa"/>
          </w:tcPr>
          <w:p w:rsidR="00AB3BB0" w:rsidRPr="008B08A3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8B08A3">
              <w:rPr>
                <w:rFonts w:ascii="Times New Roman" w:hAnsi="Times New Roman" w:cs="Times New Roman"/>
              </w:rPr>
              <w:t>Sample characteristics</w:t>
            </w:r>
          </w:p>
        </w:tc>
        <w:tc>
          <w:tcPr>
            <w:tcW w:w="2130" w:type="dxa"/>
          </w:tcPr>
          <w:p w:rsidR="00AB3BB0" w:rsidRPr="008B08A3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8B08A3">
              <w:rPr>
                <w:rFonts w:ascii="Times New Roman" w:hAnsi="Times New Roman" w:cs="Times New Roman"/>
              </w:rPr>
              <w:t xml:space="preserve">Tools </w:t>
            </w:r>
          </w:p>
        </w:tc>
        <w:tc>
          <w:tcPr>
            <w:tcW w:w="5535" w:type="dxa"/>
          </w:tcPr>
          <w:p w:rsidR="00AB3BB0" w:rsidRPr="008B08A3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8B08A3">
              <w:rPr>
                <w:rFonts w:ascii="Times New Roman" w:hAnsi="Times New Roman" w:cs="Times New Roman"/>
              </w:rPr>
              <w:t xml:space="preserve">Prevalence and risk factors </w:t>
            </w:r>
          </w:p>
        </w:tc>
        <w:tc>
          <w:tcPr>
            <w:tcW w:w="2805" w:type="dxa"/>
          </w:tcPr>
          <w:p w:rsidR="00AB3BB0" w:rsidRPr="00E83979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E83979">
              <w:rPr>
                <w:rFonts w:ascii="Times New Roman" w:hAnsi="Times New Roman" w:cs="Times New Roman"/>
              </w:rPr>
              <w:t>Weakness of study</w:t>
            </w:r>
          </w:p>
        </w:tc>
      </w:tr>
      <w:tr w:rsidR="00AB3BB0" w:rsidRPr="006869F7" w:rsidTr="00AB3BB0">
        <w:trPr>
          <w:trHeight w:val="2843"/>
        </w:trPr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Agartha et al. (2012)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Uganda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633 female university students</w:t>
            </w:r>
          </w:p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(18-24 years) selected using simple random sampling technique among </w:t>
            </w:r>
          </w:p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</w:t>
            </w:r>
          </w:p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prevalence of physical, psychological and sexual violence was 7.40%, 26.10% and 31.10% respectively.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Females who perceived exposure to threat</w:t>
            </w:r>
            <w:r>
              <w:rPr>
                <w:rFonts w:ascii="Times New Roman" w:hAnsi="Times New Roman" w:cs="Times New Roman"/>
              </w:rPr>
              <w:t>s</w:t>
            </w:r>
            <w:r w:rsidRPr="006869F7">
              <w:rPr>
                <w:rFonts w:ascii="Times New Roman" w:hAnsi="Times New Roman" w:cs="Times New Roman"/>
              </w:rPr>
              <w:t xml:space="preserve"> o</w:t>
            </w:r>
            <w:r>
              <w:rPr>
                <w:rFonts w:ascii="Times New Roman" w:hAnsi="Times New Roman" w:cs="Times New Roman"/>
              </w:rPr>
              <w:t>f</w:t>
            </w:r>
            <w:r w:rsidRPr="006869F7">
              <w:rPr>
                <w:rFonts w:ascii="Times New Roman" w:hAnsi="Times New Roman" w:cs="Times New Roman"/>
              </w:rPr>
              <w:t xml:space="preserve"> physical violence were significantly associated with experience of sexual coercion [AOR=2.20, 95%CI 1.60-3.0; AOR, 95%CI=1.03-2.80, respectively]. Frequent alcohol consumption was more likely</w:t>
            </w:r>
            <w:r>
              <w:rPr>
                <w:rFonts w:ascii="Times New Roman" w:hAnsi="Times New Roman" w:cs="Times New Roman"/>
              </w:rPr>
              <w:t xml:space="preserve"> to be</w:t>
            </w:r>
            <w:r w:rsidRPr="006869F7">
              <w:rPr>
                <w:rFonts w:ascii="Times New Roman" w:hAnsi="Times New Roman" w:cs="Times New Roman"/>
              </w:rPr>
              <w:t xml:space="preserve"> associated with sexual coercion, threat</w:t>
            </w:r>
            <w:r>
              <w:rPr>
                <w:rFonts w:ascii="Times New Roman" w:hAnsi="Times New Roman" w:cs="Times New Roman"/>
              </w:rPr>
              <w:t>s</w:t>
            </w:r>
            <w:r w:rsidRPr="006869F7">
              <w:rPr>
                <w:rFonts w:ascii="Times New Roman" w:hAnsi="Times New Roman" w:cs="Times New Roman"/>
              </w:rPr>
              <w:t xml:space="preserve"> of violence and physical violence [AOR=1.80; 95%CI=1.0-3.20; AOR=2.20; 95%CI=1.30-3.70, AOR=1.90, 95%CI=1.10-3.20 respectively]. </w:t>
            </w:r>
          </w:p>
        </w:tc>
        <w:tc>
          <w:tcPr>
            <w:tcW w:w="2805" w:type="dxa"/>
          </w:tcPr>
          <w:p w:rsidR="00AB3BB0" w:rsidRPr="007B6D6F" w:rsidRDefault="00AB3BB0" w:rsidP="000E6FCA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ind w:left="237" w:hanging="180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Nothing is known about the frequency/situational aspects of violence, where the violence took place, the identity of perpetrators and severity or threat of vi</w:t>
            </w:r>
            <w:r w:rsidR="000E6FCA">
              <w:rPr>
                <w:rFonts w:ascii="Times New Roman" w:hAnsi="Times New Roman" w:cs="Times New Roman"/>
              </w:rPr>
              <w:t xml:space="preserve">olence to which the respondents </w:t>
            </w:r>
            <w:r w:rsidRPr="006869F7">
              <w:rPr>
                <w:rFonts w:ascii="Times New Roman" w:hAnsi="Times New Roman" w:cs="Times New Roman"/>
              </w:rPr>
              <w:t>were exposed.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Ajuwonet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al. (2006)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Nigeria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297 female students (10-24 years) selected by simple random sampling among secondary school students.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DHS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prevalence of lifetime sexual coercion was 35%. State [</w:t>
            </w:r>
            <w:proofErr w:type="spellStart"/>
            <w:r w:rsidRPr="006869F7">
              <w:rPr>
                <w:rFonts w:ascii="Times New Roman" w:hAnsi="Times New Roman" w:cs="Times New Roman"/>
              </w:rPr>
              <w:t>Baunchi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AOR=2.26; 95%CI=1.63-5.63, </w:t>
            </w:r>
            <w:proofErr w:type="spellStart"/>
            <w:r w:rsidRPr="006869F7">
              <w:rPr>
                <w:rFonts w:ascii="Times New Roman" w:hAnsi="Times New Roman" w:cs="Times New Roman"/>
              </w:rPr>
              <w:t>Borno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AOR =5.66; 95%CI 3.33-9.90], and having a boyfriend 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[AOR=4.19; 95%CI 2.83-6.40] were factors making it more likely that students experienced sexual coercion whereas religion [Islam AOR= 0.35; 95%CI 0.16-6.7], Christianity [AOR= 0.77; 95%CI 0.36-1.45)), living with both parents [AOR= 0.56; 95%CI 0.33-1.03] and living with one parent [AOR= 0.47; 95%CI 0.22-1.27] were factors making it less likely students experienced sexual coercion.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9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Relatively small sample size.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Anderson et al. (2012)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10 southern African countries.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25,840 females (11-16 years) selected using simple random sampling technique 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School Based Health Survey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prevalence of lifetime experience of sexual violence was 28.80%. Age group 11-13 years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 xml:space="preserve">[AOR=1.71;95%CI 1.52-1.92], </w:t>
            </w:r>
            <w:r w:rsidR="00AB7E65">
              <w:rPr>
                <w:rFonts w:ascii="Times New Roman" w:hAnsi="Times New Roman" w:cs="Times New Roman"/>
              </w:rPr>
              <w:t xml:space="preserve">having </w:t>
            </w:r>
            <w:r w:rsidRPr="006869F7">
              <w:rPr>
                <w:rFonts w:ascii="Times New Roman" w:hAnsi="Times New Roman" w:cs="Times New Roman"/>
              </w:rPr>
              <w:t>enough food to last a week in house [AOR=1.51;95%CI 1.35-1.69], a higher proportion of students reporting experiencing sexual violence [AOR=1.84;95%CI 1.61-2.11], a higher proportion of students reporting perpetration of sexual violence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[AOR=1.48;95%CI 1.29-1.70] and drinking alcohol [AOR=1.31;95%CI 1.15-1.49] were factors which increased the risk of experiencing lifetime sexual violence.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8"/>
              </w:numPr>
              <w:ind w:left="14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study could not establish causality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Markos et </w:t>
            </w:r>
            <w:r w:rsidRPr="006869F7">
              <w:rPr>
                <w:rFonts w:ascii="Times New Roman" w:hAnsi="Times New Roman" w:cs="Times New Roman"/>
              </w:rPr>
              <w:lastRenderedPageBreak/>
              <w:t>al.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(2014)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Ethiopia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207 female high </w:t>
            </w:r>
            <w:r w:rsidRPr="006869F7">
              <w:rPr>
                <w:rFonts w:ascii="Times New Roman" w:hAnsi="Times New Roman" w:cs="Times New Roman"/>
              </w:rPr>
              <w:lastRenderedPageBreak/>
              <w:t xml:space="preserve">school students (18-24 years) selected using simple random sampling 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 xml:space="preserve">self-administered </w:t>
            </w:r>
            <w:r w:rsidRPr="006869F7">
              <w:rPr>
                <w:rFonts w:ascii="Times New Roman" w:hAnsi="Times New Roman" w:cs="Times New Roman"/>
              </w:rPr>
              <w:lastRenderedPageBreak/>
              <w:t>questions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 xml:space="preserve">The prevalence of lifetime sexual violence was 25.0%. </w:t>
            </w:r>
            <w:r w:rsidRPr="006869F7">
              <w:rPr>
                <w:rFonts w:ascii="Times New Roman" w:hAnsi="Times New Roman" w:cs="Times New Roman"/>
              </w:rPr>
              <w:lastRenderedPageBreak/>
              <w:t>Living alone [AOR=4.70; 95%CI 1.0-2.40], living with others [AOR=3.90; 95%CI 1.30-12.0], being in grade 9-10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[AOR=2.70; 95%CI1.20-6.0] and having a boyfriend or girlfriend [AOR=2.70, 95%CI 1.60-4.80] were predictors of sexual violence.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7"/>
              </w:numPr>
              <w:pBdr>
                <w:bottom w:val="single" w:sz="4" w:space="1" w:color="auto"/>
              </w:pBd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 xml:space="preserve">Relatively small sample </w:t>
            </w:r>
            <w:r w:rsidRPr="006869F7">
              <w:rPr>
                <w:rFonts w:ascii="Times New Roman" w:hAnsi="Times New Roman" w:cs="Times New Roman"/>
              </w:rPr>
              <w:lastRenderedPageBreak/>
              <w:t>size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7"/>
              </w:numPr>
              <w:pBdr>
                <w:bottom w:val="single" w:sz="4" w:space="1" w:color="auto"/>
              </w:pBd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Social desirability bias and recall bias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7"/>
              </w:numPr>
              <w:pBdr>
                <w:bottom w:val="single" w:sz="4" w:space="1" w:color="auto"/>
              </w:pBd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Difficult to establish cause and effect relationship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Oheneet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al.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(2015)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Ghana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908 females (12-18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years) selected using simple random sampling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WHO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(GSHS)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prevalence of lifetime sexual and physical violence was 27.50% and 39.10% respectively. Sexual practice with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[AOR=2.43;95%CI1.55-3.81] or without [AOR=2.51;95%CI 1.60-3.90] condom use at recent sex, being a victim of bullying [AOR=1.56;95%CI 1.12-2.17], and being cyber bullied [AOR=1.58;95%CI 1.10-2.27] were factors significantly associated with sexual violence victimization whereas friends not being sexually active [AOR=0.53;95%CI 0.34-0.84] and parental monitoring [AOR=0.82;95%CI 0.66-1.00] were protective factors. Alcohol consumption [AOR=2.25; 95%CI 1.2-4.20], attempting suicide [AOR=2.10; 95%CI 1.25-3.54 and bullying others [AOR=1.96; 95%CI 1.55-2.45] were contributing factors for physical violence victimization whereas parent’s respect for privacy [AOR=0.83; 95%CI 0.69-1.00] was a protective factor.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2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The findings are not generalized to out- school youths.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2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study is based on self-reporting which may lead to under-reporting of sexual violence due to its sensitive nature, a factor which cannot be excluded.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2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context and mechanism of violence victimization were beyond the scope of the study. It is difficult to establish a cause and effect relationship due to cross-sectional study design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Wandera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et al.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(2017)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Uganda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1937 female (10-15 years and above) high school students selected using simple random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WHO 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lifetime and current prevalence of physical violence was 28.20% and 9.30% respectively. The lifetime and current prevalence of emotional violence was 31.60% and 15.30% respectively. The lifetime and current prevalence of sexual violence was 4.30% and 1.30% respectively. The overall lifetime and current prevalence of GBV was 46.00% and 21.20% respectively. Being older [AOR=0.86;95%CI 0.82-0.91] was a factor less likely to be associated with physical violence, not living with biological parents [AOR=1.17;95%CI 1-10.38], children who shared a sleeping area with one adult [AOR=1.23;1.01=1.50], ever worked for payment [AOR=1.28;95CI 1.07-1.53], having attitude supporting violence from school scores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lastRenderedPageBreak/>
              <w:t>[AOR=1.03;95%CI 1.00-1.05],</w:t>
            </w:r>
            <w:r w:rsidR="00AB7E65"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exposure to interpersonal violence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[AOR=1.92;95%CI 1.62-2.27], having a high educational performance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[AOR=1.36;95%CI 1.05-1.77] and having a higher SDQ score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[AOR=1.05;95%CI 1.03-1.06) were factors associated with lifetime physical violence victimization.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factors associated with emotional victimization were not living with biological parents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[AOR=1.22;95CI1.04-1.41], walking alone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[AOR=1.68; 95% 1.06-2.66] or with someone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[AOR=1.83;95%CI 1.17-2.86] to school, reporting disability[AOR=1.34;95CI 1.02-1.76], eating one meal only on the previous day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[AOR=1.26;95% 1.01-1.57],</w:t>
            </w:r>
            <w:r w:rsidR="00AB7E65"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having ever worked for payment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[AOR=1.36;95%CI 1.15-1.62], having a supportive attitude from school staff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[AOR=1.04;95%CI 1.02-1.06],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exposure to interpersonal violence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[AOR=1.29;95%CI 1.09-1.52] and SDQ score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[AOR=1.05;95%CI 1.03-1.07]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3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 xml:space="preserve">The violence measured is perpetrated by peers. Researchers </w:t>
            </w:r>
            <w:r w:rsidR="00AB7E65">
              <w:rPr>
                <w:rFonts w:ascii="Times New Roman" w:hAnsi="Times New Roman" w:cs="Times New Roman"/>
              </w:rPr>
              <w:t>did not</w:t>
            </w:r>
            <w:r w:rsidR="00AB7E65" w:rsidRPr="006869F7"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assess the power relationship between perpetrators and victims. It is not representative.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3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Under-reporting and it was unable to establish the relationship between violence and associated factors due to cross-sectional data.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Yabarra</w:t>
            </w:r>
            <w:proofErr w:type="spellEnd"/>
            <w:r w:rsidRPr="006869F7">
              <w:rPr>
                <w:rFonts w:ascii="Times New Roman" w:hAnsi="Times New Roman" w:cs="Times New Roman"/>
              </w:rPr>
              <w:t>, et al.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(2013)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Uganda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1506 females (12-19+ years) selected using random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prevalence of sexual violence victimization was 66.0%. Being older [AOR=1.35; 95%CI 1.01-1.82], having a father with primary school education or lower [AOR=3.06; 95%CI 1.12-8.38], social support from family [AOR=0.89; 95%CI 0.80-0.98], very strong chance of getting HIV [AOR=3.46; 95%CI 1.20-10.02] and condom use at last sex [AOR=4.11;95%CI 1.71-9.90] were factors associated with sexual violence victimization.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It is not known how adolescents in Uganda interpreted the question about coercion. </w:t>
            </w:r>
          </w:p>
          <w:p w:rsidR="00AB3BB0" w:rsidRPr="00816BB3" w:rsidRDefault="00AB3BB0" w:rsidP="00AB3BB0">
            <w:pPr>
              <w:pStyle w:val="ListParagraph"/>
              <w:numPr>
                <w:ilvl w:val="0"/>
                <w:numId w:val="4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816BB3">
              <w:rPr>
                <w:rFonts w:ascii="Times New Roman" w:hAnsi="Times New Roman" w:cs="Times New Roman"/>
              </w:rPr>
              <w:t>The issue of representativeness (</w:t>
            </w:r>
            <w:r w:rsidR="00AB7E65">
              <w:rPr>
                <w:rFonts w:ascii="Times New Roman" w:hAnsi="Times New Roman" w:cs="Times New Roman"/>
              </w:rPr>
              <w:t>o</w:t>
            </w:r>
            <w:r w:rsidRPr="00816BB3">
              <w:rPr>
                <w:rFonts w:ascii="Times New Roman" w:hAnsi="Times New Roman" w:cs="Times New Roman"/>
              </w:rPr>
              <w:t>ut</w:t>
            </w:r>
            <w:r w:rsidR="00AB7E65">
              <w:rPr>
                <w:rFonts w:ascii="Times New Roman" w:hAnsi="Times New Roman" w:cs="Times New Roman"/>
              </w:rPr>
              <w:t xml:space="preserve"> of</w:t>
            </w:r>
            <w:r w:rsidRPr="00816BB3">
              <w:rPr>
                <w:rFonts w:ascii="Times New Roman" w:hAnsi="Times New Roman" w:cs="Times New Roman"/>
              </w:rPr>
              <w:t xml:space="preserve"> school youths or youths residing in less urban areas did not participate in this study). 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5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Skip patterns confused the students.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Arnold, et al. (2008).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1,330 female college students (18-24 years) selected using simple random sampling technique. 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WHO Questionnaire for multi-country study for Ethiopia. 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overall lifetime and current prevalence of gender-based violence was 59.90% (95%CI 57.20%-62.60) and 40.30% (95% CI 37.50%-43.10%) respectively. Out of the lifetime prevalence GBV, 54.90 % (95% CI 52.0%-57.80%) was sexual violence and 18.5%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 xml:space="preserve">(95% CI 15.70%-21.60%) was physical violence. Out of the current prevalence of GBV 20.20% (95% CI 16.90%-23.50%) were victims of physical </w:t>
            </w:r>
            <w:r w:rsidRPr="006869F7">
              <w:rPr>
                <w:rFonts w:ascii="Times New Roman" w:hAnsi="Times New Roman" w:cs="Times New Roman"/>
              </w:rPr>
              <w:lastRenderedPageBreak/>
              <w:t>abuse and 57.70% (95% CI 53.30%-62.0%) were victims of sexual abuse. Being of the Protestant religion [AOR=1.80; 95% CI 1.30-2.50), alcohol consumption [AOR=1.70; 95% CI 1.10-2.60], both alcohol and khat consumption [AOR=1.80; 95% CI 1.00- 3.00], and witnessing violence during childhood [AOR=2.20; 95%CI; 6.00-3.10] were factors significantly associated with gender-based violence. Being followers of the Protestant religion [AOR=1.70; 95% CI 1.20-2.40], childhood rural residence [AOR=1.60; 95% CI 1.10-2.30], alcohol consumption [1.80; 95% CI 1.10-2.80], consumption of both khat and alcohol [AOR=2.20; 95% CI 1.30-3.80] and witnessing violence during childhood [AOR=2.40; 95% CI 1.70-3.40] were strongly associated with sexual violence.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5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Causality cannot be established due to the cross-sectional study design. Voluntary participation in the study is stressed</w:t>
            </w:r>
            <w:r w:rsidR="00AB7E65">
              <w:rPr>
                <w:rFonts w:ascii="Times New Roman" w:hAnsi="Times New Roman" w:cs="Times New Roman"/>
              </w:rPr>
              <w:t>,</w:t>
            </w:r>
            <w:r w:rsidRPr="006869F7">
              <w:rPr>
                <w:rFonts w:ascii="Times New Roman" w:hAnsi="Times New Roman" w:cs="Times New Roman"/>
              </w:rPr>
              <w:t xml:space="preserve"> which may have implications for the </w:t>
            </w:r>
            <w:r w:rsidRPr="006869F7">
              <w:rPr>
                <w:rFonts w:ascii="Times New Roman" w:hAnsi="Times New Roman" w:cs="Times New Roman"/>
              </w:rPr>
              <w:lastRenderedPageBreak/>
              <w:t>response rate.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5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tools were not used previously on college students</w:t>
            </w:r>
          </w:p>
          <w:p w:rsidR="00AB3BB0" w:rsidRPr="006869F7" w:rsidRDefault="00AB3BB0" w:rsidP="00FD5B18">
            <w:pPr>
              <w:pStyle w:val="ListParagraph"/>
              <w:rPr>
                <w:rFonts w:ascii="Times New Roman" w:hAnsi="Times New Roman" w:cs="Times New Roman"/>
              </w:rPr>
            </w:pPr>
          </w:p>
          <w:p w:rsidR="00AB3BB0" w:rsidRPr="006869F7" w:rsidRDefault="00AB7E65" w:rsidP="00AB3BB0">
            <w:pPr>
              <w:pStyle w:val="ListParagraph"/>
              <w:numPr>
                <w:ilvl w:val="0"/>
                <w:numId w:val="5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Study</w:t>
            </w:r>
            <w:r w:rsidRPr="006869F7">
              <w:rPr>
                <w:rFonts w:ascii="Times New Roman" w:hAnsi="Times New Roman" w:cs="Times New Roman"/>
              </w:rPr>
              <w:t xml:space="preserve"> </w:t>
            </w:r>
            <w:r w:rsidR="00AB3BB0" w:rsidRPr="006869F7">
              <w:rPr>
                <w:rFonts w:ascii="Times New Roman" w:hAnsi="Times New Roman" w:cs="Times New Roman"/>
              </w:rPr>
              <w:t>emphasized individual and relationship risk factors for GBV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Takle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69F7">
              <w:rPr>
                <w:rFonts w:ascii="Times New Roman" w:hAnsi="Times New Roman" w:cs="Times New Roman"/>
              </w:rPr>
              <w:t>Abulie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and Tesfaye </w:t>
            </w:r>
            <w:proofErr w:type="spellStart"/>
            <w:r w:rsidRPr="006869F7">
              <w:rPr>
                <w:rFonts w:ascii="Times New Roman" w:hAnsi="Times New Roman" w:cs="Times New Roman"/>
              </w:rPr>
              <w:t>Setegn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(2014)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397 female university students 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(20-24 years) selected using systematic random sampling technique.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prevalence of lifetime and past 12 month sexual coercion was 41.10% and 25.40% respectively. Being aged 17-19 years [AOR=0.24; 95%CI 0.07-0.77] was less likely to be associated with lifetime sexual coercion and consumption of alcohol [AOR=4.20; 1.40-12.66] increased the odds of sexual coercion.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22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Not reported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Bekele et al.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(2015)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618 female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university students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(18-24 years)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selected using simple random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WHO multi-country study questionnaire. Self-administered.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prevalence of lifetime sexual violence was 10.90%. Having a mother whose educational level was grade 1-4 was less likely to report sexual violence [AOR=0.25;95% CI 0.08-0.76], witnessing parental violence [AOR=5.77;95%CI 2.96-11.23], having a boyfriend [AOR=4.78 ;95%CI 2.0-11.27 and use of khat [AOR=3.11; 95% CI 1.36-7.11] were factors making it more likely students reported sexual violence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6"/>
              </w:numPr>
              <w:ind w:left="237" w:hanging="237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Causality cannot be established due to cross sectional study design.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6"/>
              </w:numPr>
              <w:ind w:left="147" w:hanging="147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Responses bias.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6"/>
              </w:numPr>
              <w:ind w:left="147" w:hanging="147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Under-reporting of sexual violence.</w:t>
            </w:r>
          </w:p>
        </w:tc>
      </w:tr>
      <w:tr w:rsidR="00AB3BB0" w:rsidRPr="006869F7" w:rsidTr="00AB3BB0">
        <w:trPr>
          <w:trHeight w:val="2265"/>
        </w:trPr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Bekele et al.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(2014)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597 female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university students (20-24 years) selected using simple random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WHO multi-country study questionnaire. Self-administered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The prevalence of sexual coercion in lifetime and past 12 months was 76.40% and 43.70% respectively. Childhood residence in rural area [AOR=0.65; 95%CI 0.08-0.89] and having a literate father [AOR=0.17; 95%CI 0.05-0.06] were factors making it less likely that students reported lifetime sexual coercion. Use of alcohol [AOR=1.53; 95%CI 1.62-6.50], parents living together </w:t>
            </w:r>
            <w:r>
              <w:rPr>
                <w:rFonts w:ascii="Times New Roman" w:hAnsi="Times New Roman" w:cs="Times New Roman"/>
              </w:rPr>
              <w:t>[</w:t>
            </w:r>
            <w:r w:rsidRPr="006869F7">
              <w:rPr>
                <w:rFonts w:ascii="Times New Roman" w:hAnsi="Times New Roman" w:cs="Times New Roman"/>
              </w:rPr>
              <w:t xml:space="preserve">AOR=6.53; 95%CI 1.38-30.80], witnesses of childhood parental violence [AOR=5.77; 95%CI 2.96-11.23] and multiple sexual partners [AOR=4.32; 95%CI 1.10-16.23] increased the risk of lifetime sexual coercion. 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7"/>
              </w:numPr>
              <w:ind w:left="14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Causality cannot be established.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7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This study may be subject to recall bias due to self-reporting.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Benti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69F7">
              <w:rPr>
                <w:rFonts w:ascii="Times New Roman" w:hAnsi="Times New Roman" w:cs="Times New Roman"/>
              </w:rPr>
              <w:t>Tsegaye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 xml:space="preserve">and </w:t>
            </w:r>
            <w:proofErr w:type="spellStart"/>
            <w:r w:rsidRPr="006869F7">
              <w:rPr>
                <w:rFonts w:ascii="Times New Roman" w:hAnsi="Times New Roman" w:cs="Times New Roman"/>
              </w:rPr>
              <w:t>Teferi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Elias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(2015)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564 female college students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(18-25 years) selected using simple random sampling technique</w:t>
            </w:r>
          </w:p>
        </w:tc>
        <w:tc>
          <w:tcPr>
            <w:tcW w:w="2130" w:type="dxa"/>
          </w:tcPr>
          <w:p w:rsidR="00AB3BB0" w:rsidRPr="006869F7" w:rsidRDefault="00AB3BB0" w:rsidP="00AB3BB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Pr="006869F7">
              <w:rPr>
                <w:rFonts w:ascii="Times New Roman" w:hAnsi="Times New Roman" w:cs="Times New Roman"/>
              </w:rPr>
              <w:t>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lifetime prevalence of completed rape, attempted rape and sexual harassment was 20.80%, 23.10% and 41.10% respectively. Having multiple sexual partners [AOR=7.24; 95%CI 3.10-13.12], early sexual debut [9.51; 95%CI 2.29-39.56], receiving little pocket money [AOR=6.95; 95%CI 3.01-16.05, use of alcohol [AOR=2.31; 95%CI 1.13-4.71] and presence of divorced parents [AOR=3.04; 95%CI 1.16-7.95] were predictors of sexual coercion.</w:t>
            </w:r>
          </w:p>
        </w:tc>
        <w:tc>
          <w:tcPr>
            <w:tcW w:w="280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This study cannot establish causality due to cross-sectional study design.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Iliyasuet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et al.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(2011)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Nigeria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300 female university students (18-24 years) selected using systematic random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Nigeria Demographic and Health survey 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The overall prevalence of gender-based violence was 58.80% [95% CI =52.90% -64.50%]. The prevalence of sexual, physical and emotional violence was 22.20%, 22.80%, and 50.8% respectively. Students who were single [AOR=1.51; 95%CI 1.04-3.34], from another ethnic group [AOR=2.10; 95%CI 1.29-5.90], on campus </w:t>
            </w:r>
            <w:r w:rsidR="00AB7E65">
              <w:rPr>
                <w:rFonts w:ascii="Times New Roman" w:hAnsi="Times New Roman" w:cs="Times New Roman"/>
              </w:rPr>
              <w:t>residents</w:t>
            </w:r>
            <w:r w:rsidR="00AB7E65" w:rsidRPr="006869F7"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[AOR=1.60; 95%CI; 1.28-3.69], Christian [AOR=1.40; 95%CI 1.18-5.99] and part of faculty of social/management sciences [AOR=1.63; 95%CI 1.21-4.96] were more likely to have experienced gender-based violence.</w:t>
            </w:r>
          </w:p>
        </w:tc>
        <w:tc>
          <w:tcPr>
            <w:tcW w:w="2805" w:type="dxa"/>
          </w:tcPr>
          <w:p w:rsidR="00AB3BB0" w:rsidRPr="006869F7" w:rsidRDefault="00AB7E65" w:rsidP="00AB3BB0">
            <w:pPr>
              <w:pStyle w:val="ListParagraph"/>
              <w:numPr>
                <w:ilvl w:val="0"/>
                <w:numId w:val="8"/>
              </w:numPr>
              <w:ind w:left="147" w:hanging="18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Study</w:t>
            </w:r>
            <w:r w:rsidRPr="006869F7">
              <w:rPr>
                <w:rFonts w:ascii="Times New Roman" w:hAnsi="Times New Roman" w:cs="Times New Roman"/>
              </w:rPr>
              <w:t xml:space="preserve"> </w:t>
            </w:r>
            <w:r w:rsidR="00AB3BB0" w:rsidRPr="006869F7">
              <w:rPr>
                <w:rFonts w:ascii="Times New Roman" w:hAnsi="Times New Roman" w:cs="Times New Roman"/>
              </w:rPr>
              <w:t xml:space="preserve">is not homogenous and may not be generalized to general population.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8"/>
              </w:numPr>
              <w:ind w:left="14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Under-reporting due to fear of perpetrators and age and gender of interviewers.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Mamaru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et al.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(2015)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385 female university students (18-25 years) selected using systematic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The prevalence of verbal and nonverbal sexual harassment, and physical harassment was 90.4%, 80.0%, and 78.2% respectively. Students who were physically and nonverbally harassed were more likely to experience psychological distress [AOR=3.95; 95CI% 1.98-7.88] and [AOR=12.09; 95%CI 5.19-28.21] respectively. Being part of the College of Public </w:t>
            </w:r>
            <w:r w:rsidR="00AB7E65">
              <w:rPr>
                <w:rFonts w:ascii="Times New Roman" w:hAnsi="Times New Roman" w:cs="Times New Roman"/>
              </w:rPr>
              <w:t>H</w:t>
            </w:r>
            <w:r w:rsidRPr="006869F7">
              <w:rPr>
                <w:rFonts w:ascii="Times New Roman" w:hAnsi="Times New Roman" w:cs="Times New Roman"/>
              </w:rPr>
              <w:t>ealth and Medicine [AOR=3.07; 95%CI 1.18-</w:t>
            </w:r>
            <w:r w:rsidRPr="006869F7">
              <w:rPr>
                <w:rFonts w:ascii="Times New Roman" w:hAnsi="Times New Roman" w:cs="Times New Roman"/>
              </w:rPr>
              <w:lastRenderedPageBreak/>
              <w:t>8.04] and earning monthly income 100-499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[AOR=10.23; 95%CI 2.89-36.19] were factors associated with physical harassment.</w:t>
            </w:r>
          </w:p>
        </w:tc>
        <w:tc>
          <w:tcPr>
            <w:tcW w:w="280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Not reported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15.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Letta et al. (2014)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801 female</w:t>
            </w:r>
          </w:p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high school students (15-25 years)</w:t>
            </w:r>
          </w:p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selected using simple random sampling technique 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DHS toolkit of USAID 2008-2013 self-administered questionnaires.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ind w:right="-119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overall prevalence of gender-based violence was 62.20%. The prevalence of sexual, physical and psychological violence was 28.46%, 33.46% and 40.20% respectively. Alcohol consumed by students [A04=3.80; 95%CI 1.43-10.09], living with stepmother/father [AOR=3.79; 95%CI 1.43-10.09], illiterate mothers [AOR=2.13; 95%CI 1.13-4.02 and use of alcohol by parents [AOR=4.73; 95%CI 1.97-11.33] increase</w:t>
            </w:r>
            <w:r w:rsidR="00AB7E65">
              <w:rPr>
                <w:rFonts w:ascii="Times New Roman" w:hAnsi="Times New Roman" w:cs="Times New Roman"/>
              </w:rPr>
              <w:t>d</w:t>
            </w:r>
            <w:r w:rsidRPr="006869F7">
              <w:rPr>
                <w:rFonts w:ascii="Times New Roman" w:hAnsi="Times New Roman" w:cs="Times New Roman"/>
              </w:rPr>
              <w:t xml:space="preserve"> the risk of students for physical violence. Students who were divorced [AOR=19.36; 95%CI 6.13-61.13 and married [AOR=8.24; 95%CI 3.48-19.5], alcohol consumption by student [AOR=5.66;95%CI 2.13-9.08], who received financial support from relative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[AOR=4.37;95%CI 2.10-9.08], had an illiterate father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[AOR=2.22;95%CI 1.28-3.87], alcohol consumption by parents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[AOR=3.48;95%CI 1.35-8.96], had mother whose occupation was farmer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[AOR=2.72; 95%CI 1.35-5.45] and government employee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[AOR=2.38; 95%CI 1.28-4.42] were more likely to have experienced sexual violence. Alcohol used by students [AOR=2.99; 95%CI 1.27-7.00], having a mother whose occupation was farmer [AOR=3.68; 95%CI 1.33-10.17 and private business [AOR=1.76; 95%CI 1.12-2.76] increased the odds of psychological violence.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9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Causality cannot be established,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Under-reporting due to sensitive issues,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"/>
              </w:numPr>
              <w:ind w:left="198" w:hanging="27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Recall bias or social desirability bias and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"/>
              </w:numPr>
              <w:ind w:left="198" w:hanging="198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Some students may be dishonest in responding </w:t>
            </w:r>
            <w:r w:rsidR="00AB7E65">
              <w:rPr>
                <w:rFonts w:ascii="Times New Roman" w:hAnsi="Times New Roman" w:cs="Times New Roman"/>
              </w:rPr>
              <w:t>to</w:t>
            </w:r>
            <w:r w:rsidR="00AB7E65" w:rsidRPr="006869F7"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questions.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Mulluet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al.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(2015)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140 female high school students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(14-24 years) selected using simple random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The overall lifetime and current prevalence of gender-based violence was 67.70% and 57.30% respectively. The lifetime and current prevalence of physical violence was 66.10% and 54.80% respectively. The lifetime prevalence of sexual violence was 24.20%. Having good and above educational achievement [AOR=0.09; 95%CI 0.009-0.88] and not drinking alcohol [AOR=0.38; 95%CI 0.15-0.93] decreased the risk of gender-based violence. Living in a rural residence [AOR=4.85; 95%CI 1.06-22.19] and witnessing violence as a child [AOR=3.70; 95%CI 1.05-12.91] were </w:t>
            </w:r>
            <w:r w:rsidRPr="006869F7">
              <w:rPr>
                <w:rFonts w:ascii="Times New Roman" w:hAnsi="Times New Roman" w:cs="Times New Roman"/>
              </w:rPr>
              <w:lastRenderedPageBreak/>
              <w:t>significantly associated with physical violence. Currently living with boyfriend or married [AOR=4.90; 95%CI 1.02-23.78] and being an alcohol user [AOR=7.30; 95%CI 1.24-23.78] were predictors of sexual violence.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0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Relatively small sample size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17.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Mekuria</w:t>
            </w:r>
            <w:proofErr w:type="spellEnd"/>
            <w:r w:rsidRPr="006869F7">
              <w:rPr>
                <w:rFonts w:ascii="Times New Roman" w:hAnsi="Times New Roman" w:cs="Times New Roman"/>
              </w:rPr>
              <w:t>, et al.(2015)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369 female high school students (14-19 years) selected using simple random sampling technique</w:t>
            </w:r>
          </w:p>
        </w:tc>
        <w:tc>
          <w:tcPr>
            <w:tcW w:w="2130" w:type="dxa"/>
          </w:tcPr>
          <w:p w:rsidR="00AB3BB0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Childhood experience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 of care and abuse questionnaire (CECAQ).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 The lifetime prevalence of childhood sexual abuse was 11.0%. Never having open discussion about sexuality and reproductive health with parents [AOR=2.93;95%CI 1.33-6.45], having a father of educational status below secondary [AOR=4.69;95%CI 1.84-11.95], living with friends [AOR=3.31;95%CI 1.23-8.89], living alone [AOR=4.30;95%CI 1.81-10.24] and family income &lt;=712.5(37.5 USD) [AOR=3.82;95%CI 1.76-8.31] increased the odds of experiencing lifetime childhood sexual abuse.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1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Causality cannot be established.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1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Under-reporting due to personal issues and sensitive issues related to sexuality.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Shimekaw</w:t>
            </w:r>
            <w:proofErr w:type="spellEnd"/>
            <w:r w:rsidRPr="006869F7">
              <w:rPr>
                <w:rFonts w:ascii="Times New Roman" w:hAnsi="Times New Roman" w:cs="Times New Roman"/>
              </w:rPr>
              <w:t>, et al.(2013)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541 female college students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(18-24 years) selected using multistage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prevalence of sexual violence was 37.30%. The prevalence of sexual harassment and rape was 35.80% and 6.30% respectively. Living in rural residence during childhood [AOR=4.51; 95%CI 1.67-12.16], having peers drinking alcohol [AOR=3.13; 95%CI 1.09-8.97] and students who discussed reproductive health issues with their parents [AOR=4.36; 95%CI 1.40-13.56] were factors significantly associated with sexual violence.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2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Not reported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Umana, et al.(2014)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Nigeria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1355 female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university students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(18-24 years)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selected using simple random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overall lifetime prevalence of intimate partner violence was 42.30%. The lifetime prevalence of sexual, physical and psychological violence was 6.60%, 7.80% and 41.80% respectively. Being postgraduate [AOR=0.64; 95%CI 0.46-0.87] and married [AOR=0.53; 95%CI 0.35-0.78] reduced the odds of intimate partner violence. Use of alcohol [AOR=2.36; 95%CI 1.82-3.06], cigarette smoking [AOR=2.46; 95%CI 1.58-3.83] and history of interpersonal violence [AOR=2.40; 95%CI 1.88-3.07] were more likely to experience violence. Childhood (before the age 15) experience of sexual, physical, and psychological violence was 9.60%, 28.20% and 6.60% respectively.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3"/>
              </w:numPr>
              <w:ind w:left="237" w:hanging="27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Causality cannot be established.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3"/>
              </w:numPr>
              <w:ind w:left="237" w:hanging="27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Recall bias, particularly of experience</w:t>
            </w:r>
            <w:r w:rsidR="00AB7E65">
              <w:rPr>
                <w:rFonts w:ascii="Times New Roman" w:hAnsi="Times New Roman" w:cs="Times New Roman"/>
              </w:rPr>
              <w:t>s</w:t>
            </w:r>
            <w:r w:rsidRPr="006869F7">
              <w:rPr>
                <w:rFonts w:ascii="Times New Roman" w:hAnsi="Times New Roman" w:cs="Times New Roman"/>
              </w:rPr>
              <w:t xml:space="preserve"> during childhood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3"/>
              </w:numPr>
              <w:ind w:left="237" w:hanging="27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Reluctant or under-estimated reporting of experience of violence due to social desirability bias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Tora (2013)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374 female university </w:t>
            </w:r>
            <w:r w:rsidRPr="006869F7">
              <w:rPr>
                <w:rFonts w:ascii="Times New Roman" w:hAnsi="Times New Roman" w:cs="Times New Roman"/>
              </w:rPr>
              <w:lastRenderedPageBreak/>
              <w:t>students (17-24 years)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selected using simple random sampling technique</w:t>
            </w:r>
          </w:p>
        </w:tc>
        <w:tc>
          <w:tcPr>
            <w:tcW w:w="2130" w:type="dxa"/>
          </w:tcPr>
          <w:p w:rsidR="00AB3BB0" w:rsidRPr="006869F7" w:rsidRDefault="00AB3BB0" w:rsidP="00AB3BB0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self-administered questionnaire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The prevalence of attempted rape, completed rape, physical harassment, verbal harassment, and forced sexual initiation </w:t>
            </w:r>
            <w:r w:rsidRPr="006869F7">
              <w:rPr>
                <w:rFonts w:ascii="Times New Roman" w:hAnsi="Times New Roman" w:cs="Times New Roman"/>
              </w:rPr>
              <w:lastRenderedPageBreak/>
              <w:t>was 23.40%, 8.90%, 24.20%, 18.70% and 11.30% respectively. Students who had experience of sexual intercourse had an increased risk of attempted rape [AOR=0.09; 95%CI 0.04-0.23], completed rape [AOR=0.04; 95%CI 0.01-0.13] and physical harassment [AOR=0.43; 95%CI 0.19-0.94] than those who did not have such experience.</w:t>
            </w:r>
          </w:p>
        </w:tc>
        <w:tc>
          <w:tcPr>
            <w:tcW w:w="2805" w:type="dxa"/>
          </w:tcPr>
          <w:p w:rsidR="00AB3BB0" w:rsidRPr="006869F7" w:rsidRDefault="00AB7E65" w:rsidP="00AB3BB0">
            <w:pPr>
              <w:pStyle w:val="ListParagraph"/>
              <w:numPr>
                <w:ilvl w:val="0"/>
                <w:numId w:val="14"/>
              </w:numPr>
              <w:ind w:left="237" w:hanging="27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Study</w:t>
            </w:r>
            <w:r w:rsidRPr="006869F7">
              <w:rPr>
                <w:rFonts w:ascii="Times New Roman" w:hAnsi="Times New Roman" w:cs="Times New Roman"/>
              </w:rPr>
              <w:t xml:space="preserve"> </w:t>
            </w:r>
            <w:r w:rsidR="00AB3BB0" w:rsidRPr="006869F7">
              <w:rPr>
                <w:rFonts w:ascii="Times New Roman" w:hAnsi="Times New Roman" w:cs="Times New Roman"/>
              </w:rPr>
              <w:t xml:space="preserve">may underreport experiences of </w:t>
            </w:r>
            <w:r w:rsidR="00AB3BB0" w:rsidRPr="006869F7">
              <w:rPr>
                <w:rFonts w:ascii="Times New Roman" w:hAnsi="Times New Roman" w:cs="Times New Roman"/>
              </w:rPr>
              <w:lastRenderedPageBreak/>
              <w:t>victimization due to fear of blame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B3BB0" w:rsidRPr="006869F7">
              <w:rPr>
                <w:rFonts w:ascii="Times New Roman" w:hAnsi="Times New Roman" w:cs="Times New Roman"/>
              </w:rPr>
              <w:t xml:space="preserve">and social stigma.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4"/>
              </w:numPr>
              <w:ind w:left="237" w:hanging="27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This study may underestimate</w:t>
            </w:r>
            <w:r w:rsidR="00AB7E65">
              <w:rPr>
                <w:rFonts w:ascii="Times New Roman" w:hAnsi="Times New Roman" w:cs="Times New Roman"/>
              </w:rPr>
              <w:t>,</w:t>
            </w:r>
            <w:r w:rsidRPr="006869F7">
              <w:rPr>
                <w:rFonts w:ascii="Times New Roman" w:hAnsi="Times New Roman" w:cs="Times New Roman"/>
              </w:rPr>
              <w:t xml:space="preserve"> and there may not be enough information to infer sexual victimization of females in other places and cultural settings.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Nimani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and 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Hamdela</w:t>
            </w:r>
            <w:proofErr w:type="spellEnd"/>
            <w:r w:rsidRPr="006869F7">
              <w:rPr>
                <w:rFonts w:ascii="Times New Roman" w:hAnsi="Times New Roman" w:cs="Times New Roman"/>
              </w:rPr>
              <w:t xml:space="preserve"> (2015)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332 female high school students (12-20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years) selected using simple random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lifetime and current prevalence of sexual violence was 32.80% and 16.60% respectively. The prevalence of completed and attempted rape in their lifetime was 1.20% and 4.20% respectively. Having a boyfriend/husband [AOR=0.15; 95%CI 0.07-0.30] and experiencing parental violence [AOR=0.49; 95%CI O.29-0.83 were factors making it less likely to have experience of sexual violence. Students who have family supervision [AOR=1.92; 95%CI 1.16-3.17] were significantly associated with sexual violence.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5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Not reported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Manyike</w:t>
            </w:r>
            <w:proofErr w:type="spellEnd"/>
            <w:r w:rsidRPr="006869F7">
              <w:rPr>
                <w:rFonts w:ascii="Times New Roman" w:hAnsi="Times New Roman" w:cs="Times New Roman"/>
              </w:rPr>
              <w:t>, et al. (2015)</w:t>
            </w: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Nigeria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267 females (10-24 years) selected using simple random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lifetime prevalence of child sexual abuse was 34.10%. The predominant form of abuse (18.40%) was watching pornographic films, drawings, videotapes or magazines. Most of the children (11.50%) were abused once at 7-12 years. There was no association between socio-economic class, age and child sexual abuse.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5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Study did not address the impact of sexual abuse on adolescents.</w:t>
            </w:r>
          </w:p>
        </w:tc>
      </w:tr>
      <w:tr w:rsidR="00AB3BB0" w:rsidRPr="006869F7" w:rsidTr="00AB3BB0"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Seble</w:t>
            </w:r>
            <w:proofErr w:type="spellEnd"/>
            <w:r w:rsidRPr="006869F7">
              <w:rPr>
                <w:rFonts w:ascii="Times New Roman" w:hAnsi="Times New Roman" w:cs="Times New Roman"/>
              </w:rPr>
              <w:t>, et al.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(2004)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Ethiopia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612 females (18-24 years) selected using systematic sampling techniques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The prevalence of lifetime completed, and attempted rape was 12.70% and 27.50% respectively. The prevalence of last year completed and attempted rape was 1.80% and 7.40% respectively. The prevalence of lifetime and previous 12 months any harassment was 58.0% and 41.80% respectively. Having a boyfriend [AOR=2.37; 95%CI 1.43-3.92], being sexually active [AOR=9.95; 95%CI 5.56-17.75] and being divorced or separated or widowed [AOR=2.31; 95%CI 1.10-4.83] were factors making it more likely that students had experience of lifetime rape. </w:t>
            </w:r>
            <w:r w:rsidRPr="006869F7">
              <w:rPr>
                <w:rFonts w:ascii="Times New Roman" w:hAnsi="Times New Roman" w:cs="Times New Roman"/>
              </w:rPr>
              <w:lastRenderedPageBreak/>
              <w:t>Students living with both family [AOR=0.45; 95%CI 0.22-0.92] and students nearly living family as the money sent needed [AOR=0.13; 95%CI 0.10-0.89] were less likely to have experience of lifetime rape.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5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Inadequate comparisons due to lack of literature.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5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outcome was assessed by the reports of participant.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5"/>
              </w:numPr>
              <w:ind w:left="23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Under-reporting may occur due to sensitivity of the issues.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3BB0" w:rsidRPr="006869F7" w:rsidTr="00AB3BB0">
        <w:trPr>
          <w:trHeight w:val="2780"/>
        </w:trPr>
        <w:tc>
          <w:tcPr>
            <w:tcW w:w="630" w:type="dxa"/>
          </w:tcPr>
          <w:p w:rsidR="00AB3BB0" w:rsidRPr="006869F7" w:rsidRDefault="00AB3BB0" w:rsidP="00FD5B18">
            <w:pPr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lastRenderedPageBreak/>
              <w:t>24.</w:t>
            </w:r>
          </w:p>
        </w:tc>
        <w:tc>
          <w:tcPr>
            <w:tcW w:w="1231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9F7">
              <w:rPr>
                <w:rFonts w:ascii="Times New Roman" w:hAnsi="Times New Roman" w:cs="Times New Roman"/>
              </w:rPr>
              <w:t>Yaynsh,et</w:t>
            </w:r>
            <w:proofErr w:type="spellEnd"/>
            <w:r w:rsidRPr="006869F7">
              <w:rPr>
                <w:rFonts w:ascii="Times New Roman" w:hAnsi="Times New Roman" w:cs="Times New Roman"/>
              </w:rPr>
              <w:t>, et al.(2007)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Ethiopia </w:t>
            </w:r>
          </w:p>
        </w:tc>
        <w:tc>
          <w:tcPr>
            <w:tcW w:w="1693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1024 females</w:t>
            </w:r>
          </w:p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(18-24 years) selected using simple random sampling technique</w:t>
            </w:r>
          </w:p>
        </w:tc>
        <w:tc>
          <w:tcPr>
            <w:tcW w:w="2130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Self-administered questionnaires</w:t>
            </w:r>
          </w:p>
        </w:tc>
        <w:tc>
          <w:tcPr>
            <w:tcW w:w="5535" w:type="dxa"/>
          </w:tcPr>
          <w:p w:rsidR="00AB3BB0" w:rsidRPr="006869F7" w:rsidRDefault="00AB3BB0" w:rsidP="00FD5B18">
            <w:pPr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overall prevalence of lifetime and current gender-based violence was 62.10% and 40.20% respectively. The lifetime and current prevalence of sexual violence was 45.40% and 28.10% respectively. The lifetime and current prevalence of physical violence was 46.30% and 26.40% respectively. Having poor academic performance [AOR=2.51; 95%CI 1.29-4.85], living far away from family [AOR=1.53; 95%CI 1.09-2.15], witnessing parental violence as a child [AOR=1.87; 95%CI 1.32-2.66] and having a boyfriend or girlfriend who drinks alcohol [AOR=1.98; 95%CI 1.26-3.11] were factors making it more likely that students experienced physical violence. Having a childhood rural residence [AOR=1.48;95%CI 1.03-2.12], being aged 20-24 years [AOR=1.79;95%CI 1.03-3.312], witnessing parental violence as a child [AOR=1.45;95%CI 1.02-2.06], being sexually active [AOR=1.82;95%CI 1.24-2.67], ever using alcohol [AOR=2.14;95%CI 1.54-2.98] and having female or male friends who drink alcohol increased the likelihood of experiencing sexual violence. Being aged 20-24 years [AOR=1.71;95%CI 1.03-2.85], poor school achievement [AOR=2.09;95%CI 1.10-3.97], having a boyfriend [AOR=1.46;95%CI 1.05-2.02],living far from family [AOR=1.43;95%CI 1.04-1.98],witnessing parental violence as a child [AOR=1.54;95%CI 1.10-2.16], being sexually active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[AOR=1.44;95%CI 1.01-2.07],ever drinking alcohol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69F7">
              <w:rPr>
                <w:rFonts w:ascii="Times New Roman" w:hAnsi="Times New Roman" w:cs="Times New Roman"/>
              </w:rPr>
              <w:t>[AOR=1.97;1.43-2.71] and having male or female peers who drink alcohol [AOR=2.63;95%CI 1.65-4.18] increased the risk of experiencing gender based violence.</w:t>
            </w:r>
          </w:p>
        </w:tc>
        <w:tc>
          <w:tcPr>
            <w:tcW w:w="2805" w:type="dxa"/>
          </w:tcPr>
          <w:p w:rsidR="00AB3BB0" w:rsidRPr="006869F7" w:rsidRDefault="00AB3BB0" w:rsidP="00AB3BB0">
            <w:pPr>
              <w:pStyle w:val="ListParagraph"/>
              <w:numPr>
                <w:ilvl w:val="0"/>
                <w:numId w:val="16"/>
              </w:numPr>
              <w:ind w:left="14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 xml:space="preserve">The prevalence of gender-based violence may be underestimated due to data collected from survivors or 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6"/>
              </w:numPr>
              <w:ind w:left="14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The study does not include drop outs or absent students.</w:t>
            </w:r>
          </w:p>
          <w:p w:rsidR="00AB3BB0" w:rsidRPr="006869F7" w:rsidRDefault="00AB3BB0" w:rsidP="00AB3BB0">
            <w:pPr>
              <w:pStyle w:val="ListParagraph"/>
              <w:numPr>
                <w:ilvl w:val="0"/>
                <w:numId w:val="16"/>
              </w:numPr>
              <w:ind w:left="147" w:hanging="180"/>
              <w:jc w:val="both"/>
              <w:rPr>
                <w:rFonts w:ascii="Times New Roman" w:hAnsi="Times New Roman" w:cs="Times New Roman"/>
              </w:rPr>
            </w:pPr>
            <w:r w:rsidRPr="006869F7">
              <w:rPr>
                <w:rFonts w:ascii="Times New Roman" w:hAnsi="Times New Roman" w:cs="Times New Roman"/>
              </w:rPr>
              <w:t>Causality cannot be established.</w:t>
            </w:r>
          </w:p>
        </w:tc>
      </w:tr>
    </w:tbl>
    <w:p w:rsidR="00AB3BB0" w:rsidRDefault="00AB3BB0" w:rsidP="00AB3BB0">
      <w:pPr>
        <w:tabs>
          <w:tab w:val="left" w:pos="750"/>
        </w:tabs>
        <w:rPr>
          <w:rFonts w:ascii="Times New Roman" w:hAnsi="Times New Roman" w:cs="Times New Roman"/>
        </w:rPr>
      </w:pPr>
    </w:p>
    <w:p w:rsidR="007949CD" w:rsidRDefault="007949CD"/>
    <w:sectPr w:rsidR="007949CD" w:rsidSect="00AB3BB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5599F"/>
    <w:multiLevelType w:val="hybridMultilevel"/>
    <w:tmpl w:val="FF3095F2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51F6B"/>
    <w:multiLevelType w:val="hybridMultilevel"/>
    <w:tmpl w:val="FA6EF1EC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6D159F"/>
    <w:multiLevelType w:val="hybridMultilevel"/>
    <w:tmpl w:val="59BA95BE"/>
    <w:lvl w:ilvl="0" w:tplc="B6046C18">
      <w:start w:val="29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11544"/>
    <w:multiLevelType w:val="hybridMultilevel"/>
    <w:tmpl w:val="2E66551C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A44C46"/>
    <w:multiLevelType w:val="hybridMultilevel"/>
    <w:tmpl w:val="DED2CC58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DE58D9"/>
    <w:multiLevelType w:val="hybridMultilevel"/>
    <w:tmpl w:val="A4E6BE96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A801D4"/>
    <w:multiLevelType w:val="hybridMultilevel"/>
    <w:tmpl w:val="A4B677C2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6773FD"/>
    <w:multiLevelType w:val="multilevel"/>
    <w:tmpl w:val="D4E8501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i w:val="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222E0099"/>
    <w:multiLevelType w:val="hybridMultilevel"/>
    <w:tmpl w:val="AE2C61EC"/>
    <w:lvl w:ilvl="0" w:tplc="8AFED8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B633ED"/>
    <w:multiLevelType w:val="hybridMultilevel"/>
    <w:tmpl w:val="1A78B694"/>
    <w:lvl w:ilvl="0" w:tplc="8AFED8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D9D6755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C615C2"/>
    <w:multiLevelType w:val="hybridMultilevel"/>
    <w:tmpl w:val="E7AA0716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473378"/>
    <w:multiLevelType w:val="multilevel"/>
    <w:tmpl w:val="97A4FEE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4B3C013C"/>
    <w:multiLevelType w:val="hybridMultilevel"/>
    <w:tmpl w:val="2F206552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C645B8"/>
    <w:multiLevelType w:val="hybridMultilevel"/>
    <w:tmpl w:val="C108D816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0A4B1B"/>
    <w:multiLevelType w:val="hybridMultilevel"/>
    <w:tmpl w:val="89642FA2"/>
    <w:lvl w:ilvl="0" w:tplc="79E27734">
      <w:start w:val="29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A221DF"/>
    <w:multiLevelType w:val="hybridMultilevel"/>
    <w:tmpl w:val="4EF47332"/>
    <w:lvl w:ilvl="0" w:tplc="8AFED8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A11F7B"/>
    <w:multiLevelType w:val="hybridMultilevel"/>
    <w:tmpl w:val="C442C1AA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F54AC8"/>
    <w:multiLevelType w:val="hybridMultilevel"/>
    <w:tmpl w:val="5FF22DC4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E34137"/>
    <w:multiLevelType w:val="hybridMultilevel"/>
    <w:tmpl w:val="39F24B48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851145"/>
    <w:multiLevelType w:val="hybridMultilevel"/>
    <w:tmpl w:val="BFD4E034"/>
    <w:lvl w:ilvl="0" w:tplc="D2B885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C264A0"/>
    <w:multiLevelType w:val="hybridMultilevel"/>
    <w:tmpl w:val="484A909E"/>
    <w:lvl w:ilvl="0" w:tplc="8AFED8D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3D656CB"/>
    <w:multiLevelType w:val="hybridMultilevel"/>
    <w:tmpl w:val="C65AEC3E"/>
    <w:lvl w:ilvl="0" w:tplc="8AFED8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7B1D43"/>
    <w:multiLevelType w:val="hybridMultilevel"/>
    <w:tmpl w:val="76B2FD98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3F6E86"/>
    <w:multiLevelType w:val="hybridMultilevel"/>
    <w:tmpl w:val="2398D574"/>
    <w:lvl w:ilvl="0" w:tplc="8AFED8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24217F"/>
    <w:multiLevelType w:val="hybridMultilevel"/>
    <w:tmpl w:val="47E45A88"/>
    <w:lvl w:ilvl="0" w:tplc="DF04479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A8742F"/>
    <w:multiLevelType w:val="hybridMultilevel"/>
    <w:tmpl w:val="9D8CB586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9C1020"/>
    <w:multiLevelType w:val="hybridMultilevel"/>
    <w:tmpl w:val="8A68612C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02674F"/>
    <w:multiLevelType w:val="hybridMultilevel"/>
    <w:tmpl w:val="F358FAAC"/>
    <w:lvl w:ilvl="0" w:tplc="DED054B4">
      <w:start w:val="29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F36801"/>
    <w:multiLevelType w:val="hybridMultilevel"/>
    <w:tmpl w:val="6838984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C4068A"/>
    <w:multiLevelType w:val="hybridMultilevel"/>
    <w:tmpl w:val="BA32B4C4"/>
    <w:lvl w:ilvl="0" w:tplc="8AFED8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EB70E61"/>
    <w:multiLevelType w:val="hybridMultilevel"/>
    <w:tmpl w:val="BAD2A2F2"/>
    <w:lvl w:ilvl="0" w:tplc="8AFED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5"/>
  </w:num>
  <w:num w:numId="3">
    <w:abstractNumId w:val="23"/>
  </w:num>
  <w:num w:numId="4">
    <w:abstractNumId w:val="9"/>
  </w:num>
  <w:num w:numId="5">
    <w:abstractNumId w:val="21"/>
  </w:num>
  <w:num w:numId="6">
    <w:abstractNumId w:val="8"/>
  </w:num>
  <w:num w:numId="7">
    <w:abstractNumId w:val="16"/>
  </w:num>
  <w:num w:numId="8">
    <w:abstractNumId w:val="6"/>
  </w:num>
  <w:num w:numId="9">
    <w:abstractNumId w:val="4"/>
  </w:num>
  <w:num w:numId="10">
    <w:abstractNumId w:val="20"/>
  </w:num>
  <w:num w:numId="11">
    <w:abstractNumId w:val="1"/>
  </w:num>
  <w:num w:numId="12">
    <w:abstractNumId w:val="13"/>
  </w:num>
  <w:num w:numId="13">
    <w:abstractNumId w:val="3"/>
  </w:num>
  <w:num w:numId="14">
    <w:abstractNumId w:val="17"/>
  </w:num>
  <w:num w:numId="15">
    <w:abstractNumId w:val="25"/>
  </w:num>
  <w:num w:numId="16">
    <w:abstractNumId w:val="5"/>
  </w:num>
  <w:num w:numId="17">
    <w:abstractNumId w:val="10"/>
  </w:num>
  <w:num w:numId="18">
    <w:abstractNumId w:val="26"/>
  </w:num>
  <w:num w:numId="19">
    <w:abstractNumId w:val="0"/>
  </w:num>
  <w:num w:numId="20">
    <w:abstractNumId w:val="30"/>
  </w:num>
  <w:num w:numId="21">
    <w:abstractNumId w:val="12"/>
  </w:num>
  <w:num w:numId="22">
    <w:abstractNumId w:val="22"/>
  </w:num>
  <w:num w:numId="23">
    <w:abstractNumId w:val="28"/>
  </w:num>
  <w:num w:numId="24">
    <w:abstractNumId w:val="27"/>
  </w:num>
  <w:num w:numId="25">
    <w:abstractNumId w:val="14"/>
  </w:num>
  <w:num w:numId="26">
    <w:abstractNumId w:val="2"/>
  </w:num>
  <w:num w:numId="27">
    <w:abstractNumId w:val="7"/>
  </w:num>
  <w:num w:numId="28">
    <w:abstractNumId w:val="11"/>
  </w:num>
  <w:num w:numId="29">
    <w:abstractNumId w:val="19"/>
  </w:num>
  <w:num w:numId="30">
    <w:abstractNumId w:val="24"/>
  </w:num>
  <w:num w:numId="31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disu Shunu Beyene">
    <w15:presenceInfo w15:providerId="AD" w15:userId="S-1-5-21-1451058757-1749049392-1947940980-436532"/>
  </w15:person>
  <w15:person w15:author="Jennifer O'Neill">
    <w15:presenceInfo w15:providerId="None" w15:userId="Jennifer O'Neil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BB0"/>
    <w:rsid w:val="0000420B"/>
    <w:rsid w:val="000E6FCA"/>
    <w:rsid w:val="007949CD"/>
    <w:rsid w:val="008F58C1"/>
    <w:rsid w:val="00AB3BB0"/>
    <w:rsid w:val="00AB7E65"/>
    <w:rsid w:val="00B73D47"/>
    <w:rsid w:val="00D704F4"/>
    <w:rsid w:val="00FD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BB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B3BB0"/>
    <w:pPr>
      <w:keepNext/>
      <w:keepLines/>
      <w:numPr>
        <w:numId w:val="28"/>
      </w:numPr>
      <w:spacing w:before="240" w:line="360" w:lineRule="auto"/>
      <w:ind w:left="432" w:hanging="432"/>
      <w:jc w:val="both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B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BB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B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BB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BB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AB3BB0"/>
    <w:pPr>
      <w:ind w:left="720"/>
      <w:contextualSpacing/>
    </w:pPr>
  </w:style>
  <w:style w:type="table" w:styleId="TableGrid">
    <w:name w:val="Table Grid"/>
    <w:basedOn w:val="TableNormal"/>
    <w:uiPriority w:val="39"/>
    <w:rsid w:val="00AB3BB0"/>
    <w:pPr>
      <w:spacing w:after="0" w:line="240" w:lineRule="auto"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AB3BB0"/>
    <w:rPr>
      <w:i/>
      <w:iCs/>
      <w:color w:val="1F497D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B3B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BB0"/>
  </w:style>
  <w:style w:type="paragraph" w:styleId="Footer">
    <w:name w:val="footer"/>
    <w:basedOn w:val="Normal"/>
    <w:link w:val="FooterChar"/>
    <w:uiPriority w:val="99"/>
    <w:unhideWhenUsed/>
    <w:rsid w:val="00AB3B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BB0"/>
  </w:style>
  <w:style w:type="paragraph" w:customStyle="1" w:styleId="EndNoteBibliographyTitle">
    <w:name w:val="EndNote Bibliography Title"/>
    <w:basedOn w:val="Normal"/>
    <w:link w:val="EndNoteBibliographyTitleChar"/>
    <w:rsid w:val="00AB3BB0"/>
    <w:pPr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AB3BB0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AB3BB0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AB3BB0"/>
    <w:rPr>
      <w:rFonts w:ascii="Calibri" w:hAnsi="Calibri" w:cs="Calibri"/>
      <w:noProof/>
    </w:rPr>
  </w:style>
  <w:style w:type="character" w:styleId="Hyperlink">
    <w:name w:val="Hyperlink"/>
    <w:basedOn w:val="DefaultParagraphFont"/>
    <w:uiPriority w:val="99"/>
    <w:unhideWhenUsed/>
    <w:rsid w:val="00AB3BB0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AB3BB0"/>
    <w:pPr>
      <w:spacing w:after="0" w:line="240" w:lineRule="auto"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AB3BB0"/>
  </w:style>
  <w:style w:type="character" w:styleId="CommentReference">
    <w:name w:val="annotation reference"/>
    <w:basedOn w:val="DefaultParagraphFont"/>
    <w:uiPriority w:val="99"/>
    <w:semiHidden/>
    <w:unhideWhenUsed/>
    <w:rsid w:val="00AB3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3B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3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3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3BB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B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BB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B3BB0"/>
    <w:pPr>
      <w:spacing w:after="0" w:line="240" w:lineRule="auto"/>
    </w:pPr>
    <w:rPr>
      <w:lang w:val="en-AU"/>
    </w:rPr>
  </w:style>
  <w:style w:type="paragraph" w:customStyle="1" w:styleId="Style3">
    <w:name w:val="Style3"/>
    <w:basedOn w:val="Normal"/>
    <w:next w:val="Heading3"/>
    <w:autoRedefine/>
    <w:qFormat/>
    <w:rsid w:val="00AB3BB0"/>
    <w:pPr>
      <w:spacing w:line="360" w:lineRule="auto"/>
      <w:jc w:val="both"/>
    </w:pPr>
    <w:rPr>
      <w:rFonts w:ascii="Times New Roman" w:hAnsi="Times New Roman" w:cs="Times New Roman"/>
    </w:rPr>
  </w:style>
  <w:style w:type="character" w:customStyle="1" w:styleId="UnresolvedMention1">
    <w:name w:val="Unresolved Mention1"/>
    <w:basedOn w:val="DefaultParagraphFont"/>
    <w:uiPriority w:val="99"/>
    <w:rsid w:val="00AB3BB0"/>
    <w:rPr>
      <w:color w:val="808080"/>
      <w:shd w:val="clear" w:color="auto" w:fill="E6E6E6"/>
    </w:rPr>
  </w:style>
  <w:style w:type="character" w:styleId="PageNumber">
    <w:name w:val="page number"/>
    <w:basedOn w:val="DefaultParagraphFont"/>
    <w:uiPriority w:val="99"/>
    <w:semiHidden/>
    <w:unhideWhenUsed/>
    <w:rsid w:val="00AB3BB0"/>
  </w:style>
  <w:style w:type="paragraph" w:styleId="NoSpacing">
    <w:name w:val="No Spacing"/>
    <w:uiPriority w:val="1"/>
    <w:qFormat/>
    <w:rsid w:val="00AB3B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BB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B3BB0"/>
    <w:pPr>
      <w:keepNext/>
      <w:keepLines/>
      <w:numPr>
        <w:numId w:val="28"/>
      </w:numPr>
      <w:spacing w:before="240" w:line="360" w:lineRule="auto"/>
      <w:ind w:left="432" w:hanging="432"/>
      <w:jc w:val="both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B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BB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B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BB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BB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AB3BB0"/>
    <w:pPr>
      <w:ind w:left="720"/>
      <w:contextualSpacing/>
    </w:pPr>
  </w:style>
  <w:style w:type="table" w:styleId="TableGrid">
    <w:name w:val="Table Grid"/>
    <w:basedOn w:val="TableNormal"/>
    <w:uiPriority w:val="39"/>
    <w:rsid w:val="00AB3BB0"/>
    <w:pPr>
      <w:spacing w:after="0" w:line="240" w:lineRule="auto"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AB3BB0"/>
    <w:rPr>
      <w:i/>
      <w:iCs/>
      <w:color w:val="1F497D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B3B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BB0"/>
  </w:style>
  <w:style w:type="paragraph" w:styleId="Footer">
    <w:name w:val="footer"/>
    <w:basedOn w:val="Normal"/>
    <w:link w:val="FooterChar"/>
    <w:uiPriority w:val="99"/>
    <w:unhideWhenUsed/>
    <w:rsid w:val="00AB3B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BB0"/>
  </w:style>
  <w:style w:type="paragraph" w:customStyle="1" w:styleId="EndNoteBibliographyTitle">
    <w:name w:val="EndNote Bibliography Title"/>
    <w:basedOn w:val="Normal"/>
    <w:link w:val="EndNoteBibliographyTitleChar"/>
    <w:rsid w:val="00AB3BB0"/>
    <w:pPr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AB3BB0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AB3BB0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AB3BB0"/>
    <w:rPr>
      <w:rFonts w:ascii="Calibri" w:hAnsi="Calibri" w:cs="Calibri"/>
      <w:noProof/>
    </w:rPr>
  </w:style>
  <w:style w:type="character" w:styleId="Hyperlink">
    <w:name w:val="Hyperlink"/>
    <w:basedOn w:val="DefaultParagraphFont"/>
    <w:uiPriority w:val="99"/>
    <w:unhideWhenUsed/>
    <w:rsid w:val="00AB3BB0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AB3BB0"/>
    <w:pPr>
      <w:spacing w:after="0" w:line="240" w:lineRule="auto"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AB3BB0"/>
  </w:style>
  <w:style w:type="character" w:styleId="CommentReference">
    <w:name w:val="annotation reference"/>
    <w:basedOn w:val="DefaultParagraphFont"/>
    <w:uiPriority w:val="99"/>
    <w:semiHidden/>
    <w:unhideWhenUsed/>
    <w:rsid w:val="00AB3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3B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3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3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3BB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B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BB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B3BB0"/>
    <w:pPr>
      <w:spacing w:after="0" w:line="240" w:lineRule="auto"/>
    </w:pPr>
    <w:rPr>
      <w:lang w:val="en-AU"/>
    </w:rPr>
  </w:style>
  <w:style w:type="paragraph" w:customStyle="1" w:styleId="Style3">
    <w:name w:val="Style3"/>
    <w:basedOn w:val="Normal"/>
    <w:next w:val="Heading3"/>
    <w:autoRedefine/>
    <w:qFormat/>
    <w:rsid w:val="00AB3BB0"/>
    <w:pPr>
      <w:spacing w:line="360" w:lineRule="auto"/>
      <w:jc w:val="both"/>
    </w:pPr>
    <w:rPr>
      <w:rFonts w:ascii="Times New Roman" w:hAnsi="Times New Roman" w:cs="Times New Roman"/>
    </w:rPr>
  </w:style>
  <w:style w:type="character" w:customStyle="1" w:styleId="UnresolvedMention1">
    <w:name w:val="Unresolved Mention1"/>
    <w:basedOn w:val="DefaultParagraphFont"/>
    <w:uiPriority w:val="99"/>
    <w:rsid w:val="00AB3BB0"/>
    <w:rPr>
      <w:color w:val="808080"/>
      <w:shd w:val="clear" w:color="auto" w:fill="E6E6E6"/>
    </w:rPr>
  </w:style>
  <w:style w:type="character" w:styleId="PageNumber">
    <w:name w:val="page number"/>
    <w:basedOn w:val="DefaultParagraphFont"/>
    <w:uiPriority w:val="99"/>
    <w:semiHidden/>
    <w:unhideWhenUsed/>
    <w:rsid w:val="00AB3BB0"/>
  </w:style>
  <w:style w:type="paragraph" w:styleId="NoSpacing">
    <w:name w:val="No Spacing"/>
    <w:uiPriority w:val="1"/>
    <w:qFormat/>
    <w:rsid w:val="00AB3B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9CE3F-7B24-4957-8839-70C50A590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3428</Words>
  <Characters>19544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Caluscusan, Paul Randley</cp:lastModifiedBy>
  <cp:revision>5</cp:revision>
  <dcterms:created xsi:type="dcterms:W3CDTF">2019-02-22T08:43:00Z</dcterms:created>
  <dcterms:modified xsi:type="dcterms:W3CDTF">2019-02-23T05:43:00Z</dcterms:modified>
</cp:coreProperties>
</file>