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439"/>
        <w:gridCol w:w="7623"/>
      </w:tblGrid>
      <w:tr w:rsidR="00210AF9" w:rsidRPr="002415D0" w:rsidTr="005475CF">
        <w:trPr>
          <w:trHeight w:val="542"/>
        </w:trPr>
        <w:tc>
          <w:tcPr>
            <w:tcW w:w="775" w:type="pct"/>
            <w:vAlign w:val="center"/>
          </w:tcPr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15D0">
              <w:rPr>
                <w:rFonts w:ascii="Arial" w:hAnsi="Arial" w:cs="Arial"/>
                <w:b/>
                <w:i/>
                <w:sz w:val="20"/>
                <w:szCs w:val="20"/>
              </w:rPr>
              <w:t>Study</w:t>
            </w:r>
          </w:p>
        </w:tc>
        <w:tc>
          <w:tcPr>
            <w:tcW w:w="4225" w:type="pct"/>
            <w:vAlign w:val="center"/>
          </w:tcPr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15D0">
              <w:rPr>
                <w:rFonts w:ascii="Arial" w:hAnsi="Arial" w:cs="Arial"/>
                <w:b/>
                <w:sz w:val="20"/>
                <w:szCs w:val="20"/>
              </w:rPr>
              <w:t>Results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explorative</w:t>
            </w:r>
            <w:r w:rsidRPr="002415D0">
              <w:rPr>
                <w:rFonts w:ascii="Arial" w:hAnsi="Arial" w:cs="Arial"/>
                <w:b/>
                <w:sz w:val="20"/>
                <w:szCs w:val="20"/>
              </w:rPr>
              <w:t xml:space="preserve"> (effect direction</w:t>
            </w:r>
            <w:r>
              <w:rPr>
                <w:rFonts w:ascii="Arial" w:hAnsi="Arial" w:cs="Arial"/>
                <w:b/>
                <w:sz w:val="20"/>
                <w:szCs w:val="20"/>
              </w:rPr>
              <w:t>/compared categories</w:t>
            </w:r>
            <w:r w:rsidRPr="002415D0">
              <w:rPr>
                <w:rFonts w:ascii="Arial" w:hAnsi="Arial" w:cs="Arial"/>
                <w:b/>
                <w:sz w:val="20"/>
                <w:szCs w:val="20"/>
              </w:rPr>
              <w:t>; comparisons showing effect direction; significant compariso</w:t>
            </w:r>
            <w:r>
              <w:rPr>
                <w:rFonts w:ascii="Arial" w:hAnsi="Arial" w:cs="Arial"/>
                <w:b/>
                <w:sz w:val="20"/>
                <w:szCs w:val="20"/>
              </w:rPr>
              <w:t>ns showing effect direction</w:t>
            </w:r>
            <w:r w:rsidRPr="002415D0">
              <w:rPr>
                <w:rFonts w:ascii="Arial" w:hAnsi="Arial" w:cs="Arial"/>
                <w:b/>
                <w:sz w:val="20"/>
                <w:szCs w:val="20"/>
              </w:rPr>
              <w:t xml:space="preserve">; total number of </w:t>
            </w:r>
            <w:proofErr w:type="gramStart"/>
            <w:r w:rsidRPr="002415D0">
              <w:rPr>
                <w:rFonts w:ascii="Arial" w:hAnsi="Arial" w:cs="Arial"/>
                <w:b/>
                <w:sz w:val="20"/>
                <w:szCs w:val="20"/>
              </w:rPr>
              <w:t>comparisons/heterogeneity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; risk of bias</w:t>
            </w:r>
            <w:r w:rsidRPr="002415D0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210AF9" w:rsidRPr="002415D0" w:rsidTr="005475CF">
        <w:trPr>
          <w:trHeight w:val="542"/>
        </w:trPr>
        <w:tc>
          <w:tcPr>
            <w:tcW w:w="775" w:type="pct"/>
            <w:vAlign w:val="center"/>
          </w:tcPr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Aziz 2016 </w:t>
            </w:r>
          </w:p>
        </w:tc>
        <w:tc>
          <w:tcPr>
            <w:tcW w:w="4225" w:type="pct"/>
            <w:vAlign w:val="center"/>
          </w:tcPr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Age: </w:t>
            </w:r>
            <w:r w:rsidRPr="002415D0">
              <w:rPr>
                <w:rFonts w:ascii="Arial" w:hAnsi="Arial" w:cs="Arial"/>
                <w:sz w:val="20"/>
                <w:szCs w:val="20"/>
              </w:rPr>
              <w:t>↑</w:t>
            </w:r>
            <w:r>
              <w:rPr>
                <w:rFonts w:ascii="Arial" w:hAnsi="Arial" w:cs="Arial"/>
                <w:sz w:val="20"/>
                <w:szCs w:val="20"/>
              </w:rPr>
              <w:t>; 4; NR; 5; Moderate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Age: </w:t>
            </w:r>
            <w:r w:rsidRPr="002415D0">
              <w:rPr>
                <w:rFonts w:ascii="Arial" w:hAnsi="Arial" w:cs="Arial"/>
                <w:sz w:val="20"/>
                <w:szCs w:val="20"/>
              </w:rPr>
              <w:t>↓</w:t>
            </w:r>
            <w:r>
              <w:rPr>
                <w:rFonts w:ascii="Arial" w:hAnsi="Arial" w:cs="Arial"/>
                <w:sz w:val="20"/>
                <w:szCs w:val="20"/>
              </w:rPr>
              <w:t>; 1; NR; 5; Low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Age 65 and older &gt; younger than 65: 1; NR; 1; Low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Gender: male &gt; female; 3; NR; 4; Moderate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Gender: NR; NR; NR, 4; Moderate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comorbidities (physical) &gt; comorbidities (physical): 3; NR; 3; Moderate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comorbidities (mental) &gt; comorbidities (mental): 3; NR; 3; Low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Health Insurance &gt; no health insurance: 2; NR; 2; Low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Income: </w:t>
            </w:r>
            <w:r w:rsidRPr="002415D0">
              <w:rPr>
                <w:rFonts w:ascii="Arial" w:hAnsi="Arial" w:cs="Arial"/>
                <w:sz w:val="20"/>
                <w:szCs w:val="20"/>
              </w:rPr>
              <w:t>↑</w:t>
            </w:r>
            <w:r>
              <w:rPr>
                <w:rFonts w:ascii="Arial" w:hAnsi="Arial" w:cs="Arial"/>
                <w:sz w:val="20"/>
                <w:szCs w:val="20"/>
              </w:rPr>
              <w:t>; 5; NR; 5; Low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Co-payment: </w:t>
            </w:r>
            <w:r w:rsidRPr="002415D0">
              <w:rPr>
                <w:rFonts w:ascii="Arial" w:hAnsi="Arial" w:cs="Arial"/>
                <w:sz w:val="20"/>
                <w:szCs w:val="20"/>
              </w:rPr>
              <w:t>↓</w:t>
            </w:r>
            <w:r>
              <w:rPr>
                <w:rFonts w:ascii="Arial" w:hAnsi="Arial" w:cs="Arial"/>
                <w:sz w:val="20"/>
                <w:szCs w:val="20"/>
              </w:rPr>
              <w:t>; 12; NR; 13; Moderate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Co-payment: </w:t>
            </w:r>
            <w:r w:rsidRPr="002415D0">
              <w:rPr>
                <w:rFonts w:ascii="Arial" w:hAnsi="Arial" w:cs="Arial"/>
                <w:sz w:val="20"/>
                <w:szCs w:val="20"/>
              </w:rPr>
              <w:t>↑</w:t>
            </w:r>
            <w:r>
              <w:rPr>
                <w:rFonts w:ascii="Arial" w:hAnsi="Arial" w:cs="Arial"/>
                <w:sz w:val="20"/>
                <w:szCs w:val="20"/>
              </w:rPr>
              <w:t>: 1; NR; 13; Low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Marital status: NR; 1; NR; 1; Moderate</w:t>
            </w:r>
          </w:p>
        </w:tc>
      </w:tr>
      <w:tr w:rsidR="00210AF9" w:rsidRPr="002415D0" w:rsidTr="005475CF">
        <w:tc>
          <w:tcPr>
            <w:tcW w:w="775" w:type="pct"/>
            <w:vAlign w:val="center"/>
          </w:tcPr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415D0">
              <w:rPr>
                <w:rFonts w:ascii="Arial" w:hAnsi="Arial" w:cs="Arial"/>
                <w:b/>
                <w:sz w:val="20"/>
                <w:szCs w:val="20"/>
              </w:rPr>
              <w:t>Broekmans</w:t>
            </w:r>
            <w:proofErr w:type="spellEnd"/>
            <w:r w:rsidRPr="002415D0">
              <w:rPr>
                <w:rFonts w:ascii="Arial" w:hAnsi="Arial" w:cs="Arial"/>
                <w:b/>
                <w:sz w:val="20"/>
                <w:szCs w:val="20"/>
              </w:rPr>
              <w:t xml:space="preserve"> 2008</w:t>
            </w:r>
          </w:p>
        </w:tc>
        <w:tc>
          <w:tcPr>
            <w:tcW w:w="4225" w:type="pct"/>
            <w:vAlign w:val="center"/>
          </w:tcPr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Age: ↑;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415D0">
              <w:rPr>
                <w:rFonts w:ascii="Arial" w:hAnsi="Arial" w:cs="Arial"/>
                <w:sz w:val="20"/>
                <w:szCs w:val="20"/>
              </w:rPr>
              <w:t>NR; 2; NR</w:t>
            </w:r>
            <w:r>
              <w:rPr>
                <w:rFonts w:ascii="Arial" w:hAnsi="Arial" w:cs="Arial"/>
                <w:sz w:val="20"/>
                <w:szCs w:val="20"/>
              </w:rPr>
              <w:t>; Unclear</w:t>
            </w:r>
          </w:p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 xml:space="preserve">Duration of disease: NR; </w:t>
            </w:r>
            <w:r>
              <w:rPr>
                <w:rFonts w:ascii="Arial" w:hAnsi="Arial" w:cs="Arial"/>
                <w:sz w:val="20"/>
                <w:szCs w:val="20"/>
              </w:rPr>
              <w:t>NR</w:t>
            </w:r>
            <w:r w:rsidRPr="002415D0">
              <w:rPr>
                <w:rFonts w:ascii="Arial" w:hAnsi="Arial" w:cs="Arial"/>
                <w:sz w:val="20"/>
                <w:szCs w:val="20"/>
              </w:rPr>
              <w:t>; 0; 1</w:t>
            </w:r>
            <w:r>
              <w:rPr>
                <w:rFonts w:ascii="Arial" w:hAnsi="Arial" w:cs="Arial"/>
                <w:sz w:val="20"/>
                <w:szCs w:val="20"/>
              </w:rPr>
              <w:t>; Unclear</w:t>
            </w:r>
          </w:p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 xml:space="preserve">Education: NR; </w:t>
            </w:r>
            <w:r>
              <w:rPr>
                <w:rFonts w:ascii="Arial" w:hAnsi="Arial" w:cs="Arial"/>
                <w:sz w:val="20"/>
                <w:szCs w:val="20"/>
              </w:rPr>
              <w:t>NR</w:t>
            </w:r>
            <w:r w:rsidRPr="002415D0">
              <w:rPr>
                <w:rFonts w:ascii="Arial" w:hAnsi="Arial" w:cs="Arial"/>
                <w:sz w:val="20"/>
                <w:szCs w:val="20"/>
              </w:rPr>
              <w:t>; 0; 2</w:t>
            </w:r>
            <w:r>
              <w:rPr>
                <w:rFonts w:ascii="Arial" w:hAnsi="Arial" w:cs="Arial"/>
                <w:sz w:val="20"/>
                <w:szCs w:val="20"/>
              </w:rPr>
              <w:t>; High</w:t>
            </w:r>
          </w:p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Gender: Women &gt; men; NR; 1; 2</w:t>
            </w:r>
            <w:r>
              <w:rPr>
                <w:rFonts w:ascii="Arial" w:hAnsi="Arial" w:cs="Arial"/>
                <w:sz w:val="20"/>
                <w:szCs w:val="20"/>
              </w:rPr>
              <w:t>; Moderate</w:t>
            </w:r>
          </w:p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Different medications: ↓ ;1; 1; 1</w:t>
            </w:r>
            <w:r>
              <w:rPr>
                <w:rFonts w:ascii="Arial" w:hAnsi="Arial" w:cs="Arial"/>
                <w:sz w:val="20"/>
                <w:szCs w:val="20"/>
              </w:rPr>
              <w:t>; Unclear</w:t>
            </w:r>
          </w:p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Different medications: ↑; 1;1; 1</w:t>
            </w:r>
            <w:r>
              <w:rPr>
                <w:rFonts w:ascii="Arial" w:hAnsi="Arial" w:cs="Arial"/>
                <w:sz w:val="20"/>
                <w:szCs w:val="20"/>
              </w:rPr>
              <w:t>; Moderate</w:t>
            </w:r>
          </w:p>
        </w:tc>
      </w:tr>
      <w:tr w:rsidR="00210AF9" w:rsidRPr="002415D0" w:rsidTr="005475CF">
        <w:tc>
          <w:tcPr>
            <w:tcW w:w="721" w:type="pct"/>
            <w:vAlign w:val="center"/>
          </w:tcPr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Chen 2015</w:t>
            </w:r>
          </w:p>
        </w:tc>
        <w:tc>
          <w:tcPr>
            <w:tcW w:w="4279" w:type="pct"/>
            <w:vAlign w:val="center"/>
          </w:tcPr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Age: ≤ 55 &lt; others: 1; 1; 3; Low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Age: ≤ 55: NR; NR; 0; 3; Low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Age: </w:t>
            </w:r>
            <w:r w:rsidRPr="002415D0">
              <w:rPr>
                <w:rFonts w:ascii="Arial" w:hAnsi="Arial" w:cs="Arial"/>
                <w:sz w:val="20"/>
                <w:szCs w:val="20"/>
              </w:rPr>
              <w:t>↓</w:t>
            </w:r>
            <w:r>
              <w:rPr>
                <w:rFonts w:ascii="Arial" w:hAnsi="Arial" w:cs="Arial"/>
                <w:sz w:val="20"/>
                <w:szCs w:val="20"/>
              </w:rPr>
              <w:t>; 1; 1; 3; Low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Gender: female &gt; male: 1; 1; 2; Low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Gender: NR; NR; 0; 2; Low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Ethnic status: White &gt; Non-White: 1; 1; 1; Low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Ethnic status: Non-Asian &gt; Asian: 1; 1; 1; Low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Income: NR; 1; 0; 1; Low</w:t>
            </w:r>
          </w:p>
          <w:p w:rsidR="00210AF9" w:rsidRDefault="00210AF9" w:rsidP="005475C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Comorbidities (physical): </w:t>
            </w:r>
            <w:r w:rsidRPr="002415D0">
              <w:rPr>
                <w:rFonts w:ascii="Arial" w:hAnsi="Arial" w:cs="Arial"/>
                <w:sz w:val="20"/>
                <w:szCs w:val="20"/>
              </w:rPr>
              <w:t>↓</w:t>
            </w:r>
            <w:r>
              <w:rPr>
                <w:rFonts w:ascii="Arial" w:hAnsi="Arial" w:cs="Arial"/>
                <w:sz w:val="20"/>
                <w:szCs w:val="20"/>
              </w:rPr>
              <w:t>; 3; 3; 3; Low</w:t>
            </w:r>
          </w:p>
          <w:p w:rsidR="00210AF9" w:rsidRDefault="00210AF9" w:rsidP="005475C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Comorbidities (mental): </w:t>
            </w:r>
            <w:r w:rsidRPr="002415D0">
              <w:rPr>
                <w:rFonts w:ascii="Arial" w:hAnsi="Arial" w:cs="Arial"/>
                <w:sz w:val="20"/>
                <w:szCs w:val="20"/>
              </w:rPr>
              <w:t>↓</w:t>
            </w:r>
            <w:r>
              <w:rPr>
                <w:rFonts w:ascii="Arial" w:hAnsi="Arial" w:cs="Arial"/>
                <w:sz w:val="20"/>
                <w:szCs w:val="20"/>
              </w:rPr>
              <w:t>; 2; 2; 3; Low</w:t>
            </w:r>
          </w:p>
          <w:p w:rsidR="00210AF9" w:rsidRDefault="00210AF9" w:rsidP="005475C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Comorbidities (mental): NR; 1; 0; 3 Low</w:t>
            </w:r>
          </w:p>
          <w:p w:rsidR="00210AF9" w:rsidRPr="00807F13" w:rsidRDefault="00210AF9" w:rsidP="005475CF">
            <w:pPr>
              <w:autoSpaceDE w:val="0"/>
              <w:autoSpaceDN w:val="0"/>
              <w:adjustRightInd w:val="0"/>
              <w:spacing w:line="480" w:lineRule="auto"/>
              <w:rPr>
                <w:rFonts w:ascii="AdvOT863180fb" w:hAnsi="AdvOT863180fb" w:cs="AdvOT863180fb"/>
                <w:sz w:val="13"/>
                <w:szCs w:val="13"/>
              </w:rPr>
            </w:pPr>
          </w:p>
        </w:tc>
      </w:tr>
      <w:tr w:rsidR="00210AF9" w:rsidRPr="002415D0" w:rsidTr="005475CF">
        <w:tc>
          <w:tcPr>
            <w:tcW w:w="775" w:type="pct"/>
            <w:vAlign w:val="center"/>
          </w:tcPr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Crawshaw 2016</w:t>
            </w:r>
          </w:p>
        </w:tc>
        <w:tc>
          <w:tcPr>
            <w:tcW w:w="4225" w:type="pct"/>
            <w:vAlign w:val="center"/>
          </w:tcPr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comorbidities (mental) &gt; comorbidities (mental): 9; 5; 9; Moderate</w:t>
            </w:r>
          </w:p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Social support: </w:t>
            </w:r>
            <w:r w:rsidRPr="002415D0">
              <w:rPr>
                <w:rFonts w:ascii="Arial" w:hAnsi="Arial" w:cs="Arial"/>
                <w:sz w:val="20"/>
                <w:szCs w:val="20"/>
              </w:rPr>
              <w:t>↑</w:t>
            </w:r>
            <w:r>
              <w:rPr>
                <w:rFonts w:ascii="Arial" w:hAnsi="Arial" w:cs="Arial"/>
                <w:sz w:val="20"/>
                <w:szCs w:val="20"/>
              </w:rPr>
              <w:t>; 3; 2; 3; Moderate</w:t>
            </w:r>
          </w:p>
        </w:tc>
      </w:tr>
      <w:tr w:rsidR="00210AF9" w:rsidRPr="002415D0" w:rsidTr="005475CF">
        <w:tc>
          <w:tcPr>
            <w:tcW w:w="775" w:type="pct"/>
            <w:vAlign w:val="center"/>
          </w:tcPr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15D0">
              <w:rPr>
                <w:rFonts w:ascii="Arial" w:hAnsi="Arial" w:cs="Arial"/>
                <w:b/>
                <w:sz w:val="20"/>
                <w:szCs w:val="20"/>
              </w:rPr>
              <w:t>Daley 2012</w:t>
            </w:r>
          </w:p>
        </w:tc>
        <w:tc>
          <w:tcPr>
            <w:tcW w:w="4225" w:type="pct"/>
            <w:vAlign w:val="center"/>
          </w:tcPr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Age: ↑; 2; 2; 2</w:t>
            </w:r>
            <w:r>
              <w:rPr>
                <w:rFonts w:ascii="Arial" w:hAnsi="Arial" w:cs="Arial"/>
                <w:sz w:val="20"/>
                <w:szCs w:val="20"/>
              </w:rPr>
              <w:t>; Moderate</w:t>
            </w:r>
          </w:p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Comorbidity (mental):  ↓; NR; 3; NR</w:t>
            </w:r>
            <w:r>
              <w:rPr>
                <w:rFonts w:ascii="Arial" w:hAnsi="Arial" w:cs="Arial"/>
                <w:sz w:val="20"/>
                <w:szCs w:val="20"/>
              </w:rPr>
              <w:t>; High</w:t>
            </w:r>
          </w:p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Different medications:  ↓; NR; 2; NR</w:t>
            </w:r>
            <w:r>
              <w:rPr>
                <w:rFonts w:ascii="Arial" w:hAnsi="Arial" w:cs="Arial"/>
                <w:sz w:val="20"/>
                <w:szCs w:val="20"/>
              </w:rPr>
              <w:t>; Moderate</w:t>
            </w:r>
          </w:p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Education: ↑; NR; 2; NR</w:t>
            </w:r>
            <w:r>
              <w:rPr>
                <w:rFonts w:ascii="Arial" w:hAnsi="Arial" w:cs="Arial"/>
                <w:sz w:val="20"/>
                <w:szCs w:val="20"/>
              </w:rPr>
              <w:t>; Moderate</w:t>
            </w:r>
          </w:p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Frequency of intake: ↑; NR; 1; NR</w:t>
            </w:r>
            <w:r>
              <w:rPr>
                <w:rFonts w:ascii="Arial" w:hAnsi="Arial" w:cs="Arial"/>
                <w:sz w:val="20"/>
                <w:szCs w:val="20"/>
              </w:rPr>
              <w:t>; Moderate</w:t>
            </w:r>
          </w:p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Income: ↑; 1; 0; 1</w:t>
            </w:r>
            <w:r>
              <w:rPr>
                <w:rFonts w:ascii="Arial" w:hAnsi="Arial" w:cs="Arial"/>
                <w:sz w:val="20"/>
                <w:szCs w:val="20"/>
              </w:rPr>
              <w:t>; Moderate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Marital status / social support: ↑; 1; 0; 1</w:t>
            </w:r>
            <w:r>
              <w:rPr>
                <w:rFonts w:ascii="Arial" w:hAnsi="Arial" w:cs="Arial"/>
                <w:sz w:val="20"/>
                <w:szCs w:val="20"/>
              </w:rPr>
              <w:t>; Moderate</w:t>
            </w:r>
          </w:p>
        </w:tc>
      </w:tr>
      <w:tr w:rsidR="00210AF9" w:rsidRPr="002415D0" w:rsidTr="005475CF">
        <w:tc>
          <w:tcPr>
            <w:tcW w:w="775" w:type="pct"/>
            <w:vAlign w:val="center"/>
          </w:tcPr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Gourzoulidis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2017</w:t>
            </w:r>
          </w:p>
        </w:tc>
        <w:tc>
          <w:tcPr>
            <w:tcW w:w="4225" w:type="pct"/>
            <w:vAlign w:val="center"/>
          </w:tcPr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Co-payment: </w:t>
            </w:r>
            <w:r w:rsidRPr="002415D0">
              <w:rPr>
                <w:rFonts w:ascii="Arial" w:hAnsi="Arial" w:cs="Arial"/>
                <w:sz w:val="20"/>
                <w:szCs w:val="20"/>
              </w:rPr>
              <w:t>↓</w:t>
            </w:r>
            <w:r>
              <w:rPr>
                <w:rFonts w:ascii="Arial" w:hAnsi="Arial" w:cs="Arial"/>
                <w:sz w:val="20"/>
                <w:szCs w:val="20"/>
              </w:rPr>
              <w:t>; 16; 11; 16; High</w:t>
            </w:r>
          </w:p>
        </w:tc>
      </w:tr>
      <w:tr w:rsidR="00210AF9" w:rsidRPr="002415D0" w:rsidTr="005475CF">
        <w:tc>
          <w:tcPr>
            <w:tcW w:w="775" w:type="pct"/>
            <w:vAlign w:val="center"/>
          </w:tcPr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Jaam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2017</w:t>
            </w:r>
          </w:p>
        </w:tc>
        <w:tc>
          <w:tcPr>
            <w:tcW w:w="4225" w:type="pct"/>
            <w:vAlign w:val="center"/>
          </w:tcPr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Age:</w:t>
            </w:r>
            <w:r w:rsidRPr="002415D0">
              <w:rPr>
                <w:rFonts w:ascii="Arial" w:hAnsi="Arial" w:cs="Arial"/>
                <w:sz w:val="20"/>
                <w:szCs w:val="20"/>
              </w:rPr>
              <w:t xml:space="preserve"> ↑</w:t>
            </w:r>
            <w:r>
              <w:rPr>
                <w:rFonts w:ascii="Arial" w:hAnsi="Arial" w:cs="Arial"/>
                <w:sz w:val="20"/>
                <w:szCs w:val="20"/>
              </w:rPr>
              <w:t>; 2; 2; 13; Low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Age: </w:t>
            </w:r>
            <w:r w:rsidRPr="002415D0">
              <w:rPr>
                <w:rFonts w:ascii="Arial" w:hAnsi="Arial" w:cs="Arial"/>
                <w:sz w:val="20"/>
                <w:szCs w:val="20"/>
              </w:rPr>
              <w:t>↓</w:t>
            </w:r>
            <w:r>
              <w:rPr>
                <w:rFonts w:ascii="Arial" w:hAnsi="Arial" w:cs="Arial"/>
                <w:sz w:val="20"/>
                <w:szCs w:val="20"/>
              </w:rPr>
              <w:t>; 2; 2; 13; High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Age: NR; NR; 2; NR; High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Age: &gt; 60 &gt; others; 1; 1; 1; High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Gender: female &gt; male 3; 3; 17; Moderate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Gender: male &gt; female; 2; 2; 17; High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Gender: NR; 12; 0; 17; High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Marital status: </w:t>
            </w:r>
            <w:r w:rsidRPr="002415D0">
              <w:rPr>
                <w:rFonts w:ascii="Arial" w:hAnsi="Arial" w:cs="Arial"/>
                <w:sz w:val="20"/>
                <w:szCs w:val="20"/>
              </w:rPr>
              <w:t>↑</w:t>
            </w:r>
            <w:r>
              <w:rPr>
                <w:rFonts w:ascii="Arial" w:hAnsi="Arial" w:cs="Arial"/>
                <w:sz w:val="20"/>
                <w:szCs w:val="20"/>
              </w:rPr>
              <w:t>; 3; 3; 9; High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Marital status: NR; 6; 0; 9; Moderate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Education: </w:t>
            </w:r>
            <w:r w:rsidRPr="002415D0">
              <w:rPr>
                <w:rFonts w:ascii="Arial" w:hAnsi="Arial" w:cs="Arial"/>
                <w:sz w:val="20"/>
                <w:szCs w:val="20"/>
              </w:rPr>
              <w:t>↑</w:t>
            </w:r>
            <w:r>
              <w:rPr>
                <w:rFonts w:ascii="Arial" w:hAnsi="Arial" w:cs="Arial"/>
                <w:sz w:val="20"/>
                <w:szCs w:val="20"/>
              </w:rPr>
              <w:t>; 8; 8; 20; High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Education:</w:t>
            </w:r>
            <w:r w:rsidRPr="002415D0">
              <w:rPr>
                <w:rFonts w:ascii="Arial" w:hAnsi="Arial" w:cs="Arial"/>
                <w:sz w:val="20"/>
                <w:szCs w:val="20"/>
              </w:rPr>
              <w:t xml:space="preserve"> ↓</w:t>
            </w:r>
            <w:r>
              <w:rPr>
                <w:rFonts w:ascii="Arial" w:hAnsi="Arial" w:cs="Arial"/>
                <w:sz w:val="20"/>
                <w:szCs w:val="20"/>
              </w:rPr>
              <w:t>; 1; 1; 20; Moderate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Education: NR; 11; 0; NR; High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Employed: </w:t>
            </w:r>
            <w:r w:rsidRPr="002415D0">
              <w:rPr>
                <w:rFonts w:ascii="Arial" w:hAnsi="Arial" w:cs="Arial"/>
                <w:sz w:val="20"/>
                <w:szCs w:val="20"/>
              </w:rPr>
              <w:t>↑</w:t>
            </w:r>
            <w:r>
              <w:rPr>
                <w:rFonts w:ascii="Arial" w:hAnsi="Arial" w:cs="Arial"/>
                <w:sz w:val="20"/>
                <w:szCs w:val="20"/>
              </w:rPr>
              <w:t>; 2; 2; 10; Moderate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Employed: </w:t>
            </w:r>
            <w:r w:rsidRPr="002415D0">
              <w:rPr>
                <w:rFonts w:ascii="Arial" w:hAnsi="Arial" w:cs="Arial"/>
                <w:sz w:val="20"/>
                <w:szCs w:val="20"/>
              </w:rPr>
              <w:t>↓</w:t>
            </w:r>
            <w:r>
              <w:rPr>
                <w:rFonts w:ascii="Arial" w:hAnsi="Arial" w:cs="Arial"/>
                <w:sz w:val="20"/>
                <w:szCs w:val="20"/>
              </w:rPr>
              <w:t>; 1; 1; 10; Low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Employed: NR; 7; 0; 10; Moderate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Income: </w:t>
            </w:r>
            <w:r w:rsidRPr="002415D0">
              <w:rPr>
                <w:rFonts w:ascii="Arial" w:hAnsi="Arial" w:cs="Arial"/>
                <w:sz w:val="20"/>
                <w:szCs w:val="20"/>
              </w:rPr>
              <w:t>↑</w:t>
            </w:r>
            <w:r>
              <w:rPr>
                <w:rFonts w:ascii="Arial" w:hAnsi="Arial" w:cs="Arial"/>
                <w:sz w:val="20"/>
                <w:szCs w:val="20"/>
              </w:rPr>
              <w:t>; 5; 5; 6; High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Income: NR; 1; 0; 6; Moderate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Insurance: </w:t>
            </w:r>
            <w:r w:rsidRPr="002415D0">
              <w:rPr>
                <w:rFonts w:ascii="Arial" w:hAnsi="Arial" w:cs="Arial"/>
                <w:sz w:val="20"/>
                <w:szCs w:val="20"/>
              </w:rPr>
              <w:t>↑</w:t>
            </w:r>
            <w:r>
              <w:rPr>
                <w:rFonts w:ascii="Arial" w:hAnsi="Arial" w:cs="Arial"/>
                <w:sz w:val="20"/>
                <w:szCs w:val="20"/>
              </w:rPr>
              <w:t>; 1; 1; 2; Moderate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Insurance: NR; 1; 0; 2; Moderate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Duration of disease: </w:t>
            </w:r>
            <w:r w:rsidRPr="002415D0">
              <w:rPr>
                <w:rFonts w:ascii="Arial" w:hAnsi="Arial" w:cs="Arial"/>
                <w:sz w:val="20"/>
                <w:szCs w:val="20"/>
              </w:rPr>
              <w:t>↑</w:t>
            </w:r>
            <w:r>
              <w:rPr>
                <w:rFonts w:ascii="Arial" w:hAnsi="Arial" w:cs="Arial"/>
                <w:sz w:val="20"/>
                <w:szCs w:val="20"/>
              </w:rPr>
              <w:t>; 1; 1; 13; Low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Duration of disease: </w:t>
            </w:r>
            <w:r w:rsidRPr="002415D0">
              <w:rPr>
                <w:rFonts w:ascii="Arial" w:hAnsi="Arial" w:cs="Arial"/>
                <w:sz w:val="20"/>
                <w:szCs w:val="20"/>
              </w:rPr>
              <w:t>↓</w:t>
            </w:r>
            <w:r>
              <w:rPr>
                <w:rFonts w:ascii="Arial" w:hAnsi="Arial" w:cs="Arial"/>
                <w:sz w:val="20"/>
                <w:szCs w:val="20"/>
              </w:rPr>
              <w:t>; 2; 2; 13; High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Duration of disease: NR; 10; 0; 10; Moderate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Number of medications: </w:t>
            </w:r>
            <w:r w:rsidRPr="002415D0">
              <w:rPr>
                <w:rFonts w:ascii="Arial" w:hAnsi="Arial" w:cs="Arial"/>
                <w:sz w:val="20"/>
                <w:szCs w:val="20"/>
              </w:rPr>
              <w:t>↓</w:t>
            </w:r>
            <w:r>
              <w:rPr>
                <w:rFonts w:ascii="Arial" w:hAnsi="Arial" w:cs="Arial"/>
                <w:sz w:val="20"/>
                <w:szCs w:val="20"/>
              </w:rPr>
              <w:t>; 7; 7; 9; High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Number of medications: NR; 2; 0; 9; High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Co-payment: </w:t>
            </w:r>
            <w:r w:rsidRPr="002415D0">
              <w:rPr>
                <w:rFonts w:ascii="Arial" w:hAnsi="Arial" w:cs="Arial"/>
                <w:sz w:val="20"/>
                <w:szCs w:val="20"/>
              </w:rPr>
              <w:t>↓</w:t>
            </w:r>
            <w:r>
              <w:rPr>
                <w:rFonts w:ascii="Arial" w:hAnsi="Arial" w:cs="Arial"/>
                <w:sz w:val="20"/>
                <w:szCs w:val="20"/>
              </w:rPr>
              <w:t>; 2; 2; 2; Moderate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Social support: </w:t>
            </w:r>
            <w:r w:rsidRPr="002415D0">
              <w:rPr>
                <w:rFonts w:ascii="Arial" w:hAnsi="Arial" w:cs="Arial"/>
                <w:sz w:val="20"/>
                <w:szCs w:val="20"/>
              </w:rPr>
              <w:t>↑</w:t>
            </w:r>
            <w:r>
              <w:rPr>
                <w:rFonts w:ascii="Arial" w:hAnsi="Arial" w:cs="Arial"/>
                <w:sz w:val="20"/>
                <w:szCs w:val="20"/>
              </w:rPr>
              <w:t>; 1; 1; 1; Low</w:t>
            </w:r>
          </w:p>
        </w:tc>
      </w:tr>
      <w:tr w:rsidR="00210AF9" w:rsidRPr="002415D0" w:rsidTr="005475CF">
        <w:tc>
          <w:tcPr>
            <w:tcW w:w="775" w:type="pct"/>
            <w:vAlign w:val="center"/>
          </w:tcPr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Krueger 2015</w:t>
            </w:r>
          </w:p>
        </w:tc>
        <w:tc>
          <w:tcPr>
            <w:tcW w:w="4225" w:type="pct"/>
            <w:vAlign w:val="center"/>
          </w:tcPr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Age: </w:t>
            </w:r>
            <w:r w:rsidRPr="002415D0">
              <w:rPr>
                <w:rFonts w:ascii="Arial" w:hAnsi="Arial" w:cs="Arial"/>
                <w:sz w:val="20"/>
                <w:szCs w:val="20"/>
              </w:rPr>
              <w:t>↑</w:t>
            </w:r>
            <w:r>
              <w:rPr>
                <w:rFonts w:ascii="Arial" w:hAnsi="Arial" w:cs="Arial"/>
                <w:sz w:val="20"/>
                <w:szCs w:val="20"/>
              </w:rPr>
              <w:t>; 7; 7; 17 Moderate</w:t>
            </w:r>
            <w:r>
              <w:rPr>
                <w:rFonts w:ascii="Arial" w:hAnsi="Arial" w:cs="Arial"/>
                <w:sz w:val="20"/>
                <w:szCs w:val="20"/>
              </w:rPr>
              <w:br/>
              <w:t>Age: NR; 10; 0; 17; High</w:t>
            </w:r>
          </w:p>
        </w:tc>
      </w:tr>
      <w:tr w:rsidR="00210AF9" w:rsidRPr="002415D0" w:rsidTr="005475CF">
        <w:tc>
          <w:tcPr>
            <w:tcW w:w="775" w:type="pct"/>
            <w:vAlign w:val="center"/>
          </w:tcPr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Maimaris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2013</w:t>
            </w:r>
          </w:p>
        </w:tc>
        <w:tc>
          <w:tcPr>
            <w:tcW w:w="4225" w:type="pct"/>
            <w:vAlign w:val="center"/>
          </w:tcPr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Health insurance: insured &gt; uninsured; 2; 0; 3; Moderate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Health insurance: NR; 1; NR; 3; Moderate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Co-payment: US$0 &gt; US$1 to US$9; 1; 1; 1; Moderate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Co-payment: US$0 &gt; US$10 to US$29; 1; 1; 1; Moderate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Co-payment: </w:t>
            </w:r>
            <w:r w:rsidRPr="002415D0">
              <w:rPr>
                <w:rFonts w:ascii="Arial" w:hAnsi="Arial" w:cs="Arial"/>
                <w:sz w:val="20"/>
                <w:szCs w:val="20"/>
              </w:rPr>
              <w:t>↓</w:t>
            </w:r>
            <w:r>
              <w:rPr>
                <w:rFonts w:ascii="Arial" w:hAnsi="Arial" w:cs="Arial"/>
                <w:sz w:val="20"/>
                <w:szCs w:val="20"/>
              </w:rPr>
              <w:t>; 2; 2; 2; High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Co-payment: no co-payments &gt; co-payments; 3; 3; 4; High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Co-payments: co-payments &gt; no co-payments; 1; 1; 4; Low</w:t>
            </w:r>
          </w:p>
        </w:tc>
      </w:tr>
      <w:tr w:rsidR="00210AF9" w:rsidRPr="002415D0" w:rsidTr="005475CF">
        <w:tc>
          <w:tcPr>
            <w:tcW w:w="775" w:type="pct"/>
            <w:vAlign w:val="center"/>
          </w:tcPr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Mann 2014</w:t>
            </w:r>
          </w:p>
        </w:tc>
        <w:tc>
          <w:tcPr>
            <w:tcW w:w="4225" w:type="pct"/>
            <w:vAlign w:val="center"/>
          </w:tcPr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co-payments &gt; co-payments: 3; 3; 3, Moderate</w:t>
            </w:r>
          </w:p>
        </w:tc>
      </w:tr>
      <w:tr w:rsidR="00210AF9" w:rsidRPr="002415D0" w:rsidTr="005475CF">
        <w:tc>
          <w:tcPr>
            <w:tcW w:w="775" w:type="pct"/>
            <w:vAlign w:val="center"/>
          </w:tcPr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Mathes 2014(a)</w:t>
            </w:r>
          </w:p>
        </w:tc>
        <w:tc>
          <w:tcPr>
            <w:tcW w:w="4225" w:type="pct"/>
            <w:vAlign w:val="center"/>
          </w:tcPr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Age: NR; 4; 1; 5; High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Age: &lt; 55 &gt; others; 1; 1; 5; High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Gender: male &gt; female; 2; 2; 6; High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Gender: female &gt; male; 1; 0; 6; High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Gender: NR; 3; 0; 6; High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Ethnic status: NR; 1; 0; 2; High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Ethnic status: others &gt; African American; 1; 0; 2; High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comorbidities (physical) &gt; comorbidities (physical): 1; 0; 2; Moderate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Comorbidities (physical): NR; 1; 0; 2; Moderate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comorbidities (mental) &gt; comorbidities (mental); 5; 3; 8; High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comorbidities (mental) = comorbidities (mental): 1; 0; 8; Moderate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comorbidities (mental) &lt; comorbidities (mental): 1; NR; 8; High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comorbidities (mental): NR; 1; 0; 8; Moderate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Duration of Disease: </w:t>
            </w:r>
            <w:r w:rsidRPr="002415D0">
              <w:rPr>
                <w:rFonts w:ascii="Arial" w:hAnsi="Arial" w:cs="Arial"/>
                <w:sz w:val="20"/>
                <w:szCs w:val="20"/>
              </w:rPr>
              <w:t>↑</w:t>
            </w:r>
            <w:r>
              <w:rPr>
                <w:rFonts w:ascii="Arial" w:hAnsi="Arial" w:cs="Arial"/>
                <w:sz w:val="20"/>
                <w:szCs w:val="20"/>
              </w:rPr>
              <w:t>; 1; 0; 1; Moderate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Education: high &gt; low; 1; 0; 2; Moderate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Education: College &gt; others; 1; 0; 2; High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Employment status: unemployed &gt; employed; 2; 0; 2; High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relationship &gt; in a relationship; 1; 0; 1; High</w:t>
            </w:r>
          </w:p>
        </w:tc>
      </w:tr>
      <w:tr w:rsidR="00210AF9" w:rsidRPr="002415D0" w:rsidTr="005475CF">
        <w:tc>
          <w:tcPr>
            <w:tcW w:w="775" w:type="pct"/>
            <w:vAlign w:val="center"/>
          </w:tcPr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Mathes 2014(b)</w:t>
            </w:r>
          </w:p>
        </w:tc>
        <w:tc>
          <w:tcPr>
            <w:tcW w:w="4225" w:type="pct"/>
            <w:vAlign w:val="center"/>
          </w:tcPr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Age: middle age &gt; very old (≥75) &gt; young (≤45): 3; 3; 3; Moderate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Age: middle age (41 - 60) &gt; others; 1; 0; 1; High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Age: </w:t>
            </w:r>
            <w:r w:rsidRPr="002415D0">
              <w:rPr>
                <w:rFonts w:ascii="Arial" w:hAnsi="Arial" w:cs="Arial"/>
                <w:sz w:val="20"/>
                <w:szCs w:val="20"/>
              </w:rPr>
              <w:t>↑</w:t>
            </w:r>
            <w:r>
              <w:rPr>
                <w:rFonts w:ascii="Arial" w:hAnsi="Arial" w:cs="Arial"/>
                <w:sz w:val="20"/>
                <w:szCs w:val="20"/>
              </w:rPr>
              <w:t>; 5; 3;10; High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Age; NR; 3; 0; 10; High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Age; </w:t>
            </w:r>
            <w:r w:rsidRPr="002415D0">
              <w:rPr>
                <w:rFonts w:ascii="Arial" w:hAnsi="Arial" w:cs="Arial"/>
                <w:sz w:val="20"/>
                <w:szCs w:val="20"/>
              </w:rPr>
              <w:t>↓</w:t>
            </w:r>
            <w:r>
              <w:rPr>
                <w:rFonts w:ascii="Arial" w:hAnsi="Arial" w:cs="Arial"/>
                <w:sz w:val="20"/>
                <w:szCs w:val="20"/>
              </w:rPr>
              <w:t>; 2; 0; 10; High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Ethnic status: NR; 3; 0; 3; High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Ethnic status: white &gt; black; 1; 1; 1; Moderate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Ethnic status: white &gt;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asian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; 1; 0; 1; Moderate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Ethnic status: white &gt;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hispanic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; 1; 0; 1; Moderate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Ethnic status: white &gt; non-white; 1; 1; 1; Moderate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Gender: NR; 2; 0; 5; High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Gender: female &gt; male; 1; NR; 5; High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Gender: male &gt; female; 2; 1; 5; Moderate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Marital status: married &gt; unmarried; 1; 1; 2; Moderate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Marital status: NR; 1; 0; 2; High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Education: NR; 1; 0; 2; High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Education: secondary &gt; primary; 1; NR; 1; High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Education: university &gt; primary; 1; NR; 1; High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Education: primary &gt; others; 1; NR; 1; High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Education: </w:t>
            </w:r>
            <w:r w:rsidRPr="002415D0">
              <w:rPr>
                <w:rFonts w:ascii="Arial" w:hAnsi="Arial" w:cs="Arial"/>
                <w:sz w:val="20"/>
                <w:szCs w:val="20"/>
              </w:rPr>
              <w:t>↑</w:t>
            </w:r>
            <w:r>
              <w:rPr>
                <w:rFonts w:ascii="Arial" w:hAnsi="Arial" w:cs="Arial"/>
                <w:sz w:val="20"/>
                <w:szCs w:val="20"/>
              </w:rPr>
              <w:t>; 1; NR; 2; High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Education: middle school or higher &gt; less than middle school; 1; 0; 1; Moderate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Socioeconomic status: NR; 1; 0; 1; Moderate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Socioeconomic status </w:t>
            </w:r>
            <w:r w:rsidRPr="002415D0">
              <w:rPr>
                <w:rFonts w:ascii="Arial" w:hAnsi="Arial" w:cs="Arial"/>
                <w:sz w:val="20"/>
                <w:szCs w:val="20"/>
              </w:rPr>
              <w:t>↑</w:t>
            </w:r>
            <w:r>
              <w:rPr>
                <w:rFonts w:ascii="Arial" w:hAnsi="Arial" w:cs="Arial"/>
                <w:sz w:val="20"/>
                <w:szCs w:val="20"/>
              </w:rPr>
              <w:t>: 1; 1; 1; High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Socioeconomic status: higher quintiles &gt; lowest quintile: 1; 0; 1; Moderate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Social support: NR; 1; 0; 3; High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Social support: </w:t>
            </w:r>
            <w:r w:rsidRPr="002415D0">
              <w:rPr>
                <w:rFonts w:ascii="Arial" w:hAnsi="Arial" w:cs="Arial"/>
                <w:sz w:val="20"/>
                <w:szCs w:val="20"/>
              </w:rPr>
              <w:t>↑</w:t>
            </w:r>
            <w:r>
              <w:rPr>
                <w:rFonts w:ascii="Arial" w:hAnsi="Arial" w:cs="Arial"/>
                <w:sz w:val="20"/>
                <w:szCs w:val="20"/>
              </w:rPr>
              <w:t>; 1; 1; 3; High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Social support &gt; no social support: 1; 1; 3; Moderate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Duration of disease: NR; 1; 0; 1; High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Duration of disease: </w:t>
            </w:r>
            <w:r w:rsidRPr="002415D0">
              <w:rPr>
                <w:rFonts w:ascii="Arial" w:hAnsi="Arial" w:cs="Arial"/>
                <w:sz w:val="20"/>
                <w:szCs w:val="20"/>
              </w:rPr>
              <w:t>↓</w:t>
            </w:r>
            <w:r>
              <w:rPr>
                <w:rFonts w:ascii="Arial" w:hAnsi="Arial" w:cs="Arial"/>
                <w:sz w:val="20"/>
                <w:szCs w:val="20"/>
              </w:rPr>
              <w:t>; 1; NR; 1; High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Duration of disease: </w:t>
            </w:r>
            <w:r w:rsidRPr="002415D0">
              <w:rPr>
                <w:rFonts w:ascii="Arial" w:hAnsi="Arial" w:cs="Arial"/>
                <w:sz w:val="20"/>
                <w:szCs w:val="20"/>
              </w:rPr>
              <w:t>↑</w:t>
            </w:r>
            <w:r>
              <w:rPr>
                <w:rFonts w:ascii="Arial" w:hAnsi="Arial" w:cs="Arial"/>
                <w:sz w:val="20"/>
                <w:szCs w:val="20"/>
              </w:rPr>
              <w:t>; 2; 1; 2; High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Comorbidities: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Charlson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comorbidity index: </w:t>
            </w:r>
            <w:r w:rsidRPr="002415D0">
              <w:rPr>
                <w:rFonts w:ascii="Arial" w:hAnsi="Arial" w:cs="Arial"/>
                <w:sz w:val="20"/>
                <w:szCs w:val="20"/>
              </w:rPr>
              <w:t>↓</w:t>
            </w:r>
            <w:r>
              <w:rPr>
                <w:rFonts w:ascii="Arial" w:hAnsi="Arial" w:cs="Arial"/>
                <w:sz w:val="20"/>
                <w:szCs w:val="20"/>
              </w:rPr>
              <w:t xml:space="preserve">; 1; 1; 3;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ModerateComorbidities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Charlson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comorbidity index: </w:t>
            </w:r>
            <w:r w:rsidRPr="002415D0">
              <w:rPr>
                <w:rFonts w:ascii="Arial" w:hAnsi="Arial" w:cs="Arial"/>
                <w:sz w:val="20"/>
                <w:szCs w:val="20"/>
              </w:rPr>
              <w:t>↑</w:t>
            </w:r>
            <w:r>
              <w:rPr>
                <w:rFonts w:ascii="Arial" w:hAnsi="Arial" w:cs="Arial"/>
                <w:sz w:val="20"/>
                <w:szCs w:val="20"/>
              </w:rPr>
              <w:t>; 2; 2; 3; Moderate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Comorbidities (depression):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yes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vs no; 3; 1; 3; High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Duration of therapy: NR; 4; 1; 4; High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Duration of therapy: 1 year &gt; 3 or 5 years; 1; NR; 1; High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Duration of therapy: more than 2 years &gt; 0-2 years; 1; 0; 1; Moderate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Duration of therapy: </w:t>
            </w:r>
            <w:r w:rsidRPr="002415D0">
              <w:rPr>
                <w:rFonts w:ascii="Arial" w:hAnsi="Arial" w:cs="Arial"/>
                <w:sz w:val="20"/>
                <w:szCs w:val="20"/>
              </w:rPr>
              <w:t>↓</w:t>
            </w:r>
            <w:r>
              <w:rPr>
                <w:rFonts w:ascii="Arial" w:hAnsi="Arial" w:cs="Arial"/>
                <w:sz w:val="20"/>
                <w:szCs w:val="20"/>
              </w:rPr>
              <w:t>; 2; NR; 2; High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F0976">
              <w:rPr>
                <w:rFonts w:ascii="Arial" w:hAnsi="Arial" w:cs="Arial"/>
                <w:sz w:val="20"/>
                <w:szCs w:val="20"/>
                <w:lang w:val="en-GB"/>
              </w:rPr>
              <w:t>Number of tablets: NR; 1; 0; 2; High</w:t>
            </w:r>
          </w:p>
          <w:p w:rsidR="00210AF9" w:rsidRPr="003F0976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F0976">
              <w:rPr>
                <w:rFonts w:ascii="Arial" w:hAnsi="Arial" w:cs="Arial"/>
                <w:sz w:val="20"/>
                <w:szCs w:val="20"/>
                <w:lang w:val="en-GB"/>
              </w:rPr>
              <w:t>Number of tablets: 2 &gt; 1; 1; NR; 2; High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Number of medications: </w:t>
            </w:r>
            <w:r w:rsidRPr="002415D0">
              <w:rPr>
                <w:rFonts w:ascii="Arial" w:hAnsi="Arial" w:cs="Arial"/>
                <w:sz w:val="20"/>
                <w:szCs w:val="20"/>
              </w:rPr>
              <w:t>↑</w:t>
            </w:r>
            <w:r>
              <w:rPr>
                <w:rFonts w:ascii="Arial" w:hAnsi="Arial" w:cs="Arial"/>
                <w:sz w:val="20"/>
                <w:szCs w:val="20"/>
              </w:rPr>
              <w:t>; 2; NR; 4; High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Number of medications: </w:t>
            </w:r>
            <w:r w:rsidRPr="002415D0">
              <w:rPr>
                <w:rFonts w:ascii="Arial" w:hAnsi="Arial" w:cs="Arial"/>
                <w:sz w:val="20"/>
                <w:szCs w:val="20"/>
              </w:rPr>
              <w:t>↓</w:t>
            </w:r>
            <w:r>
              <w:rPr>
                <w:rFonts w:ascii="Arial" w:hAnsi="Arial" w:cs="Arial"/>
                <w:sz w:val="20"/>
                <w:szCs w:val="20"/>
              </w:rPr>
              <w:t>; 1; 1; 4; Low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Number of medications: NR; 1; 0; 4; Moderate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Co-payment: </w:t>
            </w:r>
            <w:r w:rsidRPr="002415D0">
              <w:rPr>
                <w:rFonts w:ascii="Arial" w:hAnsi="Arial" w:cs="Arial"/>
                <w:sz w:val="20"/>
                <w:szCs w:val="20"/>
              </w:rPr>
              <w:t>↑</w:t>
            </w:r>
            <w:r>
              <w:rPr>
                <w:rFonts w:ascii="Arial" w:hAnsi="Arial" w:cs="Arial"/>
                <w:sz w:val="20"/>
                <w:szCs w:val="20"/>
              </w:rPr>
              <w:t>; 1; 0; 2; High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Co-payment: less than 10 $ &gt; more than 10 $; 1; 1; 2; Moderate</w:t>
            </w:r>
          </w:p>
        </w:tc>
      </w:tr>
      <w:tr w:rsidR="00210AF9" w:rsidRPr="002415D0" w:rsidTr="00210AF9">
        <w:tc>
          <w:tcPr>
            <w:tcW w:w="775" w:type="pct"/>
            <w:vAlign w:val="center"/>
          </w:tcPr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415D0">
              <w:rPr>
                <w:rFonts w:ascii="Arial" w:hAnsi="Arial" w:cs="Arial"/>
                <w:b/>
                <w:sz w:val="20"/>
                <w:szCs w:val="20"/>
              </w:rPr>
              <w:lastRenderedPageBreak/>
              <w:t>Oosterom-Calo</w:t>
            </w:r>
            <w:proofErr w:type="spellEnd"/>
            <w:r w:rsidRPr="002415D0">
              <w:rPr>
                <w:rFonts w:ascii="Arial" w:hAnsi="Arial" w:cs="Arial"/>
                <w:b/>
                <w:sz w:val="20"/>
                <w:szCs w:val="20"/>
              </w:rPr>
              <w:t xml:space="preserve"> 2013</w:t>
            </w:r>
          </w:p>
        </w:tc>
        <w:tc>
          <w:tcPr>
            <w:tcW w:w="4225" w:type="pct"/>
            <w:vAlign w:val="center"/>
          </w:tcPr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Age: ↑; NR; 3; 7</w:t>
            </w:r>
            <w:r>
              <w:rPr>
                <w:rFonts w:ascii="Arial" w:hAnsi="Arial" w:cs="Arial"/>
                <w:sz w:val="20"/>
                <w:szCs w:val="20"/>
              </w:rPr>
              <w:t>; Moderate</w:t>
            </w:r>
          </w:p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Age: 35-56 &gt; others; 1; 1; 1</w:t>
            </w:r>
            <w:r>
              <w:rPr>
                <w:rFonts w:ascii="Arial" w:hAnsi="Arial" w:cs="Arial"/>
                <w:sz w:val="20"/>
                <w:szCs w:val="20"/>
              </w:rPr>
              <w:t>; Moderate</w:t>
            </w:r>
          </w:p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Comorbidities (mental): ↓; 2; 2; 3</w:t>
            </w:r>
            <w:r>
              <w:rPr>
                <w:rFonts w:ascii="Arial" w:hAnsi="Arial" w:cs="Arial"/>
                <w:sz w:val="20"/>
                <w:szCs w:val="20"/>
              </w:rPr>
              <w:t>; Moderate</w:t>
            </w:r>
          </w:p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Comorbidities (mental): ↕; 1; 1; 3</w:t>
            </w:r>
            <w:r>
              <w:rPr>
                <w:rFonts w:ascii="Arial" w:hAnsi="Arial" w:cs="Arial"/>
                <w:sz w:val="20"/>
                <w:szCs w:val="20"/>
              </w:rPr>
              <w:t>; Low</w:t>
            </w:r>
          </w:p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Comorbidities (physical): ↑; NR; 3; 7</w:t>
            </w:r>
            <w:r>
              <w:rPr>
                <w:rFonts w:ascii="Arial" w:hAnsi="Arial" w:cs="Arial"/>
                <w:sz w:val="20"/>
                <w:szCs w:val="20"/>
              </w:rPr>
              <w:t>; Moderate</w:t>
            </w:r>
          </w:p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Comorbidities (physical): ↓; NR; 2; 7</w:t>
            </w:r>
            <w:r>
              <w:rPr>
                <w:rFonts w:ascii="Arial" w:hAnsi="Arial" w:cs="Arial"/>
                <w:sz w:val="20"/>
                <w:szCs w:val="20"/>
              </w:rPr>
              <w:t>; Moderate</w:t>
            </w:r>
          </w:p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Comorbidities (physical): ↕; 1; 1; 7</w:t>
            </w:r>
            <w:r>
              <w:rPr>
                <w:rFonts w:ascii="Arial" w:hAnsi="Arial" w:cs="Arial"/>
                <w:sz w:val="20"/>
                <w:szCs w:val="20"/>
              </w:rPr>
              <w:t>; Moderate</w:t>
            </w:r>
          </w:p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 xml:space="preserve">Different medications: NR; </w:t>
            </w:r>
            <w:r>
              <w:rPr>
                <w:rFonts w:ascii="Arial" w:hAnsi="Arial" w:cs="Arial"/>
                <w:sz w:val="20"/>
                <w:szCs w:val="20"/>
              </w:rPr>
              <w:t>NR</w:t>
            </w:r>
            <w:r w:rsidRPr="002415D0">
              <w:rPr>
                <w:rFonts w:ascii="Arial" w:hAnsi="Arial" w:cs="Arial"/>
                <w:sz w:val="20"/>
                <w:szCs w:val="20"/>
              </w:rPr>
              <w:t>; 1; 2</w:t>
            </w:r>
            <w:r>
              <w:rPr>
                <w:rFonts w:ascii="Arial" w:hAnsi="Arial" w:cs="Arial"/>
                <w:sz w:val="20"/>
                <w:szCs w:val="20"/>
              </w:rPr>
              <w:t>; High</w:t>
            </w:r>
          </w:p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 xml:space="preserve">Education: NR; </w:t>
            </w:r>
            <w:r>
              <w:rPr>
                <w:rFonts w:ascii="Arial" w:hAnsi="Arial" w:cs="Arial"/>
                <w:sz w:val="20"/>
                <w:szCs w:val="20"/>
              </w:rPr>
              <w:t>NR</w:t>
            </w:r>
            <w:r w:rsidRPr="002415D0">
              <w:rPr>
                <w:rFonts w:ascii="Arial" w:hAnsi="Arial" w:cs="Arial"/>
                <w:sz w:val="20"/>
                <w:szCs w:val="20"/>
              </w:rPr>
              <w:t>; NR; 2</w:t>
            </w:r>
            <w:r>
              <w:rPr>
                <w:rFonts w:ascii="Arial" w:hAnsi="Arial" w:cs="Arial"/>
                <w:sz w:val="20"/>
                <w:szCs w:val="20"/>
              </w:rPr>
              <w:t>; Moderate</w:t>
            </w:r>
          </w:p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Ethnic status: ethnic minorities (e.g. African Americans) &lt; majority ethnic groups (e.g. Caucasians); NR; 3; 5</w:t>
            </w:r>
            <w:r>
              <w:rPr>
                <w:rFonts w:ascii="Arial" w:hAnsi="Arial" w:cs="Arial"/>
                <w:sz w:val="20"/>
                <w:szCs w:val="20"/>
              </w:rPr>
              <w:t>; Moderate</w:t>
            </w:r>
          </w:p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 xml:space="preserve">Financial status: NR; </w:t>
            </w:r>
            <w:r>
              <w:rPr>
                <w:rFonts w:ascii="Arial" w:hAnsi="Arial" w:cs="Arial"/>
                <w:sz w:val="20"/>
                <w:szCs w:val="20"/>
              </w:rPr>
              <w:t>NR</w:t>
            </w:r>
            <w:r w:rsidRPr="002415D0">
              <w:rPr>
                <w:rFonts w:ascii="Arial" w:hAnsi="Arial" w:cs="Arial"/>
                <w:sz w:val="20"/>
                <w:szCs w:val="20"/>
              </w:rPr>
              <w:t>; 0; 1</w:t>
            </w:r>
            <w:r>
              <w:rPr>
                <w:rFonts w:ascii="Arial" w:hAnsi="Arial" w:cs="Arial"/>
                <w:sz w:val="20"/>
                <w:szCs w:val="20"/>
              </w:rPr>
              <w:t>; Moderate</w:t>
            </w:r>
          </w:p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Frequency of intake: NR; NR; 0; 1</w:t>
            </w:r>
            <w:r>
              <w:rPr>
                <w:rFonts w:ascii="Arial" w:hAnsi="Arial" w:cs="Arial"/>
                <w:sz w:val="20"/>
                <w:szCs w:val="20"/>
              </w:rPr>
              <w:t>; Moderate</w:t>
            </w:r>
          </w:p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Gender: Men &gt; women:  NR; 3; 7</w:t>
            </w:r>
            <w:r>
              <w:rPr>
                <w:rFonts w:ascii="Arial" w:hAnsi="Arial" w:cs="Arial"/>
                <w:sz w:val="20"/>
                <w:szCs w:val="20"/>
              </w:rPr>
              <w:t>; Moderate</w:t>
            </w:r>
          </w:p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Gender: Women &gt; men: NR; 2; 7</w:t>
            </w:r>
            <w:r>
              <w:rPr>
                <w:rFonts w:ascii="Arial" w:hAnsi="Arial" w:cs="Arial"/>
                <w:sz w:val="20"/>
                <w:szCs w:val="20"/>
              </w:rPr>
              <w:t>; Moderate</w:t>
            </w:r>
          </w:p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Number of pills taken per day: NR; NR; 1; 2</w:t>
            </w:r>
            <w:r>
              <w:rPr>
                <w:rFonts w:ascii="Arial" w:hAnsi="Arial" w:cs="Arial"/>
                <w:sz w:val="20"/>
                <w:szCs w:val="20"/>
              </w:rPr>
              <w:t>; Moderate</w:t>
            </w:r>
          </w:p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Social support: ↕; 2; 2; 2</w:t>
            </w:r>
            <w:r>
              <w:rPr>
                <w:rFonts w:ascii="Arial" w:hAnsi="Arial" w:cs="Arial"/>
                <w:sz w:val="20"/>
                <w:szCs w:val="20"/>
              </w:rPr>
              <w:t>; Moderate</w:t>
            </w:r>
          </w:p>
        </w:tc>
      </w:tr>
      <w:tr w:rsidR="00210AF9" w:rsidRPr="002415D0" w:rsidTr="00210AF9">
        <w:tc>
          <w:tcPr>
            <w:tcW w:w="775" w:type="pct"/>
            <w:vAlign w:val="center"/>
          </w:tcPr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415D0">
              <w:rPr>
                <w:rFonts w:ascii="Arial" w:hAnsi="Arial" w:cs="Arial"/>
                <w:b/>
                <w:sz w:val="20"/>
                <w:szCs w:val="20"/>
              </w:rPr>
              <w:t>Pasma</w:t>
            </w:r>
            <w:proofErr w:type="spellEnd"/>
            <w:r w:rsidRPr="002415D0">
              <w:rPr>
                <w:rFonts w:ascii="Arial" w:hAnsi="Arial" w:cs="Arial"/>
                <w:b/>
                <w:sz w:val="20"/>
                <w:szCs w:val="20"/>
              </w:rPr>
              <w:t xml:space="preserve"> 2013</w:t>
            </w:r>
          </w:p>
        </w:tc>
        <w:tc>
          <w:tcPr>
            <w:tcW w:w="4225" w:type="pct"/>
            <w:vAlign w:val="center"/>
          </w:tcPr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Age: ↑; NR; 3; 10</w:t>
            </w:r>
            <w:r>
              <w:rPr>
                <w:rFonts w:ascii="Arial" w:hAnsi="Arial" w:cs="Arial"/>
                <w:sz w:val="20"/>
                <w:szCs w:val="20"/>
              </w:rPr>
              <w:t>; High</w:t>
            </w:r>
          </w:p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Age: 55-64 &gt; others; 1; 1; 10</w:t>
            </w:r>
            <w:r>
              <w:rPr>
                <w:rFonts w:ascii="Arial" w:hAnsi="Arial" w:cs="Arial"/>
                <w:sz w:val="20"/>
                <w:szCs w:val="20"/>
              </w:rPr>
              <w:t>; Moderate</w:t>
            </w:r>
          </w:p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Comorbidity: ↑; NR; 2; 5</w:t>
            </w:r>
            <w:r>
              <w:rPr>
                <w:rFonts w:ascii="Arial" w:hAnsi="Arial" w:cs="Arial"/>
                <w:sz w:val="20"/>
                <w:szCs w:val="20"/>
              </w:rPr>
              <w:t>; Moderate</w:t>
            </w:r>
          </w:p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Co-payments: ↓; 1; 1; 1</w:t>
            </w:r>
            <w:r>
              <w:rPr>
                <w:rFonts w:ascii="Arial" w:hAnsi="Arial" w:cs="Arial"/>
                <w:sz w:val="20"/>
                <w:szCs w:val="20"/>
              </w:rPr>
              <w:t>; Low</w:t>
            </w:r>
          </w:p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Different medications: ↑; NR; 1; 3</w:t>
            </w:r>
            <w:r>
              <w:rPr>
                <w:rFonts w:ascii="Arial" w:hAnsi="Arial" w:cs="Arial"/>
                <w:sz w:val="20"/>
                <w:szCs w:val="20"/>
              </w:rPr>
              <w:t>; Moderate</w:t>
            </w:r>
          </w:p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Duration of disease: ↓; NR; 1; 9</w:t>
            </w:r>
            <w:r>
              <w:rPr>
                <w:rFonts w:ascii="Arial" w:hAnsi="Arial" w:cs="Arial"/>
                <w:sz w:val="20"/>
                <w:szCs w:val="20"/>
              </w:rPr>
              <w:t>; High</w:t>
            </w:r>
          </w:p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Employed fulltime:  NR; 3; 3; 3</w:t>
            </w:r>
            <w:r>
              <w:rPr>
                <w:rFonts w:ascii="Arial" w:hAnsi="Arial" w:cs="Arial"/>
                <w:sz w:val="20"/>
                <w:szCs w:val="20"/>
              </w:rPr>
              <w:t>; High</w:t>
            </w:r>
          </w:p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Ethnic status: white &gt; others; 1; 1; 1</w:t>
            </w:r>
            <w:r>
              <w:rPr>
                <w:rFonts w:ascii="Arial" w:hAnsi="Arial" w:cs="Arial"/>
                <w:sz w:val="20"/>
                <w:szCs w:val="20"/>
              </w:rPr>
              <w:t>; Moderate</w:t>
            </w:r>
          </w:p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Frequency of intake: NR; NR; 0; 2</w:t>
            </w:r>
            <w:r>
              <w:rPr>
                <w:rFonts w:ascii="Arial" w:hAnsi="Arial" w:cs="Arial"/>
                <w:sz w:val="20"/>
                <w:szCs w:val="20"/>
              </w:rPr>
              <w:t>; High</w:t>
            </w:r>
          </w:p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Gender: Men &gt; Women: NR; 1; 10</w:t>
            </w:r>
            <w:r>
              <w:rPr>
                <w:rFonts w:ascii="Arial" w:hAnsi="Arial" w:cs="Arial"/>
                <w:sz w:val="20"/>
                <w:szCs w:val="20"/>
              </w:rPr>
              <w:t>; Moderate</w:t>
            </w:r>
          </w:p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Gender: Women &gt; men: NR; 1; 10</w:t>
            </w:r>
            <w:r>
              <w:rPr>
                <w:rFonts w:ascii="Arial" w:hAnsi="Arial" w:cs="Arial"/>
                <w:sz w:val="20"/>
                <w:szCs w:val="20"/>
              </w:rPr>
              <w:t>; Moderate</w:t>
            </w:r>
          </w:p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Medication costs: ↓; 1; 1; 1</w:t>
            </w:r>
            <w:r>
              <w:rPr>
                <w:rFonts w:ascii="Arial" w:hAnsi="Arial" w:cs="Arial"/>
                <w:sz w:val="20"/>
                <w:szCs w:val="20"/>
              </w:rPr>
              <w:t>; Low</w:t>
            </w:r>
          </w:p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lastRenderedPageBreak/>
              <w:t>Single / divorced: ↓; NR; 1; 4</w:t>
            </w:r>
            <w:r>
              <w:rPr>
                <w:rFonts w:ascii="Arial" w:hAnsi="Arial" w:cs="Arial"/>
                <w:sz w:val="20"/>
                <w:szCs w:val="20"/>
              </w:rPr>
              <w:t>; High</w:t>
            </w:r>
          </w:p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Social support: ↑; NR; 1; 4</w:t>
            </w:r>
            <w:r>
              <w:rPr>
                <w:rFonts w:ascii="Arial" w:hAnsi="Arial" w:cs="Arial"/>
                <w:sz w:val="20"/>
                <w:szCs w:val="20"/>
              </w:rPr>
              <w:t>; High</w:t>
            </w:r>
          </w:p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Socioeconomic status: ↓; NR; 1; 4</w:t>
            </w:r>
            <w:r>
              <w:rPr>
                <w:rFonts w:ascii="Arial" w:hAnsi="Arial" w:cs="Arial"/>
                <w:sz w:val="20"/>
                <w:szCs w:val="20"/>
              </w:rPr>
              <w:t>; High</w:t>
            </w:r>
          </w:p>
        </w:tc>
      </w:tr>
      <w:tr w:rsidR="00210AF9" w:rsidRPr="002415D0" w:rsidTr="00210AF9">
        <w:tc>
          <w:tcPr>
            <w:tcW w:w="775" w:type="pct"/>
            <w:vAlign w:val="center"/>
          </w:tcPr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415D0">
              <w:rPr>
                <w:rFonts w:ascii="Arial" w:hAnsi="Arial" w:cs="Arial"/>
                <w:b/>
                <w:sz w:val="20"/>
                <w:szCs w:val="20"/>
              </w:rPr>
              <w:lastRenderedPageBreak/>
              <w:t>Verbrugghe</w:t>
            </w:r>
            <w:proofErr w:type="spellEnd"/>
            <w:r w:rsidRPr="002415D0">
              <w:rPr>
                <w:rFonts w:ascii="Arial" w:hAnsi="Arial" w:cs="Arial"/>
                <w:b/>
                <w:sz w:val="20"/>
                <w:szCs w:val="20"/>
              </w:rPr>
              <w:t xml:space="preserve"> 2012</w:t>
            </w:r>
          </w:p>
        </w:tc>
        <w:tc>
          <w:tcPr>
            <w:tcW w:w="4225" w:type="pct"/>
            <w:vAlign w:val="center"/>
          </w:tcPr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Age: &lt;45 &lt; others; 1; 1; NR</w:t>
            </w:r>
            <w:r>
              <w:rPr>
                <w:rFonts w:ascii="Arial" w:hAnsi="Arial" w:cs="Arial"/>
                <w:sz w:val="20"/>
                <w:szCs w:val="20"/>
              </w:rPr>
              <w:t>; Moderate</w:t>
            </w:r>
          </w:p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Age: ≤45 or ≥85 vs. others; 1; 1; NR</w:t>
            </w:r>
            <w:r>
              <w:rPr>
                <w:rFonts w:ascii="Arial" w:hAnsi="Arial" w:cs="Arial"/>
                <w:sz w:val="20"/>
                <w:szCs w:val="20"/>
              </w:rPr>
              <w:t>; High</w:t>
            </w:r>
          </w:p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Age: ↑; 1; 1; NR</w:t>
            </w:r>
            <w:r>
              <w:rPr>
                <w:rFonts w:ascii="Arial" w:hAnsi="Arial" w:cs="Arial"/>
                <w:sz w:val="20"/>
                <w:szCs w:val="20"/>
              </w:rPr>
              <w:t>; High</w:t>
            </w:r>
          </w:p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Age: ↓; 2; 2; 2</w:t>
            </w:r>
            <w:r>
              <w:rPr>
                <w:rFonts w:ascii="Arial" w:hAnsi="Arial" w:cs="Arial"/>
                <w:sz w:val="20"/>
                <w:szCs w:val="20"/>
              </w:rPr>
              <w:t>; Moderate</w:t>
            </w:r>
          </w:p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Comorbidity:  ↓; 2; 2; NR</w:t>
            </w:r>
            <w:r>
              <w:rPr>
                <w:rFonts w:ascii="Arial" w:hAnsi="Arial" w:cs="Arial"/>
                <w:sz w:val="20"/>
                <w:szCs w:val="20"/>
              </w:rPr>
              <w:t>; Moderate</w:t>
            </w:r>
          </w:p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Co-payments: ↓; 2; 2; NR</w:t>
            </w:r>
            <w:r>
              <w:rPr>
                <w:rFonts w:ascii="Arial" w:hAnsi="Arial" w:cs="Arial"/>
                <w:sz w:val="20"/>
                <w:szCs w:val="20"/>
              </w:rPr>
              <w:t>; Moderate</w:t>
            </w:r>
          </w:p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Different medications: ↓; 2; 2; NR</w:t>
            </w:r>
            <w:r>
              <w:rPr>
                <w:rFonts w:ascii="Arial" w:hAnsi="Arial" w:cs="Arial"/>
                <w:sz w:val="20"/>
                <w:szCs w:val="20"/>
              </w:rPr>
              <w:t>; Moderate</w:t>
            </w:r>
          </w:p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Duration of disease: ↓; 1; 1; NR</w:t>
            </w:r>
            <w:r>
              <w:rPr>
                <w:rFonts w:ascii="Arial" w:hAnsi="Arial" w:cs="Arial"/>
                <w:sz w:val="20"/>
                <w:szCs w:val="20"/>
              </w:rPr>
              <w:t>; Moderate</w:t>
            </w:r>
          </w:p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Duration of therapy: ↓; 3; 3; NR</w:t>
            </w:r>
            <w:r>
              <w:rPr>
                <w:rFonts w:ascii="Arial" w:hAnsi="Arial" w:cs="Arial"/>
                <w:sz w:val="20"/>
                <w:szCs w:val="20"/>
              </w:rPr>
              <w:t>; High</w:t>
            </w:r>
          </w:p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Education: ↑; 1; 1; NR</w:t>
            </w:r>
            <w:r>
              <w:rPr>
                <w:rFonts w:ascii="Arial" w:hAnsi="Arial" w:cs="Arial"/>
                <w:sz w:val="20"/>
                <w:szCs w:val="20"/>
              </w:rPr>
              <w:t>; Moderate</w:t>
            </w:r>
          </w:p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Ethnic status: African American &gt; others; 1; 1; NR</w:t>
            </w:r>
            <w:r>
              <w:rPr>
                <w:rFonts w:ascii="Arial" w:hAnsi="Arial" w:cs="Arial"/>
                <w:sz w:val="20"/>
                <w:szCs w:val="20"/>
              </w:rPr>
              <w:t>; Moderate</w:t>
            </w:r>
          </w:p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Ethnic status: non-white &gt; others; 1; 1; NR</w:t>
            </w:r>
            <w:r>
              <w:rPr>
                <w:rFonts w:ascii="Arial" w:hAnsi="Arial" w:cs="Arial"/>
                <w:sz w:val="20"/>
                <w:szCs w:val="20"/>
              </w:rPr>
              <w:t>; Moderate</w:t>
            </w:r>
          </w:p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Gender: men &gt; women; 1; 1; NR</w:t>
            </w:r>
            <w:r>
              <w:rPr>
                <w:rFonts w:ascii="Arial" w:hAnsi="Arial" w:cs="Arial"/>
                <w:sz w:val="20"/>
                <w:szCs w:val="20"/>
              </w:rPr>
              <w:t>; Moderate</w:t>
            </w:r>
          </w:p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Gender: women &gt; men; 1; 1; NR</w:t>
            </w:r>
            <w:r>
              <w:rPr>
                <w:rFonts w:ascii="Arial" w:hAnsi="Arial" w:cs="Arial"/>
                <w:sz w:val="20"/>
                <w:szCs w:val="20"/>
              </w:rPr>
              <w:t>; Moderate</w:t>
            </w:r>
          </w:p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Income: ↑; 1; 1; NR</w:t>
            </w:r>
            <w:r>
              <w:rPr>
                <w:rFonts w:ascii="Arial" w:hAnsi="Arial" w:cs="Arial"/>
                <w:sz w:val="20"/>
                <w:szCs w:val="20"/>
              </w:rPr>
              <w:t>; High</w:t>
            </w:r>
          </w:p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Living alone &lt; others; 1; 1; NR</w:t>
            </w:r>
            <w:r>
              <w:rPr>
                <w:rFonts w:ascii="Arial" w:hAnsi="Arial" w:cs="Arial"/>
                <w:sz w:val="20"/>
                <w:szCs w:val="20"/>
              </w:rPr>
              <w:t>; Moderate</w:t>
            </w:r>
          </w:p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Marital status: non-married &gt; married; 1; 1; NR</w:t>
            </w:r>
            <w:r>
              <w:rPr>
                <w:rFonts w:ascii="Arial" w:hAnsi="Arial" w:cs="Arial"/>
                <w:sz w:val="20"/>
                <w:szCs w:val="20"/>
              </w:rPr>
              <w:t>; Moderate</w:t>
            </w:r>
          </w:p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Medication costs: ↓; 1; 1; NR</w:t>
            </w:r>
            <w:r>
              <w:rPr>
                <w:rFonts w:ascii="Arial" w:hAnsi="Arial" w:cs="Arial"/>
                <w:sz w:val="20"/>
                <w:szCs w:val="20"/>
              </w:rPr>
              <w:t>; Moderate</w:t>
            </w:r>
          </w:p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Taking medication not at meal times; ↓; 1; 1; NR</w:t>
            </w:r>
            <w:r>
              <w:rPr>
                <w:rFonts w:ascii="Arial" w:hAnsi="Arial" w:cs="Arial"/>
                <w:sz w:val="20"/>
                <w:szCs w:val="20"/>
              </w:rPr>
              <w:t>; Moderate</w:t>
            </w:r>
          </w:p>
        </w:tc>
      </w:tr>
    </w:tbl>
    <w:p w:rsidR="00210AF9" w:rsidRDefault="00210AF9" w:rsidP="00210AF9">
      <w:pPr>
        <w:rPr>
          <w:rFonts w:ascii="Arial" w:hAnsi="Arial" w:cs="Arial"/>
        </w:rPr>
      </w:pPr>
      <w:r w:rsidRPr="00210AF9">
        <w:rPr>
          <w:rFonts w:ascii="Arial" w:hAnsi="Arial" w:cs="Arial"/>
        </w:rPr>
        <w:t>NR: not applicable; NR: not reported</w:t>
      </w:r>
    </w:p>
    <w:p w:rsidR="00210AF9" w:rsidRDefault="00210AF9" w:rsidP="00210AF9">
      <w:pPr>
        <w:rPr>
          <w:rFonts w:ascii="Arial" w:hAnsi="Arial" w:cs="Arial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307"/>
        <w:gridCol w:w="7755"/>
      </w:tblGrid>
      <w:tr w:rsidR="00210AF9" w:rsidRPr="002415D0" w:rsidTr="005475CF">
        <w:trPr>
          <w:trHeight w:val="542"/>
        </w:trPr>
        <w:tc>
          <w:tcPr>
            <w:tcW w:w="721" w:type="pct"/>
          </w:tcPr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15D0">
              <w:rPr>
                <w:rFonts w:ascii="Arial" w:hAnsi="Arial" w:cs="Arial"/>
                <w:b/>
                <w:i/>
                <w:sz w:val="20"/>
                <w:szCs w:val="20"/>
              </w:rPr>
              <w:t>Study</w:t>
            </w:r>
          </w:p>
        </w:tc>
        <w:tc>
          <w:tcPr>
            <w:tcW w:w="4279" w:type="pct"/>
          </w:tcPr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15D0">
              <w:rPr>
                <w:rFonts w:ascii="Arial" w:hAnsi="Arial" w:cs="Arial"/>
                <w:b/>
                <w:sz w:val="20"/>
                <w:szCs w:val="20"/>
              </w:rPr>
              <w:t xml:space="preserve">Results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focused </w:t>
            </w:r>
            <w:r w:rsidRPr="002415D0">
              <w:rPr>
                <w:rFonts w:ascii="Arial" w:hAnsi="Arial" w:cs="Arial"/>
                <w:b/>
                <w:sz w:val="20"/>
                <w:szCs w:val="20"/>
              </w:rPr>
              <w:t>(effect direction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or compared categories</w:t>
            </w:r>
            <w:r w:rsidRPr="002415D0">
              <w:rPr>
                <w:rFonts w:ascii="Arial" w:hAnsi="Arial" w:cs="Arial"/>
                <w:b/>
                <w:sz w:val="20"/>
                <w:szCs w:val="20"/>
              </w:rPr>
              <w:t xml:space="preserve">;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relative </w:t>
            </w:r>
            <w:r w:rsidRPr="002415D0">
              <w:rPr>
                <w:rFonts w:ascii="Arial" w:hAnsi="Arial" w:cs="Arial"/>
                <w:b/>
                <w:sz w:val="20"/>
                <w:szCs w:val="20"/>
              </w:rPr>
              <w:t xml:space="preserve">effect size; </w:t>
            </w:r>
            <w:r>
              <w:rPr>
                <w:rFonts w:ascii="Arial" w:hAnsi="Arial" w:cs="Arial"/>
                <w:b/>
                <w:sz w:val="20"/>
                <w:szCs w:val="20"/>
              </w:rPr>
              <w:t>95%-</w:t>
            </w:r>
            <w:r w:rsidRPr="002415D0">
              <w:rPr>
                <w:rFonts w:ascii="Arial" w:hAnsi="Arial" w:cs="Arial"/>
                <w:b/>
                <w:sz w:val="20"/>
                <w:szCs w:val="20"/>
              </w:rPr>
              <w:t>CI;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number of studies;</w:t>
            </w:r>
            <w:r w:rsidRPr="002415D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number of patients; </w:t>
            </w:r>
            <w:r w:rsidRPr="002415D0">
              <w:rPr>
                <w:rFonts w:ascii="Arial" w:hAnsi="Arial" w:cs="Arial"/>
                <w:b/>
                <w:sz w:val="20"/>
                <w:szCs w:val="20"/>
              </w:rPr>
              <w:t>heterogeneity</w:t>
            </w:r>
            <w:r>
              <w:rPr>
                <w:rFonts w:ascii="Arial" w:hAnsi="Arial" w:cs="Arial"/>
                <w:b/>
                <w:sz w:val="20"/>
                <w:szCs w:val="20"/>
              </w:rPr>
              <w:t>; risk of bias</w:t>
            </w:r>
            <w:r w:rsidRPr="002415D0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210AF9" w:rsidRPr="002415D0" w:rsidTr="005475CF">
        <w:tc>
          <w:tcPr>
            <w:tcW w:w="721" w:type="pct"/>
          </w:tcPr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Alsabbagh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2014</w:t>
            </w:r>
          </w:p>
        </w:tc>
        <w:tc>
          <w:tcPr>
            <w:tcW w:w="4279" w:type="pct"/>
          </w:tcPr>
          <w:p w:rsidR="00210AF9" w:rsidRPr="005E7CB0" w:rsidRDefault="00210AF9" w:rsidP="005475CF">
            <w:pPr>
              <w:spacing w:before="20" w:after="20" w:line="48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Low Socioeconomic status vs. high socioeconomic status; RR = 0.89; 0.87 to 0.92;      K = 40; n = 1371953; I² = 95%;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Moderate</w:t>
            </w:r>
          </w:p>
        </w:tc>
      </w:tr>
      <w:tr w:rsidR="00210AF9" w:rsidRPr="002415D0" w:rsidTr="005475CF">
        <w:tc>
          <w:tcPr>
            <w:tcW w:w="721" w:type="pct"/>
          </w:tcPr>
          <w:p w:rsidR="00210AF9" w:rsidRPr="005E7CB0" w:rsidRDefault="00210AF9" w:rsidP="005475CF">
            <w:pPr>
              <w:spacing w:before="20" w:after="20" w:line="48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Crawshaw 2016</w:t>
            </w:r>
          </w:p>
        </w:tc>
        <w:tc>
          <w:tcPr>
            <w:tcW w:w="4279" w:type="pct"/>
          </w:tcPr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comorbidity (depression) vs. comorbidity (depression); OR = 2.00; 1.57 to 3.33; K = 7; n = 5058; I² = 62%; Moderate</w:t>
            </w:r>
          </w:p>
        </w:tc>
      </w:tr>
      <w:tr w:rsidR="00210AF9" w:rsidRPr="002415D0" w:rsidTr="005475CF">
        <w:tc>
          <w:tcPr>
            <w:tcW w:w="721" w:type="pct"/>
          </w:tcPr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Ghidei</w:t>
            </w:r>
            <w:proofErr w:type="spellEnd"/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2013</w:t>
            </w:r>
          </w:p>
        </w:tc>
        <w:tc>
          <w:tcPr>
            <w:tcW w:w="4279" w:type="pct"/>
          </w:tcPr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Age &lt; 45 years vs. &gt; 45 years; RR = 0.72; 0.64 to 0.82; K = 12; n = 11325; I² = 37%; Moderate</w:t>
            </w:r>
          </w:p>
        </w:tc>
      </w:tr>
      <w:tr w:rsidR="00210AF9" w:rsidRPr="002415D0" w:rsidTr="005475CF">
        <w:tc>
          <w:tcPr>
            <w:tcW w:w="721" w:type="pct"/>
          </w:tcPr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Hiko</w:t>
            </w:r>
            <w:proofErr w:type="spellEnd"/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2012</w:t>
            </w:r>
          </w:p>
        </w:tc>
        <w:tc>
          <w:tcPr>
            <w:tcW w:w="4279" w:type="pct"/>
          </w:tcPr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Age 18-40 vs. Age &gt; 41 years; OR = 0.53; 0.15 to 1.93; K = 2; n = 435; I² = 73%; Low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White vs. black; OR = 1.38; 1.21 to 1.58; K = 2; n = 7883; I² = 0%; Low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Employed vs. Unemployed; OR = 1.49; 0.74 to 3.01; K = 4; n = 1367; I² = 84%; Low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Low education vs. high education; OR = 0.99; 0.37 to 2.66; K = 4; n = 1183; I² = 52%; Low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Married vs. Divorced/widowed/single; OR = 0.84; 0.60 to 1.18; K = 2; n = 782; I² = 0%; Low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comorbidity (depression) vs. comorbidity (depression); OR = 1.77; 1.17 to 2.69; K = 2; n = 653; I² = 0%; Low</w:t>
            </w:r>
          </w:p>
        </w:tc>
      </w:tr>
      <w:tr w:rsidR="00210AF9" w:rsidRPr="002415D0" w:rsidTr="005475CF">
        <w:tc>
          <w:tcPr>
            <w:tcW w:w="721" w:type="pct"/>
          </w:tcPr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Lewey</w:t>
            </w:r>
            <w:proofErr w:type="spellEnd"/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2013</w:t>
            </w:r>
          </w:p>
        </w:tc>
        <w:tc>
          <w:tcPr>
            <w:tcW w:w="4279" w:type="pct"/>
          </w:tcPr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Male vs. female; OR = 1.10; 1.07 to 1.13; K = 51; n = 2663638; I² = 95%; Low</w:t>
            </w:r>
          </w:p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White vs. non-white; OR = 1.53; 1.25 to 1.87; K = 11; n = 1027648; I² = 98%; Moderate</w:t>
            </w:r>
          </w:p>
        </w:tc>
      </w:tr>
      <w:tr w:rsidR="00210AF9" w:rsidRPr="002415D0" w:rsidTr="005475CF">
        <w:tc>
          <w:tcPr>
            <w:tcW w:w="721" w:type="pct"/>
          </w:tcPr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Nachega</w:t>
            </w:r>
            <w:proofErr w:type="spellEnd"/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2015</w:t>
            </w:r>
          </w:p>
        </w:tc>
        <w:tc>
          <w:tcPr>
            <w:tcW w:w="4279" w:type="pct"/>
          </w:tcPr>
          <w:p w:rsidR="00210AF9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Employed vs. unemployed; OR = 1.27; 1.04 to 1.55; K = 28; n = 8743; I² = 77%; Moderate</w:t>
            </w:r>
          </w:p>
        </w:tc>
      </w:tr>
      <w:tr w:rsidR="00210AF9" w:rsidRPr="002415D0" w:rsidTr="005475CF">
        <w:tc>
          <w:tcPr>
            <w:tcW w:w="721" w:type="pct"/>
          </w:tcPr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Sinnott 2013</w:t>
            </w:r>
          </w:p>
        </w:tc>
        <w:tc>
          <w:tcPr>
            <w:tcW w:w="4279" w:type="pct"/>
          </w:tcPr>
          <w:p w:rsidR="00210AF9" w:rsidRPr="002415D0" w:rsidRDefault="00210AF9" w:rsidP="005475CF">
            <w:pPr>
              <w:spacing w:before="20" w:after="20" w:line="480" w:lineRule="auto"/>
              <w:rPr>
                <w:rFonts w:ascii="Arial" w:hAnsi="Arial" w:cs="Arial"/>
                <w:sz w:val="20"/>
                <w:szCs w:val="20"/>
              </w:rPr>
            </w:pPr>
            <w:r w:rsidRPr="002415D0">
              <w:rPr>
                <w:rFonts w:ascii="Arial" w:hAnsi="Arial" w:cs="Arial"/>
                <w:sz w:val="20"/>
                <w:szCs w:val="20"/>
              </w:rPr>
              <w:t>No co-payments vs. co-payments; OR = 1</w:t>
            </w:r>
            <w:r w:rsidRPr="00A508C8">
              <w:rPr>
                <w:rFonts w:ascii="Arial" w:hAnsi="Arial" w:cs="Arial"/>
                <w:sz w:val="20"/>
                <w:szCs w:val="20"/>
              </w:rPr>
              <w:t xml:space="preserve">.11; 1.09 to 1.14; K = 7; n = </w:t>
            </w:r>
            <w:proofErr w:type="gramStart"/>
            <w:r w:rsidRPr="00A508C8">
              <w:rPr>
                <w:rFonts w:ascii="Arial" w:hAnsi="Arial" w:cs="Arial"/>
                <w:sz w:val="20"/>
                <w:szCs w:val="20"/>
              </w:rPr>
              <w:t>199996;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Pr="002415D0">
              <w:rPr>
                <w:rFonts w:ascii="Arial" w:hAnsi="Arial" w:cs="Arial"/>
                <w:sz w:val="20"/>
                <w:szCs w:val="20"/>
              </w:rPr>
              <w:t xml:space="preserve"> I</w:t>
            </w:r>
            <w:r w:rsidRPr="002415D0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= 7 %; High</w:t>
            </w:r>
          </w:p>
        </w:tc>
      </w:tr>
    </w:tbl>
    <w:p w:rsidR="00210AF9" w:rsidRDefault="00210AF9" w:rsidP="00210AF9"/>
    <w:p w:rsidR="00210AF9" w:rsidRDefault="00210AF9" w:rsidP="00210AF9"/>
    <w:p w:rsidR="00210AF9" w:rsidRDefault="00210AF9" w:rsidP="00210AF9"/>
    <w:p w:rsidR="00210AF9" w:rsidRDefault="00210AF9" w:rsidP="00210AF9">
      <w:r>
        <w:fldChar w:fldCharType="begin"/>
      </w:r>
      <w:r>
        <w:instrText xml:space="preserve"> ADDIN EN.REFLIST </w:instrText>
      </w:r>
      <w:r>
        <w:fldChar w:fldCharType="end"/>
      </w:r>
    </w:p>
    <w:p w:rsidR="00210AF9" w:rsidRPr="00210AF9" w:rsidRDefault="00210AF9" w:rsidP="00210AF9">
      <w:pPr>
        <w:rPr>
          <w:rFonts w:ascii="Arial" w:hAnsi="Arial" w:cs="Arial"/>
        </w:rPr>
      </w:pPr>
    </w:p>
    <w:p w:rsidR="006C6A09" w:rsidRPr="00210AF9" w:rsidRDefault="00210AF9" w:rsidP="00210AF9">
      <w:pPr>
        <w:shd w:val="clear" w:color="auto" w:fill="FFFFFF" w:themeFill="background1"/>
        <w:spacing w:line="360" w:lineRule="auto"/>
        <w:rPr>
          <w:rFonts w:eastAsia="Times New Roman" w:cs="Arial"/>
          <w:b/>
          <w:noProof/>
          <w:lang w:eastAsia="de-DE"/>
        </w:rPr>
      </w:pPr>
    </w:p>
    <w:sectPr w:rsidR="006C6A09" w:rsidRPr="00210AF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vOT863180fb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970B3D"/>
    <w:multiLevelType w:val="hybridMultilevel"/>
    <w:tmpl w:val="4FDAB6AA"/>
    <w:lvl w:ilvl="0" w:tplc="19ECD24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AF9"/>
    <w:rsid w:val="001A0975"/>
    <w:rsid w:val="00210AF9"/>
    <w:rsid w:val="002B1B3A"/>
    <w:rsid w:val="00672AAF"/>
    <w:rsid w:val="009C138A"/>
    <w:rsid w:val="009C5E74"/>
    <w:rsid w:val="00DF4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8C72C"/>
  <w15:chartTrackingRefBased/>
  <w15:docId w15:val="{30140327-191F-4CAD-8F99-9FB8EE64A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210AF9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210A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210AF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210AF9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210AF9"/>
    <w:rPr>
      <w:sz w:val="20"/>
      <w:szCs w:val="20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10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10AF9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1330</Words>
  <Characters>8379</Characters>
  <Application>Microsoft Office Word</Application>
  <DocSecurity>0</DocSecurity>
  <Lines>69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Gast</dc:creator>
  <cp:keywords/>
  <dc:description/>
  <cp:lastModifiedBy>Alina Gast</cp:lastModifiedBy>
  <cp:revision>1</cp:revision>
  <dcterms:created xsi:type="dcterms:W3CDTF">2018-11-29T13:34:00Z</dcterms:created>
  <dcterms:modified xsi:type="dcterms:W3CDTF">2018-11-29T13:40:00Z</dcterms:modified>
</cp:coreProperties>
</file>