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0E2" w:rsidRDefault="00DC00E2" w:rsidP="002E5966">
      <w:pPr>
        <w:spacing w:after="0" w:line="276" w:lineRule="auto"/>
        <w:contextualSpacing/>
        <w:rPr>
          <w:rFonts w:ascii="Arial" w:hAnsi="Arial"/>
          <w:b/>
        </w:rPr>
      </w:pPr>
      <w:r w:rsidRPr="00230BB8">
        <w:rPr>
          <w:rFonts w:ascii="Arial" w:hAnsi="Arial"/>
          <w:b/>
        </w:rPr>
        <w:t>APPENDIX F:</w:t>
      </w:r>
      <w:r>
        <w:rPr>
          <w:rFonts w:ascii="Arial" w:hAnsi="Arial"/>
          <w:b/>
        </w:rPr>
        <w:t xml:space="preserve"> </w:t>
      </w:r>
      <w:r w:rsidRPr="00230BB8">
        <w:rPr>
          <w:rFonts w:ascii="Arial" w:hAnsi="Arial"/>
          <w:b/>
        </w:rPr>
        <w:t>LIST OF MODIFIABLE PROGNOSTIC FACTORS</w:t>
      </w:r>
    </w:p>
    <w:p w:rsidR="00C85DD3" w:rsidRDefault="00C85DD3" w:rsidP="002E5966">
      <w:pPr>
        <w:spacing w:after="0" w:line="276" w:lineRule="auto"/>
        <w:contextualSpacing/>
        <w:rPr>
          <w:rFonts w:ascii="Arial" w:hAnsi="Arial"/>
          <w:b/>
        </w:rPr>
      </w:pPr>
    </w:p>
    <w:p w:rsidR="00DC00E2" w:rsidRPr="00D311D9" w:rsidRDefault="00DC00E2" w:rsidP="002E5966">
      <w:pPr>
        <w:spacing w:after="0" w:line="276" w:lineRule="auto"/>
        <w:contextualSpacing/>
        <w:rPr>
          <w:rFonts w:ascii="Arial" w:hAnsi="Arial" w:cs="Arial"/>
          <w:b/>
        </w:rPr>
      </w:pPr>
      <w:r w:rsidRPr="00D311D9">
        <w:rPr>
          <w:rFonts w:ascii="Arial" w:hAnsi="Arial"/>
          <w:b/>
        </w:rPr>
        <w:t xml:space="preserve">Table </w:t>
      </w:r>
      <w:r>
        <w:rPr>
          <w:rFonts w:ascii="Arial" w:hAnsi="Arial"/>
          <w:b/>
        </w:rPr>
        <w:t>F1</w:t>
      </w:r>
      <w:r w:rsidRPr="00D311D9">
        <w:rPr>
          <w:rFonts w:ascii="Arial" w:hAnsi="Arial"/>
          <w:b/>
        </w:rPr>
        <w:t xml:space="preserve">: </w:t>
      </w:r>
      <w:r w:rsidRPr="00D311D9">
        <w:rPr>
          <w:rFonts w:ascii="Arial" w:hAnsi="Arial" w:cs="Arial"/>
          <w:b/>
        </w:rPr>
        <w:t xml:space="preserve">Modifiable prognostic factors identified by </w:t>
      </w:r>
      <w:r w:rsidRPr="00632B71">
        <w:rPr>
          <w:rFonts w:ascii="Arial" w:hAnsi="Arial" w:cs="Arial"/>
          <w:b/>
        </w:rPr>
        <w:t xml:space="preserve">public health and </w:t>
      </w:r>
      <w:r w:rsidRPr="00D311D9">
        <w:rPr>
          <w:rFonts w:ascii="Arial" w:hAnsi="Arial" w:cs="Arial"/>
          <w:b/>
        </w:rPr>
        <w:t>clinical stakeholders</w:t>
      </w:r>
    </w:p>
    <w:p w:rsidR="00DC00E2" w:rsidRPr="00711AAB" w:rsidRDefault="00DC00E2" w:rsidP="002E5966">
      <w:pPr>
        <w:spacing w:after="0" w:line="276" w:lineRule="auto"/>
        <w:contextualSpacing/>
        <w:rPr>
          <w:rFonts w:ascii="Arial" w:hAnsi="Arial" w:cs="Arial"/>
          <w:sz w:val="16"/>
          <w:szCs w:val="16"/>
        </w:rPr>
      </w:pPr>
      <w:r w:rsidRPr="00711AAB">
        <w:rPr>
          <w:rFonts w:ascii="Arial" w:hAnsi="Arial" w:cs="Arial"/>
          <w:sz w:val="16"/>
          <w:szCs w:val="16"/>
        </w:rPr>
        <w:t>(</w:t>
      </w:r>
      <w:r w:rsidR="00AA4630" w:rsidRPr="00002066">
        <w:rPr>
          <w:rFonts w:ascii="Times New Roman" w:eastAsia="Times New Roman" w:hAnsi="Times New Roman" w:cs="Times New Roman"/>
          <w:sz w:val="16"/>
          <w:szCs w:val="16"/>
          <w:lang w:eastAsia="en-GB"/>
        </w:rPr>
        <w:t>†</w:t>
      </w:r>
      <w:r w:rsidRPr="00711AAB">
        <w:rPr>
          <w:rFonts w:ascii="Arial" w:hAnsi="Arial" w:cs="Arial"/>
          <w:i/>
          <w:sz w:val="16"/>
          <w:szCs w:val="16"/>
        </w:rPr>
        <w:t>modifiable factors that were evaluated by studies included in the overview of reviews</w:t>
      </w:r>
      <w:r w:rsidRPr="00711AAB">
        <w:rPr>
          <w:rFonts w:ascii="Arial" w:hAnsi="Arial" w:cs="Arial"/>
          <w:sz w:val="16"/>
          <w:szCs w:val="16"/>
        </w:rPr>
        <w:t>)</w:t>
      </w:r>
    </w:p>
    <w:tbl>
      <w:tblPr>
        <w:tblStyle w:val="TableGrid11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3827"/>
        <w:gridCol w:w="1276"/>
        <w:gridCol w:w="1418"/>
      </w:tblGrid>
      <w:tr w:rsidR="00DC00E2" w:rsidRPr="00D311D9" w:rsidTr="00BF2A4E">
        <w:trPr>
          <w:tblHeader/>
        </w:trPr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PF CODE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MODIFIABLE (CG)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MODIFIABLE</w:t>
            </w:r>
          </w:p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(DWH)</w:t>
            </w:r>
          </w:p>
        </w:tc>
      </w:tr>
      <w:tr w:rsidR="00DC00E2" w:rsidRPr="00D311D9" w:rsidTr="00BF2A4E">
        <w:tc>
          <w:tcPr>
            <w:tcW w:w="9498" w:type="dxa"/>
            <w:gridSpan w:val="4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i/>
                <w:sz w:val="20"/>
                <w:szCs w:val="20"/>
              </w:rPr>
              <w:t>Clinical characteristics or routinely assessed biological variables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anaemia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cachexia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Includes anorexia-cachexia syndrome, and cancer cachexia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dyspnoea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Shortness of breath or breathlessness, is a subjective sensation of breathing discomfort.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pain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BF2A4E">
              <w:rPr>
                <w:rFonts w:ascii="Arial Narrow" w:hAnsi="Arial Narrow" w:cs="Arial"/>
                <w:sz w:val="20"/>
                <w:szCs w:val="20"/>
              </w:rPr>
              <w:t>sarcopenia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Loss of skeletal muscle mass quality and strength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TB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Tuberculosis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AA4630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BF2A4E">
              <w:rPr>
                <w:rFonts w:ascii="Arial Narrow" w:hAnsi="Arial Narrow" w:cs="Arial"/>
                <w:sz w:val="20"/>
                <w:szCs w:val="20"/>
              </w:rPr>
              <w:t>VitD</w:t>
            </w:r>
            <w:proofErr w:type="spellEnd"/>
            <w:r w:rsidRPr="00BF2A4E">
              <w:rPr>
                <w:rFonts w:ascii="Arial Narrow" w:hAnsi="Arial Narrow" w:cs="Arial"/>
                <w:sz w:val="20"/>
                <w:szCs w:val="20"/>
              </w:rPr>
              <w:t xml:space="preserve"> level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Serum vitamin D level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 xml:space="preserve">WBC 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White blood cell count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</w:tr>
      <w:tr w:rsidR="00DC00E2" w:rsidRPr="00D311D9" w:rsidTr="00BF2A4E">
        <w:tc>
          <w:tcPr>
            <w:tcW w:w="9498" w:type="dxa"/>
            <w:gridSpan w:val="4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i/>
                <w:sz w:val="20"/>
                <w:szCs w:val="20"/>
              </w:rPr>
              <w:t>Healthcare provider and system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insurance status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MDT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Multidisciplinary team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procedural volume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Surgical procedure volume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AA4630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 xml:space="preserve">surgeon 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timeliness of care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9498" w:type="dxa"/>
            <w:gridSpan w:val="4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i/>
                <w:sz w:val="20"/>
                <w:szCs w:val="20"/>
              </w:rPr>
              <w:t>Tumour characteristics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  <w:vAlign w:val="center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</w:pPr>
            <w:r w:rsidRPr="00BF2A4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GB"/>
              </w:rPr>
              <w:t>GTV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 xml:space="preserve">Gross tumour volume GTV identified via three-dimensional conformal radiotherapy (3D-CRT) 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AA4630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 xml:space="preserve">isolated </w:t>
            </w:r>
            <w:proofErr w:type="spellStart"/>
            <w:r w:rsidRPr="00BF2A4E">
              <w:rPr>
                <w:rFonts w:ascii="Arial Narrow" w:hAnsi="Arial Narrow" w:cs="Arial"/>
                <w:sz w:val="20"/>
                <w:szCs w:val="20"/>
              </w:rPr>
              <w:t>mets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Isolated metastases. No other metastases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Stage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Includes TNM tumour stage for NSCLC; differentiation between adenocarcinoma in situ (AIS) and minimally invasive adenocarcinoma (MIA) for adenocarcinoma (ADC); and limited vs extensive small cell lung cancer (SCLC).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AA4630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i/>
                <w:sz w:val="20"/>
                <w:szCs w:val="20"/>
              </w:rPr>
              <w:t>Patient characteristics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 xml:space="preserve">BMI / </w:t>
            </w:r>
            <w:proofErr w:type="spellStart"/>
            <w:r w:rsidRPr="00BF2A4E">
              <w:rPr>
                <w:rFonts w:ascii="Arial Narrow" w:hAnsi="Arial Narrow" w:cs="Arial"/>
                <w:i/>
                <w:sz w:val="20"/>
                <w:szCs w:val="20"/>
              </w:rPr>
              <w:t>Wt</w:t>
            </w:r>
            <w:proofErr w:type="spellEnd"/>
            <w:r w:rsidRPr="00BF2A4E">
              <w:rPr>
                <w:rFonts w:ascii="Arial Narrow" w:hAnsi="Arial Narrow" w:cs="Arial"/>
                <w:i/>
                <w:sz w:val="20"/>
                <w:szCs w:val="20"/>
              </w:rPr>
              <w:t xml:space="preserve"> loss**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 xml:space="preserve">Body mass index or </w:t>
            </w:r>
            <w:r w:rsidRPr="00BF2A4E">
              <w:rPr>
                <w:rFonts w:ascii="Arial Narrow" w:hAnsi="Arial Narrow" w:cs="Arial"/>
                <w:i/>
                <w:sz w:val="20"/>
                <w:szCs w:val="20"/>
              </w:rPr>
              <w:t>Body weight loss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i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marital status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</w:tc>
      </w:tr>
      <w:tr w:rsidR="00DC00E2" w:rsidRPr="00D311D9" w:rsidTr="00BF2A4E">
        <w:trPr>
          <w:trHeight w:val="206"/>
        </w:trPr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PS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Performance status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yes/no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psychosocial factors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Stress-related psychosocial factors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yes/no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BF2A4E">
              <w:rPr>
                <w:rFonts w:ascii="Arial Narrow" w:hAnsi="Arial Narrow" w:cs="Arial"/>
                <w:sz w:val="20"/>
                <w:szCs w:val="20"/>
              </w:rPr>
              <w:t>QoL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Quality of life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yes/no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AA4630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Smoking status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9498" w:type="dxa"/>
            <w:gridSpan w:val="4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i/>
                <w:sz w:val="20"/>
                <w:szCs w:val="20"/>
              </w:rPr>
              <w:t>Socioeconomic and sociodemographic factors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SES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Socioeconomic status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</w:tr>
      <w:tr w:rsidR="00DC00E2" w:rsidRPr="00D311D9" w:rsidTr="00BF2A4E">
        <w:tc>
          <w:tcPr>
            <w:tcW w:w="9498" w:type="dxa"/>
            <w:gridSpan w:val="4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i/>
                <w:sz w:val="20"/>
                <w:szCs w:val="20"/>
              </w:rPr>
              <w:t>Other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Occupation - painter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Surgical treatment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Received surgical treatment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surgery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Type of surgery received</w:t>
            </w: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="00AA4630" w:rsidRPr="00BF2A4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†</w:t>
            </w:r>
          </w:p>
        </w:tc>
      </w:tr>
      <w:tr w:rsidR="00DC00E2" w:rsidRPr="00D311D9" w:rsidTr="00BF2A4E">
        <w:tc>
          <w:tcPr>
            <w:tcW w:w="297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sz w:val="20"/>
                <w:szCs w:val="20"/>
              </w:rPr>
              <w:t>vomiting</w:t>
            </w:r>
          </w:p>
        </w:tc>
        <w:tc>
          <w:tcPr>
            <w:tcW w:w="3827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</w:tc>
        <w:tc>
          <w:tcPr>
            <w:tcW w:w="1418" w:type="dxa"/>
            <w:shd w:val="clear" w:color="auto" w:fill="auto"/>
          </w:tcPr>
          <w:p w:rsidR="00DC00E2" w:rsidRPr="00BF2A4E" w:rsidRDefault="00DC00E2" w:rsidP="002E596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2A4E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</w:tc>
      </w:tr>
    </w:tbl>
    <w:p w:rsidR="00DC00E2" w:rsidRPr="00D311D9" w:rsidRDefault="00DC00E2" w:rsidP="002E5966">
      <w:pPr>
        <w:spacing w:after="0" w:line="276" w:lineRule="auto"/>
        <w:contextualSpacing/>
        <w:rPr>
          <w:rFonts w:ascii="Arial" w:hAnsi="Arial" w:cs="Arial"/>
          <w:sz w:val="16"/>
          <w:szCs w:val="16"/>
        </w:rPr>
      </w:pPr>
      <w:r w:rsidRPr="00D311D9">
        <w:rPr>
          <w:rFonts w:ascii="Arial" w:hAnsi="Arial" w:cs="Arial"/>
          <w:sz w:val="16"/>
          <w:szCs w:val="16"/>
        </w:rPr>
        <w:t>*</w:t>
      </w:r>
      <w:r w:rsidRPr="00D311D9">
        <w:rPr>
          <w:rFonts w:ascii="Arial Narrow" w:hAnsi="Arial Narrow" w:cs="Arial"/>
          <w:sz w:val="16"/>
          <w:szCs w:val="16"/>
        </w:rPr>
        <w:t>Based on post hoc decision</w:t>
      </w:r>
    </w:p>
    <w:p w:rsidR="00DC00E2" w:rsidRPr="00D311D9" w:rsidRDefault="00DC00E2" w:rsidP="002E5966">
      <w:pPr>
        <w:spacing w:after="0" w:line="276" w:lineRule="auto"/>
        <w:contextualSpacing/>
        <w:rPr>
          <w:rFonts w:ascii="Arial" w:hAnsi="Arial" w:cs="Arial"/>
          <w:sz w:val="16"/>
          <w:szCs w:val="16"/>
        </w:rPr>
      </w:pPr>
      <w:r w:rsidRPr="00D311D9">
        <w:rPr>
          <w:rFonts w:ascii="Arial" w:hAnsi="Arial" w:cs="Arial"/>
          <w:sz w:val="16"/>
          <w:szCs w:val="16"/>
        </w:rPr>
        <w:t>**Weight loss was originally categorised as a separate prognostic factor under ‘clinical characteristics or routinely assessed biological variables’, and BMI here under ‘patient characteristics’, but both factors are grouped together here as they were considered as a single prognostic factor in one review.</w:t>
      </w:r>
    </w:p>
    <w:p w:rsidR="00E97D06" w:rsidRDefault="00E97D06" w:rsidP="002E5966">
      <w:pPr>
        <w:spacing w:line="276" w:lineRule="auto"/>
      </w:pPr>
      <w:bookmarkStart w:id="0" w:name="_GoBack"/>
      <w:bookmarkEnd w:id="0"/>
    </w:p>
    <w:sectPr w:rsidR="00E9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E2"/>
    <w:rsid w:val="002E5966"/>
    <w:rsid w:val="00AA4630"/>
    <w:rsid w:val="00BF2A4E"/>
    <w:rsid w:val="00C85DD3"/>
    <w:rsid w:val="00DC00E2"/>
    <w:rsid w:val="00E9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9131B"/>
  <w15:chartTrackingRefBased/>
  <w15:docId w15:val="{4ED161ED-AE53-4F00-8BED-77CD7A47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DC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C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59399095.dotm</Template>
  <TotalTime>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Disbeschl</dc:creator>
  <cp:keywords/>
  <dc:description/>
  <cp:lastModifiedBy>Ruth Lewis</cp:lastModifiedBy>
  <cp:revision>4</cp:revision>
  <dcterms:created xsi:type="dcterms:W3CDTF">2018-11-14T15:19:00Z</dcterms:created>
  <dcterms:modified xsi:type="dcterms:W3CDTF">2019-02-20T12:46:00Z</dcterms:modified>
</cp:coreProperties>
</file>