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3E348" w14:textId="77777777" w:rsidR="00703D87" w:rsidRPr="00390719" w:rsidRDefault="00703D87" w:rsidP="00703D87">
      <w:pPr>
        <w:pStyle w:val="Heading1"/>
        <w:rPr>
          <w:rFonts w:ascii="Times New Roman" w:hAnsi="Times New Roman" w:cs="Times New Roman"/>
          <w:b/>
          <w:color w:val="auto"/>
          <w:sz w:val="24"/>
          <w:szCs w:val="24"/>
        </w:rPr>
      </w:pPr>
      <w:r w:rsidRPr="00390719">
        <w:rPr>
          <w:rFonts w:ascii="Times New Roman" w:hAnsi="Times New Roman" w:cs="Times New Roman"/>
          <w:b/>
          <w:color w:val="auto"/>
          <w:sz w:val="24"/>
          <w:szCs w:val="24"/>
        </w:rPr>
        <w:t>Appendix A</w:t>
      </w:r>
    </w:p>
    <w:p w14:paraId="1B22F349" w14:textId="77777777" w:rsidR="00703D87" w:rsidRPr="00390719" w:rsidRDefault="00703D87" w:rsidP="00703D87">
      <w:pPr>
        <w:pStyle w:val="Heading2"/>
        <w:rPr>
          <w:rFonts w:ascii="Times New Roman" w:hAnsi="Times New Roman" w:cs="Times New Roman"/>
          <w:b/>
          <w:color w:val="auto"/>
          <w:sz w:val="20"/>
          <w:szCs w:val="20"/>
        </w:rPr>
      </w:pPr>
      <w:r w:rsidRPr="00390719">
        <w:rPr>
          <w:rFonts w:ascii="Times New Roman" w:hAnsi="Times New Roman" w:cs="Times New Roman"/>
          <w:b/>
          <w:color w:val="auto"/>
          <w:sz w:val="20"/>
          <w:szCs w:val="20"/>
        </w:rPr>
        <w:t>Search Terms</w:t>
      </w:r>
    </w:p>
    <w:p w14:paraId="1E6A54F3" w14:textId="0FBE6DEF" w:rsidR="000B6542" w:rsidRPr="00390719" w:rsidRDefault="000B6542">
      <w:pPr>
        <w:rPr>
          <w:rFonts w:ascii="Times New Roman" w:hAnsi="Times New Roman" w:cs="Times New Roman"/>
          <w:b/>
          <w:sz w:val="20"/>
          <w:szCs w:val="20"/>
        </w:rPr>
      </w:pPr>
    </w:p>
    <w:tbl>
      <w:tblPr>
        <w:tblW w:w="5000" w:type="pct"/>
        <w:tblLook w:val="04A0" w:firstRow="1" w:lastRow="0" w:firstColumn="1" w:lastColumn="0" w:noHBand="0" w:noVBand="1"/>
      </w:tblPr>
      <w:tblGrid>
        <w:gridCol w:w="2534"/>
        <w:gridCol w:w="2819"/>
        <w:gridCol w:w="5103"/>
      </w:tblGrid>
      <w:tr w:rsidR="002234D0" w:rsidRPr="002234D0" w14:paraId="0B1AFF7A" w14:textId="77777777" w:rsidTr="002234D0">
        <w:trPr>
          <w:trHeight w:val="290"/>
        </w:trPr>
        <w:tc>
          <w:tcPr>
            <w:tcW w:w="121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EC1F87" w14:textId="33979945" w:rsidR="002234D0" w:rsidRPr="002234D0" w:rsidRDefault="002234D0" w:rsidP="00120875">
            <w:pPr>
              <w:spacing w:after="0" w:line="240" w:lineRule="auto"/>
              <w:rPr>
                <w:rFonts w:ascii="Times New Roman" w:eastAsia="Times New Roman" w:hAnsi="Times New Roman" w:cs="Times New Roman"/>
                <w:szCs w:val="24"/>
                <w:lang w:eastAsia="zh-CN"/>
              </w:rPr>
            </w:pPr>
            <w:r w:rsidRPr="002234D0">
              <w:rPr>
                <w:rFonts w:ascii="Calibri" w:eastAsia="Times New Roman" w:hAnsi="Calibri" w:cs="Calibri"/>
                <w:b/>
                <w:bCs/>
                <w:color w:val="000000"/>
                <w:lang w:eastAsia="zh-CN"/>
              </w:rPr>
              <w:t>Concepts</w:t>
            </w:r>
          </w:p>
        </w:tc>
        <w:tc>
          <w:tcPr>
            <w:tcW w:w="134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8287EA" w14:textId="77777777" w:rsidR="002234D0" w:rsidRPr="002234D0" w:rsidRDefault="002234D0" w:rsidP="00120875">
            <w:pPr>
              <w:spacing w:after="0" w:line="240" w:lineRule="auto"/>
              <w:rPr>
                <w:rFonts w:ascii="Calibri" w:eastAsia="Times New Roman" w:hAnsi="Calibri" w:cs="Calibri"/>
                <w:b/>
                <w:bCs/>
                <w:color w:val="000000"/>
                <w:lang w:eastAsia="zh-CN"/>
              </w:rPr>
            </w:pPr>
            <w:r w:rsidRPr="002234D0">
              <w:rPr>
                <w:rFonts w:ascii="Calibri" w:eastAsia="Times New Roman" w:hAnsi="Calibri" w:cs="Calibri"/>
                <w:b/>
                <w:bCs/>
                <w:color w:val="000000"/>
                <w:lang w:eastAsia="zh-CN"/>
              </w:rPr>
              <w:t>Synonyms</w:t>
            </w:r>
          </w:p>
        </w:tc>
        <w:tc>
          <w:tcPr>
            <w:tcW w:w="244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A4D7DF" w14:textId="120BFBF4" w:rsidR="002234D0" w:rsidRPr="002234D0" w:rsidRDefault="002234D0" w:rsidP="00120875">
            <w:pPr>
              <w:spacing w:after="0" w:line="240" w:lineRule="auto"/>
              <w:rPr>
                <w:rFonts w:ascii="Calibri" w:eastAsia="Times New Roman" w:hAnsi="Calibri" w:cs="Calibri"/>
                <w:b/>
                <w:bCs/>
                <w:color w:val="000000"/>
                <w:lang w:eastAsia="zh-CN"/>
              </w:rPr>
            </w:pPr>
            <w:r w:rsidRPr="002234D0">
              <w:rPr>
                <w:rFonts w:ascii="Calibri" w:eastAsia="Times New Roman" w:hAnsi="Calibri" w:cs="Calibri"/>
                <w:b/>
                <w:bCs/>
                <w:color w:val="000000"/>
                <w:lang w:eastAsia="zh-CN"/>
              </w:rPr>
              <w:t>Search Terms</w:t>
            </w:r>
          </w:p>
        </w:tc>
      </w:tr>
      <w:tr w:rsidR="002234D0" w:rsidRPr="002234D0" w14:paraId="64AF5D13" w14:textId="77777777" w:rsidTr="002234D0">
        <w:trPr>
          <w:trHeight w:val="290"/>
        </w:trPr>
        <w:tc>
          <w:tcPr>
            <w:tcW w:w="1212" w:type="pct"/>
            <w:tcBorders>
              <w:top w:val="single" w:sz="4" w:space="0" w:color="auto"/>
              <w:left w:val="single" w:sz="4" w:space="0" w:color="auto"/>
              <w:bottom w:val="nil"/>
              <w:right w:val="single" w:sz="4" w:space="0" w:color="auto"/>
            </w:tcBorders>
            <w:shd w:val="clear" w:color="auto" w:fill="auto"/>
            <w:noWrap/>
            <w:vAlign w:val="bottom"/>
            <w:hideMark/>
          </w:tcPr>
          <w:p w14:paraId="25C7A40B" w14:textId="77777777" w:rsidR="002234D0" w:rsidRPr="002234D0" w:rsidRDefault="002234D0" w:rsidP="00120875">
            <w:pPr>
              <w:spacing w:after="0" w:line="240" w:lineRule="auto"/>
              <w:rPr>
                <w:rFonts w:ascii="Calibri" w:eastAsia="Times New Roman" w:hAnsi="Calibri" w:cs="Calibri"/>
                <w:b/>
                <w:bCs/>
                <w:color w:val="000000"/>
                <w:lang w:eastAsia="zh-CN"/>
              </w:rPr>
            </w:pPr>
            <w:r w:rsidRPr="002234D0">
              <w:rPr>
                <w:rFonts w:ascii="Calibri" w:eastAsia="Times New Roman" w:hAnsi="Calibri" w:cs="Calibri"/>
                <w:b/>
                <w:bCs/>
                <w:color w:val="000000"/>
                <w:lang w:eastAsia="zh-CN"/>
              </w:rPr>
              <w:t>population</w:t>
            </w:r>
          </w:p>
        </w:tc>
        <w:tc>
          <w:tcPr>
            <w:tcW w:w="1348" w:type="pct"/>
            <w:tcBorders>
              <w:top w:val="single" w:sz="4" w:space="0" w:color="auto"/>
              <w:left w:val="single" w:sz="4" w:space="0" w:color="auto"/>
              <w:bottom w:val="nil"/>
              <w:right w:val="single" w:sz="4" w:space="0" w:color="auto"/>
            </w:tcBorders>
            <w:shd w:val="clear" w:color="auto" w:fill="auto"/>
            <w:noWrap/>
            <w:vAlign w:val="bottom"/>
            <w:hideMark/>
          </w:tcPr>
          <w:p w14:paraId="76ED00BA"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community</w:t>
            </w:r>
          </w:p>
        </w:tc>
        <w:tc>
          <w:tcPr>
            <w:tcW w:w="2440" w:type="pct"/>
            <w:tcBorders>
              <w:top w:val="single" w:sz="4" w:space="0" w:color="auto"/>
              <w:left w:val="single" w:sz="4" w:space="0" w:color="auto"/>
              <w:bottom w:val="nil"/>
              <w:right w:val="single" w:sz="4" w:space="0" w:color="auto"/>
            </w:tcBorders>
            <w:shd w:val="clear" w:color="auto" w:fill="auto"/>
            <w:noWrap/>
            <w:vAlign w:val="bottom"/>
            <w:hideMark/>
          </w:tcPr>
          <w:p w14:paraId="7D41CB64" w14:textId="77777777" w:rsidR="002234D0" w:rsidRPr="002234D0" w:rsidRDefault="002234D0" w:rsidP="00120875">
            <w:pPr>
              <w:spacing w:after="0" w:line="240" w:lineRule="auto"/>
              <w:rPr>
                <w:rFonts w:ascii="Calibri" w:eastAsia="Times New Roman" w:hAnsi="Calibri" w:cs="Calibri"/>
                <w:color w:val="000000"/>
                <w:lang w:eastAsia="zh-CN"/>
              </w:rPr>
            </w:pPr>
            <w:proofErr w:type="spellStart"/>
            <w:r w:rsidRPr="002234D0">
              <w:rPr>
                <w:rFonts w:ascii="Calibri" w:eastAsia="Times New Roman" w:hAnsi="Calibri" w:cs="Calibri"/>
                <w:color w:val="000000"/>
                <w:lang w:eastAsia="zh-CN"/>
              </w:rPr>
              <w:t>communit</w:t>
            </w:r>
            <w:proofErr w:type="spellEnd"/>
            <w:r w:rsidRPr="002234D0">
              <w:rPr>
                <w:rFonts w:ascii="Calibri" w:eastAsia="Times New Roman" w:hAnsi="Calibri" w:cs="Calibri"/>
                <w:color w:val="000000"/>
                <w:lang w:eastAsia="zh-CN"/>
              </w:rPr>
              <w:t>*</w:t>
            </w:r>
          </w:p>
        </w:tc>
      </w:tr>
      <w:tr w:rsidR="002234D0" w:rsidRPr="002234D0" w14:paraId="56D7FF94"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36928F39"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2F8D5812"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population</w:t>
            </w:r>
          </w:p>
        </w:tc>
        <w:tc>
          <w:tcPr>
            <w:tcW w:w="2440" w:type="pct"/>
            <w:tcBorders>
              <w:top w:val="nil"/>
              <w:left w:val="single" w:sz="4" w:space="0" w:color="auto"/>
              <w:bottom w:val="nil"/>
              <w:right w:val="single" w:sz="4" w:space="0" w:color="auto"/>
            </w:tcBorders>
            <w:shd w:val="clear" w:color="auto" w:fill="auto"/>
            <w:noWrap/>
            <w:vAlign w:val="bottom"/>
            <w:hideMark/>
          </w:tcPr>
          <w:p w14:paraId="5C7886A0"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population*</w:t>
            </w:r>
          </w:p>
        </w:tc>
      </w:tr>
      <w:tr w:rsidR="002234D0" w:rsidRPr="002234D0" w14:paraId="79D9127A" w14:textId="77777777" w:rsidTr="002234D0">
        <w:trPr>
          <w:trHeight w:val="290"/>
        </w:trPr>
        <w:tc>
          <w:tcPr>
            <w:tcW w:w="1212" w:type="pct"/>
            <w:tcBorders>
              <w:top w:val="single" w:sz="4" w:space="0" w:color="auto"/>
              <w:left w:val="single" w:sz="4" w:space="0" w:color="auto"/>
              <w:bottom w:val="nil"/>
              <w:right w:val="single" w:sz="4" w:space="0" w:color="auto"/>
            </w:tcBorders>
            <w:shd w:val="clear" w:color="auto" w:fill="auto"/>
            <w:noWrap/>
            <w:vAlign w:val="bottom"/>
            <w:hideMark/>
          </w:tcPr>
          <w:p w14:paraId="7CA5C252" w14:textId="77777777" w:rsidR="002234D0" w:rsidRPr="002234D0" w:rsidRDefault="002234D0" w:rsidP="00120875">
            <w:pPr>
              <w:spacing w:after="0" w:line="240" w:lineRule="auto"/>
              <w:rPr>
                <w:rFonts w:ascii="Calibri" w:eastAsia="Times New Roman" w:hAnsi="Calibri" w:cs="Calibri"/>
                <w:b/>
                <w:bCs/>
                <w:color w:val="000000"/>
                <w:lang w:eastAsia="zh-CN"/>
              </w:rPr>
            </w:pPr>
            <w:r w:rsidRPr="002234D0">
              <w:rPr>
                <w:rFonts w:ascii="Calibri" w:eastAsia="Times New Roman" w:hAnsi="Calibri" w:cs="Calibri"/>
                <w:b/>
                <w:bCs/>
                <w:color w:val="000000"/>
                <w:lang w:eastAsia="zh-CN"/>
              </w:rPr>
              <w:t>healthcare need</w:t>
            </w:r>
          </w:p>
        </w:tc>
        <w:tc>
          <w:tcPr>
            <w:tcW w:w="1348" w:type="pct"/>
            <w:tcBorders>
              <w:top w:val="single" w:sz="4" w:space="0" w:color="auto"/>
              <w:left w:val="single" w:sz="4" w:space="0" w:color="auto"/>
              <w:bottom w:val="nil"/>
              <w:right w:val="single" w:sz="4" w:space="0" w:color="auto"/>
            </w:tcBorders>
            <w:shd w:val="clear" w:color="auto" w:fill="auto"/>
            <w:noWrap/>
            <w:vAlign w:val="bottom"/>
            <w:hideMark/>
          </w:tcPr>
          <w:p w14:paraId="7E1CB155"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w:t>
            </w:r>
          </w:p>
        </w:tc>
        <w:tc>
          <w:tcPr>
            <w:tcW w:w="2440" w:type="pct"/>
            <w:tcBorders>
              <w:top w:val="single" w:sz="4" w:space="0" w:color="auto"/>
              <w:left w:val="single" w:sz="4" w:space="0" w:color="auto"/>
              <w:bottom w:val="nil"/>
              <w:right w:val="single" w:sz="4" w:space="0" w:color="auto"/>
            </w:tcBorders>
            <w:shd w:val="clear" w:color="auto" w:fill="auto"/>
            <w:noWrap/>
            <w:vAlign w:val="bottom"/>
            <w:hideMark/>
          </w:tcPr>
          <w:p w14:paraId="2DCBF94C"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need*"</w:t>
            </w:r>
          </w:p>
        </w:tc>
      </w:tr>
      <w:tr w:rsidR="002234D0" w:rsidRPr="002234D0" w14:paraId="70FC67E3"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17A6DA65"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771502C5"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healthcare</w:t>
            </w:r>
          </w:p>
        </w:tc>
        <w:tc>
          <w:tcPr>
            <w:tcW w:w="2440" w:type="pct"/>
            <w:tcBorders>
              <w:top w:val="nil"/>
              <w:left w:val="single" w:sz="4" w:space="0" w:color="auto"/>
              <w:bottom w:val="nil"/>
              <w:right w:val="single" w:sz="4" w:space="0" w:color="auto"/>
            </w:tcBorders>
            <w:shd w:val="clear" w:color="auto" w:fill="auto"/>
            <w:noWrap/>
            <w:vAlign w:val="bottom"/>
            <w:hideMark/>
          </w:tcPr>
          <w:p w14:paraId="7C18349A"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service* need*"</w:t>
            </w:r>
          </w:p>
        </w:tc>
      </w:tr>
      <w:tr w:rsidR="002234D0" w:rsidRPr="002234D0" w14:paraId="3D85BD12"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1E2A51D9"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5892B857"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service</w:t>
            </w:r>
          </w:p>
        </w:tc>
        <w:tc>
          <w:tcPr>
            <w:tcW w:w="2440" w:type="pct"/>
            <w:tcBorders>
              <w:top w:val="nil"/>
              <w:left w:val="single" w:sz="4" w:space="0" w:color="auto"/>
              <w:bottom w:val="nil"/>
              <w:right w:val="single" w:sz="4" w:space="0" w:color="auto"/>
            </w:tcBorders>
            <w:shd w:val="clear" w:color="auto" w:fill="auto"/>
            <w:noWrap/>
            <w:vAlign w:val="bottom"/>
            <w:hideMark/>
          </w:tcPr>
          <w:p w14:paraId="0FB6B887"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"healthcare need*"</w:t>
            </w:r>
          </w:p>
        </w:tc>
      </w:tr>
      <w:tr w:rsidR="002234D0" w:rsidRPr="002234D0" w14:paraId="5EB6E51B"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4EB3251E"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49A3D7F9"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healthcare service</w:t>
            </w:r>
          </w:p>
        </w:tc>
        <w:tc>
          <w:tcPr>
            <w:tcW w:w="2440" w:type="pct"/>
            <w:tcBorders>
              <w:top w:val="nil"/>
              <w:left w:val="single" w:sz="4" w:space="0" w:color="auto"/>
              <w:bottom w:val="nil"/>
              <w:right w:val="single" w:sz="4" w:space="0" w:color="auto"/>
            </w:tcBorders>
            <w:shd w:val="clear" w:color="auto" w:fill="auto"/>
            <w:noWrap/>
            <w:vAlign w:val="bottom"/>
            <w:hideMark/>
          </w:tcPr>
          <w:p w14:paraId="2DA150C3"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"healthcare service* need*"</w:t>
            </w:r>
          </w:p>
        </w:tc>
      </w:tr>
      <w:tr w:rsidR="002234D0" w:rsidRPr="002234D0" w14:paraId="04A37F87"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29802D34"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3552E90D"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care</w:t>
            </w:r>
          </w:p>
        </w:tc>
        <w:tc>
          <w:tcPr>
            <w:tcW w:w="2440" w:type="pct"/>
            <w:tcBorders>
              <w:top w:val="nil"/>
              <w:left w:val="single" w:sz="4" w:space="0" w:color="auto"/>
              <w:bottom w:val="nil"/>
              <w:right w:val="single" w:sz="4" w:space="0" w:color="auto"/>
            </w:tcBorders>
            <w:shd w:val="clear" w:color="auto" w:fill="auto"/>
            <w:noWrap/>
            <w:vAlign w:val="bottom"/>
            <w:hideMark/>
          </w:tcPr>
          <w:p w14:paraId="48C3644D"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care need*"</w:t>
            </w:r>
          </w:p>
        </w:tc>
      </w:tr>
      <w:tr w:rsidR="002234D0" w:rsidRPr="002234D0" w14:paraId="1331E7D8"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0F600CF4"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72DD94E0"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care service</w:t>
            </w:r>
          </w:p>
        </w:tc>
        <w:tc>
          <w:tcPr>
            <w:tcW w:w="2440" w:type="pct"/>
            <w:tcBorders>
              <w:top w:val="nil"/>
              <w:left w:val="single" w:sz="4" w:space="0" w:color="auto"/>
              <w:bottom w:val="nil"/>
              <w:right w:val="single" w:sz="4" w:space="0" w:color="auto"/>
            </w:tcBorders>
            <w:shd w:val="clear" w:color="auto" w:fill="auto"/>
            <w:noWrap/>
            <w:vAlign w:val="bottom"/>
            <w:hideMark/>
          </w:tcPr>
          <w:p w14:paraId="39A543F8"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care service* need*"</w:t>
            </w:r>
          </w:p>
        </w:tc>
      </w:tr>
      <w:tr w:rsidR="002234D0" w:rsidRPr="002234D0" w14:paraId="55D30450"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7C9804CF"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6EFD7401"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medical care</w:t>
            </w:r>
          </w:p>
        </w:tc>
        <w:tc>
          <w:tcPr>
            <w:tcW w:w="2440" w:type="pct"/>
            <w:tcBorders>
              <w:top w:val="nil"/>
              <w:left w:val="single" w:sz="4" w:space="0" w:color="auto"/>
              <w:bottom w:val="nil"/>
              <w:right w:val="single" w:sz="4" w:space="0" w:color="auto"/>
            </w:tcBorders>
            <w:shd w:val="clear" w:color="auto" w:fill="auto"/>
            <w:noWrap/>
            <w:vAlign w:val="bottom"/>
            <w:hideMark/>
          </w:tcPr>
          <w:p w14:paraId="0C583F7B"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"medical care need*"</w:t>
            </w:r>
          </w:p>
        </w:tc>
      </w:tr>
      <w:tr w:rsidR="002234D0" w:rsidRPr="002234D0" w14:paraId="31328790"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1B5953BF"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4CEE8254"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medical service</w:t>
            </w:r>
          </w:p>
        </w:tc>
        <w:tc>
          <w:tcPr>
            <w:tcW w:w="2440" w:type="pct"/>
            <w:tcBorders>
              <w:top w:val="nil"/>
              <w:left w:val="single" w:sz="4" w:space="0" w:color="auto"/>
              <w:bottom w:val="nil"/>
              <w:right w:val="single" w:sz="4" w:space="0" w:color="auto"/>
            </w:tcBorders>
            <w:shd w:val="clear" w:color="auto" w:fill="auto"/>
            <w:noWrap/>
            <w:vAlign w:val="bottom"/>
            <w:hideMark/>
          </w:tcPr>
          <w:p w14:paraId="750AB657"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"medical service* need*"</w:t>
            </w:r>
          </w:p>
        </w:tc>
      </w:tr>
      <w:tr w:rsidR="002234D0" w:rsidRPr="002234D0" w14:paraId="0221B11A"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7A876ECF"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38B2F0B0"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biopsychosocial</w:t>
            </w:r>
          </w:p>
        </w:tc>
        <w:tc>
          <w:tcPr>
            <w:tcW w:w="2440" w:type="pct"/>
            <w:tcBorders>
              <w:top w:val="nil"/>
              <w:left w:val="single" w:sz="4" w:space="0" w:color="auto"/>
              <w:bottom w:val="nil"/>
              <w:right w:val="single" w:sz="4" w:space="0" w:color="auto"/>
            </w:tcBorders>
            <w:shd w:val="clear" w:color="auto" w:fill="auto"/>
            <w:noWrap/>
            <w:vAlign w:val="bottom"/>
            <w:hideMark/>
          </w:tcPr>
          <w:p w14:paraId="43C86295"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"biopsychosocial need*"</w:t>
            </w:r>
          </w:p>
        </w:tc>
      </w:tr>
      <w:tr w:rsidR="002234D0" w:rsidRPr="002234D0" w14:paraId="17B75A3F"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6193D7AF"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7FC638FA"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bio-psychosocial</w:t>
            </w:r>
          </w:p>
        </w:tc>
        <w:tc>
          <w:tcPr>
            <w:tcW w:w="2440" w:type="pct"/>
            <w:tcBorders>
              <w:top w:val="nil"/>
              <w:left w:val="single" w:sz="4" w:space="0" w:color="auto"/>
              <w:bottom w:val="nil"/>
              <w:right w:val="single" w:sz="4" w:space="0" w:color="auto"/>
            </w:tcBorders>
            <w:shd w:val="clear" w:color="auto" w:fill="auto"/>
            <w:noWrap/>
            <w:vAlign w:val="bottom"/>
            <w:hideMark/>
          </w:tcPr>
          <w:p w14:paraId="7284CEF2"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"bio-psychosocial need*"</w:t>
            </w:r>
          </w:p>
        </w:tc>
      </w:tr>
      <w:tr w:rsidR="002234D0" w:rsidRPr="002234D0" w14:paraId="15A64A1E"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700DCF77"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5CDD0B5B"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2709771B"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r>
      <w:tr w:rsidR="002234D0" w:rsidRPr="002234D0" w14:paraId="4C05AF72"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277627DB"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7AE3D6EB"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need</w:t>
            </w:r>
          </w:p>
        </w:tc>
        <w:tc>
          <w:tcPr>
            <w:tcW w:w="2440" w:type="pct"/>
            <w:tcBorders>
              <w:top w:val="nil"/>
              <w:left w:val="single" w:sz="4" w:space="0" w:color="auto"/>
              <w:bottom w:val="nil"/>
              <w:right w:val="single" w:sz="4" w:space="0" w:color="auto"/>
            </w:tcBorders>
            <w:shd w:val="clear" w:color="auto" w:fill="auto"/>
            <w:noWrap/>
            <w:vAlign w:val="bottom"/>
            <w:hideMark/>
          </w:tcPr>
          <w:p w14:paraId="11B8F7D3"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requirement*"</w:t>
            </w:r>
          </w:p>
        </w:tc>
      </w:tr>
      <w:tr w:rsidR="002234D0" w:rsidRPr="002234D0" w14:paraId="62A1097D"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11288B9F"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5B81191E"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requirement</w:t>
            </w:r>
          </w:p>
        </w:tc>
        <w:tc>
          <w:tcPr>
            <w:tcW w:w="2440" w:type="pct"/>
            <w:tcBorders>
              <w:top w:val="nil"/>
              <w:left w:val="single" w:sz="4" w:space="0" w:color="auto"/>
              <w:bottom w:val="nil"/>
              <w:right w:val="single" w:sz="4" w:space="0" w:color="auto"/>
            </w:tcBorders>
            <w:shd w:val="clear" w:color="auto" w:fill="auto"/>
            <w:noWrap/>
            <w:vAlign w:val="bottom"/>
            <w:hideMark/>
          </w:tcPr>
          <w:p w14:paraId="02AD833F"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service* requirement*"</w:t>
            </w:r>
          </w:p>
        </w:tc>
      </w:tr>
      <w:tr w:rsidR="002234D0" w:rsidRPr="002234D0" w14:paraId="5D20CDD2"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56F5DC32"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310D5790"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67E4EA47"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"healthcare requirement*"</w:t>
            </w:r>
          </w:p>
        </w:tc>
      </w:tr>
      <w:tr w:rsidR="002234D0" w:rsidRPr="002234D0" w14:paraId="2192E0DA"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4E84DC83"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5A0C64A8"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287E5D6B"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"healthcare service* requirement*"</w:t>
            </w:r>
          </w:p>
        </w:tc>
      </w:tr>
      <w:tr w:rsidR="002234D0" w:rsidRPr="002234D0" w14:paraId="72CB43B9"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1AC8D24E"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2538BC46"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0C9B9D47"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care requirement*"</w:t>
            </w:r>
          </w:p>
        </w:tc>
      </w:tr>
      <w:tr w:rsidR="002234D0" w:rsidRPr="002234D0" w14:paraId="690246E7"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7AF20F82"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3349DF72"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340DDD93"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care service* requirement*"</w:t>
            </w:r>
          </w:p>
        </w:tc>
      </w:tr>
      <w:tr w:rsidR="002234D0" w:rsidRPr="002234D0" w14:paraId="4A56C333"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17670AED"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671AD500"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0B6A55F7"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"medical care requirement*"</w:t>
            </w:r>
          </w:p>
        </w:tc>
      </w:tr>
      <w:tr w:rsidR="002234D0" w:rsidRPr="002234D0" w14:paraId="1038DBC2"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7D8B64CC"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67A6EE2D"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0A0C2F29"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"medical service* requirement*"</w:t>
            </w:r>
          </w:p>
        </w:tc>
      </w:tr>
      <w:tr w:rsidR="002234D0" w:rsidRPr="002234D0" w14:paraId="56DDD3B3"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70535E3E"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49535647"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1D21AF0C"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"biopsychosocial requirement*"</w:t>
            </w:r>
          </w:p>
        </w:tc>
      </w:tr>
      <w:tr w:rsidR="002234D0" w:rsidRPr="002234D0" w14:paraId="4236F2E9"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170F55F8"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4261B9B3"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3A1DE11E"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"bio-psychosocial requirement*"</w:t>
            </w:r>
          </w:p>
        </w:tc>
      </w:tr>
      <w:tr w:rsidR="002234D0" w:rsidRPr="002234D0" w14:paraId="6F457151"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51119D40"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2BCA7A77"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11C8F562"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r>
      <w:tr w:rsidR="002234D0" w:rsidRPr="002234D0" w14:paraId="3DDCC7AC"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56192ED4"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1F266557"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utilisation</w:t>
            </w:r>
          </w:p>
        </w:tc>
        <w:tc>
          <w:tcPr>
            <w:tcW w:w="2440" w:type="pct"/>
            <w:tcBorders>
              <w:top w:val="nil"/>
              <w:left w:val="single" w:sz="4" w:space="0" w:color="auto"/>
              <w:bottom w:val="nil"/>
              <w:right w:val="single" w:sz="4" w:space="0" w:color="auto"/>
            </w:tcBorders>
            <w:shd w:val="clear" w:color="auto" w:fill="auto"/>
            <w:noWrap/>
            <w:vAlign w:val="bottom"/>
            <w:hideMark/>
          </w:tcPr>
          <w:p w14:paraId="1F0A8AC8"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"healthcare utilisation"</w:t>
            </w:r>
          </w:p>
        </w:tc>
      </w:tr>
      <w:tr w:rsidR="002234D0" w:rsidRPr="002234D0" w14:paraId="6D76B9EA"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59E4D73E"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3B22437C"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utilization</w:t>
            </w:r>
          </w:p>
        </w:tc>
        <w:tc>
          <w:tcPr>
            <w:tcW w:w="2440" w:type="pct"/>
            <w:tcBorders>
              <w:top w:val="nil"/>
              <w:left w:val="single" w:sz="4" w:space="0" w:color="auto"/>
              <w:bottom w:val="nil"/>
              <w:right w:val="single" w:sz="4" w:space="0" w:color="auto"/>
            </w:tcBorders>
            <w:shd w:val="clear" w:color="auto" w:fill="auto"/>
            <w:noWrap/>
            <w:vAlign w:val="bottom"/>
            <w:hideMark/>
          </w:tcPr>
          <w:p w14:paraId="2C83BD58"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service utilisation"</w:t>
            </w:r>
          </w:p>
        </w:tc>
      </w:tr>
      <w:tr w:rsidR="002234D0" w:rsidRPr="002234D0" w14:paraId="3001D5F8"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7EC749F4"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3E6D10E6"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792E19BF"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"healthcare service utilisation"</w:t>
            </w:r>
          </w:p>
        </w:tc>
      </w:tr>
      <w:tr w:rsidR="002234D0" w:rsidRPr="002234D0" w14:paraId="2F772590"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517A4576"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5AC7ACD0"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393D8573"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care utilisation"</w:t>
            </w:r>
          </w:p>
        </w:tc>
      </w:tr>
      <w:tr w:rsidR="002234D0" w:rsidRPr="002234D0" w14:paraId="729A3CBA"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08E8D2B8"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66E88DCF"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02951FCC"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care service utilisation"</w:t>
            </w:r>
          </w:p>
        </w:tc>
      </w:tr>
      <w:tr w:rsidR="002234D0" w:rsidRPr="002234D0" w14:paraId="268D0F15"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2218A7F4"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26F00333"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60B780E9"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"medical care utilisation"</w:t>
            </w:r>
          </w:p>
        </w:tc>
      </w:tr>
      <w:tr w:rsidR="002234D0" w:rsidRPr="002234D0" w14:paraId="52FD48B1"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0C8866C8"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67DBCB70"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76187E25"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"medical service utilisation"</w:t>
            </w:r>
          </w:p>
        </w:tc>
      </w:tr>
      <w:tr w:rsidR="002234D0" w:rsidRPr="002234D0" w14:paraId="2BDB5F5B"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59DA9DDF"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32E75040"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6EFE71BA"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r>
      <w:tr w:rsidR="002234D0" w:rsidRPr="002234D0" w14:paraId="0D52F460"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19E5E6B9"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23D117AF"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27864B33"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"healthcare utilization"</w:t>
            </w:r>
          </w:p>
        </w:tc>
      </w:tr>
      <w:tr w:rsidR="002234D0" w:rsidRPr="002234D0" w14:paraId="1ED5C711"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4275B1CF"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38332F1C"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1EA32801"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service utilization"</w:t>
            </w:r>
          </w:p>
        </w:tc>
      </w:tr>
      <w:tr w:rsidR="002234D0" w:rsidRPr="002234D0" w14:paraId="0AABDA59"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0A42A94D"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3A65A572"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6888E246"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"healthcare service utilization"</w:t>
            </w:r>
          </w:p>
        </w:tc>
      </w:tr>
      <w:tr w:rsidR="002234D0" w:rsidRPr="002234D0" w14:paraId="16204D75"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7DE441B9"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38BA5BA8"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605B02D6"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care utilization"</w:t>
            </w:r>
          </w:p>
        </w:tc>
      </w:tr>
      <w:tr w:rsidR="002234D0" w:rsidRPr="002234D0" w14:paraId="51B9B007"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7048332E"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right w:val="single" w:sz="4" w:space="0" w:color="auto"/>
            </w:tcBorders>
            <w:shd w:val="clear" w:color="auto" w:fill="auto"/>
            <w:noWrap/>
            <w:vAlign w:val="bottom"/>
            <w:hideMark/>
          </w:tcPr>
          <w:p w14:paraId="1CE055F6"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654E87B8"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care service utilization"</w:t>
            </w:r>
          </w:p>
        </w:tc>
      </w:tr>
      <w:tr w:rsidR="002234D0" w:rsidRPr="002234D0" w14:paraId="7E0165F6"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5BA2CFC9"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right w:val="single" w:sz="4" w:space="0" w:color="auto"/>
            </w:tcBorders>
            <w:shd w:val="clear" w:color="auto" w:fill="auto"/>
            <w:noWrap/>
            <w:vAlign w:val="bottom"/>
            <w:hideMark/>
          </w:tcPr>
          <w:p w14:paraId="100A4AA8"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right w:val="single" w:sz="4" w:space="0" w:color="auto"/>
            </w:tcBorders>
            <w:shd w:val="clear" w:color="auto" w:fill="auto"/>
            <w:noWrap/>
            <w:vAlign w:val="bottom"/>
            <w:hideMark/>
          </w:tcPr>
          <w:p w14:paraId="75DED370"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"medical care utilization"</w:t>
            </w:r>
          </w:p>
        </w:tc>
      </w:tr>
      <w:tr w:rsidR="002234D0" w:rsidRPr="002234D0" w14:paraId="29D40701"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16B1989D"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right w:val="single" w:sz="4" w:space="0" w:color="auto"/>
            </w:tcBorders>
            <w:shd w:val="clear" w:color="auto" w:fill="auto"/>
            <w:noWrap/>
            <w:vAlign w:val="bottom"/>
            <w:hideMark/>
          </w:tcPr>
          <w:p w14:paraId="36387775"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2F4B94BA"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"medical service utilization"</w:t>
            </w:r>
          </w:p>
        </w:tc>
      </w:tr>
      <w:tr w:rsidR="002234D0" w:rsidRPr="002234D0" w14:paraId="1FE5F48D"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461D7792"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right w:val="single" w:sz="4" w:space="0" w:color="auto"/>
            </w:tcBorders>
            <w:shd w:val="clear" w:color="auto" w:fill="auto"/>
            <w:noWrap/>
            <w:vAlign w:val="bottom"/>
            <w:hideMark/>
          </w:tcPr>
          <w:p w14:paraId="7380FD71"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right w:val="single" w:sz="4" w:space="0" w:color="auto"/>
            </w:tcBorders>
            <w:shd w:val="clear" w:color="auto" w:fill="auto"/>
            <w:noWrap/>
            <w:vAlign w:val="bottom"/>
            <w:hideMark/>
          </w:tcPr>
          <w:p w14:paraId="3687DD59"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r>
      <w:tr w:rsidR="002234D0" w:rsidRPr="002234D0" w14:paraId="0A269A6A"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53E3880F"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left w:val="single" w:sz="4" w:space="0" w:color="auto"/>
              <w:right w:val="single" w:sz="4" w:space="0" w:color="auto"/>
            </w:tcBorders>
            <w:shd w:val="clear" w:color="auto" w:fill="auto"/>
            <w:noWrap/>
            <w:vAlign w:val="bottom"/>
            <w:hideMark/>
          </w:tcPr>
          <w:p w14:paraId="5AE78230" w14:textId="77777777" w:rsidR="002234D0" w:rsidRPr="002234D0" w:rsidRDefault="002234D0" w:rsidP="00120875">
            <w:pPr>
              <w:spacing w:after="0" w:line="240" w:lineRule="auto"/>
              <w:rPr>
                <w:rFonts w:ascii="Calibri" w:eastAsia="Times New Roman" w:hAnsi="Calibri" w:cs="Calibri"/>
                <w:lang w:eastAsia="zh-CN"/>
              </w:rPr>
            </w:pPr>
            <w:r w:rsidRPr="002234D0">
              <w:rPr>
                <w:rFonts w:ascii="Calibri" w:eastAsia="Times New Roman" w:hAnsi="Calibri" w:cs="Calibri"/>
                <w:lang w:eastAsia="zh-CN"/>
              </w:rPr>
              <w:t>risk</w:t>
            </w:r>
          </w:p>
        </w:tc>
        <w:tc>
          <w:tcPr>
            <w:tcW w:w="2440" w:type="pct"/>
            <w:tcBorders>
              <w:left w:val="single" w:sz="4" w:space="0" w:color="auto"/>
              <w:right w:val="single" w:sz="4" w:space="0" w:color="auto"/>
            </w:tcBorders>
            <w:shd w:val="clear" w:color="auto" w:fill="auto"/>
            <w:noWrap/>
            <w:vAlign w:val="bottom"/>
            <w:hideMark/>
          </w:tcPr>
          <w:p w14:paraId="7E7A4400"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risk*"</w:t>
            </w:r>
          </w:p>
        </w:tc>
      </w:tr>
      <w:tr w:rsidR="002234D0" w:rsidRPr="002234D0" w14:paraId="30B86930"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05FE8B49"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left w:val="single" w:sz="4" w:space="0" w:color="auto"/>
              <w:bottom w:val="nil"/>
              <w:right w:val="single" w:sz="4" w:space="0" w:color="auto"/>
            </w:tcBorders>
            <w:shd w:val="clear" w:color="auto" w:fill="auto"/>
            <w:noWrap/>
            <w:vAlign w:val="bottom"/>
            <w:hideMark/>
          </w:tcPr>
          <w:p w14:paraId="11321A88"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status</w:t>
            </w:r>
          </w:p>
        </w:tc>
        <w:tc>
          <w:tcPr>
            <w:tcW w:w="2440" w:type="pct"/>
            <w:tcBorders>
              <w:left w:val="single" w:sz="4" w:space="0" w:color="auto"/>
              <w:bottom w:val="nil"/>
              <w:right w:val="single" w:sz="4" w:space="0" w:color="auto"/>
            </w:tcBorders>
            <w:shd w:val="clear" w:color="auto" w:fill="auto"/>
            <w:noWrap/>
            <w:vAlign w:val="bottom"/>
            <w:hideMark/>
          </w:tcPr>
          <w:p w14:paraId="4A3090EC"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status*"</w:t>
            </w:r>
          </w:p>
        </w:tc>
      </w:tr>
      <w:tr w:rsidR="002234D0" w:rsidRPr="002234D0" w14:paraId="442F2879"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2DA816A7"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2479D1B2"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profile</w:t>
            </w:r>
          </w:p>
        </w:tc>
        <w:tc>
          <w:tcPr>
            <w:tcW w:w="2440" w:type="pct"/>
            <w:tcBorders>
              <w:top w:val="nil"/>
              <w:left w:val="single" w:sz="4" w:space="0" w:color="auto"/>
              <w:bottom w:val="nil"/>
              <w:right w:val="single" w:sz="4" w:space="0" w:color="auto"/>
            </w:tcBorders>
            <w:shd w:val="clear" w:color="auto" w:fill="auto"/>
            <w:noWrap/>
            <w:vAlign w:val="bottom"/>
            <w:hideMark/>
          </w:tcPr>
          <w:p w14:paraId="706E6903"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"health profile*"</w:t>
            </w:r>
          </w:p>
        </w:tc>
      </w:tr>
      <w:tr w:rsidR="002234D0" w:rsidRPr="002234D0" w14:paraId="72DD99B1"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60308E22"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41C9A8EF"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7062B8F4"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r>
      <w:tr w:rsidR="002234D0" w:rsidRPr="002234D0" w14:paraId="1011CAD6"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3A5E1044"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45A2C902"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1106366F"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"biopsychosocial risk*"</w:t>
            </w:r>
          </w:p>
        </w:tc>
      </w:tr>
      <w:tr w:rsidR="002234D0" w:rsidRPr="002234D0" w14:paraId="4C798369"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159F3396"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178AABAE"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3DE8EFCD"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"biopsychosocial status*"</w:t>
            </w:r>
          </w:p>
        </w:tc>
      </w:tr>
      <w:tr w:rsidR="002234D0" w:rsidRPr="002234D0" w14:paraId="6FFC1FFE"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6CB33633"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32332150"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6E91CB5B"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"biopsychosocial profile*"</w:t>
            </w:r>
          </w:p>
        </w:tc>
      </w:tr>
      <w:tr w:rsidR="002234D0" w:rsidRPr="002234D0" w14:paraId="4710BDA4"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36645739"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4272FA9A"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5004B811"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r>
      <w:tr w:rsidR="002234D0" w:rsidRPr="002234D0" w14:paraId="7A430CDA"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684819C9"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311232B9"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2230C2F8"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"bio-psychosocial risk*"</w:t>
            </w:r>
          </w:p>
        </w:tc>
      </w:tr>
      <w:tr w:rsidR="002234D0" w:rsidRPr="002234D0" w14:paraId="47D54792"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7950EFB8"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31094EAB"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4D1BD475"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"bio-psychosocial status*"</w:t>
            </w:r>
          </w:p>
        </w:tc>
      </w:tr>
      <w:tr w:rsidR="002234D0" w:rsidRPr="002234D0" w14:paraId="5C094635"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5C278AAC"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73FFD221" w14:textId="77777777" w:rsidR="002234D0" w:rsidRPr="002234D0" w:rsidRDefault="002234D0" w:rsidP="00120875">
            <w:pPr>
              <w:spacing w:after="0" w:line="240" w:lineRule="auto"/>
              <w:rPr>
                <w:rFonts w:ascii="Times New Roman" w:eastAsia="Times New Roman" w:hAnsi="Times New Roman" w:cs="Times New Roman"/>
                <w:szCs w:val="20"/>
                <w:lang w:eastAsia="zh-CN"/>
              </w:rPr>
            </w:pPr>
          </w:p>
        </w:tc>
        <w:tc>
          <w:tcPr>
            <w:tcW w:w="2440" w:type="pct"/>
            <w:tcBorders>
              <w:top w:val="nil"/>
              <w:left w:val="single" w:sz="4" w:space="0" w:color="auto"/>
              <w:bottom w:val="nil"/>
              <w:right w:val="single" w:sz="4" w:space="0" w:color="auto"/>
            </w:tcBorders>
            <w:shd w:val="clear" w:color="auto" w:fill="auto"/>
            <w:noWrap/>
            <w:vAlign w:val="bottom"/>
            <w:hideMark/>
          </w:tcPr>
          <w:p w14:paraId="67244352" w14:textId="77777777" w:rsid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"bio-psychosocial profile*"</w:t>
            </w:r>
          </w:p>
          <w:p w14:paraId="382D408A" w14:textId="20EAB4BC" w:rsidR="002234D0" w:rsidRPr="002234D0" w:rsidRDefault="002234D0" w:rsidP="00120875">
            <w:pPr>
              <w:spacing w:after="0" w:line="240" w:lineRule="auto"/>
              <w:rPr>
                <w:rFonts w:ascii="Calibri" w:eastAsia="Times New Roman" w:hAnsi="Calibri" w:cs="Calibri"/>
                <w:color w:val="000000"/>
                <w:lang w:eastAsia="zh-CN"/>
              </w:rPr>
            </w:pPr>
          </w:p>
        </w:tc>
      </w:tr>
      <w:tr w:rsidR="002234D0" w:rsidRPr="002234D0" w14:paraId="5AC7B958" w14:textId="77777777" w:rsidTr="002234D0">
        <w:trPr>
          <w:trHeight w:val="290"/>
        </w:trPr>
        <w:tc>
          <w:tcPr>
            <w:tcW w:w="1212" w:type="pct"/>
            <w:tcBorders>
              <w:top w:val="single" w:sz="4" w:space="0" w:color="auto"/>
              <w:left w:val="single" w:sz="4" w:space="0" w:color="auto"/>
              <w:bottom w:val="nil"/>
              <w:right w:val="single" w:sz="4" w:space="0" w:color="auto"/>
            </w:tcBorders>
            <w:shd w:val="clear" w:color="auto" w:fill="auto"/>
            <w:noWrap/>
            <w:vAlign w:val="bottom"/>
            <w:hideMark/>
          </w:tcPr>
          <w:p w14:paraId="4DA8D03C" w14:textId="77777777" w:rsidR="002234D0" w:rsidRPr="002234D0" w:rsidRDefault="002234D0" w:rsidP="00120875">
            <w:pPr>
              <w:spacing w:after="0" w:line="240" w:lineRule="auto"/>
              <w:rPr>
                <w:rFonts w:ascii="Calibri" w:eastAsia="Times New Roman" w:hAnsi="Calibri" w:cs="Calibri"/>
                <w:b/>
                <w:bCs/>
                <w:color w:val="000000"/>
                <w:lang w:eastAsia="zh-CN"/>
              </w:rPr>
            </w:pPr>
            <w:r w:rsidRPr="002234D0">
              <w:rPr>
                <w:rFonts w:ascii="Calibri" w:eastAsia="Times New Roman" w:hAnsi="Calibri" w:cs="Calibri"/>
                <w:b/>
                <w:bCs/>
                <w:color w:val="000000"/>
                <w:lang w:eastAsia="zh-CN"/>
              </w:rPr>
              <w:t>segmentation</w:t>
            </w:r>
          </w:p>
        </w:tc>
        <w:tc>
          <w:tcPr>
            <w:tcW w:w="1348" w:type="pct"/>
            <w:tcBorders>
              <w:top w:val="single" w:sz="4" w:space="0" w:color="auto"/>
              <w:left w:val="single" w:sz="4" w:space="0" w:color="auto"/>
              <w:bottom w:val="nil"/>
              <w:right w:val="single" w:sz="4" w:space="0" w:color="auto"/>
            </w:tcBorders>
            <w:shd w:val="clear" w:color="auto" w:fill="auto"/>
            <w:noWrap/>
            <w:vAlign w:val="bottom"/>
            <w:hideMark/>
          </w:tcPr>
          <w:p w14:paraId="604974BF"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type</w:t>
            </w:r>
          </w:p>
        </w:tc>
        <w:tc>
          <w:tcPr>
            <w:tcW w:w="2440" w:type="pct"/>
            <w:tcBorders>
              <w:top w:val="single" w:sz="4" w:space="0" w:color="auto"/>
              <w:left w:val="single" w:sz="4" w:space="0" w:color="auto"/>
              <w:bottom w:val="nil"/>
              <w:right w:val="single" w:sz="4" w:space="0" w:color="auto"/>
            </w:tcBorders>
            <w:shd w:val="clear" w:color="auto" w:fill="auto"/>
            <w:noWrap/>
            <w:vAlign w:val="bottom"/>
            <w:hideMark/>
          </w:tcPr>
          <w:p w14:paraId="7D10B340" w14:textId="77777777" w:rsidR="002234D0" w:rsidRPr="002234D0" w:rsidRDefault="002234D0" w:rsidP="00120875">
            <w:pPr>
              <w:spacing w:after="0" w:line="240" w:lineRule="auto"/>
              <w:rPr>
                <w:rFonts w:ascii="Calibri" w:eastAsia="Times New Roman" w:hAnsi="Calibri" w:cs="Calibri"/>
                <w:color w:val="000000"/>
                <w:lang w:eastAsia="zh-CN"/>
              </w:rPr>
            </w:pPr>
            <w:proofErr w:type="spellStart"/>
            <w:r w:rsidRPr="002234D0">
              <w:rPr>
                <w:rFonts w:ascii="Calibri" w:eastAsia="Times New Roman" w:hAnsi="Calibri" w:cs="Calibri"/>
                <w:color w:val="000000"/>
                <w:lang w:eastAsia="zh-CN"/>
              </w:rPr>
              <w:t>typolog</w:t>
            </w:r>
            <w:proofErr w:type="spellEnd"/>
            <w:r w:rsidRPr="002234D0">
              <w:rPr>
                <w:rFonts w:ascii="Calibri" w:eastAsia="Times New Roman" w:hAnsi="Calibri" w:cs="Calibri"/>
                <w:color w:val="000000"/>
                <w:lang w:eastAsia="zh-CN"/>
              </w:rPr>
              <w:t>*</w:t>
            </w:r>
          </w:p>
        </w:tc>
      </w:tr>
      <w:tr w:rsidR="002234D0" w:rsidRPr="002234D0" w14:paraId="62005DC4"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3B1E5789"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1610F232"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stratification</w:t>
            </w:r>
          </w:p>
        </w:tc>
        <w:tc>
          <w:tcPr>
            <w:tcW w:w="2440" w:type="pct"/>
            <w:tcBorders>
              <w:top w:val="nil"/>
              <w:left w:val="single" w:sz="4" w:space="0" w:color="auto"/>
              <w:bottom w:val="nil"/>
              <w:right w:val="single" w:sz="4" w:space="0" w:color="auto"/>
            </w:tcBorders>
            <w:shd w:val="clear" w:color="auto" w:fill="auto"/>
            <w:noWrap/>
            <w:vAlign w:val="bottom"/>
            <w:hideMark/>
          </w:tcPr>
          <w:p w14:paraId="23283052"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stratification*</w:t>
            </w:r>
          </w:p>
        </w:tc>
      </w:tr>
      <w:tr w:rsidR="002234D0" w:rsidRPr="002234D0" w14:paraId="4121A6F8"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431A0D6E"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59821E02"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segmentation</w:t>
            </w:r>
          </w:p>
        </w:tc>
        <w:tc>
          <w:tcPr>
            <w:tcW w:w="2440" w:type="pct"/>
            <w:tcBorders>
              <w:top w:val="nil"/>
              <w:left w:val="single" w:sz="4" w:space="0" w:color="auto"/>
              <w:bottom w:val="nil"/>
              <w:right w:val="single" w:sz="4" w:space="0" w:color="auto"/>
            </w:tcBorders>
            <w:shd w:val="clear" w:color="auto" w:fill="auto"/>
            <w:noWrap/>
            <w:vAlign w:val="bottom"/>
            <w:hideMark/>
          </w:tcPr>
          <w:p w14:paraId="6FC625E4"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segmentation*</w:t>
            </w:r>
          </w:p>
        </w:tc>
      </w:tr>
      <w:tr w:rsidR="002234D0" w:rsidRPr="002234D0" w14:paraId="7177882A" w14:textId="77777777" w:rsidTr="002234D0">
        <w:trPr>
          <w:trHeight w:val="290"/>
        </w:trPr>
        <w:tc>
          <w:tcPr>
            <w:tcW w:w="1212" w:type="pct"/>
            <w:tcBorders>
              <w:top w:val="nil"/>
              <w:left w:val="single" w:sz="4" w:space="0" w:color="auto"/>
              <w:bottom w:val="nil"/>
              <w:right w:val="single" w:sz="4" w:space="0" w:color="auto"/>
            </w:tcBorders>
            <w:shd w:val="clear" w:color="auto" w:fill="auto"/>
            <w:noWrap/>
            <w:vAlign w:val="bottom"/>
            <w:hideMark/>
          </w:tcPr>
          <w:p w14:paraId="430F42CC"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nil"/>
              <w:right w:val="single" w:sz="4" w:space="0" w:color="auto"/>
            </w:tcBorders>
            <w:shd w:val="clear" w:color="auto" w:fill="auto"/>
            <w:noWrap/>
            <w:vAlign w:val="bottom"/>
            <w:hideMark/>
          </w:tcPr>
          <w:p w14:paraId="3B82699F"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classification</w:t>
            </w:r>
          </w:p>
        </w:tc>
        <w:tc>
          <w:tcPr>
            <w:tcW w:w="2440" w:type="pct"/>
            <w:tcBorders>
              <w:top w:val="nil"/>
              <w:left w:val="single" w:sz="4" w:space="0" w:color="auto"/>
              <w:bottom w:val="nil"/>
              <w:right w:val="single" w:sz="4" w:space="0" w:color="auto"/>
            </w:tcBorders>
            <w:shd w:val="clear" w:color="auto" w:fill="auto"/>
            <w:noWrap/>
            <w:vAlign w:val="bottom"/>
            <w:hideMark/>
          </w:tcPr>
          <w:p w14:paraId="151AC69D"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classification*</w:t>
            </w:r>
          </w:p>
        </w:tc>
      </w:tr>
      <w:tr w:rsidR="002234D0" w:rsidRPr="002234D0" w14:paraId="50A1A52C" w14:textId="77777777" w:rsidTr="002234D0">
        <w:trPr>
          <w:trHeight w:val="290"/>
        </w:trPr>
        <w:tc>
          <w:tcPr>
            <w:tcW w:w="1212" w:type="pct"/>
            <w:tcBorders>
              <w:top w:val="nil"/>
              <w:left w:val="single" w:sz="4" w:space="0" w:color="auto"/>
              <w:right w:val="single" w:sz="4" w:space="0" w:color="auto"/>
            </w:tcBorders>
            <w:shd w:val="clear" w:color="auto" w:fill="auto"/>
            <w:noWrap/>
            <w:vAlign w:val="bottom"/>
            <w:hideMark/>
          </w:tcPr>
          <w:p w14:paraId="11AF9963"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right w:val="single" w:sz="4" w:space="0" w:color="auto"/>
            </w:tcBorders>
            <w:shd w:val="clear" w:color="auto" w:fill="auto"/>
            <w:noWrap/>
            <w:vAlign w:val="bottom"/>
            <w:hideMark/>
          </w:tcPr>
          <w:p w14:paraId="189C349F"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categorization</w:t>
            </w:r>
          </w:p>
        </w:tc>
        <w:tc>
          <w:tcPr>
            <w:tcW w:w="2440" w:type="pct"/>
            <w:tcBorders>
              <w:top w:val="nil"/>
              <w:left w:val="single" w:sz="4" w:space="0" w:color="auto"/>
              <w:right w:val="single" w:sz="4" w:space="0" w:color="auto"/>
            </w:tcBorders>
            <w:shd w:val="clear" w:color="auto" w:fill="auto"/>
            <w:noWrap/>
            <w:vAlign w:val="bottom"/>
            <w:hideMark/>
          </w:tcPr>
          <w:p w14:paraId="3B9B8071"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categorization*</w:t>
            </w:r>
          </w:p>
        </w:tc>
      </w:tr>
      <w:tr w:rsidR="002234D0" w:rsidRPr="002234D0" w14:paraId="1B6E36E9" w14:textId="77777777" w:rsidTr="002234D0">
        <w:trPr>
          <w:trHeight w:val="290"/>
        </w:trPr>
        <w:tc>
          <w:tcPr>
            <w:tcW w:w="1212" w:type="pct"/>
            <w:tcBorders>
              <w:top w:val="nil"/>
              <w:left w:val="single" w:sz="4" w:space="0" w:color="auto"/>
              <w:bottom w:val="single" w:sz="4" w:space="0" w:color="auto"/>
              <w:right w:val="single" w:sz="4" w:space="0" w:color="auto"/>
            </w:tcBorders>
            <w:shd w:val="clear" w:color="auto" w:fill="auto"/>
            <w:noWrap/>
            <w:vAlign w:val="bottom"/>
            <w:hideMark/>
          </w:tcPr>
          <w:p w14:paraId="644A7BFF" w14:textId="77777777" w:rsidR="002234D0" w:rsidRPr="002234D0" w:rsidRDefault="002234D0" w:rsidP="00120875">
            <w:pPr>
              <w:spacing w:after="0" w:line="240" w:lineRule="auto"/>
              <w:rPr>
                <w:rFonts w:ascii="Calibri" w:eastAsia="Times New Roman" w:hAnsi="Calibri" w:cs="Calibri"/>
                <w:color w:val="000000"/>
                <w:lang w:eastAsia="zh-CN"/>
              </w:rPr>
            </w:pPr>
          </w:p>
        </w:tc>
        <w:tc>
          <w:tcPr>
            <w:tcW w:w="1348" w:type="pct"/>
            <w:tcBorders>
              <w:top w:val="nil"/>
              <w:left w:val="single" w:sz="4" w:space="0" w:color="auto"/>
              <w:bottom w:val="single" w:sz="4" w:space="0" w:color="auto"/>
              <w:right w:val="single" w:sz="4" w:space="0" w:color="auto"/>
            </w:tcBorders>
            <w:shd w:val="clear" w:color="auto" w:fill="auto"/>
            <w:noWrap/>
            <w:vAlign w:val="bottom"/>
            <w:hideMark/>
          </w:tcPr>
          <w:p w14:paraId="1883DEE0"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categorisation</w:t>
            </w:r>
          </w:p>
        </w:tc>
        <w:tc>
          <w:tcPr>
            <w:tcW w:w="2440" w:type="pct"/>
            <w:tcBorders>
              <w:top w:val="nil"/>
              <w:left w:val="single" w:sz="4" w:space="0" w:color="auto"/>
              <w:bottom w:val="single" w:sz="4" w:space="0" w:color="auto"/>
              <w:right w:val="single" w:sz="4" w:space="0" w:color="auto"/>
            </w:tcBorders>
            <w:shd w:val="clear" w:color="auto" w:fill="auto"/>
            <w:noWrap/>
            <w:vAlign w:val="bottom"/>
            <w:hideMark/>
          </w:tcPr>
          <w:p w14:paraId="1609E6CF" w14:textId="77777777" w:rsidR="002234D0" w:rsidRPr="002234D0" w:rsidRDefault="002234D0" w:rsidP="00120875">
            <w:pPr>
              <w:spacing w:after="0" w:line="240" w:lineRule="auto"/>
              <w:rPr>
                <w:rFonts w:ascii="Calibri" w:eastAsia="Times New Roman" w:hAnsi="Calibri" w:cs="Calibri"/>
                <w:color w:val="000000"/>
                <w:lang w:eastAsia="zh-CN"/>
              </w:rPr>
            </w:pPr>
            <w:r w:rsidRPr="002234D0">
              <w:rPr>
                <w:rFonts w:ascii="Calibri" w:eastAsia="Times New Roman" w:hAnsi="Calibri" w:cs="Calibri"/>
                <w:color w:val="000000"/>
                <w:lang w:eastAsia="zh-CN"/>
              </w:rPr>
              <w:t>categorisation*</w:t>
            </w:r>
          </w:p>
        </w:tc>
      </w:tr>
    </w:tbl>
    <w:p w14:paraId="62942DC8" w14:textId="73294F09" w:rsidR="00120875" w:rsidRDefault="00120875" w:rsidP="00703D87">
      <w:pPr>
        <w:spacing w:line="240" w:lineRule="auto"/>
        <w:rPr>
          <w:rFonts w:ascii="Times New Roman" w:hAnsi="Times New Roman" w:cs="Times New Roman"/>
          <w:b/>
          <w:sz w:val="24"/>
          <w:szCs w:val="24"/>
        </w:rPr>
      </w:pPr>
    </w:p>
    <w:p w14:paraId="12CA038F" w14:textId="77777777" w:rsidR="00120875" w:rsidRDefault="00120875" w:rsidP="00703D87">
      <w:pPr>
        <w:spacing w:line="240" w:lineRule="auto"/>
        <w:rPr>
          <w:rFonts w:ascii="Times New Roman" w:hAnsi="Times New Roman" w:cs="Times New Roman"/>
          <w:b/>
          <w:sz w:val="24"/>
          <w:szCs w:val="24"/>
        </w:rPr>
      </w:pPr>
    </w:p>
    <w:p w14:paraId="043B75DF" w14:textId="2C5FCD8E" w:rsidR="00703D87" w:rsidRDefault="00703D87" w:rsidP="00703D87">
      <w:pPr>
        <w:spacing w:line="240" w:lineRule="auto"/>
        <w:rPr>
          <w:rFonts w:ascii="Times New Roman" w:hAnsi="Times New Roman" w:cs="Times New Roman"/>
          <w:b/>
          <w:sz w:val="24"/>
          <w:szCs w:val="24"/>
        </w:rPr>
      </w:pPr>
      <w:r w:rsidRPr="00390719">
        <w:rPr>
          <w:rFonts w:ascii="Times New Roman" w:hAnsi="Times New Roman" w:cs="Times New Roman"/>
          <w:b/>
          <w:sz w:val="24"/>
          <w:szCs w:val="24"/>
        </w:rPr>
        <w:t>Search term sample inputs</w:t>
      </w:r>
    </w:p>
    <w:p w14:paraId="2E366F88" w14:textId="6D060798" w:rsidR="00223635" w:rsidRPr="00223635" w:rsidRDefault="002234D0" w:rsidP="00250A22">
      <w:pPr>
        <w:rPr>
          <w:shd w:val="clear" w:color="auto" w:fill="FFFFFF"/>
        </w:rPr>
      </w:pPr>
      <w:r w:rsidRPr="00223635">
        <w:rPr>
          <w:shd w:val="clear" w:color="auto" w:fill="FFFFFF"/>
        </w:rPr>
        <w:t xml:space="preserve"> </w:t>
      </w:r>
      <w:r w:rsidR="00223635" w:rsidRPr="00223635">
        <w:rPr>
          <w:shd w:val="clear" w:color="auto" w:fill="FFFFFF"/>
        </w:rPr>
        <w:t>((</w:t>
      </w:r>
      <w:proofErr w:type="spellStart"/>
      <w:r w:rsidR="00223635" w:rsidRPr="00223635">
        <w:rPr>
          <w:shd w:val="clear" w:color="auto" w:fill="FFFFFF"/>
        </w:rPr>
        <w:t>communit</w:t>
      </w:r>
      <w:proofErr w:type="spellEnd"/>
      <w:r w:rsidR="00223635" w:rsidRPr="00223635">
        <w:rPr>
          <w:shd w:val="clear" w:color="auto" w:fill="FFFFFF"/>
        </w:rPr>
        <w:t xml:space="preserve">* OR population*) </w:t>
      </w:r>
    </w:p>
    <w:p w14:paraId="4DEC9958" w14:textId="77777777" w:rsidR="00223635" w:rsidRPr="00223635" w:rsidRDefault="00223635" w:rsidP="00250A22">
      <w:pPr>
        <w:rPr>
          <w:rFonts w:ascii="Arial" w:hAnsi="Arial" w:cs="Arial"/>
          <w:bCs/>
          <w:color w:val="000000"/>
          <w:sz w:val="20"/>
          <w:szCs w:val="20"/>
          <w:shd w:val="clear" w:color="auto" w:fill="FFFFFF"/>
        </w:rPr>
      </w:pPr>
      <w:r w:rsidRPr="00223635">
        <w:rPr>
          <w:rFonts w:ascii="Arial" w:hAnsi="Arial" w:cs="Arial"/>
          <w:bCs/>
          <w:color w:val="000000"/>
          <w:sz w:val="20"/>
          <w:szCs w:val="20"/>
          <w:shd w:val="clear" w:color="auto" w:fill="FFFFFF"/>
        </w:rPr>
        <w:t xml:space="preserve">AND </w:t>
      </w:r>
    </w:p>
    <w:p w14:paraId="453B8C24" w14:textId="77777777" w:rsidR="00223635" w:rsidRPr="00223635" w:rsidRDefault="00223635" w:rsidP="00250A22">
      <w:pPr>
        <w:rPr>
          <w:rFonts w:ascii="Arial" w:hAnsi="Arial" w:cs="Arial"/>
          <w:bCs/>
          <w:color w:val="000000"/>
          <w:sz w:val="20"/>
          <w:szCs w:val="20"/>
          <w:shd w:val="clear" w:color="auto" w:fill="FFFFFF"/>
        </w:rPr>
      </w:pPr>
      <w:r w:rsidRPr="00223635">
        <w:rPr>
          <w:rFonts w:ascii="Arial" w:hAnsi="Arial" w:cs="Arial"/>
          <w:bCs/>
          <w:color w:val="000000"/>
          <w:sz w:val="20"/>
          <w:szCs w:val="20"/>
          <w:shd w:val="clear" w:color="auto" w:fill="FFFFFF"/>
        </w:rPr>
        <w:t xml:space="preserve">("health need*" OR "health service* need*" OR "healthcare need*" OR "healthcare service* need*" OR "health care need*" OR "health care service* need*" OR "medical care need*" OR "medical service* need*" OR "biopsychosocial need*" OR "bio-psychosocial need*" OR "health requirement*" OR "health service* requirement*" OR "healthcare requirement*" OR "healthcare service* requirement*" OR "health care requirement*" OR "health care service* requirement*" OR "medical care requirement*" OR "medical service* requirement*" OR "biopsychosocial requirement*" OR "bio-psychosocial requirement*" OR "healthcare utilisation" OR "health service utilisation" OR "healthcare service utilisation" OR "health care utilisation" OR "health care service utilisation" OR "medical care utilisation" OR "medical service utilisation" OR "healthcare utilization" OR "health service utilization" OR "healthcare service utilization" OR "health care utilization" OR "health care service utilization" OR "medical care utilization" OR "medical service utilization" OR "health risk*" OR "health status*" OR "health profile*" OR "biopsychosocial risk*" OR "biopsychosocial status*" OR "biopsychosocial profile*" OR "bio-psychosocial risk*" OR "bio-psychosocial status*" OR "bio-psychosocial profile*") </w:t>
      </w:r>
    </w:p>
    <w:p w14:paraId="02DE6EC0" w14:textId="77777777" w:rsidR="00223635" w:rsidRPr="00223635" w:rsidRDefault="00223635" w:rsidP="00250A22">
      <w:pPr>
        <w:rPr>
          <w:rFonts w:ascii="Arial" w:hAnsi="Arial" w:cs="Arial"/>
          <w:bCs/>
          <w:color w:val="000000"/>
          <w:sz w:val="20"/>
          <w:szCs w:val="20"/>
          <w:shd w:val="clear" w:color="auto" w:fill="FFFFFF"/>
        </w:rPr>
      </w:pPr>
      <w:r w:rsidRPr="00223635">
        <w:rPr>
          <w:rFonts w:ascii="Arial" w:hAnsi="Arial" w:cs="Arial"/>
          <w:bCs/>
          <w:color w:val="000000"/>
          <w:sz w:val="20"/>
          <w:szCs w:val="20"/>
          <w:shd w:val="clear" w:color="auto" w:fill="FFFFFF"/>
        </w:rPr>
        <w:t xml:space="preserve">AND </w:t>
      </w:r>
    </w:p>
    <w:p w14:paraId="26DC8401" w14:textId="28A3D8C1" w:rsidR="00223635" w:rsidRDefault="00223635" w:rsidP="00250A22">
      <w:pPr>
        <w:rPr>
          <w:rFonts w:ascii="Arial" w:hAnsi="Arial" w:cs="Arial"/>
          <w:bCs/>
          <w:color w:val="000000"/>
          <w:sz w:val="20"/>
          <w:szCs w:val="20"/>
          <w:shd w:val="clear" w:color="auto" w:fill="FFFFFF"/>
        </w:rPr>
      </w:pPr>
      <w:r w:rsidRPr="00223635">
        <w:rPr>
          <w:rFonts w:ascii="Arial" w:hAnsi="Arial" w:cs="Arial"/>
          <w:bCs/>
          <w:color w:val="000000"/>
          <w:sz w:val="20"/>
          <w:szCs w:val="20"/>
          <w:shd w:val="clear" w:color="auto" w:fill="FFFFFF"/>
        </w:rPr>
        <w:t>(</w:t>
      </w:r>
      <w:proofErr w:type="spellStart"/>
      <w:r w:rsidRPr="00223635">
        <w:rPr>
          <w:rFonts w:ascii="Arial" w:hAnsi="Arial" w:cs="Arial"/>
          <w:bCs/>
          <w:color w:val="000000"/>
          <w:sz w:val="20"/>
          <w:szCs w:val="20"/>
          <w:shd w:val="clear" w:color="auto" w:fill="FFFFFF"/>
        </w:rPr>
        <w:t>typolog</w:t>
      </w:r>
      <w:proofErr w:type="spellEnd"/>
      <w:r w:rsidRPr="00223635">
        <w:rPr>
          <w:rFonts w:ascii="Arial" w:hAnsi="Arial" w:cs="Arial"/>
          <w:bCs/>
          <w:color w:val="000000"/>
          <w:sz w:val="20"/>
          <w:szCs w:val="20"/>
          <w:shd w:val="clear" w:color="auto" w:fill="FFFFFF"/>
        </w:rPr>
        <w:t>* OR stratification* OR segmentation* OR classification* OR categorization* OR categorisation*))</w:t>
      </w:r>
    </w:p>
    <w:p w14:paraId="6D954B2C" w14:textId="77777777" w:rsidR="00884455" w:rsidRDefault="00884455" w:rsidP="00250A22">
      <w:pPr>
        <w:rPr>
          <w:rFonts w:ascii="Arial" w:hAnsi="Arial" w:cs="Arial"/>
          <w:b/>
          <w:bCs/>
          <w:color w:val="000000"/>
          <w:sz w:val="20"/>
          <w:szCs w:val="20"/>
          <w:u w:val="single"/>
          <w:shd w:val="clear" w:color="auto" w:fill="FFFFFF"/>
        </w:rPr>
      </w:pPr>
    </w:p>
    <w:p w14:paraId="20308CA5" w14:textId="77777777" w:rsidR="00884455" w:rsidRDefault="00884455" w:rsidP="00250A22">
      <w:pPr>
        <w:rPr>
          <w:rFonts w:ascii="Arial" w:hAnsi="Arial" w:cs="Arial"/>
          <w:b/>
          <w:bCs/>
          <w:color w:val="000000"/>
          <w:sz w:val="20"/>
          <w:szCs w:val="20"/>
          <w:u w:val="single"/>
          <w:shd w:val="clear" w:color="auto" w:fill="FFFFFF"/>
        </w:rPr>
      </w:pPr>
    </w:p>
    <w:p w14:paraId="0EA3F908" w14:textId="77777777" w:rsidR="00884455" w:rsidRDefault="00884455" w:rsidP="00703D87">
      <w:pPr>
        <w:pStyle w:val="Heading2"/>
        <w:rPr>
          <w:rFonts w:ascii="Times New Roman" w:hAnsi="Times New Roman" w:cs="Times New Roman"/>
          <w:b/>
          <w:color w:val="auto"/>
          <w:sz w:val="24"/>
          <w:szCs w:val="24"/>
        </w:rPr>
      </w:pPr>
    </w:p>
    <w:p w14:paraId="062BE262" w14:textId="5BD828D9" w:rsidR="00703D87" w:rsidRPr="00390719" w:rsidRDefault="00703D87" w:rsidP="00703D87">
      <w:pPr>
        <w:pStyle w:val="Heading2"/>
        <w:rPr>
          <w:rFonts w:ascii="Times New Roman" w:hAnsi="Times New Roman" w:cs="Times New Roman"/>
          <w:b/>
          <w:color w:val="auto"/>
          <w:sz w:val="24"/>
          <w:szCs w:val="24"/>
        </w:rPr>
      </w:pPr>
      <w:r w:rsidRPr="00390719">
        <w:rPr>
          <w:rFonts w:ascii="Times New Roman" w:hAnsi="Times New Roman" w:cs="Times New Roman"/>
          <w:b/>
          <w:color w:val="auto"/>
          <w:sz w:val="24"/>
          <w:szCs w:val="24"/>
        </w:rPr>
        <w:t>Search results</w:t>
      </w:r>
    </w:p>
    <w:tbl>
      <w:tblPr>
        <w:tblW w:w="5054" w:type="dxa"/>
        <w:tblLook w:val="04A0" w:firstRow="1" w:lastRow="0" w:firstColumn="1" w:lastColumn="0" w:noHBand="0" w:noVBand="1"/>
      </w:tblPr>
      <w:tblGrid>
        <w:gridCol w:w="4225"/>
        <w:gridCol w:w="829"/>
      </w:tblGrid>
      <w:tr w:rsidR="00703D87" w:rsidRPr="00390719" w14:paraId="6122C206" w14:textId="77777777" w:rsidTr="00703D87">
        <w:trPr>
          <w:trHeight w:val="278"/>
        </w:trPr>
        <w:tc>
          <w:tcPr>
            <w:tcW w:w="4225" w:type="dxa"/>
            <w:tcBorders>
              <w:top w:val="single" w:sz="4" w:space="0" w:color="auto"/>
              <w:left w:val="single" w:sz="4" w:space="0" w:color="auto"/>
              <w:bottom w:val="single" w:sz="4" w:space="0" w:color="auto"/>
              <w:right w:val="single" w:sz="4" w:space="0" w:color="auto"/>
            </w:tcBorders>
            <w:shd w:val="clear" w:color="auto" w:fill="auto"/>
            <w:vAlign w:val="bottom"/>
          </w:tcPr>
          <w:p w14:paraId="5C988FF5" w14:textId="77777777" w:rsidR="00703D87" w:rsidRPr="00390719" w:rsidRDefault="00703D87" w:rsidP="00703D87">
            <w:pPr>
              <w:spacing w:after="0" w:line="240" w:lineRule="auto"/>
              <w:rPr>
                <w:rFonts w:ascii="Times New Roman" w:eastAsia="Times New Roman" w:hAnsi="Times New Roman" w:cs="Times New Roman"/>
                <w:color w:val="000000"/>
                <w:sz w:val="24"/>
                <w:szCs w:val="24"/>
              </w:rPr>
            </w:pPr>
            <w:r w:rsidRPr="00390719">
              <w:rPr>
                <w:rFonts w:ascii="Times New Roman" w:eastAsia="Times New Roman" w:hAnsi="Times New Roman" w:cs="Times New Roman"/>
                <w:color w:val="000000"/>
                <w:sz w:val="24"/>
                <w:szCs w:val="24"/>
              </w:rPr>
              <w:t>Databases searched on 5th January 2016</w:t>
            </w:r>
          </w:p>
        </w:tc>
        <w:tc>
          <w:tcPr>
            <w:tcW w:w="829" w:type="dxa"/>
            <w:tcBorders>
              <w:top w:val="single" w:sz="4" w:space="0" w:color="auto"/>
              <w:left w:val="nil"/>
              <w:bottom w:val="single" w:sz="4" w:space="0" w:color="auto"/>
              <w:right w:val="single" w:sz="4" w:space="0" w:color="auto"/>
            </w:tcBorders>
            <w:shd w:val="clear" w:color="auto" w:fill="auto"/>
            <w:vAlign w:val="bottom"/>
          </w:tcPr>
          <w:p w14:paraId="63D79958" w14:textId="77777777" w:rsidR="00703D87" w:rsidRPr="00390719" w:rsidRDefault="00703D87" w:rsidP="00703D87">
            <w:pPr>
              <w:spacing w:after="0" w:line="240" w:lineRule="auto"/>
              <w:rPr>
                <w:rFonts w:ascii="Times New Roman" w:eastAsia="Times New Roman" w:hAnsi="Times New Roman" w:cs="Times New Roman"/>
                <w:color w:val="000000"/>
                <w:sz w:val="24"/>
                <w:szCs w:val="24"/>
              </w:rPr>
            </w:pPr>
            <w:r w:rsidRPr="00390719">
              <w:rPr>
                <w:rFonts w:ascii="Times New Roman" w:eastAsia="Times New Roman" w:hAnsi="Times New Roman" w:cs="Times New Roman"/>
                <w:color w:val="000000"/>
                <w:sz w:val="24"/>
                <w:szCs w:val="24"/>
              </w:rPr>
              <w:t>Hits</w:t>
            </w:r>
          </w:p>
        </w:tc>
      </w:tr>
      <w:tr w:rsidR="00703D87" w:rsidRPr="00390719" w14:paraId="6EA44CF1" w14:textId="77777777" w:rsidTr="00703D87">
        <w:trPr>
          <w:trHeight w:val="278"/>
        </w:trPr>
        <w:tc>
          <w:tcPr>
            <w:tcW w:w="4225" w:type="dxa"/>
            <w:tcBorders>
              <w:top w:val="single" w:sz="4" w:space="0" w:color="auto"/>
              <w:left w:val="single" w:sz="4" w:space="0" w:color="auto"/>
              <w:bottom w:val="single" w:sz="4" w:space="0" w:color="auto"/>
              <w:right w:val="single" w:sz="4" w:space="0" w:color="auto"/>
            </w:tcBorders>
            <w:shd w:val="clear" w:color="auto" w:fill="auto"/>
            <w:vAlign w:val="bottom"/>
          </w:tcPr>
          <w:p w14:paraId="0D7A4017" w14:textId="77777777" w:rsidR="00703D87" w:rsidRPr="00390719" w:rsidRDefault="00703D87" w:rsidP="00703D87">
            <w:pPr>
              <w:spacing w:after="0" w:line="240" w:lineRule="auto"/>
              <w:rPr>
                <w:rFonts w:ascii="Times New Roman" w:eastAsia="Times New Roman" w:hAnsi="Times New Roman" w:cs="Times New Roman"/>
                <w:color w:val="000000"/>
                <w:sz w:val="24"/>
                <w:szCs w:val="24"/>
              </w:rPr>
            </w:pPr>
            <w:proofErr w:type="spellStart"/>
            <w:r w:rsidRPr="00390719">
              <w:rPr>
                <w:rFonts w:ascii="Times New Roman" w:eastAsia="Times New Roman" w:hAnsi="Times New Roman" w:cs="Times New Roman"/>
                <w:color w:val="000000"/>
                <w:sz w:val="24"/>
                <w:szCs w:val="24"/>
              </w:rPr>
              <w:t>Pubmed</w:t>
            </w:r>
            <w:proofErr w:type="spellEnd"/>
          </w:p>
        </w:tc>
        <w:tc>
          <w:tcPr>
            <w:tcW w:w="829" w:type="dxa"/>
            <w:tcBorders>
              <w:top w:val="single" w:sz="4" w:space="0" w:color="auto"/>
              <w:left w:val="nil"/>
              <w:bottom w:val="single" w:sz="4" w:space="0" w:color="auto"/>
              <w:right w:val="single" w:sz="4" w:space="0" w:color="auto"/>
            </w:tcBorders>
            <w:shd w:val="clear" w:color="auto" w:fill="auto"/>
            <w:vAlign w:val="bottom"/>
          </w:tcPr>
          <w:p w14:paraId="25F97904" w14:textId="77777777" w:rsidR="00703D87" w:rsidRPr="00390719" w:rsidRDefault="00703D87" w:rsidP="00703D87">
            <w:pPr>
              <w:spacing w:after="0" w:line="240" w:lineRule="auto"/>
              <w:jc w:val="center"/>
              <w:rPr>
                <w:rFonts w:ascii="Times New Roman" w:eastAsia="Times New Roman" w:hAnsi="Times New Roman" w:cs="Times New Roman"/>
                <w:color w:val="000000"/>
                <w:sz w:val="24"/>
                <w:szCs w:val="24"/>
              </w:rPr>
            </w:pPr>
            <w:r w:rsidRPr="00390719">
              <w:rPr>
                <w:rFonts w:ascii="Times New Roman" w:eastAsia="Times New Roman" w:hAnsi="Times New Roman" w:cs="Times New Roman"/>
                <w:color w:val="000000"/>
                <w:sz w:val="24"/>
                <w:szCs w:val="24"/>
              </w:rPr>
              <w:t>6,682</w:t>
            </w:r>
          </w:p>
        </w:tc>
      </w:tr>
      <w:tr w:rsidR="00703D87" w:rsidRPr="00390719" w14:paraId="36E362ED" w14:textId="77777777" w:rsidTr="00703D87">
        <w:trPr>
          <w:trHeight w:val="278"/>
        </w:trPr>
        <w:tc>
          <w:tcPr>
            <w:tcW w:w="4225" w:type="dxa"/>
            <w:tcBorders>
              <w:top w:val="single" w:sz="4" w:space="0" w:color="auto"/>
              <w:left w:val="single" w:sz="4" w:space="0" w:color="auto"/>
              <w:bottom w:val="single" w:sz="4" w:space="0" w:color="auto"/>
              <w:right w:val="single" w:sz="4" w:space="0" w:color="auto"/>
            </w:tcBorders>
            <w:shd w:val="clear" w:color="auto" w:fill="auto"/>
            <w:vAlign w:val="bottom"/>
          </w:tcPr>
          <w:p w14:paraId="3028A620" w14:textId="77777777" w:rsidR="00703D87" w:rsidRPr="00390719" w:rsidRDefault="00703D87" w:rsidP="00703D87">
            <w:pPr>
              <w:spacing w:after="0" w:line="240" w:lineRule="auto"/>
              <w:rPr>
                <w:rFonts w:ascii="Times New Roman" w:eastAsia="Times New Roman" w:hAnsi="Times New Roman" w:cs="Times New Roman"/>
                <w:color w:val="000000"/>
                <w:sz w:val="24"/>
                <w:szCs w:val="24"/>
              </w:rPr>
            </w:pPr>
            <w:r w:rsidRPr="00390719">
              <w:rPr>
                <w:rFonts w:ascii="Times New Roman" w:eastAsia="Times New Roman" w:hAnsi="Times New Roman" w:cs="Times New Roman"/>
                <w:color w:val="000000"/>
                <w:sz w:val="24"/>
                <w:szCs w:val="24"/>
              </w:rPr>
              <w:t>Web of Science (topic search) (all database)</w:t>
            </w:r>
          </w:p>
        </w:tc>
        <w:tc>
          <w:tcPr>
            <w:tcW w:w="829" w:type="dxa"/>
            <w:tcBorders>
              <w:top w:val="single" w:sz="4" w:space="0" w:color="auto"/>
              <w:left w:val="nil"/>
              <w:bottom w:val="single" w:sz="4" w:space="0" w:color="auto"/>
              <w:right w:val="single" w:sz="4" w:space="0" w:color="auto"/>
            </w:tcBorders>
            <w:shd w:val="clear" w:color="auto" w:fill="auto"/>
            <w:vAlign w:val="bottom"/>
          </w:tcPr>
          <w:p w14:paraId="2279D4BF" w14:textId="77777777" w:rsidR="00703D87" w:rsidRPr="00390719" w:rsidRDefault="00703D87" w:rsidP="00703D87">
            <w:pPr>
              <w:spacing w:after="0" w:line="240" w:lineRule="auto"/>
              <w:jc w:val="center"/>
              <w:rPr>
                <w:rFonts w:ascii="Times New Roman" w:eastAsia="Times New Roman" w:hAnsi="Times New Roman" w:cs="Times New Roman"/>
                <w:color w:val="000000"/>
                <w:sz w:val="24"/>
                <w:szCs w:val="24"/>
              </w:rPr>
            </w:pPr>
            <w:r w:rsidRPr="00390719">
              <w:rPr>
                <w:rFonts w:ascii="Times New Roman" w:eastAsia="Times New Roman" w:hAnsi="Times New Roman" w:cs="Times New Roman"/>
                <w:color w:val="000000"/>
                <w:sz w:val="24"/>
                <w:szCs w:val="24"/>
              </w:rPr>
              <w:t>1,363</w:t>
            </w:r>
          </w:p>
        </w:tc>
      </w:tr>
      <w:tr w:rsidR="00703D87" w:rsidRPr="00390719" w14:paraId="0BA00691" w14:textId="77777777" w:rsidTr="00703D87">
        <w:trPr>
          <w:trHeight w:val="278"/>
        </w:trPr>
        <w:tc>
          <w:tcPr>
            <w:tcW w:w="4225" w:type="dxa"/>
            <w:tcBorders>
              <w:top w:val="single" w:sz="4" w:space="0" w:color="auto"/>
              <w:left w:val="single" w:sz="4" w:space="0" w:color="auto"/>
              <w:bottom w:val="single" w:sz="4" w:space="0" w:color="auto"/>
              <w:right w:val="single" w:sz="4" w:space="0" w:color="auto"/>
            </w:tcBorders>
            <w:shd w:val="clear" w:color="auto" w:fill="auto"/>
            <w:vAlign w:val="bottom"/>
          </w:tcPr>
          <w:p w14:paraId="4C56F923" w14:textId="77777777" w:rsidR="00703D87" w:rsidRPr="00390719" w:rsidRDefault="00703D87" w:rsidP="00703D87">
            <w:pPr>
              <w:spacing w:after="0" w:line="240" w:lineRule="auto"/>
              <w:rPr>
                <w:rFonts w:ascii="Times New Roman" w:eastAsia="Times New Roman" w:hAnsi="Times New Roman" w:cs="Times New Roman"/>
                <w:color w:val="000000"/>
                <w:sz w:val="24"/>
                <w:szCs w:val="24"/>
              </w:rPr>
            </w:pPr>
            <w:r w:rsidRPr="00390719">
              <w:rPr>
                <w:rFonts w:ascii="Times New Roman" w:eastAsia="Times New Roman" w:hAnsi="Times New Roman" w:cs="Times New Roman"/>
                <w:color w:val="000000"/>
                <w:sz w:val="24"/>
                <w:szCs w:val="24"/>
              </w:rPr>
              <w:t xml:space="preserve">CINAHL </w:t>
            </w:r>
          </w:p>
        </w:tc>
        <w:tc>
          <w:tcPr>
            <w:tcW w:w="829" w:type="dxa"/>
            <w:tcBorders>
              <w:top w:val="single" w:sz="4" w:space="0" w:color="auto"/>
              <w:left w:val="nil"/>
              <w:bottom w:val="single" w:sz="4" w:space="0" w:color="auto"/>
              <w:right w:val="single" w:sz="4" w:space="0" w:color="auto"/>
            </w:tcBorders>
            <w:shd w:val="clear" w:color="auto" w:fill="auto"/>
            <w:vAlign w:val="bottom"/>
          </w:tcPr>
          <w:p w14:paraId="3FA081CA" w14:textId="77777777" w:rsidR="00703D87" w:rsidRPr="00390719" w:rsidRDefault="00703D87" w:rsidP="00703D87">
            <w:pPr>
              <w:spacing w:after="0" w:line="240" w:lineRule="auto"/>
              <w:jc w:val="center"/>
              <w:rPr>
                <w:rFonts w:ascii="Times New Roman" w:eastAsia="Times New Roman" w:hAnsi="Times New Roman" w:cs="Times New Roman"/>
                <w:color w:val="000000"/>
                <w:sz w:val="24"/>
                <w:szCs w:val="24"/>
              </w:rPr>
            </w:pPr>
            <w:r w:rsidRPr="00390719">
              <w:rPr>
                <w:rFonts w:ascii="Times New Roman" w:eastAsia="Times New Roman" w:hAnsi="Times New Roman" w:cs="Times New Roman"/>
                <w:color w:val="000000"/>
                <w:sz w:val="24"/>
                <w:szCs w:val="24"/>
              </w:rPr>
              <w:t>1,300</w:t>
            </w:r>
          </w:p>
        </w:tc>
      </w:tr>
      <w:tr w:rsidR="00703D87" w:rsidRPr="00390719" w14:paraId="6377ECB1" w14:textId="77777777" w:rsidTr="00703D87">
        <w:trPr>
          <w:trHeight w:val="278"/>
        </w:trPr>
        <w:tc>
          <w:tcPr>
            <w:tcW w:w="4225" w:type="dxa"/>
            <w:tcBorders>
              <w:top w:val="single" w:sz="4" w:space="0" w:color="auto"/>
              <w:left w:val="single" w:sz="4" w:space="0" w:color="auto"/>
              <w:bottom w:val="single" w:sz="4" w:space="0" w:color="auto"/>
              <w:right w:val="single" w:sz="4" w:space="0" w:color="auto"/>
            </w:tcBorders>
            <w:shd w:val="clear" w:color="auto" w:fill="auto"/>
            <w:vAlign w:val="bottom"/>
          </w:tcPr>
          <w:p w14:paraId="15289689" w14:textId="77777777" w:rsidR="00703D87" w:rsidRPr="00390719" w:rsidRDefault="00703D87" w:rsidP="00703D87">
            <w:pPr>
              <w:spacing w:after="0" w:line="240" w:lineRule="auto"/>
              <w:rPr>
                <w:rFonts w:ascii="Times New Roman" w:eastAsia="Times New Roman" w:hAnsi="Times New Roman" w:cs="Times New Roman"/>
                <w:color w:val="000000"/>
                <w:sz w:val="24"/>
                <w:szCs w:val="24"/>
              </w:rPr>
            </w:pPr>
            <w:r w:rsidRPr="00390719">
              <w:rPr>
                <w:rFonts w:ascii="Times New Roman" w:eastAsia="Times New Roman" w:hAnsi="Times New Roman" w:cs="Times New Roman"/>
                <w:color w:val="000000"/>
                <w:sz w:val="24"/>
                <w:szCs w:val="24"/>
              </w:rPr>
              <w:t xml:space="preserve">Total </w:t>
            </w:r>
          </w:p>
        </w:tc>
        <w:tc>
          <w:tcPr>
            <w:tcW w:w="829" w:type="dxa"/>
            <w:tcBorders>
              <w:top w:val="single" w:sz="4" w:space="0" w:color="auto"/>
              <w:left w:val="nil"/>
              <w:bottom w:val="single" w:sz="4" w:space="0" w:color="auto"/>
              <w:right w:val="single" w:sz="4" w:space="0" w:color="auto"/>
            </w:tcBorders>
            <w:shd w:val="clear" w:color="auto" w:fill="auto"/>
            <w:vAlign w:val="bottom"/>
          </w:tcPr>
          <w:p w14:paraId="5123BF8A" w14:textId="77777777" w:rsidR="00703D87" w:rsidRPr="00390719" w:rsidRDefault="00703D87" w:rsidP="00703D87">
            <w:pPr>
              <w:spacing w:after="0" w:line="240" w:lineRule="auto"/>
              <w:jc w:val="center"/>
              <w:rPr>
                <w:rFonts w:ascii="Times New Roman" w:eastAsia="Times New Roman" w:hAnsi="Times New Roman" w:cs="Times New Roman"/>
                <w:b/>
                <w:color w:val="000000"/>
                <w:sz w:val="24"/>
                <w:szCs w:val="24"/>
              </w:rPr>
            </w:pPr>
            <w:r w:rsidRPr="00390719">
              <w:rPr>
                <w:rFonts w:ascii="Times New Roman" w:eastAsia="Times New Roman" w:hAnsi="Times New Roman" w:cs="Times New Roman"/>
                <w:b/>
                <w:color w:val="000000"/>
                <w:sz w:val="24"/>
                <w:szCs w:val="24"/>
              </w:rPr>
              <w:t>9,345</w:t>
            </w:r>
          </w:p>
        </w:tc>
      </w:tr>
    </w:tbl>
    <w:p w14:paraId="0AC04128" w14:textId="6982A0EF" w:rsidR="00703D87" w:rsidRDefault="00703D87" w:rsidP="00703D87">
      <w:pPr>
        <w:rPr>
          <w:rFonts w:ascii="Times New Roman" w:hAnsi="Times New Roman" w:cs="Times New Roman"/>
          <w:sz w:val="24"/>
          <w:szCs w:val="24"/>
        </w:rPr>
      </w:pPr>
    </w:p>
    <w:tbl>
      <w:tblPr>
        <w:tblW w:w="5054" w:type="dxa"/>
        <w:tblLook w:val="04A0" w:firstRow="1" w:lastRow="0" w:firstColumn="1" w:lastColumn="0" w:noHBand="0" w:noVBand="1"/>
      </w:tblPr>
      <w:tblGrid>
        <w:gridCol w:w="4225"/>
        <w:gridCol w:w="829"/>
      </w:tblGrid>
      <w:tr w:rsidR="002234D0" w:rsidRPr="00390719" w14:paraId="4F1F571B" w14:textId="77777777" w:rsidTr="00616FDE">
        <w:trPr>
          <w:trHeight w:val="278"/>
        </w:trPr>
        <w:tc>
          <w:tcPr>
            <w:tcW w:w="4225" w:type="dxa"/>
            <w:tcBorders>
              <w:top w:val="single" w:sz="4" w:space="0" w:color="auto"/>
              <w:left w:val="single" w:sz="4" w:space="0" w:color="auto"/>
              <w:bottom w:val="single" w:sz="4" w:space="0" w:color="auto"/>
              <w:right w:val="single" w:sz="4" w:space="0" w:color="auto"/>
            </w:tcBorders>
            <w:shd w:val="clear" w:color="auto" w:fill="auto"/>
            <w:vAlign w:val="bottom"/>
          </w:tcPr>
          <w:p w14:paraId="531B0639" w14:textId="6A60723D" w:rsidR="002234D0" w:rsidRPr="00390719" w:rsidRDefault="002234D0" w:rsidP="00616FDE">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Updated search conducted on 6</w:t>
            </w:r>
            <w:r w:rsidRPr="00390719">
              <w:rPr>
                <w:rFonts w:ascii="Times New Roman" w:eastAsia="Times New Roman" w:hAnsi="Times New Roman" w:cs="Times New Roman"/>
                <w:color w:val="000000"/>
                <w:sz w:val="24"/>
                <w:szCs w:val="24"/>
              </w:rPr>
              <w:t xml:space="preserve">th </w:t>
            </w:r>
            <w:r>
              <w:rPr>
                <w:rFonts w:ascii="Times New Roman" w:eastAsia="Times New Roman" w:hAnsi="Times New Roman" w:cs="Times New Roman"/>
                <w:color w:val="000000"/>
                <w:sz w:val="24"/>
                <w:szCs w:val="24"/>
              </w:rPr>
              <w:t>July 2018</w:t>
            </w:r>
          </w:p>
        </w:tc>
        <w:tc>
          <w:tcPr>
            <w:tcW w:w="829" w:type="dxa"/>
            <w:tcBorders>
              <w:top w:val="single" w:sz="4" w:space="0" w:color="auto"/>
              <w:left w:val="nil"/>
              <w:bottom w:val="single" w:sz="4" w:space="0" w:color="auto"/>
              <w:right w:val="single" w:sz="4" w:space="0" w:color="auto"/>
            </w:tcBorders>
            <w:shd w:val="clear" w:color="auto" w:fill="auto"/>
            <w:vAlign w:val="bottom"/>
          </w:tcPr>
          <w:p w14:paraId="4ECAA4C1" w14:textId="77777777" w:rsidR="002234D0" w:rsidRPr="00390719" w:rsidRDefault="002234D0" w:rsidP="00616FDE">
            <w:pPr>
              <w:spacing w:after="0" w:line="240" w:lineRule="auto"/>
              <w:rPr>
                <w:rFonts w:ascii="Times New Roman" w:eastAsia="Times New Roman" w:hAnsi="Times New Roman" w:cs="Times New Roman"/>
                <w:color w:val="000000"/>
                <w:sz w:val="24"/>
                <w:szCs w:val="24"/>
              </w:rPr>
            </w:pPr>
            <w:r w:rsidRPr="00390719">
              <w:rPr>
                <w:rFonts w:ascii="Times New Roman" w:eastAsia="Times New Roman" w:hAnsi="Times New Roman" w:cs="Times New Roman"/>
                <w:color w:val="000000"/>
                <w:sz w:val="24"/>
                <w:szCs w:val="24"/>
              </w:rPr>
              <w:t>Hits</w:t>
            </w:r>
          </w:p>
        </w:tc>
      </w:tr>
      <w:tr w:rsidR="002234D0" w:rsidRPr="00390719" w14:paraId="76D8B5A9" w14:textId="77777777" w:rsidTr="00616FDE">
        <w:trPr>
          <w:trHeight w:val="278"/>
        </w:trPr>
        <w:tc>
          <w:tcPr>
            <w:tcW w:w="4225" w:type="dxa"/>
            <w:tcBorders>
              <w:top w:val="single" w:sz="4" w:space="0" w:color="auto"/>
              <w:left w:val="single" w:sz="4" w:space="0" w:color="auto"/>
              <w:bottom w:val="single" w:sz="4" w:space="0" w:color="auto"/>
              <w:right w:val="single" w:sz="4" w:space="0" w:color="auto"/>
            </w:tcBorders>
            <w:shd w:val="clear" w:color="auto" w:fill="auto"/>
            <w:vAlign w:val="bottom"/>
          </w:tcPr>
          <w:p w14:paraId="005D7C3B" w14:textId="31902F66" w:rsidR="002234D0" w:rsidRPr="00390719" w:rsidRDefault="002234D0" w:rsidP="00616FDE">
            <w:pPr>
              <w:spacing w:after="0" w:line="240" w:lineRule="auto"/>
              <w:rPr>
                <w:rFonts w:ascii="Times New Roman" w:eastAsia="Times New Roman" w:hAnsi="Times New Roman" w:cs="Times New Roman"/>
                <w:color w:val="000000"/>
                <w:sz w:val="24"/>
                <w:szCs w:val="24"/>
              </w:rPr>
            </w:pPr>
            <w:proofErr w:type="spellStart"/>
            <w:r w:rsidRPr="00390719">
              <w:rPr>
                <w:rFonts w:ascii="Times New Roman" w:eastAsia="Times New Roman" w:hAnsi="Times New Roman" w:cs="Times New Roman"/>
                <w:color w:val="000000"/>
                <w:sz w:val="24"/>
                <w:szCs w:val="24"/>
              </w:rPr>
              <w:t>Pubmed</w:t>
            </w:r>
            <w:proofErr w:type="spellEnd"/>
            <w:r>
              <w:rPr>
                <w:rFonts w:ascii="Times New Roman" w:eastAsia="Times New Roman" w:hAnsi="Times New Roman" w:cs="Times New Roman"/>
                <w:color w:val="000000"/>
                <w:sz w:val="24"/>
                <w:szCs w:val="24"/>
              </w:rPr>
              <w:t xml:space="preserve"> (updated search without counting previous 6682 hits) </w:t>
            </w:r>
          </w:p>
        </w:tc>
        <w:tc>
          <w:tcPr>
            <w:tcW w:w="829" w:type="dxa"/>
            <w:tcBorders>
              <w:top w:val="single" w:sz="4" w:space="0" w:color="auto"/>
              <w:left w:val="nil"/>
              <w:bottom w:val="single" w:sz="4" w:space="0" w:color="auto"/>
              <w:right w:val="single" w:sz="4" w:space="0" w:color="auto"/>
            </w:tcBorders>
            <w:shd w:val="clear" w:color="auto" w:fill="auto"/>
            <w:vAlign w:val="bottom"/>
          </w:tcPr>
          <w:p w14:paraId="1D73999C" w14:textId="5B1F843B" w:rsidR="002234D0" w:rsidRPr="00390719" w:rsidRDefault="002234D0" w:rsidP="00616FD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1,68</w:t>
            </w:r>
            <w:r w:rsidR="00323035">
              <w:rPr>
                <w:rFonts w:ascii="Times New Roman" w:eastAsia="Times New Roman" w:hAnsi="Times New Roman" w:cs="Times New Roman"/>
                <w:color w:val="000000"/>
                <w:sz w:val="24"/>
                <w:szCs w:val="24"/>
              </w:rPr>
              <w:t>8</w:t>
            </w:r>
          </w:p>
        </w:tc>
      </w:tr>
    </w:tbl>
    <w:p w14:paraId="0029BF1A" w14:textId="3538FE9D" w:rsidR="00BE010B" w:rsidRDefault="00BE010B">
      <w:pPr>
        <w:rPr>
          <w:rFonts w:ascii="Times New Roman" w:hAnsi="Times New Roman" w:cs="Times New Roman"/>
          <w:b/>
          <w:sz w:val="24"/>
          <w:szCs w:val="24"/>
        </w:rPr>
      </w:pPr>
      <w:bookmarkStart w:id="0" w:name="_Hlk496628643"/>
    </w:p>
    <w:p w14:paraId="6D965C19" w14:textId="1D1D17E0" w:rsidR="00172CA9" w:rsidRPr="00172CA9" w:rsidRDefault="00172CA9" w:rsidP="00172CA9">
      <w:pPr>
        <w:rPr>
          <w:rFonts w:ascii="Times New Roman" w:hAnsi="Times New Roman" w:cs="Times New Roman"/>
          <w:b/>
          <w:sz w:val="24"/>
          <w:szCs w:val="24"/>
        </w:rPr>
      </w:pPr>
      <w:r>
        <w:rPr>
          <w:rFonts w:ascii="Times New Roman" w:hAnsi="Times New Roman" w:cs="Times New Roman"/>
          <w:b/>
          <w:sz w:val="24"/>
          <w:szCs w:val="24"/>
        </w:rPr>
        <w:t>Google Search Strategy</w:t>
      </w:r>
    </w:p>
    <w:p w14:paraId="3C581F85" w14:textId="0EF4076D" w:rsidR="00172CA9" w:rsidRDefault="00172CA9" w:rsidP="00172CA9">
      <w:pPr>
        <w:rPr>
          <w:rFonts w:ascii="Times New Roman" w:hAnsi="Times New Roman" w:cs="Times New Roman"/>
          <w:sz w:val="24"/>
          <w:szCs w:val="24"/>
        </w:rPr>
      </w:pPr>
      <w:r>
        <w:rPr>
          <w:rFonts w:ascii="Times New Roman" w:hAnsi="Times New Roman" w:cs="Times New Roman"/>
          <w:sz w:val="24"/>
          <w:szCs w:val="24"/>
        </w:rPr>
        <w:t>Our google search strategy involved screening the title and abstract for articles with the search terms “population healthcare need segmentation” through the following specific approaches for all articles or at least 100 articles per approach, whichever is smaller in number, for articles dated up to the search date of 5</w:t>
      </w:r>
      <w:r w:rsidRPr="00172CA9">
        <w:rPr>
          <w:rFonts w:ascii="Times New Roman" w:hAnsi="Times New Roman" w:cs="Times New Roman"/>
          <w:sz w:val="24"/>
          <w:szCs w:val="24"/>
          <w:vertAlign w:val="superscript"/>
        </w:rPr>
        <w:t>th</w:t>
      </w:r>
      <w:r>
        <w:rPr>
          <w:rFonts w:ascii="Times New Roman" w:hAnsi="Times New Roman" w:cs="Times New Roman"/>
          <w:sz w:val="24"/>
          <w:szCs w:val="24"/>
        </w:rPr>
        <w:t xml:space="preserve"> January 2016. The searched journals were selected as segmentation tools were found from studies published in them from the systematic search. Likewise, the searched authors were selected as segmentation tools were found from studies published by them in the systematic search.  </w:t>
      </w:r>
    </w:p>
    <w:p w14:paraId="1BBE15A6" w14:textId="77777777" w:rsidR="00172CA9" w:rsidRPr="005B29BB" w:rsidRDefault="00172CA9" w:rsidP="00172CA9">
      <w:pPr>
        <w:pStyle w:val="ListParagraph"/>
        <w:numPr>
          <w:ilvl w:val="0"/>
          <w:numId w:val="8"/>
        </w:numPr>
        <w:rPr>
          <w:rFonts w:ascii="Times New Roman" w:hAnsi="Times New Roman" w:cs="Times New Roman"/>
          <w:sz w:val="24"/>
          <w:szCs w:val="24"/>
        </w:rPr>
      </w:pPr>
      <w:r w:rsidRPr="005B29BB">
        <w:rPr>
          <w:rFonts w:ascii="Times New Roman" w:hAnsi="Times New Roman" w:cs="Times New Roman"/>
          <w:sz w:val="24"/>
          <w:szCs w:val="24"/>
        </w:rPr>
        <w:t>General Google Search</w:t>
      </w:r>
    </w:p>
    <w:p w14:paraId="66513D18" w14:textId="1E1D158B" w:rsidR="00172CA9" w:rsidRDefault="00172CA9" w:rsidP="00172CA9">
      <w:pPr>
        <w:pStyle w:val="ListParagraph"/>
        <w:numPr>
          <w:ilvl w:val="0"/>
          <w:numId w:val="8"/>
        </w:numPr>
        <w:rPr>
          <w:rFonts w:ascii="Times New Roman" w:hAnsi="Times New Roman" w:cs="Times New Roman"/>
          <w:sz w:val="24"/>
          <w:szCs w:val="24"/>
        </w:rPr>
      </w:pPr>
      <w:r w:rsidRPr="005B29BB">
        <w:rPr>
          <w:rFonts w:ascii="Times New Roman" w:hAnsi="Times New Roman" w:cs="Times New Roman"/>
          <w:sz w:val="24"/>
          <w:szCs w:val="24"/>
        </w:rPr>
        <w:t>Google Scholar Search</w:t>
      </w:r>
      <w:r>
        <w:rPr>
          <w:rFonts w:ascii="Times New Roman" w:hAnsi="Times New Roman" w:cs="Times New Roman"/>
          <w:sz w:val="24"/>
          <w:szCs w:val="24"/>
        </w:rPr>
        <w:t xml:space="preserve">: </w:t>
      </w:r>
    </w:p>
    <w:p w14:paraId="55A1BFF9" w14:textId="382A83DF" w:rsidR="00172CA9" w:rsidRDefault="00172CA9" w:rsidP="00172CA9">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General Google Scholar Search</w:t>
      </w:r>
    </w:p>
    <w:p w14:paraId="394E8FC5" w14:textId="7AD55AF0" w:rsidR="00172CA9" w:rsidRDefault="00172CA9" w:rsidP="00172CA9">
      <w:pPr>
        <w:pStyle w:val="ListParagraph"/>
        <w:numPr>
          <w:ilvl w:val="1"/>
          <w:numId w:val="8"/>
        </w:numPr>
        <w:rPr>
          <w:rFonts w:ascii="Times New Roman" w:hAnsi="Times New Roman" w:cs="Times New Roman"/>
          <w:sz w:val="24"/>
          <w:szCs w:val="24"/>
        </w:rPr>
      </w:pPr>
      <w:bookmarkStart w:id="1" w:name="OLE_LINK1"/>
      <w:r>
        <w:rPr>
          <w:rFonts w:ascii="Times New Roman" w:hAnsi="Times New Roman" w:cs="Times New Roman"/>
          <w:sz w:val="24"/>
          <w:szCs w:val="24"/>
        </w:rPr>
        <w:t>Journal Specific Google Scholar Search</w:t>
      </w:r>
    </w:p>
    <w:p w14:paraId="15EE4A04" w14:textId="45BA8BE3" w:rsidR="00172CA9" w:rsidRDefault="00172CA9" w:rsidP="00172CA9">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Milbank Quarterly </w:t>
      </w:r>
    </w:p>
    <w:p w14:paraId="719A3FEF" w14:textId="7C895EF3" w:rsidR="00172CA9" w:rsidRDefault="00172CA9" w:rsidP="00172CA9">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Health Policy </w:t>
      </w:r>
    </w:p>
    <w:p w14:paraId="4593B4C7" w14:textId="55371385" w:rsidR="00172CA9" w:rsidRDefault="00172CA9" w:rsidP="00172CA9">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Population Health Management </w:t>
      </w:r>
    </w:p>
    <w:p w14:paraId="4E8B00FF" w14:textId="76A01C12" w:rsidR="00172CA9" w:rsidRDefault="00172CA9" w:rsidP="00172CA9">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Health Services Research </w:t>
      </w:r>
    </w:p>
    <w:p w14:paraId="45B21426" w14:textId="7E961E1A" w:rsidR="00172CA9" w:rsidRDefault="00172CA9" w:rsidP="00172CA9">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Medical Care </w:t>
      </w:r>
    </w:p>
    <w:p w14:paraId="5BBBC3A7" w14:textId="6B55C27A" w:rsidR="00172CA9" w:rsidRDefault="00172CA9" w:rsidP="00172CA9">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BMC Health Services Research </w:t>
      </w:r>
    </w:p>
    <w:p w14:paraId="4D4DD34E" w14:textId="0059F6A7" w:rsidR="00172CA9" w:rsidRDefault="00172CA9" w:rsidP="00172CA9">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British Medical Journal </w:t>
      </w:r>
    </w:p>
    <w:p w14:paraId="3DB037EB" w14:textId="4B2B8B3A" w:rsidR="00172CA9" w:rsidRDefault="00172CA9" w:rsidP="00172CA9">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JAMA </w:t>
      </w:r>
    </w:p>
    <w:p w14:paraId="2C5E1162" w14:textId="641D66E3" w:rsidR="00172CA9" w:rsidRDefault="00172CA9" w:rsidP="00172CA9">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International Journal of Integrated Care </w:t>
      </w:r>
    </w:p>
    <w:p w14:paraId="2FCD9C5E" w14:textId="391FA958" w:rsidR="00172CA9" w:rsidRDefault="00172CA9" w:rsidP="00172CA9">
      <w:pPr>
        <w:pStyle w:val="ListParagraph"/>
        <w:numPr>
          <w:ilvl w:val="1"/>
          <w:numId w:val="8"/>
        </w:numPr>
        <w:rPr>
          <w:rFonts w:ascii="Times New Roman" w:hAnsi="Times New Roman" w:cs="Times New Roman"/>
          <w:sz w:val="24"/>
          <w:szCs w:val="24"/>
        </w:rPr>
      </w:pPr>
      <w:r>
        <w:rPr>
          <w:rFonts w:ascii="Times New Roman" w:hAnsi="Times New Roman" w:cs="Times New Roman"/>
          <w:sz w:val="24"/>
          <w:szCs w:val="24"/>
        </w:rPr>
        <w:t>Author Specific Google Scholar Search</w:t>
      </w:r>
    </w:p>
    <w:p w14:paraId="7DF48BB9" w14:textId="560E19EB" w:rsidR="00172CA9" w:rsidRDefault="00172CA9" w:rsidP="00172CA9">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Sabine </w:t>
      </w:r>
      <w:proofErr w:type="spellStart"/>
      <w:r>
        <w:rPr>
          <w:rFonts w:ascii="Times New Roman" w:hAnsi="Times New Roman" w:cs="Times New Roman"/>
          <w:sz w:val="24"/>
          <w:szCs w:val="24"/>
        </w:rPr>
        <w:t>Vuik</w:t>
      </w:r>
      <w:proofErr w:type="spellEnd"/>
      <w:r>
        <w:rPr>
          <w:rFonts w:ascii="Times New Roman" w:hAnsi="Times New Roman" w:cs="Times New Roman"/>
          <w:sz w:val="24"/>
          <w:szCs w:val="24"/>
        </w:rPr>
        <w:t xml:space="preserve"> </w:t>
      </w:r>
    </w:p>
    <w:p w14:paraId="29A146A6" w14:textId="75427652" w:rsidR="00172CA9" w:rsidRDefault="00172CA9" w:rsidP="00172CA9">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Barbara Starfield </w:t>
      </w:r>
    </w:p>
    <w:p w14:paraId="2B200D52" w14:textId="77777777" w:rsidR="00172CA9" w:rsidRDefault="00172CA9" w:rsidP="00172CA9">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M.R. </w:t>
      </w:r>
      <w:proofErr w:type="spellStart"/>
      <w:r>
        <w:rPr>
          <w:rFonts w:ascii="Times New Roman" w:hAnsi="Times New Roman" w:cs="Times New Roman"/>
          <w:sz w:val="24"/>
          <w:szCs w:val="24"/>
        </w:rPr>
        <w:t>Eissens</w:t>
      </w:r>
      <w:proofErr w:type="spellEnd"/>
      <w:r>
        <w:rPr>
          <w:rFonts w:ascii="Times New Roman" w:hAnsi="Times New Roman" w:cs="Times New Roman"/>
          <w:sz w:val="24"/>
          <w:szCs w:val="24"/>
        </w:rPr>
        <w:t xml:space="preserve"> van der </w:t>
      </w:r>
      <w:proofErr w:type="spellStart"/>
      <w:r>
        <w:rPr>
          <w:rFonts w:ascii="Times New Roman" w:hAnsi="Times New Roman" w:cs="Times New Roman"/>
          <w:sz w:val="24"/>
          <w:szCs w:val="24"/>
        </w:rPr>
        <w:t>Laan</w:t>
      </w:r>
      <w:proofErr w:type="spellEnd"/>
    </w:p>
    <w:p w14:paraId="07ABD36A" w14:textId="77777777" w:rsidR="00172CA9" w:rsidRDefault="00172CA9" w:rsidP="00172CA9">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Liu Li-Fan</w:t>
      </w:r>
    </w:p>
    <w:p w14:paraId="65DA4E11" w14:textId="77777777" w:rsidR="00172CA9" w:rsidRDefault="00172CA9" w:rsidP="00172CA9">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Louise </w:t>
      </w:r>
      <w:proofErr w:type="spellStart"/>
      <w:r>
        <w:rPr>
          <w:rFonts w:ascii="Times New Roman" w:hAnsi="Times New Roman" w:cs="Times New Roman"/>
          <w:sz w:val="24"/>
          <w:szCs w:val="24"/>
        </w:rPr>
        <w:t>Lafortune</w:t>
      </w:r>
      <w:proofErr w:type="spellEnd"/>
    </w:p>
    <w:p w14:paraId="02F1C3BD" w14:textId="77777777" w:rsidR="00172CA9" w:rsidRDefault="00172CA9" w:rsidP="00172CA9">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Yi Yvonne Zhou</w:t>
      </w:r>
    </w:p>
    <w:p w14:paraId="0FEEC9CF" w14:textId="77777777" w:rsidR="00172CA9" w:rsidRDefault="00172CA9" w:rsidP="00172CA9">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Joanne Lynn</w:t>
      </w:r>
    </w:p>
    <w:p w14:paraId="56C0BAC1" w14:textId="77777777" w:rsidR="00172CA9" w:rsidRDefault="00172CA9" w:rsidP="00172CA9">
      <w:pPr>
        <w:pStyle w:val="ListParagraph"/>
        <w:numPr>
          <w:ilvl w:val="2"/>
          <w:numId w:val="8"/>
        </w:numPr>
        <w:rPr>
          <w:rFonts w:ascii="Times New Roman" w:hAnsi="Times New Roman" w:cs="Times New Roman"/>
          <w:sz w:val="24"/>
          <w:szCs w:val="24"/>
        </w:rPr>
      </w:pPr>
      <w:r>
        <w:rPr>
          <w:rFonts w:ascii="Times New Roman" w:hAnsi="Times New Roman" w:cs="Times New Roman"/>
          <w:sz w:val="24"/>
          <w:szCs w:val="24"/>
        </w:rPr>
        <w:t xml:space="preserve">Sharon </w:t>
      </w:r>
      <w:proofErr w:type="spellStart"/>
      <w:r>
        <w:rPr>
          <w:rFonts w:ascii="Times New Roman" w:hAnsi="Times New Roman" w:cs="Times New Roman"/>
          <w:sz w:val="24"/>
          <w:szCs w:val="24"/>
        </w:rPr>
        <w:t>Hewner</w:t>
      </w:r>
      <w:proofErr w:type="spellEnd"/>
    </w:p>
    <w:bookmarkEnd w:id="0"/>
    <w:bookmarkEnd w:id="1"/>
    <w:p w14:paraId="0C9062DE" w14:textId="77777777" w:rsidR="00703D87" w:rsidRPr="00390719" w:rsidRDefault="00703D87" w:rsidP="00703D87">
      <w:pPr>
        <w:rPr>
          <w:rFonts w:ascii="Times New Roman" w:eastAsiaTheme="majorEastAsia" w:hAnsi="Times New Roman" w:cs="Times New Roman"/>
          <w:color w:val="2E74B5" w:themeColor="accent1" w:themeShade="BF"/>
          <w:sz w:val="24"/>
          <w:szCs w:val="24"/>
        </w:rPr>
      </w:pPr>
      <w:r w:rsidRPr="00390719">
        <w:rPr>
          <w:rFonts w:ascii="Times New Roman" w:hAnsi="Times New Roman" w:cs="Times New Roman"/>
          <w:sz w:val="24"/>
          <w:szCs w:val="24"/>
        </w:rPr>
        <w:br w:type="page"/>
      </w:r>
    </w:p>
    <w:p w14:paraId="1A2D8F21" w14:textId="77777777" w:rsidR="00703D87" w:rsidRPr="00390719" w:rsidRDefault="00703D87" w:rsidP="00703D87">
      <w:pPr>
        <w:pStyle w:val="Heading1"/>
        <w:rPr>
          <w:rFonts w:ascii="Times New Roman" w:hAnsi="Times New Roman" w:cs="Times New Roman"/>
          <w:b/>
          <w:color w:val="auto"/>
          <w:sz w:val="24"/>
          <w:szCs w:val="24"/>
        </w:rPr>
      </w:pPr>
      <w:r w:rsidRPr="00390719">
        <w:rPr>
          <w:rFonts w:ascii="Times New Roman" w:hAnsi="Times New Roman" w:cs="Times New Roman"/>
          <w:b/>
          <w:color w:val="auto"/>
          <w:sz w:val="24"/>
          <w:szCs w:val="24"/>
        </w:rPr>
        <w:lastRenderedPageBreak/>
        <w:t>Appendix B</w:t>
      </w:r>
    </w:p>
    <w:p w14:paraId="60D8AC78" w14:textId="77777777" w:rsidR="00703D87" w:rsidRPr="00390719" w:rsidRDefault="00703D87" w:rsidP="00703D87">
      <w:pPr>
        <w:rPr>
          <w:rFonts w:ascii="Times New Roman" w:hAnsi="Times New Roman" w:cs="Times New Roman"/>
          <w:sz w:val="20"/>
          <w:szCs w:val="20"/>
        </w:rPr>
      </w:pPr>
    </w:p>
    <w:tbl>
      <w:tblPr>
        <w:tblStyle w:val="ListTabl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4975"/>
        <w:gridCol w:w="2016"/>
        <w:gridCol w:w="2063"/>
      </w:tblGrid>
      <w:tr w:rsidR="00703D87" w:rsidRPr="00390719" w14:paraId="70624731" w14:textId="77777777" w:rsidTr="00E56E4A">
        <w:trPr>
          <w:cnfStyle w:val="100000000000" w:firstRow="1" w:lastRow="0" w:firstColumn="0" w:lastColumn="0" w:oddVBand="0" w:evenVBand="0" w:oddHBand="0" w:evenHBand="0" w:firstRowFirstColumn="0" w:firstRowLastColumn="0" w:lastRowFirstColumn="0" w:lastRowLastColumn="0"/>
          <w:trHeight w:val="223"/>
          <w:jc w:val="center"/>
        </w:trPr>
        <w:tc>
          <w:tcPr>
            <w:cnfStyle w:val="001000000100" w:firstRow="0" w:lastRow="0" w:firstColumn="1" w:lastColumn="0" w:oddVBand="0" w:evenVBand="0" w:oddHBand="0" w:evenHBand="0" w:firstRowFirstColumn="1" w:firstRowLastColumn="0" w:lastRowFirstColumn="0" w:lastRowLastColumn="0"/>
            <w:tcW w:w="0" w:type="auto"/>
            <w:tcBorders>
              <w:bottom w:val="none" w:sz="0" w:space="0" w:color="auto"/>
              <w:right w:val="none" w:sz="0" w:space="0" w:color="auto"/>
            </w:tcBorders>
            <w:noWrap/>
            <w:hideMark/>
          </w:tcPr>
          <w:p w14:paraId="735D5C5F" w14:textId="77777777" w:rsidR="00703D87" w:rsidRPr="00390719" w:rsidRDefault="00703D87" w:rsidP="00703D87">
            <w:pPr>
              <w:jc w:val="center"/>
              <w:rPr>
                <w:rFonts w:ascii="Times New Roman" w:eastAsia="Times New Roman" w:hAnsi="Times New Roman" w:cs="Times New Roman"/>
                <w:b w:val="0"/>
                <w:bCs w:val="0"/>
                <w:color w:val="FFFFFF"/>
                <w:sz w:val="24"/>
                <w:szCs w:val="24"/>
                <w:lang w:eastAsia="en-SG"/>
              </w:rPr>
            </w:pPr>
            <w:r w:rsidRPr="00390719">
              <w:rPr>
                <w:rFonts w:ascii="Times New Roman" w:eastAsia="Times New Roman" w:hAnsi="Times New Roman" w:cs="Times New Roman"/>
                <w:b w:val="0"/>
                <w:bCs w:val="0"/>
                <w:color w:val="FFFFFF"/>
                <w:sz w:val="24"/>
                <w:szCs w:val="24"/>
                <w:lang w:eastAsia="en-SG"/>
              </w:rPr>
              <w:t>S/N</w:t>
            </w:r>
          </w:p>
        </w:tc>
        <w:tc>
          <w:tcPr>
            <w:tcW w:w="0" w:type="auto"/>
            <w:noWrap/>
            <w:hideMark/>
          </w:tcPr>
          <w:p w14:paraId="5FAD8E1D" w14:textId="77777777" w:rsidR="00703D87" w:rsidRPr="00390719" w:rsidRDefault="00703D87" w:rsidP="00703D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24"/>
                <w:szCs w:val="24"/>
                <w:lang w:eastAsia="en-SG"/>
              </w:rPr>
            </w:pPr>
            <w:r w:rsidRPr="00390719">
              <w:rPr>
                <w:rFonts w:ascii="Times New Roman" w:eastAsia="Times New Roman" w:hAnsi="Times New Roman" w:cs="Times New Roman"/>
                <w:b w:val="0"/>
                <w:bCs w:val="0"/>
                <w:color w:val="FFFFFF"/>
                <w:sz w:val="24"/>
                <w:szCs w:val="24"/>
                <w:lang w:eastAsia="en-SG"/>
              </w:rPr>
              <w:t>Tool</w:t>
            </w:r>
          </w:p>
        </w:tc>
        <w:tc>
          <w:tcPr>
            <w:tcW w:w="0" w:type="auto"/>
            <w:noWrap/>
            <w:hideMark/>
          </w:tcPr>
          <w:p w14:paraId="2031D411" w14:textId="77777777" w:rsidR="00703D87" w:rsidRPr="00390719" w:rsidRDefault="00703D87" w:rsidP="00703D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24"/>
                <w:szCs w:val="24"/>
                <w:lang w:eastAsia="en-SG"/>
              </w:rPr>
            </w:pPr>
            <w:r w:rsidRPr="00390719">
              <w:rPr>
                <w:rFonts w:ascii="Times New Roman" w:eastAsia="Times New Roman" w:hAnsi="Times New Roman" w:cs="Times New Roman"/>
                <w:b w:val="0"/>
                <w:bCs w:val="0"/>
                <w:color w:val="FFFFFF"/>
                <w:sz w:val="24"/>
                <w:szCs w:val="24"/>
                <w:lang w:eastAsia="en-SG"/>
              </w:rPr>
              <w:t>Number of articles</w:t>
            </w:r>
          </w:p>
        </w:tc>
        <w:tc>
          <w:tcPr>
            <w:tcW w:w="0" w:type="auto"/>
            <w:noWrap/>
            <w:hideMark/>
          </w:tcPr>
          <w:p w14:paraId="32A14860" w14:textId="77777777" w:rsidR="00703D87" w:rsidRPr="00390719" w:rsidRDefault="00703D87" w:rsidP="00703D8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24"/>
                <w:szCs w:val="24"/>
                <w:lang w:eastAsia="en-SG"/>
              </w:rPr>
            </w:pPr>
            <w:r w:rsidRPr="00390719">
              <w:rPr>
                <w:rFonts w:ascii="Times New Roman" w:eastAsia="Times New Roman" w:hAnsi="Times New Roman" w:cs="Times New Roman"/>
                <w:b w:val="0"/>
                <w:bCs w:val="0"/>
                <w:color w:val="FFFFFF"/>
                <w:sz w:val="24"/>
                <w:szCs w:val="24"/>
                <w:lang w:eastAsia="en-SG"/>
              </w:rPr>
              <w:t>Source</w:t>
            </w:r>
          </w:p>
        </w:tc>
      </w:tr>
      <w:tr w:rsidR="00703D87" w:rsidRPr="00390719" w14:paraId="28689D49" w14:textId="77777777" w:rsidTr="00E56E4A">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noWrap/>
            <w:hideMark/>
          </w:tcPr>
          <w:p w14:paraId="0552051C" w14:textId="77777777" w:rsidR="00703D87" w:rsidRPr="00390719" w:rsidRDefault="00703D87" w:rsidP="00703D87">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1</w:t>
            </w:r>
          </w:p>
        </w:tc>
        <w:tc>
          <w:tcPr>
            <w:tcW w:w="0" w:type="auto"/>
            <w:tcBorders>
              <w:top w:val="none" w:sz="0" w:space="0" w:color="auto"/>
              <w:bottom w:val="none" w:sz="0" w:space="0" w:color="auto"/>
            </w:tcBorders>
            <w:noWrap/>
            <w:hideMark/>
          </w:tcPr>
          <w:p w14:paraId="369AC2A3"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Adjusted Clinical Groups</w:t>
            </w:r>
          </w:p>
        </w:tc>
        <w:tc>
          <w:tcPr>
            <w:tcW w:w="0" w:type="auto"/>
            <w:tcBorders>
              <w:top w:val="none" w:sz="0" w:space="0" w:color="auto"/>
              <w:bottom w:val="none" w:sz="0" w:space="0" w:color="auto"/>
            </w:tcBorders>
            <w:noWrap/>
            <w:hideMark/>
          </w:tcPr>
          <w:p w14:paraId="6A29BB48"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17</w:t>
            </w:r>
          </w:p>
        </w:tc>
        <w:tc>
          <w:tcPr>
            <w:tcW w:w="0" w:type="auto"/>
            <w:tcBorders>
              <w:top w:val="none" w:sz="0" w:space="0" w:color="auto"/>
              <w:bottom w:val="none" w:sz="0" w:space="0" w:color="auto"/>
            </w:tcBorders>
            <w:noWrap/>
            <w:hideMark/>
          </w:tcPr>
          <w:p w14:paraId="5E02B1B7"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Systematic Review</w:t>
            </w:r>
          </w:p>
        </w:tc>
      </w:tr>
      <w:tr w:rsidR="00703D87" w:rsidRPr="00390719" w14:paraId="2339527A" w14:textId="77777777" w:rsidTr="00E56E4A">
        <w:trPr>
          <w:trHeight w:val="5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5066D143" w14:textId="77777777" w:rsidR="00703D87" w:rsidRPr="00390719" w:rsidRDefault="00703D87" w:rsidP="00703D87">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2</w:t>
            </w:r>
          </w:p>
        </w:tc>
        <w:tc>
          <w:tcPr>
            <w:tcW w:w="0" w:type="auto"/>
            <w:noWrap/>
            <w:hideMark/>
          </w:tcPr>
          <w:p w14:paraId="1376C5B8" w14:textId="77777777" w:rsidR="00703D87" w:rsidRPr="00390719" w:rsidRDefault="00703D87"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Clinical Risk Groups</w:t>
            </w:r>
          </w:p>
        </w:tc>
        <w:tc>
          <w:tcPr>
            <w:tcW w:w="0" w:type="auto"/>
            <w:noWrap/>
            <w:hideMark/>
          </w:tcPr>
          <w:p w14:paraId="4E8BD72B" w14:textId="77777777" w:rsidR="00703D87" w:rsidRPr="00390719" w:rsidRDefault="00703D87"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6</w:t>
            </w:r>
          </w:p>
        </w:tc>
        <w:tc>
          <w:tcPr>
            <w:tcW w:w="0" w:type="auto"/>
            <w:noWrap/>
            <w:hideMark/>
          </w:tcPr>
          <w:p w14:paraId="65CA76B8" w14:textId="77777777" w:rsidR="00703D87" w:rsidRPr="00390719" w:rsidRDefault="00703D87"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Systematic Review</w:t>
            </w:r>
          </w:p>
        </w:tc>
      </w:tr>
      <w:tr w:rsidR="00703D87" w:rsidRPr="00390719" w14:paraId="27BBCB4A" w14:textId="77777777" w:rsidTr="00E56E4A">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noWrap/>
            <w:hideMark/>
          </w:tcPr>
          <w:p w14:paraId="691DDFCB" w14:textId="77777777" w:rsidR="00703D87" w:rsidRPr="00390719" w:rsidRDefault="00703D87" w:rsidP="00703D87">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3</w:t>
            </w:r>
          </w:p>
        </w:tc>
        <w:tc>
          <w:tcPr>
            <w:tcW w:w="0" w:type="auto"/>
            <w:tcBorders>
              <w:top w:val="none" w:sz="0" w:space="0" w:color="auto"/>
              <w:bottom w:val="none" w:sz="0" w:space="0" w:color="auto"/>
            </w:tcBorders>
            <w:noWrap/>
            <w:hideMark/>
          </w:tcPr>
          <w:p w14:paraId="3A1F67E8"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Senior Segmentation Algorithm</w:t>
            </w:r>
          </w:p>
        </w:tc>
        <w:tc>
          <w:tcPr>
            <w:tcW w:w="0" w:type="auto"/>
            <w:tcBorders>
              <w:top w:val="none" w:sz="0" w:space="0" w:color="auto"/>
              <w:bottom w:val="none" w:sz="0" w:space="0" w:color="auto"/>
            </w:tcBorders>
            <w:noWrap/>
            <w:hideMark/>
          </w:tcPr>
          <w:p w14:paraId="61E1FE1B"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1</w:t>
            </w:r>
          </w:p>
        </w:tc>
        <w:tc>
          <w:tcPr>
            <w:tcW w:w="0" w:type="auto"/>
            <w:tcBorders>
              <w:top w:val="none" w:sz="0" w:space="0" w:color="auto"/>
              <w:bottom w:val="none" w:sz="0" w:space="0" w:color="auto"/>
            </w:tcBorders>
            <w:noWrap/>
            <w:hideMark/>
          </w:tcPr>
          <w:p w14:paraId="35DE2EF2"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Systematic Review</w:t>
            </w:r>
          </w:p>
        </w:tc>
      </w:tr>
      <w:tr w:rsidR="00703D87" w:rsidRPr="00390719" w14:paraId="0ECB3268" w14:textId="77777777" w:rsidTr="00E56E4A">
        <w:trPr>
          <w:trHeight w:val="5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6A729366" w14:textId="77777777" w:rsidR="00703D87" w:rsidRPr="00390719" w:rsidRDefault="00703D87" w:rsidP="00703D87">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4</w:t>
            </w:r>
          </w:p>
        </w:tc>
        <w:tc>
          <w:tcPr>
            <w:tcW w:w="0" w:type="auto"/>
            <w:noWrap/>
            <w:hideMark/>
          </w:tcPr>
          <w:p w14:paraId="488D8EC4" w14:textId="77777777" w:rsidR="00703D87" w:rsidRPr="00390719" w:rsidRDefault="00703D87"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Bridges to Health</w:t>
            </w:r>
          </w:p>
        </w:tc>
        <w:tc>
          <w:tcPr>
            <w:tcW w:w="0" w:type="auto"/>
            <w:noWrap/>
            <w:hideMark/>
          </w:tcPr>
          <w:p w14:paraId="79AABF74" w14:textId="77777777" w:rsidR="00703D87" w:rsidRPr="00390719" w:rsidRDefault="00703D87"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1</w:t>
            </w:r>
          </w:p>
        </w:tc>
        <w:tc>
          <w:tcPr>
            <w:tcW w:w="0" w:type="auto"/>
            <w:noWrap/>
            <w:hideMark/>
          </w:tcPr>
          <w:p w14:paraId="267FC592" w14:textId="77777777" w:rsidR="00703D87" w:rsidRPr="00390719" w:rsidRDefault="00703D87"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Systematic Review</w:t>
            </w:r>
          </w:p>
        </w:tc>
      </w:tr>
      <w:tr w:rsidR="00703D87" w:rsidRPr="00390719" w14:paraId="6767941D" w14:textId="77777777" w:rsidTr="00E56E4A">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noWrap/>
            <w:hideMark/>
          </w:tcPr>
          <w:p w14:paraId="24597462" w14:textId="77777777" w:rsidR="00703D87" w:rsidRPr="00390719" w:rsidRDefault="00703D87" w:rsidP="00703D87">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5</w:t>
            </w:r>
          </w:p>
        </w:tc>
        <w:tc>
          <w:tcPr>
            <w:tcW w:w="0" w:type="auto"/>
            <w:tcBorders>
              <w:top w:val="none" w:sz="0" w:space="0" w:color="auto"/>
              <w:bottom w:val="none" w:sz="0" w:space="0" w:color="auto"/>
            </w:tcBorders>
            <w:noWrap/>
            <w:hideMark/>
          </w:tcPr>
          <w:p w14:paraId="16D29AB6"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LCA1 - Demand driven care</w:t>
            </w:r>
          </w:p>
        </w:tc>
        <w:tc>
          <w:tcPr>
            <w:tcW w:w="0" w:type="auto"/>
            <w:tcBorders>
              <w:top w:val="none" w:sz="0" w:space="0" w:color="auto"/>
              <w:bottom w:val="none" w:sz="0" w:space="0" w:color="auto"/>
            </w:tcBorders>
            <w:noWrap/>
            <w:hideMark/>
          </w:tcPr>
          <w:p w14:paraId="2885FA0E"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1</w:t>
            </w:r>
          </w:p>
        </w:tc>
        <w:tc>
          <w:tcPr>
            <w:tcW w:w="0" w:type="auto"/>
            <w:tcBorders>
              <w:top w:val="none" w:sz="0" w:space="0" w:color="auto"/>
              <w:bottom w:val="none" w:sz="0" w:space="0" w:color="auto"/>
            </w:tcBorders>
            <w:noWrap/>
            <w:hideMark/>
          </w:tcPr>
          <w:p w14:paraId="36D6BEEE"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Systematic Review</w:t>
            </w:r>
          </w:p>
        </w:tc>
      </w:tr>
      <w:tr w:rsidR="00703D87" w:rsidRPr="00390719" w14:paraId="3B71C709" w14:textId="77777777" w:rsidTr="00E56E4A">
        <w:trPr>
          <w:trHeight w:val="5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0BAA0CB5" w14:textId="77777777" w:rsidR="00703D87" w:rsidRPr="00390719" w:rsidRDefault="00703D87" w:rsidP="00703D87">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6</w:t>
            </w:r>
          </w:p>
        </w:tc>
        <w:tc>
          <w:tcPr>
            <w:tcW w:w="0" w:type="auto"/>
            <w:noWrap/>
            <w:hideMark/>
          </w:tcPr>
          <w:p w14:paraId="15B62C03" w14:textId="77777777" w:rsidR="00703D87" w:rsidRPr="00390719" w:rsidRDefault="00703D87"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LCA2 – SIPA Trial</w:t>
            </w:r>
          </w:p>
        </w:tc>
        <w:tc>
          <w:tcPr>
            <w:tcW w:w="0" w:type="auto"/>
            <w:noWrap/>
            <w:hideMark/>
          </w:tcPr>
          <w:p w14:paraId="08C321AC" w14:textId="77777777" w:rsidR="00703D87" w:rsidRPr="00390719" w:rsidRDefault="00703D87"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2</w:t>
            </w:r>
          </w:p>
        </w:tc>
        <w:tc>
          <w:tcPr>
            <w:tcW w:w="0" w:type="auto"/>
            <w:noWrap/>
            <w:hideMark/>
          </w:tcPr>
          <w:p w14:paraId="40EF67E6" w14:textId="77777777" w:rsidR="00703D87" w:rsidRPr="00390719" w:rsidRDefault="00703D87"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Systematic Review</w:t>
            </w:r>
          </w:p>
        </w:tc>
      </w:tr>
      <w:tr w:rsidR="00703D87" w:rsidRPr="00390719" w14:paraId="4660A739" w14:textId="77777777" w:rsidTr="00E56E4A">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noWrap/>
            <w:hideMark/>
          </w:tcPr>
          <w:p w14:paraId="16ED6E00" w14:textId="77777777" w:rsidR="00703D87" w:rsidRPr="00390719" w:rsidRDefault="00703D87" w:rsidP="00703D87">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7</w:t>
            </w:r>
          </w:p>
        </w:tc>
        <w:tc>
          <w:tcPr>
            <w:tcW w:w="0" w:type="auto"/>
            <w:tcBorders>
              <w:top w:val="none" w:sz="0" w:space="0" w:color="auto"/>
              <w:bottom w:val="none" w:sz="0" w:space="0" w:color="auto"/>
            </w:tcBorders>
            <w:noWrap/>
            <w:hideMark/>
          </w:tcPr>
          <w:p w14:paraId="2DA1C5A6"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LCA3 - Taiwan National Health Insurance</w:t>
            </w:r>
          </w:p>
        </w:tc>
        <w:tc>
          <w:tcPr>
            <w:tcW w:w="0" w:type="auto"/>
            <w:tcBorders>
              <w:top w:val="none" w:sz="0" w:space="0" w:color="auto"/>
              <w:bottom w:val="none" w:sz="0" w:space="0" w:color="auto"/>
            </w:tcBorders>
            <w:noWrap/>
            <w:hideMark/>
          </w:tcPr>
          <w:p w14:paraId="32284E5E"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2</w:t>
            </w:r>
          </w:p>
        </w:tc>
        <w:tc>
          <w:tcPr>
            <w:tcW w:w="0" w:type="auto"/>
            <w:tcBorders>
              <w:top w:val="none" w:sz="0" w:space="0" w:color="auto"/>
              <w:bottom w:val="none" w:sz="0" w:space="0" w:color="auto"/>
            </w:tcBorders>
            <w:noWrap/>
            <w:hideMark/>
          </w:tcPr>
          <w:p w14:paraId="4F53368D"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Hand searching</w:t>
            </w:r>
          </w:p>
        </w:tc>
      </w:tr>
      <w:tr w:rsidR="00703D87" w:rsidRPr="00390719" w14:paraId="0190CE23" w14:textId="77777777" w:rsidTr="00E56E4A">
        <w:trPr>
          <w:trHeight w:val="5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04FC140C" w14:textId="77777777" w:rsidR="00703D87" w:rsidRPr="00390719" w:rsidRDefault="00703D87" w:rsidP="00703D87">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8</w:t>
            </w:r>
          </w:p>
        </w:tc>
        <w:tc>
          <w:tcPr>
            <w:tcW w:w="0" w:type="auto"/>
            <w:noWrap/>
            <w:hideMark/>
          </w:tcPr>
          <w:p w14:paraId="5599B7C5" w14:textId="77777777" w:rsidR="00703D87" w:rsidRPr="00390719" w:rsidRDefault="00703D87"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proofErr w:type="spellStart"/>
            <w:r w:rsidRPr="00390719">
              <w:rPr>
                <w:rFonts w:ascii="Times New Roman" w:eastAsia="Times New Roman" w:hAnsi="Times New Roman" w:cs="Times New Roman"/>
                <w:color w:val="000000"/>
                <w:sz w:val="24"/>
                <w:szCs w:val="24"/>
                <w:lang w:eastAsia="en-SG"/>
              </w:rPr>
              <w:t>Complexedex</w:t>
            </w:r>
            <w:proofErr w:type="spellEnd"/>
          </w:p>
        </w:tc>
        <w:tc>
          <w:tcPr>
            <w:tcW w:w="0" w:type="auto"/>
            <w:noWrap/>
            <w:hideMark/>
          </w:tcPr>
          <w:p w14:paraId="052BEF3D" w14:textId="77777777" w:rsidR="00703D87" w:rsidRPr="00390719" w:rsidRDefault="00703D87"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3</w:t>
            </w:r>
          </w:p>
        </w:tc>
        <w:tc>
          <w:tcPr>
            <w:tcW w:w="0" w:type="auto"/>
            <w:noWrap/>
            <w:hideMark/>
          </w:tcPr>
          <w:p w14:paraId="0185B581" w14:textId="77777777" w:rsidR="00703D87" w:rsidRPr="00390719" w:rsidRDefault="00703D87"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Hand searching</w:t>
            </w:r>
          </w:p>
        </w:tc>
      </w:tr>
      <w:tr w:rsidR="00703D87" w:rsidRPr="00390719" w14:paraId="29CA630F" w14:textId="77777777" w:rsidTr="00E56E4A">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noWrap/>
          </w:tcPr>
          <w:p w14:paraId="2B40D801" w14:textId="77777777" w:rsidR="00703D87" w:rsidRPr="00390719" w:rsidRDefault="00703D87" w:rsidP="00703D87">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9</w:t>
            </w:r>
          </w:p>
        </w:tc>
        <w:tc>
          <w:tcPr>
            <w:tcW w:w="0" w:type="auto"/>
            <w:tcBorders>
              <w:top w:val="none" w:sz="0" w:space="0" w:color="auto"/>
              <w:bottom w:val="none" w:sz="0" w:space="0" w:color="auto"/>
            </w:tcBorders>
            <w:noWrap/>
          </w:tcPr>
          <w:p w14:paraId="71AB61AE"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Lombardy Segmentation</w:t>
            </w:r>
          </w:p>
        </w:tc>
        <w:tc>
          <w:tcPr>
            <w:tcW w:w="0" w:type="auto"/>
            <w:tcBorders>
              <w:top w:val="none" w:sz="0" w:space="0" w:color="auto"/>
              <w:bottom w:val="none" w:sz="0" w:space="0" w:color="auto"/>
            </w:tcBorders>
            <w:noWrap/>
          </w:tcPr>
          <w:p w14:paraId="56CF546C"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1</w:t>
            </w:r>
          </w:p>
        </w:tc>
        <w:tc>
          <w:tcPr>
            <w:tcW w:w="0" w:type="auto"/>
            <w:tcBorders>
              <w:top w:val="none" w:sz="0" w:space="0" w:color="auto"/>
              <w:bottom w:val="none" w:sz="0" w:space="0" w:color="auto"/>
            </w:tcBorders>
            <w:noWrap/>
          </w:tcPr>
          <w:p w14:paraId="6AE68D5F"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Hand searching</w:t>
            </w:r>
          </w:p>
        </w:tc>
      </w:tr>
      <w:tr w:rsidR="00703D87" w:rsidRPr="00390719" w14:paraId="5769EE75" w14:textId="77777777" w:rsidTr="00E56E4A">
        <w:trPr>
          <w:trHeight w:val="5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hideMark/>
          </w:tcPr>
          <w:p w14:paraId="5446FF81" w14:textId="77777777" w:rsidR="00703D87" w:rsidRPr="00390719" w:rsidRDefault="00703D87" w:rsidP="00703D87">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10</w:t>
            </w:r>
          </w:p>
        </w:tc>
        <w:tc>
          <w:tcPr>
            <w:tcW w:w="0" w:type="auto"/>
            <w:noWrap/>
            <w:hideMark/>
          </w:tcPr>
          <w:p w14:paraId="42C4D586" w14:textId="77777777" w:rsidR="00703D87" w:rsidRPr="00390719" w:rsidRDefault="00703D87"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North West London Segmentation</w:t>
            </w:r>
          </w:p>
        </w:tc>
        <w:tc>
          <w:tcPr>
            <w:tcW w:w="0" w:type="auto"/>
            <w:noWrap/>
            <w:hideMark/>
          </w:tcPr>
          <w:p w14:paraId="14405178" w14:textId="77777777" w:rsidR="00703D87" w:rsidRPr="00390719" w:rsidRDefault="00703D87"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1</w:t>
            </w:r>
          </w:p>
        </w:tc>
        <w:tc>
          <w:tcPr>
            <w:tcW w:w="0" w:type="auto"/>
            <w:noWrap/>
            <w:hideMark/>
          </w:tcPr>
          <w:p w14:paraId="02822FA1" w14:textId="77777777" w:rsidR="00703D87" w:rsidRPr="00390719" w:rsidRDefault="00703D87"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Google searching</w:t>
            </w:r>
          </w:p>
        </w:tc>
      </w:tr>
      <w:tr w:rsidR="00703D87" w:rsidRPr="00390719" w14:paraId="7F5C7C90" w14:textId="77777777" w:rsidTr="00E56E4A">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bottom w:val="none" w:sz="0" w:space="0" w:color="auto"/>
              <w:right w:val="none" w:sz="0" w:space="0" w:color="auto"/>
            </w:tcBorders>
            <w:noWrap/>
            <w:hideMark/>
          </w:tcPr>
          <w:p w14:paraId="15EDD67A" w14:textId="77777777" w:rsidR="00703D87" w:rsidRPr="00390719" w:rsidRDefault="00703D87" w:rsidP="00703D87">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11</w:t>
            </w:r>
          </w:p>
        </w:tc>
        <w:tc>
          <w:tcPr>
            <w:tcW w:w="0" w:type="auto"/>
            <w:tcBorders>
              <w:top w:val="none" w:sz="0" w:space="0" w:color="auto"/>
              <w:bottom w:val="none" w:sz="0" w:space="0" w:color="auto"/>
            </w:tcBorders>
            <w:noWrap/>
            <w:hideMark/>
          </w:tcPr>
          <w:p w14:paraId="6049B3E0"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Delaware Segmentation</w:t>
            </w:r>
          </w:p>
        </w:tc>
        <w:tc>
          <w:tcPr>
            <w:tcW w:w="0" w:type="auto"/>
            <w:tcBorders>
              <w:top w:val="none" w:sz="0" w:space="0" w:color="auto"/>
              <w:bottom w:val="none" w:sz="0" w:space="0" w:color="auto"/>
            </w:tcBorders>
            <w:noWrap/>
            <w:hideMark/>
          </w:tcPr>
          <w:p w14:paraId="06868300"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1</w:t>
            </w:r>
          </w:p>
        </w:tc>
        <w:tc>
          <w:tcPr>
            <w:tcW w:w="0" w:type="auto"/>
            <w:tcBorders>
              <w:top w:val="none" w:sz="0" w:space="0" w:color="auto"/>
              <w:bottom w:val="none" w:sz="0" w:space="0" w:color="auto"/>
            </w:tcBorders>
            <w:noWrap/>
            <w:hideMark/>
          </w:tcPr>
          <w:p w14:paraId="715C5CAE"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Google searching</w:t>
            </w:r>
          </w:p>
        </w:tc>
      </w:tr>
      <w:tr w:rsidR="00CA2C7F" w:rsidRPr="00390719" w14:paraId="17F3B1C7" w14:textId="77777777" w:rsidTr="00E56E4A">
        <w:trPr>
          <w:trHeight w:val="50"/>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3EF4DA0B" w14:textId="5FA66E92" w:rsidR="00CA2C7F" w:rsidRPr="00390719" w:rsidRDefault="00CA2C7F" w:rsidP="00703D87">
            <w:pPr>
              <w:jc w:val="center"/>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12</w:t>
            </w:r>
          </w:p>
        </w:tc>
        <w:tc>
          <w:tcPr>
            <w:tcW w:w="0" w:type="auto"/>
            <w:noWrap/>
          </w:tcPr>
          <w:p w14:paraId="525DBC8D" w14:textId="60792697" w:rsidR="00CA2C7F" w:rsidRPr="00390719" w:rsidRDefault="00CA2C7F"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British Columbia Health System Matrix</w:t>
            </w:r>
          </w:p>
        </w:tc>
        <w:tc>
          <w:tcPr>
            <w:tcW w:w="0" w:type="auto"/>
            <w:noWrap/>
          </w:tcPr>
          <w:p w14:paraId="71173DEB" w14:textId="1DA62948" w:rsidR="00CA2C7F" w:rsidRPr="00390719" w:rsidRDefault="00CA2C7F"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1</w:t>
            </w:r>
          </w:p>
        </w:tc>
        <w:tc>
          <w:tcPr>
            <w:tcW w:w="0" w:type="auto"/>
            <w:noWrap/>
          </w:tcPr>
          <w:p w14:paraId="23AF5244" w14:textId="57118454" w:rsidR="00CA2C7F" w:rsidRPr="00390719" w:rsidRDefault="00CA2C7F"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Expert suggestion</w:t>
            </w:r>
          </w:p>
        </w:tc>
      </w:tr>
      <w:tr w:rsidR="002D2FF4" w:rsidRPr="00390719" w14:paraId="5C9A5A9B" w14:textId="77777777" w:rsidTr="00E56E4A">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0FEAE6EE" w14:textId="275A17A9" w:rsidR="002D2FF4" w:rsidRDefault="002D2FF4" w:rsidP="00703D87">
            <w:pPr>
              <w:jc w:val="center"/>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13</w:t>
            </w:r>
          </w:p>
        </w:tc>
        <w:tc>
          <w:tcPr>
            <w:tcW w:w="0" w:type="auto"/>
            <w:noWrap/>
          </w:tcPr>
          <w:p w14:paraId="41AA04D0" w14:textId="1EE370E5" w:rsidR="002D2FF4" w:rsidRDefault="005C36EC"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 xml:space="preserve">Joynt et </w:t>
            </w:r>
            <w:proofErr w:type="spellStart"/>
            <w:r>
              <w:rPr>
                <w:rFonts w:ascii="Times New Roman" w:eastAsia="Times New Roman" w:hAnsi="Times New Roman" w:cs="Times New Roman"/>
                <w:color w:val="000000"/>
                <w:sz w:val="24"/>
                <w:szCs w:val="24"/>
                <w:lang w:eastAsia="en-SG"/>
              </w:rPr>
              <w:t>al’s</w:t>
            </w:r>
            <w:proofErr w:type="spellEnd"/>
            <w:r>
              <w:rPr>
                <w:rFonts w:ascii="Times New Roman" w:eastAsia="Times New Roman" w:hAnsi="Times New Roman" w:cs="Times New Roman"/>
                <w:color w:val="000000"/>
                <w:sz w:val="24"/>
                <w:szCs w:val="24"/>
                <w:lang w:eastAsia="en-SG"/>
              </w:rPr>
              <w:t xml:space="preserve"> Medicare </w:t>
            </w:r>
            <w:proofErr w:type="gramStart"/>
            <w:r>
              <w:rPr>
                <w:rFonts w:ascii="Times New Roman" w:eastAsia="Times New Roman" w:hAnsi="Times New Roman" w:cs="Times New Roman"/>
                <w:color w:val="000000"/>
                <w:sz w:val="24"/>
                <w:szCs w:val="24"/>
                <w:lang w:eastAsia="en-SG"/>
              </w:rPr>
              <w:t>claims based</w:t>
            </w:r>
            <w:proofErr w:type="gramEnd"/>
            <w:r>
              <w:rPr>
                <w:rFonts w:ascii="Times New Roman" w:eastAsia="Times New Roman" w:hAnsi="Times New Roman" w:cs="Times New Roman"/>
                <w:color w:val="000000"/>
                <w:sz w:val="24"/>
                <w:szCs w:val="24"/>
                <w:lang w:eastAsia="en-SG"/>
              </w:rPr>
              <w:t xml:space="preserve"> segmentation</w:t>
            </w:r>
          </w:p>
        </w:tc>
        <w:tc>
          <w:tcPr>
            <w:tcW w:w="0" w:type="auto"/>
            <w:noWrap/>
          </w:tcPr>
          <w:p w14:paraId="32877CED" w14:textId="24C34FD9" w:rsidR="002D2FF4" w:rsidRDefault="008C3A16"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1</w:t>
            </w:r>
          </w:p>
        </w:tc>
        <w:tc>
          <w:tcPr>
            <w:tcW w:w="0" w:type="auto"/>
            <w:noWrap/>
          </w:tcPr>
          <w:p w14:paraId="12D05004" w14:textId="6C8B5284" w:rsidR="002D2FF4" w:rsidRDefault="008C3A16"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Secondary search</w:t>
            </w:r>
          </w:p>
        </w:tc>
      </w:tr>
      <w:tr w:rsidR="002D2FF4" w:rsidRPr="00390719" w14:paraId="4A28F799" w14:textId="77777777" w:rsidTr="00E56E4A">
        <w:trPr>
          <w:trHeight w:val="50"/>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53983701" w14:textId="78132BAE" w:rsidR="002D2FF4" w:rsidRDefault="002D2FF4" w:rsidP="00703D87">
            <w:pPr>
              <w:jc w:val="center"/>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14</w:t>
            </w:r>
          </w:p>
        </w:tc>
        <w:tc>
          <w:tcPr>
            <w:tcW w:w="0" w:type="auto"/>
            <w:noWrap/>
          </w:tcPr>
          <w:p w14:paraId="11830E63" w14:textId="66E5C3FA" w:rsidR="002D2FF4" w:rsidRDefault="005C36EC"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Singapore MOH Segmentation framework</w:t>
            </w:r>
          </w:p>
        </w:tc>
        <w:tc>
          <w:tcPr>
            <w:tcW w:w="0" w:type="auto"/>
            <w:noWrap/>
          </w:tcPr>
          <w:p w14:paraId="6BCBAA74" w14:textId="615C4B99" w:rsidR="002D2FF4" w:rsidRDefault="008C3A16"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1</w:t>
            </w:r>
          </w:p>
        </w:tc>
        <w:tc>
          <w:tcPr>
            <w:tcW w:w="0" w:type="auto"/>
            <w:noWrap/>
          </w:tcPr>
          <w:p w14:paraId="7F5710B5" w14:textId="5CB765B9" w:rsidR="002D2FF4" w:rsidRDefault="008C3A16"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Secondary search</w:t>
            </w:r>
          </w:p>
        </w:tc>
      </w:tr>
      <w:tr w:rsidR="002D2FF4" w:rsidRPr="00390719" w14:paraId="73729B09" w14:textId="77777777" w:rsidTr="00E56E4A">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41A430A1" w14:textId="1BB76C32" w:rsidR="002D2FF4" w:rsidRDefault="002D2FF4" w:rsidP="00703D87">
            <w:pPr>
              <w:jc w:val="center"/>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15</w:t>
            </w:r>
          </w:p>
        </w:tc>
        <w:tc>
          <w:tcPr>
            <w:tcW w:w="0" w:type="auto"/>
            <w:noWrap/>
          </w:tcPr>
          <w:p w14:paraId="52EA7A83" w14:textId="01D5AFE8" w:rsidR="002D2FF4" w:rsidRDefault="005C36EC"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proofErr w:type="spellStart"/>
            <w:r>
              <w:rPr>
                <w:rFonts w:ascii="Times New Roman" w:eastAsia="Times New Roman" w:hAnsi="Times New Roman" w:cs="Times New Roman"/>
                <w:color w:val="000000"/>
                <w:sz w:val="24"/>
                <w:szCs w:val="24"/>
                <w:lang w:eastAsia="en-SG"/>
              </w:rPr>
              <w:t>Vuik</w:t>
            </w:r>
            <w:proofErr w:type="spellEnd"/>
            <w:r>
              <w:rPr>
                <w:rFonts w:ascii="Times New Roman" w:eastAsia="Times New Roman" w:hAnsi="Times New Roman" w:cs="Times New Roman"/>
                <w:color w:val="000000"/>
                <w:sz w:val="24"/>
                <w:szCs w:val="24"/>
                <w:lang w:eastAsia="en-SG"/>
              </w:rPr>
              <w:t xml:space="preserve"> et </w:t>
            </w:r>
            <w:proofErr w:type="spellStart"/>
            <w:r>
              <w:rPr>
                <w:rFonts w:ascii="Times New Roman" w:eastAsia="Times New Roman" w:hAnsi="Times New Roman" w:cs="Times New Roman"/>
                <w:color w:val="000000"/>
                <w:sz w:val="24"/>
                <w:szCs w:val="24"/>
                <w:lang w:eastAsia="en-SG"/>
              </w:rPr>
              <w:t>al’s</w:t>
            </w:r>
            <w:proofErr w:type="spellEnd"/>
            <w:r>
              <w:rPr>
                <w:rFonts w:ascii="Times New Roman" w:eastAsia="Times New Roman" w:hAnsi="Times New Roman" w:cs="Times New Roman"/>
                <w:color w:val="000000"/>
                <w:sz w:val="24"/>
                <w:szCs w:val="24"/>
                <w:lang w:eastAsia="en-SG"/>
              </w:rPr>
              <w:t xml:space="preserve"> </w:t>
            </w:r>
            <w:proofErr w:type="gramStart"/>
            <w:r>
              <w:rPr>
                <w:rFonts w:ascii="Times New Roman" w:eastAsia="Times New Roman" w:hAnsi="Times New Roman" w:cs="Times New Roman"/>
                <w:color w:val="000000"/>
                <w:sz w:val="24"/>
                <w:szCs w:val="24"/>
                <w:lang w:eastAsia="en-SG"/>
              </w:rPr>
              <w:t>utilization based</w:t>
            </w:r>
            <w:proofErr w:type="gramEnd"/>
            <w:r>
              <w:rPr>
                <w:rFonts w:ascii="Times New Roman" w:eastAsia="Times New Roman" w:hAnsi="Times New Roman" w:cs="Times New Roman"/>
                <w:color w:val="000000"/>
                <w:sz w:val="24"/>
                <w:szCs w:val="24"/>
                <w:lang w:eastAsia="en-SG"/>
              </w:rPr>
              <w:t xml:space="preserve"> segmentation</w:t>
            </w:r>
          </w:p>
        </w:tc>
        <w:tc>
          <w:tcPr>
            <w:tcW w:w="0" w:type="auto"/>
            <w:noWrap/>
          </w:tcPr>
          <w:p w14:paraId="086ACE42" w14:textId="79306389" w:rsidR="002D2FF4" w:rsidRDefault="008C3A16"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1</w:t>
            </w:r>
          </w:p>
        </w:tc>
        <w:tc>
          <w:tcPr>
            <w:tcW w:w="0" w:type="auto"/>
            <w:noWrap/>
          </w:tcPr>
          <w:p w14:paraId="04776537" w14:textId="74062024" w:rsidR="002D2FF4" w:rsidRDefault="008C3A16"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Secondary search</w:t>
            </w:r>
          </w:p>
        </w:tc>
      </w:tr>
      <w:tr w:rsidR="002D2FF4" w:rsidRPr="00390719" w14:paraId="6915029E" w14:textId="77777777" w:rsidTr="00E56E4A">
        <w:trPr>
          <w:trHeight w:val="50"/>
          <w:jc w:val="center"/>
        </w:trPr>
        <w:tc>
          <w:tcPr>
            <w:cnfStyle w:val="001000000000" w:firstRow="0" w:lastRow="0" w:firstColumn="1" w:lastColumn="0" w:oddVBand="0" w:evenVBand="0" w:oddHBand="0" w:evenHBand="0" w:firstRowFirstColumn="0" w:firstRowLastColumn="0" w:lastRowFirstColumn="0" w:lastRowLastColumn="0"/>
            <w:tcW w:w="0" w:type="auto"/>
            <w:noWrap/>
          </w:tcPr>
          <w:p w14:paraId="466199EF" w14:textId="2477A17B" w:rsidR="002D2FF4" w:rsidRDefault="002D2FF4" w:rsidP="00703D87">
            <w:pPr>
              <w:jc w:val="center"/>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16</w:t>
            </w:r>
          </w:p>
        </w:tc>
        <w:tc>
          <w:tcPr>
            <w:tcW w:w="0" w:type="auto"/>
            <w:noWrap/>
          </w:tcPr>
          <w:p w14:paraId="295B3CF8" w14:textId="69E6A79E" w:rsidR="002D2FF4" w:rsidRDefault="005C36EC"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 xml:space="preserve">Low et </w:t>
            </w:r>
            <w:proofErr w:type="spellStart"/>
            <w:r>
              <w:rPr>
                <w:rFonts w:ascii="Times New Roman" w:eastAsia="Times New Roman" w:hAnsi="Times New Roman" w:cs="Times New Roman"/>
                <w:color w:val="000000"/>
                <w:sz w:val="24"/>
                <w:szCs w:val="24"/>
                <w:lang w:eastAsia="en-SG"/>
              </w:rPr>
              <w:t>al’s</w:t>
            </w:r>
            <w:proofErr w:type="spellEnd"/>
            <w:r>
              <w:rPr>
                <w:rFonts w:ascii="Times New Roman" w:eastAsia="Times New Roman" w:hAnsi="Times New Roman" w:cs="Times New Roman"/>
                <w:color w:val="000000"/>
                <w:sz w:val="24"/>
                <w:szCs w:val="24"/>
                <w:lang w:eastAsia="en-SG"/>
              </w:rPr>
              <w:t xml:space="preserve"> </w:t>
            </w:r>
            <w:proofErr w:type="gramStart"/>
            <w:r>
              <w:rPr>
                <w:rFonts w:ascii="Times New Roman" w:eastAsia="Times New Roman" w:hAnsi="Times New Roman" w:cs="Times New Roman"/>
                <w:color w:val="000000"/>
                <w:sz w:val="24"/>
                <w:szCs w:val="24"/>
                <w:lang w:eastAsia="en-SG"/>
              </w:rPr>
              <w:t>utilization based</w:t>
            </w:r>
            <w:proofErr w:type="gramEnd"/>
            <w:r>
              <w:rPr>
                <w:rFonts w:ascii="Times New Roman" w:eastAsia="Times New Roman" w:hAnsi="Times New Roman" w:cs="Times New Roman"/>
                <w:color w:val="000000"/>
                <w:sz w:val="24"/>
                <w:szCs w:val="24"/>
                <w:lang w:eastAsia="en-SG"/>
              </w:rPr>
              <w:t xml:space="preserve"> segmentation</w:t>
            </w:r>
          </w:p>
        </w:tc>
        <w:tc>
          <w:tcPr>
            <w:tcW w:w="0" w:type="auto"/>
            <w:noWrap/>
          </w:tcPr>
          <w:p w14:paraId="2C3EB316" w14:textId="77F311A9" w:rsidR="002D2FF4" w:rsidRDefault="008C3A16"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1</w:t>
            </w:r>
          </w:p>
        </w:tc>
        <w:tc>
          <w:tcPr>
            <w:tcW w:w="0" w:type="auto"/>
            <w:noWrap/>
          </w:tcPr>
          <w:p w14:paraId="7C692748" w14:textId="2614EB8C" w:rsidR="002D2FF4" w:rsidRDefault="008C3A16" w:rsidP="00703D87">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Secondary search</w:t>
            </w:r>
          </w:p>
        </w:tc>
      </w:tr>
      <w:tr w:rsidR="00703D87" w:rsidRPr="00390719" w14:paraId="025AFB45" w14:textId="77777777" w:rsidTr="00E56E4A">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0" w:type="auto"/>
            <w:tcBorders>
              <w:right w:val="none" w:sz="0" w:space="0" w:color="auto"/>
            </w:tcBorders>
            <w:noWrap/>
          </w:tcPr>
          <w:p w14:paraId="1A239C2C" w14:textId="77777777" w:rsidR="00703D87" w:rsidRPr="00390719" w:rsidRDefault="00703D87" w:rsidP="00703D87">
            <w:pPr>
              <w:jc w:val="center"/>
              <w:rPr>
                <w:rFonts w:ascii="Times New Roman" w:eastAsia="Times New Roman" w:hAnsi="Times New Roman" w:cs="Times New Roman"/>
                <w:color w:val="000000"/>
                <w:sz w:val="24"/>
                <w:szCs w:val="24"/>
                <w:lang w:eastAsia="en-SG"/>
              </w:rPr>
            </w:pPr>
          </w:p>
        </w:tc>
        <w:tc>
          <w:tcPr>
            <w:tcW w:w="0" w:type="auto"/>
            <w:noWrap/>
          </w:tcPr>
          <w:p w14:paraId="632B0133"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lang w:eastAsia="en-SG"/>
              </w:rPr>
            </w:pPr>
            <w:r w:rsidRPr="00390719">
              <w:rPr>
                <w:rFonts w:ascii="Times New Roman" w:eastAsia="Times New Roman" w:hAnsi="Times New Roman" w:cs="Times New Roman"/>
                <w:b/>
                <w:color w:val="000000"/>
                <w:sz w:val="24"/>
                <w:szCs w:val="24"/>
                <w:lang w:eastAsia="en-SG"/>
              </w:rPr>
              <w:t>Total</w:t>
            </w:r>
          </w:p>
        </w:tc>
        <w:tc>
          <w:tcPr>
            <w:tcW w:w="0" w:type="auto"/>
            <w:noWrap/>
          </w:tcPr>
          <w:p w14:paraId="03D9EABB" w14:textId="62EFD62A" w:rsidR="00703D87" w:rsidRPr="00390719" w:rsidRDefault="005C36EC"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lang w:eastAsia="en-SG"/>
              </w:rPr>
            </w:pPr>
            <w:r>
              <w:rPr>
                <w:rFonts w:ascii="Times New Roman" w:eastAsia="Times New Roman" w:hAnsi="Times New Roman" w:cs="Times New Roman"/>
                <w:b/>
                <w:color w:val="000000"/>
                <w:sz w:val="24"/>
                <w:szCs w:val="24"/>
                <w:lang w:eastAsia="en-SG"/>
              </w:rPr>
              <w:t>41</w:t>
            </w:r>
          </w:p>
        </w:tc>
        <w:tc>
          <w:tcPr>
            <w:tcW w:w="0" w:type="auto"/>
            <w:noWrap/>
          </w:tcPr>
          <w:p w14:paraId="5A0EBC4F" w14:textId="77777777" w:rsidR="00703D87" w:rsidRPr="00390719" w:rsidRDefault="00703D87" w:rsidP="00703D8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p>
        </w:tc>
      </w:tr>
    </w:tbl>
    <w:p w14:paraId="77662E00" w14:textId="77777777" w:rsidR="00703D87" w:rsidRPr="00390719" w:rsidRDefault="00703D87" w:rsidP="00703D87">
      <w:pPr>
        <w:rPr>
          <w:rFonts w:ascii="Times New Roman" w:hAnsi="Times New Roman" w:cs="Times New Roman"/>
          <w:sz w:val="24"/>
          <w:szCs w:val="24"/>
        </w:rPr>
      </w:pPr>
    </w:p>
    <w:p w14:paraId="25FFAF17" w14:textId="66598841" w:rsidR="00703D87" w:rsidRPr="00390719" w:rsidRDefault="00703D87" w:rsidP="00703D87">
      <w:pPr>
        <w:rPr>
          <w:rFonts w:ascii="Times New Roman" w:hAnsi="Times New Roman" w:cs="Times New Roman"/>
          <w:sz w:val="24"/>
          <w:szCs w:val="24"/>
        </w:rPr>
      </w:pPr>
      <w:r w:rsidRPr="00390719">
        <w:rPr>
          <w:rFonts w:ascii="Times New Roman" w:hAnsi="Times New Roman" w:cs="Times New Roman"/>
          <w:sz w:val="24"/>
          <w:szCs w:val="24"/>
        </w:rPr>
        <w:t>Comment: This table corresponds to number of times a segmentation tool was found in a unique article out of all article</w:t>
      </w:r>
      <w:r w:rsidR="00E55478">
        <w:rPr>
          <w:rFonts w:ascii="Times New Roman" w:hAnsi="Times New Roman" w:cs="Times New Roman"/>
          <w:sz w:val="24"/>
          <w:szCs w:val="24"/>
        </w:rPr>
        <w:t>s included in the review (N = 37</w:t>
      </w:r>
      <w:r w:rsidRPr="00390719">
        <w:rPr>
          <w:rFonts w:ascii="Times New Roman" w:hAnsi="Times New Roman" w:cs="Times New Roman"/>
          <w:sz w:val="24"/>
          <w:szCs w:val="24"/>
        </w:rPr>
        <w:t xml:space="preserve">, number of hits for segmentation tool). </w:t>
      </w:r>
      <w:r w:rsidR="00D44C81">
        <w:rPr>
          <w:rFonts w:ascii="Times New Roman" w:hAnsi="Times New Roman" w:cs="Times New Roman"/>
          <w:sz w:val="24"/>
          <w:szCs w:val="24"/>
        </w:rPr>
        <w:t xml:space="preserve">Source refers to the method through which the segmentation tool was first encountered. </w:t>
      </w:r>
      <w:r w:rsidRPr="00390719">
        <w:rPr>
          <w:rFonts w:ascii="Times New Roman" w:hAnsi="Times New Roman" w:cs="Times New Roman"/>
          <w:sz w:val="24"/>
          <w:szCs w:val="24"/>
        </w:rPr>
        <w:t>There is a higher number tool hit count than total number of art</w:t>
      </w:r>
      <w:r w:rsidR="00E55478">
        <w:rPr>
          <w:rFonts w:ascii="Times New Roman" w:hAnsi="Times New Roman" w:cs="Times New Roman"/>
          <w:sz w:val="24"/>
          <w:szCs w:val="24"/>
        </w:rPr>
        <w:t>icles reviewed (37 vs 36</w:t>
      </w:r>
      <w:r w:rsidRPr="00390719">
        <w:rPr>
          <w:rFonts w:ascii="Times New Roman" w:hAnsi="Times New Roman" w:cs="Times New Roman"/>
          <w:sz w:val="24"/>
          <w:szCs w:val="24"/>
        </w:rPr>
        <w:t xml:space="preserve">) as a single article can detail more than one segmentation tool. Meanwhile, appendix C only details segmentation tools with a validation component (N = 27, number of studies). Only 26 articles are included in Appendix C as one article detailed validation of 2 segmentation tools </w:t>
      </w:r>
      <w:r w:rsidRPr="00390719">
        <w:rPr>
          <w:rFonts w:ascii="Times New Roman" w:eastAsia="Times New Roman" w:hAnsi="Times New Roman" w:cs="Times New Roman"/>
          <w:color w:val="000000"/>
          <w:sz w:val="24"/>
          <w:szCs w:val="24"/>
          <w:lang w:eastAsia="en-SG"/>
        </w:rPr>
        <w:fldChar w:fldCharType="begin"/>
      </w:r>
      <w:r w:rsidR="00BE010B">
        <w:rPr>
          <w:rFonts w:ascii="Times New Roman" w:eastAsia="Times New Roman" w:hAnsi="Times New Roman" w:cs="Times New Roman"/>
          <w:color w:val="000000"/>
          <w:sz w:val="24"/>
          <w:szCs w:val="24"/>
          <w:lang w:eastAsia="en-SG"/>
        </w:rPr>
        <w:instrText xml:space="preserve"> ADDIN EN.CITE &lt;EndNote&gt;&lt;Cite&gt;&lt;Author&gt;Orueta&lt;/Author&gt;&lt;Year&gt;2013&lt;/Year&gt;&lt;RecNum&gt;34&lt;/RecNum&gt;&lt;DisplayText&gt;(1)&lt;/DisplayText&gt;&lt;record&gt;&lt;rec-number&gt;34&lt;/rec-number&gt;&lt;foreign-keys&gt;&lt;key app="EN" db-id="ee9erwffmxvtrdev0wovsv2zesvwxvrxdppv" timestamp="1475973306"&gt;34&lt;/key&gt;&lt;/foreign-keys&gt;&lt;ref-type name="Journal Article"&gt;17&lt;/ref-type&gt;&lt;contributors&gt;&lt;authors&gt;&lt;author&gt;Orueta, J. F.&lt;/author&gt;&lt;author&gt;Nuno-Solinis, R.&lt;/author&gt;&lt;author&gt;Mateos, M.&lt;/author&gt;&lt;author&gt;Vergara, I.&lt;/author&gt;&lt;author&gt;Grandes, G.&lt;/author&gt;&lt;author&gt;Esnaola, S.&lt;/author&gt;&lt;/authors&gt;&lt;/contributors&gt;&lt;titles&gt;&lt;title&gt;Predictive risk modelling in the Spanish population: a cross-sectional study&lt;/title&gt;&lt;secondary-title&gt;BMC Health Serv Res&lt;/secondary-title&gt;&lt;/titles&gt;&lt;periodical&gt;&lt;full-title&gt;BMC Health Serv Res&lt;/full-title&gt;&lt;/periodical&gt;&lt;pages&gt;269&lt;/pages&gt;&lt;volume&gt;13&lt;/volume&gt;&lt;dates&gt;&lt;year&gt;2013&lt;/year&gt;&lt;/dates&gt;&lt;accession-num&gt;23837560&lt;/accession-num&gt;&lt;urls&gt;&lt;related-urls&gt;&lt;url&gt;&amp;lt;Go to ISI&amp;gt;://WOS:000322884100001&lt;/url&gt;&lt;url&gt;http://www.ncbi.nlm.nih.gov/pmc/articles/PMC3750562/pdf/1472-6963-13-269.pdf&lt;/url&gt;&lt;/related-urls&gt;&lt;/urls&gt;&lt;electronic-resource-num&gt;10.1186/1472-6963-13-269&lt;/electronic-resource-num&gt;&lt;/record&gt;&lt;/Cite&gt;&lt;/EndNote&gt;</w:instrText>
      </w:r>
      <w:r w:rsidRPr="00390719">
        <w:rPr>
          <w:rFonts w:ascii="Times New Roman" w:eastAsia="Times New Roman" w:hAnsi="Times New Roman" w:cs="Times New Roman"/>
          <w:color w:val="000000"/>
          <w:sz w:val="24"/>
          <w:szCs w:val="24"/>
          <w:lang w:eastAsia="en-SG"/>
        </w:rPr>
        <w:fldChar w:fldCharType="separate"/>
      </w:r>
      <w:r w:rsidR="00BE010B">
        <w:rPr>
          <w:rFonts w:ascii="Times New Roman" w:eastAsia="Times New Roman" w:hAnsi="Times New Roman" w:cs="Times New Roman"/>
          <w:noProof/>
          <w:color w:val="000000"/>
          <w:sz w:val="24"/>
          <w:szCs w:val="24"/>
          <w:lang w:eastAsia="en-SG"/>
        </w:rPr>
        <w:t>(1)</w:t>
      </w:r>
      <w:r w:rsidRPr="00390719">
        <w:rPr>
          <w:rFonts w:ascii="Times New Roman" w:eastAsia="Times New Roman" w:hAnsi="Times New Roman" w:cs="Times New Roman"/>
          <w:color w:val="000000"/>
          <w:sz w:val="24"/>
          <w:szCs w:val="24"/>
          <w:lang w:eastAsia="en-SG"/>
        </w:rPr>
        <w:fldChar w:fldCharType="end"/>
      </w:r>
      <w:r w:rsidRPr="00390719">
        <w:rPr>
          <w:rFonts w:ascii="Times New Roman" w:hAnsi="Times New Roman" w:cs="Times New Roman"/>
          <w:sz w:val="24"/>
          <w:szCs w:val="24"/>
        </w:rPr>
        <w:t xml:space="preserve">. </w:t>
      </w:r>
    </w:p>
    <w:p w14:paraId="536A06BA" w14:textId="77777777" w:rsidR="0019698A" w:rsidRDefault="0019698A" w:rsidP="00703D87">
      <w:pPr>
        <w:rPr>
          <w:rFonts w:ascii="Times New Roman" w:hAnsi="Times New Roman" w:cs="Times New Roman"/>
          <w:sz w:val="24"/>
          <w:szCs w:val="24"/>
        </w:rPr>
      </w:pPr>
    </w:p>
    <w:p w14:paraId="76DCE86A" w14:textId="77777777" w:rsidR="005B29BB" w:rsidRPr="005B29BB" w:rsidRDefault="005B29BB" w:rsidP="005B29BB">
      <w:pPr>
        <w:pStyle w:val="ListParagraph"/>
        <w:ind w:left="1440"/>
        <w:rPr>
          <w:rFonts w:ascii="Times New Roman" w:hAnsi="Times New Roman" w:cs="Times New Roman"/>
          <w:sz w:val="24"/>
          <w:szCs w:val="24"/>
        </w:rPr>
      </w:pPr>
    </w:p>
    <w:p w14:paraId="5CECBDED" w14:textId="4BDA7B22" w:rsidR="00703D87" w:rsidRPr="005B29BB" w:rsidRDefault="00703D87" w:rsidP="005B29BB">
      <w:pPr>
        <w:pStyle w:val="ListParagraph"/>
        <w:numPr>
          <w:ilvl w:val="2"/>
          <w:numId w:val="8"/>
        </w:numPr>
        <w:rPr>
          <w:rFonts w:ascii="Times New Roman" w:hAnsi="Times New Roman" w:cs="Times New Roman"/>
          <w:sz w:val="24"/>
          <w:szCs w:val="24"/>
        </w:rPr>
      </w:pPr>
      <w:r w:rsidRPr="005B29BB">
        <w:rPr>
          <w:rFonts w:ascii="Times New Roman" w:hAnsi="Times New Roman" w:cs="Times New Roman"/>
          <w:sz w:val="24"/>
          <w:szCs w:val="24"/>
        </w:rPr>
        <w:br w:type="page"/>
      </w:r>
    </w:p>
    <w:p w14:paraId="713EC54A" w14:textId="77777777" w:rsidR="00703D87" w:rsidRPr="00390719" w:rsidRDefault="00703D87" w:rsidP="005B29BB">
      <w:pPr>
        <w:pStyle w:val="Heading1"/>
        <w:rPr>
          <w:rFonts w:ascii="Times New Roman" w:hAnsi="Times New Roman" w:cs="Times New Roman"/>
          <w:b/>
          <w:color w:val="auto"/>
          <w:sz w:val="24"/>
          <w:szCs w:val="24"/>
        </w:rPr>
        <w:sectPr w:rsidR="00703D87" w:rsidRPr="00390719" w:rsidSect="00BE010B">
          <w:footerReference w:type="default" r:id="rId8"/>
          <w:pgSz w:w="11906" w:h="16838"/>
          <w:pgMar w:top="720" w:right="720" w:bottom="720" w:left="720" w:header="709" w:footer="709" w:gutter="0"/>
          <w:cols w:space="708"/>
          <w:docGrid w:linePitch="360"/>
        </w:sectPr>
      </w:pPr>
    </w:p>
    <w:p w14:paraId="013F0C43" w14:textId="43AB8A71" w:rsidR="00703D87" w:rsidRDefault="00703D87" w:rsidP="00703D87">
      <w:pPr>
        <w:pStyle w:val="Heading1"/>
        <w:rPr>
          <w:rFonts w:ascii="Times New Roman" w:hAnsi="Times New Roman" w:cs="Times New Roman"/>
          <w:b/>
          <w:color w:val="auto"/>
          <w:sz w:val="24"/>
          <w:szCs w:val="24"/>
        </w:rPr>
      </w:pPr>
      <w:r w:rsidRPr="00390719">
        <w:rPr>
          <w:rFonts w:ascii="Times New Roman" w:hAnsi="Times New Roman" w:cs="Times New Roman"/>
          <w:b/>
          <w:color w:val="auto"/>
          <w:sz w:val="24"/>
          <w:szCs w:val="24"/>
        </w:rPr>
        <w:lastRenderedPageBreak/>
        <w:t>Appendix C</w:t>
      </w:r>
      <w:r w:rsidR="00B87347" w:rsidRPr="00390719">
        <w:rPr>
          <w:rFonts w:ascii="Times New Roman" w:hAnsi="Times New Roman" w:cs="Times New Roman"/>
          <w:b/>
          <w:color w:val="auto"/>
          <w:sz w:val="24"/>
          <w:szCs w:val="24"/>
        </w:rPr>
        <w:t xml:space="preserve"> </w:t>
      </w:r>
    </w:p>
    <w:p w14:paraId="26EAFC6D" w14:textId="71DFEE45" w:rsidR="007B65E2" w:rsidRDefault="007B65E2" w:rsidP="007B65E2"/>
    <w:tbl>
      <w:tblPr>
        <w:tblW w:w="15393" w:type="dxa"/>
        <w:tblInd w:w="-5" w:type="dxa"/>
        <w:tblLayout w:type="fixed"/>
        <w:tblLook w:val="04A0" w:firstRow="1" w:lastRow="0" w:firstColumn="1" w:lastColumn="0" w:noHBand="0" w:noVBand="1"/>
      </w:tblPr>
      <w:tblGrid>
        <w:gridCol w:w="931"/>
        <w:gridCol w:w="1260"/>
        <w:gridCol w:w="1070"/>
        <w:gridCol w:w="992"/>
        <w:gridCol w:w="992"/>
        <w:gridCol w:w="894"/>
        <w:gridCol w:w="930"/>
        <w:gridCol w:w="922"/>
        <w:gridCol w:w="922"/>
        <w:gridCol w:w="930"/>
        <w:gridCol w:w="1072"/>
        <w:gridCol w:w="992"/>
        <w:gridCol w:w="742"/>
        <w:gridCol w:w="906"/>
        <w:gridCol w:w="908"/>
        <w:gridCol w:w="930"/>
      </w:tblGrid>
      <w:tr w:rsidR="003F6084" w:rsidRPr="007B65E2" w14:paraId="57CB740D" w14:textId="77777777" w:rsidTr="00385AEA">
        <w:trPr>
          <w:trHeight w:val="1470"/>
        </w:trPr>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B6D2BA" w14:textId="77777777" w:rsidR="007B65E2" w:rsidRPr="007B65E2" w:rsidRDefault="007B65E2" w:rsidP="007B65E2">
            <w:pPr>
              <w:spacing w:after="0" w:line="240" w:lineRule="auto"/>
              <w:jc w:val="center"/>
              <w:rPr>
                <w:rFonts w:ascii="Calibri" w:eastAsia="Times New Roman" w:hAnsi="Calibri" w:cs="Calibri"/>
                <w:b/>
                <w:bCs/>
                <w:color w:val="000000"/>
                <w:sz w:val="14"/>
                <w:lang w:eastAsia="zh-CN"/>
              </w:rPr>
            </w:pPr>
            <w:r w:rsidRPr="007B65E2">
              <w:rPr>
                <w:rFonts w:ascii="Calibri" w:eastAsia="Times New Roman" w:hAnsi="Calibri" w:cs="Calibri"/>
                <w:b/>
                <w:bCs/>
                <w:color w:val="000000"/>
                <w:sz w:val="14"/>
                <w:lang w:eastAsia="zh-CN"/>
              </w:rPr>
              <w:t>Concept/ Segmentation Schemes</w:t>
            </w:r>
          </w:p>
        </w:tc>
        <w:tc>
          <w:tcPr>
            <w:tcW w:w="1260" w:type="dxa"/>
            <w:tcBorders>
              <w:top w:val="single" w:sz="4" w:space="0" w:color="auto"/>
              <w:left w:val="nil"/>
              <w:bottom w:val="single" w:sz="4" w:space="0" w:color="auto"/>
              <w:right w:val="single" w:sz="4" w:space="0" w:color="auto"/>
            </w:tcBorders>
            <w:shd w:val="clear" w:color="000000" w:fill="4F81BD"/>
            <w:vAlign w:val="center"/>
            <w:hideMark/>
          </w:tcPr>
          <w:p w14:paraId="5BBEDFD1" w14:textId="77777777" w:rsidR="007B65E2" w:rsidRPr="007B65E2" w:rsidRDefault="007B65E2" w:rsidP="007B65E2">
            <w:pPr>
              <w:spacing w:after="0" w:line="240" w:lineRule="auto"/>
              <w:jc w:val="center"/>
              <w:rPr>
                <w:rFonts w:ascii="Calibri" w:eastAsia="Times New Roman" w:hAnsi="Calibri" w:cs="Calibri"/>
                <w:b/>
                <w:bCs/>
                <w:color w:val="FFFFFF"/>
                <w:sz w:val="14"/>
                <w:lang w:eastAsia="zh-CN"/>
              </w:rPr>
            </w:pPr>
            <w:r w:rsidRPr="007B65E2">
              <w:rPr>
                <w:rFonts w:ascii="Calibri" w:eastAsia="Times New Roman" w:hAnsi="Calibri" w:cs="Calibri"/>
                <w:b/>
                <w:bCs/>
                <w:color w:val="FFFFFF"/>
                <w:sz w:val="14"/>
                <w:lang w:eastAsia="zh-CN"/>
              </w:rPr>
              <w:t>Delaware Population Grouping</w:t>
            </w:r>
          </w:p>
        </w:tc>
        <w:tc>
          <w:tcPr>
            <w:tcW w:w="1070" w:type="dxa"/>
            <w:tcBorders>
              <w:top w:val="single" w:sz="4" w:space="0" w:color="auto"/>
              <w:left w:val="nil"/>
              <w:bottom w:val="single" w:sz="4" w:space="0" w:color="auto"/>
              <w:right w:val="single" w:sz="4" w:space="0" w:color="auto"/>
            </w:tcBorders>
            <w:shd w:val="clear" w:color="000000" w:fill="4F81BD"/>
            <w:vAlign w:val="center"/>
            <w:hideMark/>
          </w:tcPr>
          <w:p w14:paraId="449D423F" w14:textId="77777777" w:rsidR="007B65E2" w:rsidRPr="007B65E2" w:rsidRDefault="007B65E2" w:rsidP="007B65E2">
            <w:pPr>
              <w:spacing w:after="0" w:line="240" w:lineRule="auto"/>
              <w:jc w:val="center"/>
              <w:rPr>
                <w:rFonts w:ascii="Calibri" w:eastAsia="Times New Roman" w:hAnsi="Calibri" w:cs="Calibri"/>
                <w:b/>
                <w:bCs/>
                <w:color w:val="FFFFFF"/>
                <w:sz w:val="14"/>
                <w:lang w:eastAsia="zh-CN"/>
              </w:rPr>
            </w:pPr>
            <w:r w:rsidRPr="007B65E2">
              <w:rPr>
                <w:rFonts w:ascii="Calibri" w:eastAsia="Times New Roman" w:hAnsi="Calibri" w:cs="Calibri"/>
                <w:b/>
                <w:bCs/>
                <w:color w:val="FFFFFF"/>
                <w:sz w:val="14"/>
                <w:lang w:eastAsia="zh-CN"/>
              </w:rPr>
              <w:t>British Columbia Health System Matrix</w:t>
            </w:r>
          </w:p>
        </w:tc>
        <w:tc>
          <w:tcPr>
            <w:tcW w:w="992" w:type="dxa"/>
            <w:tcBorders>
              <w:top w:val="single" w:sz="4" w:space="0" w:color="auto"/>
              <w:left w:val="nil"/>
              <w:bottom w:val="single" w:sz="4" w:space="0" w:color="auto"/>
              <w:right w:val="single" w:sz="4" w:space="0" w:color="auto"/>
            </w:tcBorders>
            <w:shd w:val="clear" w:color="4F81BD" w:fill="4F81BD"/>
            <w:vAlign w:val="center"/>
            <w:hideMark/>
          </w:tcPr>
          <w:p w14:paraId="60034540" w14:textId="77777777" w:rsidR="007B65E2" w:rsidRPr="007B65E2" w:rsidRDefault="007B65E2" w:rsidP="007B65E2">
            <w:pPr>
              <w:spacing w:after="0" w:line="240" w:lineRule="auto"/>
              <w:jc w:val="center"/>
              <w:rPr>
                <w:rFonts w:ascii="Calibri" w:eastAsia="Times New Roman" w:hAnsi="Calibri" w:cs="Calibri"/>
                <w:b/>
                <w:bCs/>
                <w:color w:val="FFFFFF"/>
                <w:sz w:val="14"/>
                <w:lang w:eastAsia="zh-CN"/>
              </w:rPr>
            </w:pPr>
            <w:r w:rsidRPr="007B65E2">
              <w:rPr>
                <w:rFonts w:ascii="Calibri" w:eastAsia="Times New Roman" w:hAnsi="Calibri" w:cs="Calibri"/>
                <w:b/>
                <w:bCs/>
                <w:color w:val="FFFFFF"/>
                <w:sz w:val="14"/>
                <w:lang w:eastAsia="zh-CN"/>
              </w:rPr>
              <w:t>Northwest London Segmentation Scheme</w:t>
            </w:r>
          </w:p>
        </w:tc>
        <w:tc>
          <w:tcPr>
            <w:tcW w:w="992" w:type="dxa"/>
            <w:tcBorders>
              <w:top w:val="single" w:sz="4" w:space="0" w:color="auto"/>
              <w:left w:val="nil"/>
              <w:bottom w:val="single" w:sz="4" w:space="0" w:color="auto"/>
              <w:right w:val="single" w:sz="4" w:space="0" w:color="auto"/>
            </w:tcBorders>
            <w:shd w:val="clear" w:color="4F81BD" w:fill="4F81BD"/>
            <w:vAlign w:val="center"/>
            <w:hideMark/>
          </w:tcPr>
          <w:p w14:paraId="78848455" w14:textId="77777777" w:rsidR="007B65E2" w:rsidRPr="007B65E2" w:rsidRDefault="007B65E2" w:rsidP="007B65E2">
            <w:pPr>
              <w:spacing w:after="0" w:line="240" w:lineRule="auto"/>
              <w:jc w:val="center"/>
              <w:rPr>
                <w:rFonts w:ascii="Calibri" w:eastAsia="Times New Roman" w:hAnsi="Calibri" w:cs="Calibri"/>
                <w:b/>
                <w:bCs/>
                <w:color w:val="FFFFFF"/>
                <w:sz w:val="14"/>
                <w:lang w:eastAsia="zh-CN"/>
              </w:rPr>
            </w:pPr>
            <w:r w:rsidRPr="007B65E2">
              <w:rPr>
                <w:rFonts w:ascii="Calibri" w:eastAsia="Times New Roman" w:hAnsi="Calibri" w:cs="Calibri"/>
                <w:b/>
                <w:bCs/>
                <w:color w:val="FFFFFF"/>
                <w:sz w:val="14"/>
                <w:lang w:eastAsia="zh-CN"/>
              </w:rPr>
              <w:t xml:space="preserve">Clinical Risk Group </w:t>
            </w:r>
          </w:p>
        </w:tc>
        <w:tc>
          <w:tcPr>
            <w:tcW w:w="894" w:type="dxa"/>
            <w:tcBorders>
              <w:top w:val="single" w:sz="4" w:space="0" w:color="auto"/>
              <w:left w:val="nil"/>
              <w:bottom w:val="single" w:sz="4" w:space="0" w:color="auto"/>
              <w:right w:val="single" w:sz="4" w:space="0" w:color="auto"/>
            </w:tcBorders>
            <w:shd w:val="clear" w:color="4F81BD" w:fill="4F81BD"/>
            <w:vAlign w:val="center"/>
            <w:hideMark/>
          </w:tcPr>
          <w:p w14:paraId="0ED5BA27" w14:textId="77777777" w:rsidR="007B65E2" w:rsidRPr="007B65E2" w:rsidRDefault="007B65E2" w:rsidP="007B65E2">
            <w:pPr>
              <w:spacing w:after="0" w:line="240" w:lineRule="auto"/>
              <w:jc w:val="center"/>
              <w:rPr>
                <w:rFonts w:ascii="Calibri" w:eastAsia="Times New Roman" w:hAnsi="Calibri" w:cs="Calibri"/>
                <w:b/>
                <w:bCs/>
                <w:color w:val="FFFFFF"/>
                <w:sz w:val="14"/>
                <w:lang w:eastAsia="zh-CN"/>
              </w:rPr>
            </w:pPr>
            <w:r w:rsidRPr="007B65E2">
              <w:rPr>
                <w:rFonts w:ascii="Calibri" w:eastAsia="Times New Roman" w:hAnsi="Calibri" w:cs="Calibri"/>
                <w:b/>
                <w:bCs/>
                <w:color w:val="FFFFFF"/>
                <w:sz w:val="14"/>
                <w:lang w:eastAsia="zh-CN"/>
              </w:rPr>
              <w:t xml:space="preserve">Bridges to Health </w:t>
            </w:r>
          </w:p>
        </w:tc>
        <w:tc>
          <w:tcPr>
            <w:tcW w:w="930" w:type="dxa"/>
            <w:tcBorders>
              <w:top w:val="single" w:sz="4" w:space="0" w:color="auto"/>
              <w:left w:val="nil"/>
              <w:bottom w:val="single" w:sz="4" w:space="0" w:color="auto"/>
              <w:right w:val="single" w:sz="4" w:space="0" w:color="auto"/>
            </w:tcBorders>
            <w:shd w:val="clear" w:color="4F81BD" w:fill="4F81BD"/>
            <w:vAlign w:val="center"/>
            <w:hideMark/>
          </w:tcPr>
          <w:p w14:paraId="385314A7" w14:textId="77777777" w:rsidR="007B65E2" w:rsidRPr="007B65E2" w:rsidRDefault="007B65E2" w:rsidP="007B65E2">
            <w:pPr>
              <w:spacing w:after="0" w:line="240" w:lineRule="auto"/>
              <w:jc w:val="center"/>
              <w:rPr>
                <w:rFonts w:ascii="Calibri" w:eastAsia="Times New Roman" w:hAnsi="Calibri" w:cs="Calibri"/>
                <w:b/>
                <w:bCs/>
                <w:color w:val="FFFFFF"/>
                <w:sz w:val="14"/>
                <w:lang w:eastAsia="zh-CN"/>
              </w:rPr>
            </w:pPr>
            <w:r w:rsidRPr="007B65E2">
              <w:rPr>
                <w:rFonts w:ascii="Calibri" w:eastAsia="Times New Roman" w:hAnsi="Calibri" w:cs="Calibri"/>
                <w:b/>
                <w:bCs/>
                <w:color w:val="FFFFFF"/>
                <w:sz w:val="14"/>
                <w:lang w:eastAsia="zh-CN"/>
              </w:rPr>
              <w:t>Lombardy Segmentation Scheme</w:t>
            </w:r>
          </w:p>
        </w:tc>
        <w:tc>
          <w:tcPr>
            <w:tcW w:w="922" w:type="dxa"/>
            <w:tcBorders>
              <w:top w:val="single" w:sz="4" w:space="0" w:color="auto"/>
              <w:left w:val="nil"/>
              <w:bottom w:val="single" w:sz="4" w:space="0" w:color="auto"/>
              <w:right w:val="single" w:sz="4" w:space="0" w:color="auto"/>
            </w:tcBorders>
            <w:shd w:val="clear" w:color="4F81BD" w:fill="4F81BD"/>
            <w:vAlign w:val="center"/>
            <w:hideMark/>
          </w:tcPr>
          <w:p w14:paraId="664C2421" w14:textId="77777777" w:rsidR="007B65E2" w:rsidRPr="007B65E2" w:rsidRDefault="007B65E2" w:rsidP="007B65E2">
            <w:pPr>
              <w:spacing w:after="0" w:line="240" w:lineRule="auto"/>
              <w:jc w:val="center"/>
              <w:rPr>
                <w:rFonts w:ascii="Calibri" w:eastAsia="Times New Roman" w:hAnsi="Calibri" w:cs="Calibri"/>
                <w:b/>
                <w:bCs/>
                <w:color w:val="FFFFFF"/>
                <w:sz w:val="14"/>
                <w:lang w:eastAsia="zh-CN"/>
              </w:rPr>
            </w:pPr>
            <w:proofErr w:type="spellStart"/>
            <w:r w:rsidRPr="007B65E2">
              <w:rPr>
                <w:rFonts w:ascii="Calibri" w:eastAsia="Times New Roman" w:hAnsi="Calibri" w:cs="Calibri"/>
                <w:b/>
                <w:bCs/>
                <w:color w:val="FFFFFF"/>
                <w:sz w:val="14"/>
                <w:lang w:eastAsia="zh-CN"/>
              </w:rPr>
              <w:t>Vuik</w:t>
            </w:r>
            <w:proofErr w:type="spellEnd"/>
            <w:r w:rsidRPr="007B65E2">
              <w:rPr>
                <w:rFonts w:ascii="Calibri" w:eastAsia="Times New Roman" w:hAnsi="Calibri" w:cs="Calibri"/>
                <w:b/>
                <w:bCs/>
                <w:color w:val="FFFFFF"/>
                <w:sz w:val="14"/>
                <w:lang w:eastAsia="zh-CN"/>
              </w:rPr>
              <w:t xml:space="preserve"> et </w:t>
            </w:r>
            <w:proofErr w:type="spellStart"/>
            <w:r w:rsidRPr="007B65E2">
              <w:rPr>
                <w:rFonts w:ascii="Calibri" w:eastAsia="Times New Roman" w:hAnsi="Calibri" w:cs="Calibri"/>
                <w:b/>
                <w:bCs/>
                <w:color w:val="FFFFFF"/>
                <w:sz w:val="14"/>
                <w:lang w:eastAsia="zh-CN"/>
              </w:rPr>
              <w:t>al's</w:t>
            </w:r>
            <w:proofErr w:type="spellEnd"/>
            <w:r w:rsidRPr="007B65E2">
              <w:rPr>
                <w:rFonts w:ascii="Calibri" w:eastAsia="Times New Roman" w:hAnsi="Calibri" w:cs="Calibri"/>
                <w:b/>
                <w:bCs/>
                <w:color w:val="FFFFFF"/>
                <w:sz w:val="14"/>
                <w:lang w:eastAsia="zh-CN"/>
              </w:rPr>
              <w:t xml:space="preserve"> </w:t>
            </w:r>
            <w:proofErr w:type="gramStart"/>
            <w:r w:rsidRPr="007B65E2">
              <w:rPr>
                <w:rFonts w:ascii="Calibri" w:eastAsia="Times New Roman" w:hAnsi="Calibri" w:cs="Calibri"/>
                <w:b/>
                <w:bCs/>
                <w:color w:val="FFFFFF"/>
                <w:sz w:val="14"/>
                <w:lang w:eastAsia="zh-CN"/>
              </w:rPr>
              <w:t>utilization based</w:t>
            </w:r>
            <w:proofErr w:type="gramEnd"/>
            <w:r w:rsidRPr="007B65E2">
              <w:rPr>
                <w:rFonts w:ascii="Calibri" w:eastAsia="Times New Roman" w:hAnsi="Calibri" w:cs="Calibri"/>
                <w:b/>
                <w:bCs/>
                <w:color w:val="FFFFFF"/>
                <w:sz w:val="14"/>
                <w:lang w:eastAsia="zh-CN"/>
              </w:rPr>
              <w:t xml:space="preserve"> segmentation</w:t>
            </w:r>
          </w:p>
        </w:tc>
        <w:tc>
          <w:tcPr>
            <w:tcW w:w="922" w:type="dxa"/>
            <w:tcBorders>
              <w:top w:val="single" w:sz="4" w:space="0" w:color="auto"/>
              <w:left w:val="nil"/>
              <w:bottom w:val="single" w:sz="4" w:space="0" w:color="auto"/>
              <w:right w:val="single" w:sz="4" w:space="0" w:color="auto"/>
            </w:tcBorders>
            <w:shd w:val="clear" w:color="4F81BD" w:fill="4F81BD"/>
            <w:vAlign w:val="center"/>
            <w:hideMark/>
          </w:tcPr>
          <w:p w14:paraId="1213018C" w14:textId="77777777" w:rsidR="007B65E2" w:rsidRPr="007B65E2" w:rsidRDefault="007B65E2" w:rsidP="007B65E2">
            <w:pPr>
              <w:spacing w:after="0" w:line="240" w:lineRule="auto"/>
              <w:jc w:val="center"/>
              <w:rPr>
                <w:rFonts w:ascii="Calibri" w:eastAsia="Times New Roman" w:hAnsi="Calibri" w:cs="Calibri"/>
                <w:b/>
                <w:bCs/>
                <w:color w:val="FFFFFF"/>
                <w:sz w:val="14"/>
                <w:lang w:eastAsia="zh-CN"/>
              </w:rPr>
            </w:pPr>
            <w:r w:rsidRPr="007B65E2">
              <w:rPr>
                <w:rFonts w:ascii="Calibri" w:eastAsia="Times New Roman" w:hAnsi="Calibri" w:cs="Calibri"/>
                <w:b/>
                <w:bCs/>
                <w:color w:val="FFFFFF"/>
                <w:sz w:val="14"/>
                <w:lang w:eastAsia="zh-CN"/>
              </w:rPr>
              <w:t xml:space="preserve">Joynt et </w:t>
            </w:r>
            <w:proofErr w:type="spellStart"/>
            <w:r w:rsidRPr="007B65E2">
              <w:rPr>
                <w:rFonts w:ascii="Calibri" w:eastAsia="Times New Roman" w:hAnsi="Calibri" w:cs="Calibri"/>
                <w:b/>
                <w:bCs/>
                <w:color w:val="FFFFFF"/>
                <w:sz w:val="14"/>
                <w:lang w:eastAsia="zh-CN"/>
              </w:rPr>
              <w:t>al's</w:t>
            </w:r>
            <w:proofErr w:type="spellEnd"/>
            <w:r w:rsidRPr="007B65E2">
              <w:rPr>
                <w:rFonts w:ascii="Calibri" w:eastAsia="Times New Roman" w:hAnsi="Calibri" w:cs="Calibri"/>
                <w:b/>
                <w:bCs/>
                <w:color w:val="FFFFFF"/>
                <w:sz w:val="14"/>
                <w:lang w:eastAsia="zh-CN"/>
              </w:rPr>
              <w:t xml:space="preserve"> Medicare </w:t>
            </w:r>
            <w:proofErr w:type="gramStart"/>
            <w:r w:rsidRPr="007B65E2">
              <w:rPr>
                <w:rFonts w:ascii="Calibri" w:eastAsia="Times New Roman" w:hAnsi="Calibri" w:cs="Calibri"/>
                <w:b/>
                <w:bCs/>
                <w:color w:val="FFFFFF"/>
                <w:sz w:val="14"/>
                <w:lang w:eastAsia="zh-CN"/>
              </w:rPr>
              <w:t>claims based</w:t>
            </w:r>
            <w:proofErr w:type="gramEnd"/>
            <w:r w:rsidRPr="007B65E2">
              <w:rPr>
                <w:rFonts w:ascii="Calibri" w:eastAsia="Times New Roman" w:hAnsi="Calibri" w:cs="Calibri"/>
                <w:b/>
                <w:bCs/>
                <w:color w:val="FFFFFF"/>
                <w:sz w:val="14"/>
                <w:lang w:eastAsia="zh-CN"/>
              </w:rPr>
              <w:t xml:space="preserve"> segmentation</w:t>
            </w:r>
          </w:p>
        </w:tc>
        <w:tc>
          <w:tcPr>
            <w:tcW w:w="930" w:type="dxa"/>
            <w:tcBorders>
              <w:top w:val="single" w:sz="4" w:space="0" w:color="auto"/>
              <w:left w:val="nil"/>
              <w:bottom w:val="single" w:sz="4" w:space="0" w:color="auto"/>
              <w:right w:val="single" w:sz="4" w:space="0" w:color="auto"/>
            </w:tcBorders>
            <w:shd w:val="clear" w:color="4F81BD" w:fill="4F81BD"/>
            <w:vAlign w:val="center"/>
            <w:hideMark/>
          </w:tcPr>
          <w:p w14:paraId="7E2F1F7D" w14:textId="77777777" w:rsidR="007B65E2" w:rsidRPr="007B65E2" w:rsidRDefault="007B65E2" w:rsidP="007B65E2">
            <w:pPr>
              <w:spacing w:after="0" w:line="240" w:lineRule="auto"/>
              <w:jc w:val="center"/>
              <w:rPr>
                <w:rFonts w:ascii="Calibri" w:eastAsia="Times New Roman" w:hAnsi="Calibri" w:cs="Calibri"/>
                <w:b/>
                <w:bCs/>
                <w:color w:val="FFFFFF"/>
                <w:sz w:val="14"/>
                <w:lang w:eastAsia="zh-CN"/>
              </w:rPr>
            </w:pPr>
            <w:r w:rsidRPr="007B65E2">
              <w:rPr>
                <w:rFonts w:ascii="Calibri" w:eastAsia="Times New Roman" w:hAnsi="Calibri" w:cs="Calibri"/>
                <w:b/>
                <w:bCs/>
                <w:color w:val="FFFFFF"/>
                <w:sz w:val="14"/>
                <w:lang w:eastAsia="zh-CN"/>
              </w:rPr>
              <w:t>Singapore MOH Segmentation framework</w:t>
            </w:r>
          </w:p>
        </w:tc>
        <w:tc>
          <w:tcPr>
            <w:tcW w:w="1072" w:type="dxa"/>
            <w:tcBorders>
              <w:top w:val="single" w:sz="4" w:space="0" w:color="auto"/>
              <w:left w:val="nil"/>
              <w:bottom w:val="single" w:sz="4" w:space="0" w:color="auto"/>
              <w:right w:val="single" w:sz="4" w:space="0" w:color="auto"/>
            </w:tcBorders>
            <w:shd w:val="clear" w:color="4F81BD" w:fill="4F81BD"/>
            <w:vAlign w:val="center"/>
            <w:hideMark/>
          </w:tcPr>
          <w:p w14:paraId="70D7F11F" w14:textId="77777777" w:rsidR="007B65E2" w:rsidRPr="007B65E2" w:rsidRDefault="007B65E2" w:rsidP="007B65E2">
            <w:pPr>
              <w:spacing w:after="0" w:line="240" w:lineRule="auto"/>
              <w:jc w:val="center"/>
              <w:rPr>
                <w:rFonts w:ascii="Calibri" w:eastAsia="Times New Roman" w:hAnsi="Calibri" w:cs="Calibri"/>
                <w:b/>
                <w:bCs/>
                <w:color w:val="FFFFFF"/>
                <w:sz w:val="14"/>
                <w:lang w:eastAsia="zh-CN"/>
              </w:rPr>
            </w:pPr>
            <w:r w:rsidRPr="007B65E2">
              <w:rPr>
                <w:rFonts w:ascii="Calibri" w:eastAsia="Times New Roman" w:hAnsi="Calibri" w:cs="Calibri"/>
                <w:b/>
                <w:bCs/>
                <w:color w:val="FFFFFF"/>
                <w:sz w:val="14"/>
                <w:lang w:eastAsia="zh-CN"/>
              </w:rPr>
              <w:t xml:space="preserve">Low et </w:t>
            </w:r>
            <w:proofErr w:type="spellStart"/>
            <w:r w:rsidRPr="007B65E2">
              <w:rPr>
                <w:rFonts w:ascii="Calibri" w:eastAsia="Times New Roman" w:hAnsi="Calibri" w:cs="Calibri"/>
                <w:b/>
                <w:bCs/>
                <w:color w:val="FFFFFF"/>
                <w:sz w:val="14"/>
                <w:lang w:eastAsia="zh-CN"/>
              </w:rPr>
              <w:t>al's</w:t>
            </w:r>
            <w:proofErr w:type="spellEnd"/>
            <w:r w:rsidRPr="007B65E2">
              <w:rPr>
                <w:rFonts w:ascii="Calibri" w:eastAsia="Times New Roman" w:hAnsi="Calibri" w:cs="Calibri"/>
                <w:b/>
                <w:bCs/>
                <w:color w:val="FFFFFF"/>
                <w:sz w:val="14"/>
                <w:lang w:eastAsia="zh-CN"/>
              </w:rPr>
              <w:t xml:space="preserve"> </w:t>
            </w:r>
            <w:proofErr w:type="gramStart"/>
            <w:r w:rsidRPr="007B65E2">
              <w:rPr>
                <w:rFonts w:ascii="Calibri" w:eastAsia="Times New Roman" w:hAnsi="Calibri" w:cs="Calibri"/>
                <w:b/>
                <w:bCs/>
                <w:color w:val="FFFFFF"/>
                <w:sz w:val="14"/>
                <w:lang w:eastAsia="zh-CN"/>
              </w:rPr>
              <w:t>utilization based</w:t>
            </w:r>
            <w:proofErr w:type="gramEnd"/>
            <w:r w:rsidRPr="007B65E2">
              <w:rPr>
                <w:rFonts w:ascii="Calibri" w:eastAsia="Times New Roman" w:hAnsi="Calibri" w:cs="Calibri"/>
                <w:b/>
                <w:bCs/>
                <w:color w:val="FFFFFF"/>
                <w:sz w:val="14"/>
                <w:lang w:eastAsia="zh-CN"/>
              </w:rPr>
              <w:t xml:space="preserve"> segmentation</w:t>
            </w:r>
          </w:p>
        </w:tc>
        <w:tc>
          <w:tcPr>
            <w:tcW w:w="992" w:type="dxa"/>
            <w:tcBorders>
              <w:top w:val="single" w:sz="4" w:space="0" w:color="auto"/>
              <w:left w:val="nil"/>
              <w:bottom w:val="single" w:sz="4" w:space="0" w:color="auto"/>
              <w:right w:val="single" w:sz="4" w:space="0" w:color="auto"/>
            </w:tcBorders>
            <w:shd w:val="clear" w:color="4F81BD" w:fill="4F81BD"/>
            <w:vAlign w:val="center"/>
            <w:hideMark/>
          </w:tcPr>
          <w:p w14:paraId="274A3610" w14:textId="77777777" w:rsidR="007B65E2" w:rsidRPr="007B65E2" w:rsidRDefault="007B65E2" w:rsidP="007B65E2">
            <w:pPr>
              <w:spacing w:after="0" w:line="240" w:lineRule="auto"/>
              <w:jc w:val="center"/>
              <w:rPr>
                <w:rFonts w:ascii="Calibri" w:eastAsia="Times New Roman" w:hAnsi="Calibri" w:cs="Calibri"/>
                <w:b/>
                <w:bCs/>
                <w:color w:val="FFFFFF"/>
                <w:sz w:val="14"/>
                <w:lang w:eastAsia="zh-CN"/>
              </w:rPr>
            </w:pPr>
            <w:r w:rsidRPr="007B65E2">
              <w:rPr>
                <w:rFonts w:ascii="Calibri" w:eastAsia="Times New Roman" w:hAnsi="Calibri" w:cs="Calibri"/>
                <w:b/>
                <w:bCs/>
                <w:color w:val="FFFFFF"/>
                <w:sz w:val="14"/>
                <w:lang w:eastAsia="zh-CN"/>
              </w:rPr>
              <w:t>Demand-driven Care Segmentation Model</w:t>
            </w:r>
          </w:p>
        </w:tc>
        <w:tc>
          <w:tcPr>
            <w:tcW w:w="742" w:type="dxa"/>
            <w:tcBorders>
              <w:top w:val="single" w:sz="4" w:space="0" w:color="auto"/>
              <w:left w:val="nil"/>
              <w:bottom w:val="single" w:sz="4" w:space="0" w:color="auto"/>
              <w:right w:val="single" w:sz="4" w:space="0" w:color="auto"/>
            </w:tcBorders>
            <w:shd w:val="clear" w:color="4F81BD" w:fill="4F81BD"/>
            <w:vAlign w:val="center"/>
            <w:hideMark/>
          </w:tcPr>
          <w:p w14:paraId="6508CAC5" w14:textId="77777777" w:rsidR="007B65E2" w:rsidRPr="007B65E2" w:rsidRDefault="007B65E2" w:rsidP="007B65E2">
            <w:pPr>
              <w:spacing w:after="0" w:line="240" w:lineRule="auto"/>
              <w:jc w:val="center"/>
              <w:rPr>
                <w:rFonts w:ascii="Calibri" w:eastAsia="Times New Roman" w:hAnsi="Calibri" w:cs="Calibri"/>
                <w:b/>
                <w:bCs/>
                <w:color w:val="FFFFFF"/>
                <w:sz w:val="14"/>
                <w:lang w:eastAsia="zh-CN"/>
              </w:rPr>
            </w:pPr>
            <w:r w:rsidRPr="007B65E2">
              <w:rPr>
                <w:rFonts w:ascii="Calibri" w:eastAsia="Times New Roman" w:hAnsi="Calibri" w:cs="Calibri"/>
                <w:b/>
                <w:bCs/>
                <w:color w:val="FFFFFF"/>
                <w:sz w:val="14"/>
                <w:lang w:eastAsia="zh-CN"/>
              </w:rPr>
              <w:t>LCA of Taiwan NHIS</w:t>
            </w:r>
          </w:p>
        </w:tc>
        <w:tc>
          <w:tcPr>
            <w:tcW w:w="906" w:type="dxa"/>
            <w:tcBorders>
              <w:top w:val="single" w:sz="4" w:space="0" w:color="auto"/>
              <w:left w:val="nil"/>
              <w:bottom w:val="single" w:sz="4" w:space="0" w:color="auto"/>
              <w:right w:val="single" w:sz="4" w:space="0" w:color="auto"/>
            </w:tcBorders>
            <w:shd w:val="clear" w:color="4F81BD" w:fill="4F81BD"/>
            <w:vAlign w:val="center"/>
            <w:hideMark/>
          </w:tcPr>
          <w:p w14:paraId="1D57C1EF" w14:textId="77777777" w:rsidR="007B65E2" w:rsidRPr="007B65E2" w:rsidRDefault="007B65E2" w:rsidP="007B65E2">
            <w:pPr>
              <w:spacing w:after="0" w:line="240" w:lineRule="auto"/>
              <w:jc w:val="center"/>
              <w:rPr>
                <w:rFonts w:ascii="Calibri" w:eastAsia="Times New Roman" w:hAnsi="Calibri" w:cs="Calibri"/>
                <w:b/>
                <w:bCs/>
                <w:color w:val="FFFFFF"/>
                <w:sz w:val="14"/>
                <w:lang w:eastAsia="zh-CN"/>
              </w:rPr>
            </w:pPr>
            <w:r w:rsidRPr="007B65E2">
              <w:rPr>
                <w:rFonts w:ascii="Calibri" w:eastAsia="Times New Roman" w:hAnsi="Calibri" w:cs="Calibri"/>
                <w:b/>
                <w:bCs/>
                <w:color w:val="FFFFFF"/>
                <w:sz w:val="14"/>
                <w:lang w:eastAsia="zh-CN"/>
              </w:rPr>
              <w:t>LCA of SIPA Trial</w:t>
            </w:r>
          </w:p>
        </w:tc>
        <w:tc>
          <w:tcPr>
            <w:tcW w:w="908" w:type="dxa"/>
            <w:tcBorders>
              <w:top w:val="single" w:sz="4" w:space="0" w:color="auto"/>
              <w:left w:val="nil"/>
              <w:bottom w:val="single" w:sz="4" w:space="0" w:color="auto"/>
              <w:right w:val="single" w:sz="4" w:space="0" w:color="auto"/>
            </w:tcBorders>
            <w:shd w:val="clear" w:color="4F81BD" w:fill="4F81BD"/>
            <w:vAlign w:val="center"/>
            <w:hideMark/>
          </w:tcPr>
          <w:p w14:paraId="4AB7A38C" w14:textId="77777777" w:rsidR="007B65E2" w:rsidRPr="007B65E2" w:rsidRDefault="007B65E2" w:rsidP="007B65E2">
            <w:pPr>
              <w:spacing w:after="0" w:line="240" w:lineRule="auto"/>
              <w:jc w:val="center"/>
              <w:rPr>
                <w:rFonts w:ascii="Calibri" w:eastAsia="Times New Roman" w:hAnsi="Calibri" w:cs="Calibri"/>
                <w:b/>
                <w:bCs/>
                <w:color w:val="FFFFFF"/>
                <w:sz w:val="14"/>
                <w:lang w:eastAsia="zh-CN"/>
              </w:rPr>
            </w:pPr>
            <w:proofErr w:type="spellStart"/>
            <w:r w:rsidRPr="007B65E2">
              <w:rPr>
                <w:rFonts w:ascii="Calibri" w:eastAsia="Times New Roman" w:hAnsi="Calibri" w:cs="Calibri"/>
                <w:b/>
                <w:bCs/>
                <w:color w:val="FFFFFF"/>
                <w:sz w:val="14"/>
                <w:lang w:eastAsia="zh-CN"/>
              </w:rPr>
              <w:t>Complexedex</w:t>
            </w:r>
            <w:proofErr w:type="spellEnd"/>
            <w:r w:rsidRPr="007B65E2">
              <w:rPr>
                <w:rFonts w:ascii="Calibri" w:eastAsia="Times New Roman" w:hAnsi="Calibri" w:cs="Calibri"/>
                <w:b/>
                <w:bCs/>
                <w:color w:val="FFFFFF"/>
                <w:sz w:val="14"/>
                <w:lang w:eastAsia="zh-CN"/>
              </w:rPr>
              <w:t xml:space="preserve"> </w:t>
            </w:r>
          </w:p>
        </w:tc>
        <w:tc>
          <w:tcPr>
            <w:tcW w:w="930" w:type="dxa"/>
            <w:tcBorders>
              <w:top w:val="single" w:sz="4" w:space="0" w:color="auto"/>
              <w:left w:val="nil"/>
              <w:bottom w:val="single" w:sz="4" w:space="0" w:color="auto"/>
              <w:right w:val="single" w:sz="4" w:space="0" w:color="auto"/>
            </w:tcBorders>
            <w:shd w:val="clear" w:color="4F81BD" w:fill="4F81BD"/>
            <w:vAlign w:val="center"/>
            <w:hideMark/>
          </w:tcPr>
          <w:p w14:paraId="020A14C5" w14:textId="77777777" w:rsidR="007B65E2" w:rsidRPr="007B65E2" w:rsidRDefault="007B65E2" w:rsidP="007B65E2">
            <w:pPr>
              <w:spacing w:after="0" w:line="240" w:lineRule="auto"/>
              <w:jc w:val="center"/>
              <w:rPr>
                <w:rFonts w:ascii="Calibri" w:eastAsia="Times New Roman" w:hAnsi="Calibri" w:cs="Calibri"/>
                <w:b/>
                <w:bCs/>
                <w:color w:val="FFFFFF"/>
                <w:sz w:val="14"/>
                <w:lang w:eastAsia="zh-CN"/>
              </w:rPr>
            </w:pPr>
            <w:r w:rsidRPr="007B65E2">
              <w:rPr>
                <w:rFonts w:ascii="Calibri" w:eastAsia="Times New Roman" w:hAnsi="Calibri" w:cs="Calibri"/>
                <w:b/>
                <w:bCs/>
                <w:color w:val="FFFFFF"/>
                <w:sz w:val="14"/>
                <w:lang w:eastAsia="zh-CN"/>
              </w:rPr>
              <w:t xml:space="preserve">Senior Segmentation Algorithm </w:t>
            </w:r>
          </w:p>
        </w:tc>
      </w:tr>
      <w:tr w:rsidR="003F6084" w:rsidRPr="003F6084" w14:paraId="7DBF88C9" w14:textId="77777777" w:rsidTr="00385AEA">
        <w:trPr>
          <w:trHeight w:val="870"/>
        </w:trPr>
        <w:tc>
          <w:tcPr>
            <w:tcW w:w="9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2FF031" w14:textId="77777777" w:rsidR="003F6084" w:rsidRPr="003F6084" w:rsidRDefault="003F6084" w:rsidP="003F6084">
            <w:pPr>
              <w:spacing w:after="0" w:line="240" w:lineRule="auto"/>
              <w:jc w:val="center"/>
              <w:rPr>
                <w:rFonts w:ascii="Calibri" w:eastAsia="Times New Roman" w:hAnsi="Calibri" w:cs="Calibri"/>
                <w:b/>
                <w:bCs/>
                <w:color w:val="000000"/>
                <w:sz w:val="18"/>
                <w:lang w:eastAsia="zh-CN"/>
              </w:rPr>
            </w:pPr>
            <w:r w:rsidRPr="003F6084">
              <w:rPr>
                <w:rFonts w:ascii="Calibri" w:eastAsia="Times New Roman" w:hAnsi="Calibri" w:cs="Calibri"/>
                <w:b/>
                <w:bCs/>
                <w:color w:val="000000"/>
                <w:sz w:val="18"/>
                <w:lang w:eastAsia="zh-CN"/>
              </w:rPr>
              <w:t>Healthy</w:t>
            </w:r>
          </w:p>
        </w:tc>
        <w:tc>
          <w:tcPr>
            <w:tcW w:w="1260" w:type="dxa"/>
            <w:tcBorders>
              <w:top w:val="nil"/>
              <w:left w:val="nil"/>
              <w:bottom w:val="single" w:sz="4" w:space="0" w:color="auto"/>
              <w:right w:val="single" w:sz="4" w:space="0" w:color="auto"/>
            </w:tcBorders>
            <w:shd w:val="clear" w:color="000000" w:fill="C6EFCE"/>
            <w:vAlign w:val="center"/>
            <w:hideMark/>
          </w:tcPr>
          <w:p w14:paraId="511E4DA2" w14:textId="1E6A888F"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hAnsi="Calibri" w:cs="Calibri"/>
                <w:b/>
                <w:color w:val="006100"/>
                <w:sz w:val="16"/>
              </w:rPr>
              <w:t>Infants with No chronic conditions</w:t>
            </w:r>
          </w:p>
        </w:tc>
        <w:tc>
          <w:tcPr>
            <w:tcW w:w="1070" w:type="dxa"/>
            <w:tcBorders>
              <w:top w:val="nil"/>
              <w:left w:val="nil"/>
              <w:bottom w:val="single" w:sz="4" w:space="0" w:color="auto"/>
              <w:right w:val="single" w:sz="4" w:space="0" w:color="auto"/>
            </w:tcBorders>
            <w:shd w:val="clear" w:color="000000" w:fill="C6EFCE"/>
            <w:vAlign w:val="center"/>
            <w:hideMark/>
          </w:tcPr>
          <w:p w14:paraId="129524C8"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Healthy/ minor episodic health needs</w:t>
            </w:r>
          </w:p>
        </w:tc>
        <w:tc>
          <w:tcPr>
            <w:tcW w:w="992" w:type="dxa"/>
            <w:tcBorders>
              <w:top w:val="nil"/>
              <w:left w:val="nil"/>
              <w:bottom w:val="single" w:sz="4" w:space="0" w:color="auto"/>
              <w:right w:val="single" w:sz="4" w:space="0" w:color="auto"/>
            </w:tcBorders>
            <w:shd w:val="clear" w:color="000000" w:fill="C6EFCE"/>
            <w:vAlign w:val="center"/>
            <w:hideMark/>
          </w:tcPr>
          <w:p w14:paraId="7EB0D9D4"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Mostly healthy adults &lt;75 years old</w:t>
            </w:r>
          </w:p>
        </w:tc>
        <w:tc>
          <w:tcPr>
            <w:tcW w:w="992" w:type="dxa"/>
            <w:tcBorders>
              <w:top w:val="nil"/>
              <w:left w:val="nil"/>
              <w:bottom w:val="single" w:sz="4" w:space="0" w:color="auto"/>
              <w:right w:val="single" w:sz="4" w:space="0" w:color="auto"/>
            </w:tcBorders>
            <w:shd w:val="clear" w:color="000000" w:fill="C6EFCE"/>
            <w:vAlign w:val="center"/>
            <w:hideMark/>
          </w:tcPr>
          <w:p w14:paraId="61A19DAA"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Healthy</w:t>
            </w:r>
          </w:p>
        </w:tc>
        <w:tc>
          <w:tcPr>
            <w:tcW w:w="894" w:type="dxa"/>
            <w:tcBorders>
              <w:top w:val="nil"/>
              <w:left w:val="nil"/>
              <w:bottom w:val="single" w:sz="4" w:space="0" w:color="auto"/>
              <w:right w:val="single" w:sz="4" w:space="0" w:color="auto"/>
            </w:tcBorders>
            <w:shd w:val="clear" w:color="000000" w:fill="C6EFCE"/>
            <w:vAlign w:val="center"/>
            <w:hideMark/>
          </w:tcPr>
          <w:p w14:paraId="102A6225"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Healthy</w:t>
            </w:r>
          </w:p>
        </w:tc>
        <w:tc>
          <w:tcPr>
            <w:tcW w:w="930" w:type="dxa"/>
            <w:tcBorders>
              <w:top w:val="nil"/>
              <w:left w:val="nil"/>
              <w:bottom w:val="single" w:sz="4" w:space="0" w:color="auto"/>
              <w:right w:val="single" w:sz="4" w:space="0" w:color="auto"/>
            </w:tcBorders>
            <w:shd w:val="clear" w:color="000000" w:fill="C6EFCE"/>
            <w:vAlign w:val="center"/>
            <w:hideMark/>
          </w:tcPr>
          <w:p w14:paraId="4503E1AF"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Healthy</w:t>
            </w:r>
          </w:p>
        </w:tc>
        <w:tc>
          <w:tcPr>
            <w:tcW w:w="922" w:type="dxa"/>
            <w:tcBorders>
              <w:top w:val="nil"/>
              <w:left w:val="nil"/>
              <w:bottom w:val="single" w:sz="4" w:space="0" w:color="auto"/>
              <w:right w:val="single" w:sz="4" w:space="0" w:color="auto"/>
            </w:tcBorders>
            <w:shd w:val="clear" w:color="000000" w:fill="C6EFCE"/>
            <w:vAlign w:val="center"/>
            <w:hideMark/>
          </w:tcPr>
          <w:p w14:paraId="40F5D1E9"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Very low overall care use</w:t>
            </w:r>
          </w:p>
        </w:tc>
        <w:tc>
          <w:tcPr>
            <w:tcW w:w="922" w:type="dxa"/>
            <w:tcBorders>
              <w:top w:val="nil"/>
              <w:left w:val="nil"/>
              <w:bottom w:val="single" w:sz="4" w:space="0" w:color="auto"/>
              <w:right w:val="single" w:sz="4" w:space="0" w:color="auto"/>
            </w:tcBorders>
            <w:shd w:val="clear" w:color="000000" w:fill="C6EFCE"/>
            <w:vAlign w:val="center"/>
            <w:hideMark/>
          </w:tcPr>
          <w:p w14:paraId="3182C198"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Relatively healthy</w:t>
            </w:r>
          </w:p>
        </w:tc>
        <w:tc>
          <w:tcPr>
            <w:tcW w:w="930" w:type="dxa"/>
            <w:tcBorders>
              <w:top w:val="nil"/>
              <w:left w:val="nil"/>
              <w:bottom w:val="single" w:sz="4" w:space="0" w:color="auto"/>
              <w:right w:val="single" w:sz="4" w:space="0" w:color="auto"/>
            </w:tcBorders>
            <w:shd w:val="clear" w:color="000000" w:fill="C6EFCE"/>
            <w:vAlign w:val="center"/>
            <w:hideMark/>
          </w:tcPr>
          <w:p w14:paraId="0049B7EB"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Mostly healthy</w:t>
            </w:r>
          </w:p>
        </w:tc>
        <w:tc>
          <w:tcPr>
            <w:tcW w:w="1072" w:type="dxa"/>
            <w:tcBorders>
              <w:top w:val="nil"/>
              <w:left w:val="nil"/>
              <w:bottom w:val="single" w:sz="4" w:space="0" w:color="auto"/>
              <w:right w:val="single" w:sz="4" w:space="0" w:color="auto"/>
            </w:tcBorders>
            <w:shd w:val="clear" w:color="000000" w:fill="C6EFCE"/>
            <w:vAlign w:val="center"/>
            <w:hideMark/>
          </w:tcPr>
          <w:p w14:paraId="272161BA"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Young, healthy</w:t>
            </w:r>
          </w:p>
        </w:tc>
        <w:tc>
          <w:tcPr>
            <w:tcW w:w="992" w:type="dxa"/>
            <w:tcBorders>
              <w:top w:val="nil"/>
              <w:left w:val="nil"/>
              <w:bottom w:val="single" w:sz="4" w:space="0" w:color="auto"/>
              <w:right w:val="single" w:sz="4" w:space="0" w:color="auto"/>
            </w:tcBorders>
            <w:shd w:val="clear" w:color="000000" w:fill="C6EFCE"/>
            <w:vAlign w:val="center"/>
            <w:hideMark/>
          </w:tcPr>
          <w:p w14:paraId="46AEEE9E"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Feeling vital</w:t>
            </w:r>
          </w:p>
        </w:tc>
        <w:tc>
          <w:tcPr>
            <w:tcW w:w="742" w:type="dxa"/>
            <w:tcBorders>
              <w:top w:val="nil"/>
              <w:left w:val="nil"/>
              <w:bottom w:val="single" w:sz="4" w:space="0" w:color="auto"/>
              <w:right w:val="single" w:sz="4" w:space="0" w:color="auto"/>
            </w:tcBorders>
            <w:shd w:val="clear" w:color="000000" w:fill="C6EFCE"/>
            <w:vAlign w:val="center"/>
            <w:hideMark/>
          </w:tcPr>
          <w:p w14:paraId="400507A7"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Relatively healthy group</w:t>
            </w:r>
          </w:p>
        </w:tc>
        <w:tc>
          <w:tcPr>
            <w:tcW w:w="906" w:type="dxa"/>
            <w:tcBorders>
              <w:top w:val="nil"/>
              <w:left w:val="nil"/>
              <w:bottom w:val="single" w:sz="4" w:space="0" w:color="auto"/>
              <w:right w:val="single" w:sz="4" w:space="0" w:color="auto"/>
            </w:tcBorders>
            <w:shd w:val="clear" w:color="000000" w:fill="C6EFCE"/>
            <w:vAlign w:val="center"/>
            <w:hideMark/>
          </w:tcPr>
          <w:p w14:paraId="1C036CDC"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Relatively healthy group</w:t>
            </w:r>
          </w:p>
        </w:tc>
        <w:tc>
          <w:tcPr>
            <w:tcW w:w="908" w:type="dxa"/>
            <w:tcBorders>
              <w:top w:val="nil"/>
              <w:left w:val="nil"/>
              <w:bottom w:val="single" w:sz="4" w:space="0" w:color="auto"/>
              <w:right w:val="single" w:sz="4" w:space="0" w:color="auto"/>
            </w:tcBorders>
            <w:shd w:val="clear" w:color="000000" w:fill="C6EFCE"/>
            <w:vAlign w:val="center"/>
            <w:hideMark/>
          </w:tcPr>
          <w:p w14:paraId="4A73E992"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No chronic</w:t>
            </w:r>
          </w:p>
        </w:tc>
        <w:tc>
          <w:tcPr>
            <w:tcW w:w="930" w:type="dxa"/>
            <w:tcBorders>
              <w:top w:val="nil"/>
              <w:left w:val="nil"/>
              <w:bottom w:val="single" w:sz="4" w:space="0" w:color="auto"/>
              <w:right w:val="single" w:sz="4" w:space="0" w:color="auto"/>
            </w:tcBorders>
            <w:shd w:val="clear" w:color="000000" w:fill="C6EFCE"/>
            <w:vAlign w:val="center"/>
            <w:hideMark/>
          </w:tcPr>
          <w:p w14:paraId="5BD461FA"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Robust with no chronic conditions</w:t>
            </w:r>
          </w:p>
        </w:tc>
      </w:tr>
      <w:tr w:rsidR="003F6084" w:rsidRPr="003F6084" w14:paraId="14950E3F" w14:textId="77777777" w:rsidTr="00385AEA">
        <w:trPr>
          <w:trHeight w:val="1450"/>
        </w:trPr>
        <w:tc>
          <w:tcPr>
            <w:tcW w:w="931" w:type="dxa"/>
            <w:vMerge/>
            <w:tcBorders>
              <w:top w:val="nil"/>
              <w:left w:val="single" w:sz="4" w:space="0" w:color="auto"/>
              <w:bottom w:val="single" w:sz="4" w:space="0" w:color="000000"/>
              <w:right w:val="single" w:sz="4" w:space="0" w:color="auto"/>
            </w:tcBorders>
            <w:vAlign w:val="center"/>
            <w:hideMark/>
          </w:tcPr>
          <w:p w14:paraId="37EF8679"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single" w:sz="4" w:space="0" w:color="auto"/>
            </w:tcBorders>
            <w:shd w:val="clear" w:color="000000" w:fill="C6EFCE"/>
            <w:vAlign w:val="center"/>
            <w:hideMark/>
          </w:tcPr>
          <w:p w14:paraId="7B06A8BE" w14:textId="105A9142"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hAnsi="Calibri" w:cs="Calibri"/>
                <w:b/>
                <w:color w:val="006100"/>
                <w:sz w:val="16"/>
              </w:rPr>
              <w:t>Adolescents/</w:t>
            </w:r>
            <w:r w:rsidR="00E36CC7">
              <w:rPr>
                <w:rFonts w:ascii="Calibri" w:hAnsi="Calibri" w:cs="Calibri"/>
                <w:b/>
                <w:color w:val="006100"/>
                <w:sz w:val="16"/>
              </w:rPr>
              <w:t xml:space="preserve"> paediatrics</w:t>
            </w:r>
            <w:r w:rsidRPr="003F6084">
              <w:rPr>
                <w:rFonts w:ascii="Calibri" w:hAnsi="Calibri" w:cs="Calibri"/>
                <w:b/>
                <w:color w:val="006100"/>
                <w:sz w:val="16"/>
              </w:rPr>
              <w:t xml:space="preserve"> with No chronic conditions</w:t>
            </w:r>
          </w:p>
        </w:tc>
        <w:tc>
          <w:tcPr>
            <w:tcW w:w="1070" w:type="dxa"/>
            <w:tcBorders>
              <w:top w:val="nil"/>
              <w:left w:val="nil"/>
              <w:bottom w:val="single" w:sz="4" w:space="0" w:color="auto"/>
              <w:right w:val="single" w:sz="4" w:space="0" w:color="auto"/>
            </w:tcBorders>
            <w:shd w:val="clear" w:color="000000" w:fill="C6EFCE"/>
            <w:vAlign w:val="center"/>
            <w:hideMark/>
          </w:tcPr>
          <w:p w14:paraId="49848A97"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Healthy non-user</w:t>
            </w:r>
          </w:p>
        </w:tc>
        <w:tc>
          <w:tcPr>
            <w:tcW w:w="992" w:type="dxa"/>
            <w:tcBorders>
              <w:top w:val="nil"/>
              <w:left w:val="nil"/>
              <w:bottom w:val="single" w:sz="4" w:space="0" w:color="auto"/>
              <w:right w:val="single" w:sz="4" w:space="0" w:color="auto"/>
            </w:tcBorders>
            <w:shd w:val="clear" w:color="000000" w:fill="C6EFCE"/>
            <w:vAlign w:val="center"/>
            <w:hideMark/>
          </w:tcPr>
          <w:p w14:paraId="7CC5AF93"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Mostly healthy adults &gt;75 years old</w:t>
            </w:r>
          </w:p>
        </w:tc>
        <w:tc>
          <w:tcPr>
            <w:tcW w:w="992" w:type="dxa"/>
            <w:tcBorders>
              <w:top w:val="nil"/>
              <w:left w:val="nil"/>
              <w:bottom w:val="nil"/>
              <w:right w:val="nil"/>
            </w:tcBorders>
            <w:shd w:val="clear" w:color="auto" w:fill="auto"/>
            <w:noWrap/>
            <w:vAlign w:val="bottom"/>
            <w:hideMark/>
          </w:tcPr>
          <w:p w14:paraId="46ED89BF"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p>
        </w:tc>
        <w:tc>
          <w:tcPr>
            <w:tcW w:w="894" w:type="dxa"/>
            <w:tcBorders>
              <w:top w:val="nil"/>
              <w:left w:val="nil"/>
              <w:bottom w:val="nil"/>
              <w:right w:val="nil"/>
            </w:tcBorders>
            <w:shd w:val="clear" w:color="auto" w:fill="auto"/>
            <w:noWrap/>
            <w:vAlign w:val="bottom"/>
            <w:hideMark/>
          </w:tcPr>
          <w:p w14:paraId="21CA3B3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664F0DE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single" w:sz="4" w:space="0" w:color="auto"/>
              <w:bottom w:val="single" w:sz="4" w:space="0" w:color="auto"/>
              <w:right w:val="single" w:sz="4" w:space="0" w:color="auto"/>
            </w:tcBorders>
            <w:shd w:val="clear" w:color="000000" w:fill="C6EFCE"/>
            <w:vAlign w:val="center"/>
            <w:hideMark/>
          </w:tcPr>
          <w:p w14:paraId="01D5AECA"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Low primary care use</w:t>
            </w:r>
          </w:p>
        </w:tc>
        <w:tc>
          <w:tcPr>
            <w:tcW w:w="922" w:type="dxa"/>
            <w:tcBorders>
              <w:top w:val="nil"/>
              <w:left w:val="nil"/>
              <w:bottom w:val="nil"/>
              <w:right w:val="nil"/>
            </w:tcBorders>
            <w:shd w:val="clear" w:color="auto" w:fill="auto"/>
            <w:noWrap/>
            <w:vAlign w:val="bottom"/>
            <w:hideMark/>
          </w:tcPr>
          <w:p w14:paraId="7D9F3A9E"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p>
        </w:tc>
        <w:tc>
          <w:tcPr>
            <w:tcW w:w="930" w:type="dxa"/>
            <w:tcBorders>
              <w:top w:val="nil"/>
              <w:left w:val="nil"/>
              <w:bottom w:val="nil"/>
              <w:right w:val="nil"/>
            </w:tcBorders>
            <w:shd w:val="clear" w:color="auto" w:fill="auto"/>
            <w:noWrap/>
            <w:vAlign w:val="bottom"/>
            <w:hideMark/>
          </w:tcPr>
          <w:p w14:paraId="6098CB4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single" w:sz="4" w:space="0" w:color="auto"/>
              <w:bottom w:val="single" w:sz="4" w:space="0" w:color="auto"/>
              <w:right w:val="single" w:sz="4" w:space="0" w:color="auto"/>
            </w:tcBorders>
            <w:shd w:val="clear" w:color="000000" w:fill="C6EFCE"/>
            <w:vAlign w:val="center"/>
            <w:hideMark/>
          </w:tcPr>
          <w:p w14:paraId="60BBCB72"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eastAsia="Times New Roman" w:hAnsi="Calibri" w:cs="Calibri"/>
                <w:b/>
                <w:color w:val="006100"/>
                <w:sz w:val="16"/>
                <w:lang w:eastAsia="zh-CN"/>
              </w:rPr>
              <w:t>Middle-age, healthy</w:t>
            </w:r>
          </w:p>
        </w:tc>
        <w:tc>
          <w:tcPr>
            <w:tcW w:w="992" w:type="dxa"/>
            <w:tcBorders>
              <w:top w:val="nil"/>
              <w:left w:val="nil"/>
              <w:bottom w:val="nil"/>
              <w:right w:val="nil"/>
            </w:tcBorders>
            <w:shd w:val="clear" w:color="auto" w:fill="auto"/>
            <w:noWrap/>
            <w:vAlign w:val="bottom"/>
            <w:hideMark/>
          </w:tcPr>
          <w:p w14:paraId="1F78AE08"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p>
        </w:tc>
        <w:tc>
          <w:tcPr>
            <w:tcW w:w="742" w:type="dxa"/>
            <w:tcBorders>
              <w:top w:val="nil"/>
              <w:left w:val="nil"/>
              <w:bottom w:val="nil"/>
              <w:right w:val="nil"/>
            </w:tcBorders>
            <w:shd w:val="clear" w:color="auto" w:fill="auto"/>
            <w:noWrap/>
            <w:vAlign w:val="bottom"/>
            <w:hideMark/>
          </w:tcPr>
          <w:p w14:paraId="73B925A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20E71D3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5D597A69"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4CB9F266"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0F63842A" w14:textId="77777777" w:rsidTr="00385AEA">
        <w:trPr>
          <w:trHeight w:val="870"/>
        </w:trPr>
        <w:tc>
          <w:tcPr>
            <w:tcW w:w="931" w:type="dxa"/>
            <w:vMerge/>
            <w:tcBorders>
              <w:top w:val="nil"/>
              <w:left w:val="single" w:sz="4" w:space="0" w:color="auto"/>
              <w:bottom w:val="single" w:sz="4" w:space="0" w:color="000000"/>
              <w:right w:val="single" w:sz="4" w:space="0" w:color="auto"/>
            </w:tcBorders>
            <w:vAlign w:val="center"/>
            <w:hideMark/>
          </w:tcPr>
          <w:p w14:paraId="35503C89"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single" w:sz="4" w:space="0" w:color="auto"/>
            </w:tcBorders>
            <w:shd w:val="clear" w:color="000000" w:fill="C6EFCE"/>
            <w:vAlign w:val="center"/>
            <w:hideMark/>
          </w:tcPr>
          <w:p w14:paraId="622F2FB4" w14:textId="70516B51"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hAnsi="Calibri" w:cs="Calibri"/>
                <w:b/>
                <w:color w:val="006100"/>
                <w:sz w:val="16"/>
              </w:rPr>
              <w:t>Adults with No chronic conditions</w:t>
            </w:r>
          </w:p>
        </w:tc>
        <w:tc>
          <w:tcPr>
            <w:tcW w:w="1070" w:type="dxa"/>
            <w:tcBorders>
              <w:top w:val="nil"/>
              <w:left w:val="nil"/>
              <w:bottom w:val="nil"/>
              <w:right w:val="nil"/>
            </w:tcBorders>
            <w:shd w:val="clear" w:color="auto" w:fill="auto"/>
            <w:noWrap/>
            <w:vAlign w:val="bottom"/>
            <w:hideMark/>
          </w:tcPr>
          <w:p w14:paraId="474607B9"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p>
        </w:tc>
        <w:tc>
          <w:tcPr>
            <w:tcW w:w="992" w:type="dxa"/>
            <w:tcBorders>
              <w:top w:val="nil"/>
              <w:left w:val="nil"/>
              <w:bottom w:val="nil"/>
              <w:right w:val="nil"/>
            </w:tcBorders>
            <w:shd w:val="clear" w:color="auto" w:fill="auto"/>
            <w:noWrap/>
            <w:vAlign w:val="bottom"/>
            <w:hideMark/>
          </w:tcPr>
          <w:p w14:paraId="64A31D4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60A7C553"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1F49DD6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6FBF0FC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0FCE40C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7698F91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659A15B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6341010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4FD2203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4B29FB2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2494CA9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7B2D621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17180424"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4673AD9D" w14:textId="77777777" w:rsidTr="00385AEA">
        <w:trPr>
          <w:trHeight w:val="870"/>
        </w:trPr>
        <w:tc>
          <w:tcPr>
            <w:tcW w:w="931" w:type="dxa"/>
            <w:vMerge/>
            <w:tcBorders>
              <w:top w:val="nil"/>
              <w:left w:val="single" w:sz="4" w:space="0" w:color="auto"/>
              <w:bottom w:val="single" w:sz="4" w:space="0" w:color="000000"/>
              <w:right w:val="single" w:sz="4" w:space="0" w:color="auto"/>
            </w:tcBorders>
            <w:vAlign w:val="center"/>
            <w:hideMark/>
          </w:tcPr>
          <w:p w14:paraId="77D203BD"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single" w:sz="4" w:space="0" w:color="auto"/>
            </w:tcBorders>
            <w:shd w:val="clear" w:color="000000" w:fill="C6EFCE"/>
            <w:vAlign w:val="center"/>
            <w:hideMark/>
          </w:tcPr>
          <w:p w14:paraId="4EE66A9C" w14:textId="4CF7C82B"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hAnsi="Calibri" w:cs="Calibri"/>
                <w:b/>
                <w:color w:val="006100"/>
                <w:sz w:val="16"/>
              </w:rPr>
              <w:t>Elderly with No chronic conditions</w:t>
            </w:r>
          </w:p>
        </w:tc>
        <w:tc>
          <w:tcPr>
            <w:tcW w:w="1070" w:type="dxa"/>
            <w:tcBorders>
              <w:top w:val="nil"/>
              <w:left w:val="nil"/>
              <w:bottom w:val="nil"/>
              <w:right w:val="nil"/>
            </w:tcBorders>
            <w:shd w:val="clear" w:color="auto" w:fill="auto"/>
            <w:noWrap/>
            <w:vAlign w:val="bottom"/>
            <w:hideMark/>
          </w:tcPr>
          <w:p w14:paraId="7894D3BC"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p>
        </w:tc>
        <w:tc>
          <w:tcPr>
            <w:tcW w:w="992" w:type="dxa"/>
            <w:tcBorders>
              <w:top w:val="nil"/>
              <w:left w:val="nil"/>
              <w:bottom w:val="nil"/>
              <w:right w:val="nil"/>
            </w:tcBorders>
            <w:shd w:val="clear" w:color="auto" w:fill="auto"/>
            <w:noWrap/>
            <w:vAlign w:val="bottom"/>
            <w:hideMark/>
          </w:tcPr>
          <w:p w14:paraId="008BD72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0FCA80D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66BD610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0A3FC28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4B16EF7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49ED7F1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3730C363"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64C46B61"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5E584DD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7CAF16A1"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64042369"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0DCF55F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662221B3"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4BAFA056" w14:textId="77777777" w:rsidTr="00385AEA">
        <w:trPr>
          <w:trHeight w:val="290"/>
        </w:trPr>
        <w:tc>
          <w:tcPr>
            <w:tcW w:w="931" w:type="dxa"/>
            <w:vMerge/>
            <w:tcBorders>
              <w:top w:val="nil"/>
              <w:left w:val="single" w:sz="4" w:space="0" w:color="auto"/>
              <w:bottom w:val="single" w:sz="4" w:space="0" w:color="000000"/>
              <w:right w:val="single" w:sz="4" w:space="0" w:color="auto"/>
            </w:tcBorders>
            <w:vAlign w:val="center"/>
            <w:hideMark/>
          </w:tcPr>
          <w:p w14:paraId="5ED834DA"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nil"/>
            </w:tcBorders>
            <w:shd w:val="clear" w:color="000000" w:fill="FFFFFF"/>
            <w:vAlign w:val="center"/>
            <w:hideMark/>
          </w:tcPr>
          <w:p w14:paraId="277080B7" w14:textId="659EAEB5"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hAnsi="Calibri" w:cs="Calibri"/>
                <w:b/>
                <w:color w:val="006100"/>
                <w:sz w:val="16"/>
              </w:rPr>
              <w:t> </w:t>
            </w:r>
          </w:p>
        </w:tc>
        <w:tc>
          <w:tcPr>
            <w:tcW w:w="1070" w:type="dxa"/>
            <w:tcBorders>
              <w:top w:val="nil"/>
              <w:left w:val="nil"/>
              <w:bottom w:val="single" w:sz="4" w:space="0" w:color="auto"/>
              <w:right w:val="nil"/>
            </w:tcBorders>
            <w:shd w:val="clear" w:color="000000" w:fill="FFFFFF"/>
            <w:noWrap/>
            <w:vAlign w:val="bottom"/>
            <w:hideMark/>
          </w:tcPr>
          <w:p w14:paraId="2206A714"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74445F63"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7E0C50D9"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894" w:type="dxa"/>
            <w:tcBorders>
              <w:top w:val="nil"/>
              <w:left w:val="nil"/>
              <w:bottom w:val="single" w:sz="4" w:space="0" w:color="auto"/>
              <w:right w:val="nil"/>
            </w:tcBorders>
            <w:shd w:val="clear" w:color="000000" w:fill="FFFFFF"/>
            <w:noWrap/>
            <w:vAlign w:val="bottom"/>
            <w:hideMark/>
          </w:tcPr>
          <w:p w14:paraId="398686A6"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000000" w:fill="FFFFFF"/>
            <w:noWrap/>
            <w:vAlign w:val="bottom"/>
            <w:hideMark/>
          </w:tcPr>
          <w:p w14:paraId="78E864D8"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000000" w:fill="FFFFFF"/>
            <w:noWrap/>
            <w:vAlign w:val="bottom"/>
            <w:hideMark/>
          </w:tcPr>
          <w:p w14:paraId="0671AACF"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000000" w:fill="FFFFFF"/>
            <w:noWrap/>
            <w:vAlign w:val="bottom"/>
            <w:hideMark/>
          </w:tcPr>
          <w:p w14:paraId="51B26FE2"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000000" w:fill="FFFFFF"/>
            <w:noWrap/>
            <w:vAlign w:val="bottom"/>
            <w:hideMark/>
          </w:tcPr>
          <w:p w14:paraId="457B2324"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1072" w:type="dxa"/>
            <w:tcBorders>
              <w:top w:val="nil"/>
              <w:left w:val="nil"/>
              <w:bottom w:val="single" w:sz="4" w:space="0" w:color="auto"/>
              <w:right w:val="nil"/>
            </w:tcBorders>
            <w:shd w:val="clear" w:color="000000" w:fill="FFFFFF"/>
            <w:noWrap/>
            <w:vAlign w:val="bottom"/>
            <w:hideMark/>
          </w:tcPr>
          <w:p w14:paraId="20000774"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3C2AABC8"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742" w:type="dxa"/>
            <w:tcBorders>
              <w:top w:val="nil"/>
              <w:left w:val="nil"/>
              <w:bottom w:val="single" w:sz="4" w:space="0" w:color="auto"/>
              <w:right w:val="nil"/>
            </w:tcBorders>
            <w:shd w:val="clear" w:color="000000" w:fill="FFFFFF"/>
            <w:noWrap/>
            <w:vAlign w:val="bottom"/>
            <w:hideMark/>
          </w:tcPr>
          <w:p w14:paraId="4C0CEBCD"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6" w:type="dxa"/>
            <w:tcBorders>
              <w:top w:val="nil"/>
              <w:left w:val="nil"/>
              <w:bottom w:val="single" w:sz="4" w:space="0" w:color="auto"/>
              <w:right w:val="nil"/>
            </w:tcBorders>
            <w:shd w:val="clear" w:color="000000" w:fill="FFFFFF"/>
            <w:noWrap/>
            <w:vAlign w:val="bottom"/>
            <w:hideMark/>
          </w:tcPr>
          <w:p w14:paraId="26BEF0A4"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8" w:type="dxa"/>
            <w:tcBorders>
              <w:top w:val="nil"/>
              <w:left w:val="nil"/>
              <w:bottom w:val="single" w:sz="4" w:space="0" w:color="auto"/>
              <w:right w:val="nil"/>
            </w:tcBorders>
            <w:shd w:val="clear" w:color="000000" w:fill="FFFFFF"/>
            <w:noWrap/>
            <w:vAlign w:val="bottom"/>
            <w:hideMark/>
          </w:tcPr>
          <w:p w14:paraId="06227CE7"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single" w:sz="4" w:space="0" w:color="auto"/>
            </w:tcBorders>
            <w:shd w:val="clear" w:color="000000" w:fill="FFFFFF"/>
            <w:noWrap/>
            <w:vAlign w:val="bottom"/>
            <w:hideMark/>
          </w:tcPr>
          <w:p w14:paraId="741E5BAB"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138810E4" w14:textId="77777777" w:rsidTr="00385AEA">
        <w:trPr>
          <w:trHeight w:val="290"/>
        </w:trPr>
        <w:tc>
          <w:tcPr>
            <w:tcW w:w="9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A6EEC4" w14:textId="77777777" w:rsidR="003F6084" w:rsidRPr="003F6084" w:rsidRDefault="003F6084" w:rsidP="003F6084">
            <w:pPr>
              <w:spacing w:after="0" w:line="240" w:lineRule="auto"/>
              <w:jc w:val="center"/>
              <w:rPr>
                <w:rFonts w:ascii="Calibri" w:eastAsia="Times New Roman" w:hAnsi="Calibri" w:cs="Calibri"/>
                <w:b/>
                <w:bCs/>
                <w:color w:val="000000"/>
                <w:sz w:val="18"/>
                <w:lang w:eastAsia="zh-CN"/>
              </w:rPr>
            </w:pPr>
            <w:r w:rsidRPr="003F6084">
              <w:rPr>
                <w:rFonts w:ascii="Calibri" w:eastAsia="Times New Roman" w:hAnsi="Calibri" w:cs="Calibri"/>
                <w:b/>
                <w:bCs/>
                <w:color w:val="000000"/>
                <w:sz w:val="18"/>
                <w:lang w:eastAsia="zh-CN"/>
              </w:rPr>
              <w:t>Acute illness</w:t>
            </w:r>
          </w:p>
        </w:tc>
        <w:tc>
          <w:tcPr>
            <w:tcW w:w="1260" w:type="dxa"/>
            <w:tcBorders>
              <w:top w:val="nil"/>
              <w:left w:val="nil"/>
              <w:bottom w:val="nil"/>
              <w:right w:val="nil"/>
            </w:tcBorders>
            <w:shd w:val="clear" w:color="000000" w:fill="FFFFFF"/>
            <w:vAlign w:val="center"/>
            <w:hideMark/>
          </w:tcPr>
          <w:p w14:paraId="3E22A1C8" w14:textId="2BC253D6" w:rsidR="003F6084" w:rsidRPr="003F6084" w:rsidRDefault="003F6084" w:rsidP="003F6084">
            <w:pPr>
              <w:spacing w:after="0" w:line="240" w:lineRule="auto"/>
              <w:jc w:val="center"/>
              <w:rPr>
                <w:rFonts w:ascii="Calibri" w:eastAsia="Times New Roman" w:hAnsi="Calibri" w:cs="Calibri"/>
                <w:b/>
                <w:color w:val="006100"/>
                <w:sz w:val="16"/>
                <w:lang w:eastAsia="zh-CN"/>
              </w:rPr>
            </w:pPr>
            <w:r w:rsidRPr="003F6084">
              <w:rPr>
                <w:rFonts w:ascii="Calibri" w:hAnsi="Calibri" w:cs="Calibri"/>
                <w:b/>
                <w:color w:val="006100"/>
                <w:sz w:val="16"/>
              </w:rPr>
              <w:t> </w:t>
            </w:r>
          </w:p>
        </w:tc>
        <w:tc>
          <w:tcPr>
            <w:tcW w:w="1070" w:type="dxa"/>
            <w:tcBorders>
              <w:top w:val="nil"/>
              <w:left w:val="nil"/>
              <w:bottom w:val="nil"/>
              <w:right w:val="nil"/>
            </w:tcBorders>
            <w:shd w:val="clear" w:color="auto" w:fill="auto"/>
            <w:noWrap/>
            <w:vAlign w:val="bottom"/>
            <w:hideMark/>
          </w:tcPr>
          <w:p w14:paraId="51A5418F" w14:textId="77777777" w:rsidR="003F6084" w:rsidRPr="003F6084" w:rsidRDefault="003F6084" w:rsidP="003F6084">
            <w:pPr>
              <w:spacing w:after="0" w:line="240" w:lineRule="auto"/>
              <w:jc w:val="center"/>
              <w:rPr>
                <w:rFonts w:ascii="Calibri" w:eastAsia="Times New Roman" w:hAnsi="Calibri" w:cs="Calibri"/>
                <w:b/>
                <w:color w:val="006100"/>
                <w:sz w:val="16"/>
                <w:lang w:eastAsia="zh-CN"/>
              </w:rPr>
            </w:pPr>
          </w:p>
        </w:tc>
        <w:tc>
          <w:tcPr>
            <w:tcW w:w="992" w:type="dxa"/>
            <w:tcBorders>
              <w:top w:val="nil"/>
              <w:left w:val="nil"/>
              <w:bottom w:val="nil"/>
              <w:right w:val="nil"/>
            </w:tcBorders>
            <w:shd w:val="clear" w:color="auto" w:fill="auto"/>
            <w:noWrap/>
            <w:vAlign w:val="bottom"/>
            <w:hideMark/>
          </w:tcPr>
          <w:p w14:paraId="4BD0E4D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27E8CAE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28BDBB5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11C9D3C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06CD34F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09765EE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1D244021"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12BCF4E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760BFD4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44FFC7C9"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23A038C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54AEB3B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4D3208CA"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16A4DF3B" w14:textId="77777777" w:rsidTr="00385AEA">
        <w:trPr>
          <w:trHeight w:val="1160"/>
        </w:trPr>
        <w:tc>
          <w:tcPr>
            <w:tcW w:w="931" w:type="dxa"/>
            <w:vMerge/>
            <w:tcBorders>
              <w:top w:val="nil"/>
              <w:left w:val="single" w:sz="4" w:space="0" w:color="auto"/>
              <w:bottom w:val="single" w:sz="4" w:space="0" w:color="000000"/>
              <w:right w:val="single" w:sz="4" w:space="0" w:color="auto"/>
            </w:tcBorders>
            <w:vAlign w:val="center"/>
            <w:hideMark/>
          </w:tcPr>
          <w:p w14:paraId="65FCB6B2"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nil"/>
              <w:right w:val="nil"/>
            </w:tcBorders>
            <w:shd w:val="clear" w:color="auto" w:fill="auto"/>
            <w:noWrap/>
            <w:vAlign w:val="bottom"/>
            <w:hideMark/>
          </w:tcPr>
          <w:p w14:paraId="2AF9A986" w14:textId="77777777" w:rsidR="003F6084" w:rsidRPr="003F6084" w:rsidRDefault="003F6084" w:rsidP="003F6084">
            <w:pPr>
              <w:spacing w:after="0" w:line="240" w:lineRule="auto"/>
              <w:rPr>
                <w:rFonts w:ascii="Calibri" w:eastAsia="Times New Roman" w:hAnsi="Calibri" w:cs="Calibri"/>
                <w:b/>
                <w:color w:val="000000"/>
                <w:sz w:val="16"/>
                <w:lang w:eastAsia="zh-CN"/>
              </w:rPr>
            </w:pPr>
          </w:p>
        </w:tc>
        <w:tc>
          <w:tcPr>
            <w:tcW w:w="1070"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46E951DF"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Major or significant time-limited health needs: Children and Youth &lt; 18 years</w:t>
            </w:r>
          </w:p>
        </w:tc>
        <w:tc>
          <w:tcPr>
            <w:tcW w:w="992" w:type="dxa"/>
            <w:tcBorders>
              <w:top w:val="nil"/>
              <w:left w:val="nil"/>
              <w:bottom w:val="nil"/>
              <w:right w:val="nil"/>
            </w:tcBorders>
            <w:shd w:val="clear" w:color="auto" w:fill="auto"/>
            <w:noWrap/>
            <w:vAlign w:val="bottom"/>
            <w:hideMark/>
          </w:tcPr>
          <w:p w14:paraId="7FF6A9D4"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34DE37B5"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History of significant acute disease</w:t>
            </w:r>
          </w:p>
        </w:tc>
        <w:tc>
          <w:tcPr>
            <w:tcW w:w="894" w:type="dxa"/>
            <w:tcBorders>
              <w:top w:val="single" w:sz="4" w:space="0" w:color="auto"/>
              <w:left w:val="nil"/>
              <w:bottom w:val="single" w:sz="4" w:space="0" w:color="auto"/>
              <w:right w:val="single" w:sz="4" w:space="0" w:color="auto"/>
            </w:tcBorders>
            <w:shd w:val="clear" w:color="000000" w:fill="B8CCE4"/>
            <w:vAlign w:val="center"/>
            <w:hideMark/>
          </w:tcPr>
          <w:p w14:paraId="4C0BE0D0"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Acutely ill</w:t>
            </w:r>
          </w:p>
        </w:tc>
        <w:tc>
          <w:tcPr>
            <w:tcW w:w="930" w:type="dxa"/>
            <w:tcBorders>
              <w:top w:val="single" w:sz="4" w:space="0" w:color="auto"/>
              <w:left w:val="nil"/>
              <w:bottom w:val="single" w:sz="4" w:space="0" w:color="auto"/>
              <w:right w:val="single" w:sz="4" w:space="0" w:color="auto"/>
            </w:tcBorders>
            <w:shd w:val="clear" w:color="000000" w:fill="B8CCE4"/>
            <w:vAlign w:val="center"/>
            <w:hideMark/>
          </w:tcPr>
          <w:p w14:paraId="7EBC5F07"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Suffering from an acute event</w:t>
            </w:r>
          </w:p>
        </w:tc>
        <w:tc>
          <w:tcPr>
            <w:tcW w:w="922" w:type="dxa"/>
            <w:tcBorders>
              <w:top w:val="nil"/>
              <w:left w:val="nil"/>
              <w:bottom w:val="nil"/>
              <w:right w:val="nil"/>
            </w:tcBorders>
            <w:shd w:val="clear" w:color="auto" w:fill="auto"/>
            <w:noWrap/>
            <w:vAlign w:val="bottom"/>
            <w:hideMark/>
          </w:tcPr>
          <w:p w14:paraId="1B969D16"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22" w:type="dxa"/>
            <w:tcBorders>
              <w:top w:val="nil"/>
              <w:left w:val="nil"/>
              <w:bottom w:val="nil"/>
              <w:right w:val="nil"/>
            </w:tcBorders>
            <w:shd w:val="clear" w:color="auto" w:fill="auto"/>
            <w:noWrap/>
            <w:vAlign w:val="bottom"/>
            <w:hideMark/>
          </w:tcPr>
          <w:p w14:paraId="7C150D1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single" w:sz="4" w:space="0" w:color="auto"/>
              <w:left w:val="single" w:sz="4" w:space="0" w:color="auto"/>
              <w:bottom w:val="single" w:sz="4" w:space="0" w:color="auto"/>
              <w:right w:val="single" w:sz="4" w:space="0" w:color="auto"/>
            </w:tcBorders>
            <w:shd w:val="clear" w:color="000000" w:fill="B8CCE4"/>
            <w:vAlign w:val="center"/>
            <w:hideMark/>
          </w:tcPr>
          <w:p w14:paraId="4EA4ED3F"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Serious acute illness but curable</w:t>
            </w:r>
          </w:p>
        </w:tc>
        <w:tc>
          <w:tcPr>
            <w:tcW w:w="1072" w:type="dxa"/>
            <w:tcBorders>
              <w:top w:val="nil"/>
              <w:left w:val="nil"/>
              <w:bottom w:val="nil"/>
              <w:right w:val="nil"/>
            </w:tcBorders>
            <w:shd w:val="clear" w:color="auto" w:fill="auto"/>
            <w:noWrap/>
            <w:vAlign w:val="bottom"/>
            <w:hideMark/>
          </w:tcPr>
          <w:p w14:paraId="282E7051"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nil"/>
              <w:bottom w:val="nil"/>
              <w:right w:val="nil"/>
            </w:tcBorders>
            <w:shd w:val="clear" w:color="auto" w:fill="auto"/>
            <w:noWrap/>
            <w:vAlign w:val="bottom"/>
            <w:hideMark/>
          </w:tcPr>
          <w:p w14:paraId="1897928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09DCA98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7161204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3620E58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2712C88F"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780182C0" w14:textId="77777777" w:rsidTr="00385AEA">
        <w:trPr>
          <w:trHeight w:val="870"/>
        </w:trPr>
        <w:tc>
          <w:tcPr>
            <w:tcW w:w="931" w:type="dxa"/>
            <w:vMerge/>
            <w:tcBorders>
              <w:top w:val="nil"/>
              <w:left w:val="single" w:sz="4" w:space="0" w:color="auto"/>
              <w:bottom w:val="single" w:sz="4" w:space="0" w:color="000000"/>
              <w:right w:val="single" w:sz="4" w:space="0" w:color="auto"/>
            </w:tcBorders>
            <w:vAlign w:val="center"/>
            <w:hideMark/>
          </w:tcPr>
          <w:p w14:paraId="4E14A6A3"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nil"/>
              <w:right w:val="nil"/>
            </w:tcBorders>
            <w:shd w:val="clear" w:color="auto" w:fill="auto"/>
            <w:noWrap/>
            <w:vAlign w:val="bottom"/>
            <w:hideMark/>
          </w:tcPr>
          <w:p w14:paraId="09498AA4" w14:textId="77777777" w:rsidR="003F6084" w:rsidRPr="003F6084" w:rsidRDefault="003F6084" w:rsidP="003F6084">
            <w:pPr>
              <w:spacing w:after="0" w:line="240" w:lineRule="auto"/>
              <w:rPr>
                <w:rFonts w:ascii="Calibri" w:eastAsia="Times New Roman" w:hAnsi="Calibri" w:cs="Calibri"/>
                <w:b/>
                <w:color w:val="000000"/>
                <w:sz w:val="16"/>
                <w:lang w:eastAsia="zh-CN"/>
              </w:rPr>
            </w:pPr>
          </w:p>
        </w:tc>
        <w:tc>
          <w:tcPr>
            <w:tcW w:w="1070" w:type="dxa"/>
            <w:tcBorders>
              <w:top w:val="nil"/>
              <w:left w:val="single" w:sz="4" w:space="0" w:color="auto"/>
              <w:bottom w:val="single" w:sz="4" w:space="0" w:color="auto"/>
              <w:right w:val="single" w:sz="4" w:space="0" w:color="auto"/>
            </w:tcBorders>
            <w:shd w:val="clear" w:color="000000" w:fill="B8CCE4"/>
            <w:vAlign w:val="center"/>
            <w:hideMark/>
          </w:tcPr>
          <w:p w14:paraId="65587DBB"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xml:space="preserve">Major or significant time-limited health </w:t>
            </w:r>
            <w:r w:rsidRPr="003F6084">
              <w:rPr>
                <w:rFonts w:ascii="Calibri" w:eastAsia="Times New Roman" w:hAnsi="Calibri" w:cs="Calibri"/>
                <w:b/>
                <w:color w:val="000000"/>
                <w:sz w:val="16"/>
                <w:lang w:eastAsia="zh-CN"/>
              </w:rPr>
              <w:lastRenderedPageBreak/>
              <w:t>needs: Adults</w:t>
            </w:r>
          </w:p>
        </w:tc>
        <w:tc>
          <w:tcPr>
            <w:tcW w:w="992" w:type="dxa"/>
            <w:tcBorders>
              <w:top w:val="nil"/>
              <w:left w:val="nil"/>
              <w:bottom w:val="nil"/>
              <w:right w:val="nil"/>
            </w:tcBorders>
            <w:shd w:val="clear" w:color="auto" w:fill="auto"/>
            <w:noWrap/>
            <w:vAlign w:val="bottom"/>
            <w:hideMark/>
          </w:tcPr>
          <w:p w14:paraId="0EDC6C11"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nil"/>
              <w:bottom w:val="nil"/>
              <w:right w:val="nil"/>
            </w:tcBorders>
            <w:shd w:val="clear" w:color="auto" w:fill="auto"/>
            <w:noWrap/>
            <w:vAlign w:val="bottom"/>
            <w:hideMark/>
          </w:tcPr>
          <w:p w14:paraId="392A88B1"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2FCAB0D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0DEEE6F9"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211FA12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5575D53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24828C5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3F4E666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3DBC63B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7F4AA14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6D19D7F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137E0668"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64C86CC4"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718A0A63" w14:textId="77777777" w:rsidTr="00385AEA">
        <w:trPr>
          <w:trHeight w:val="290"/>
        </w:trPr>
        <w:tc>
          <w:tcPr>
            <w:tcW w:w="931" w:type="dxa"/>
            <w:vMerge/>
            <w:tcBorders>
              <w:top w:val="nil"/>
              <w:left w:val="single" w:sz="4" w:space="0" w:color="auto"/>
              <w:bottom w:val="single" w:sz="4" w:space="0" w:color="000000"/>
              <w:right w:val="single" w:sz="4" w:space="0" w:color="auto"/>
            </w:tcBorders>
            <w:vAlign w:val="center"/>
            <w:hideMark/>
          </w:tcPr>
          <w:p w14:paraId="6D020100"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nil"/>
            </w:tcBorders>
            <w:shd w:val="clear" w:color="000000" w:fill="FFFFFF"/>
            <w:noWrap/>
            <w:vAlign w:val="bottom"/>
            <w:hideMark/>
          </w:tcPr>
          <w:p w14:paraId="00ED4395" w14:textId="653C2F48"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hAnsi="Calibri" w:cs="Calibri"/>
                <w:b/>
                <w:color w:val="000000"/>
                <w:sz w:val="16"/>
              </w:rPr>
              <w:t> </w:t>
            </w:r>
          </w:p>
        </w:tc>
        <w:tc>
          <w:tcPr>
            <w:tcW w:w="1070" w:type="dxa"/>
            <w:tcBorders>
              <w:top w:val="nil"/>
              <w:left w:val="nil"/>
              <w:bottom w:val="single" w:sz="4" w:space="0" w:color="auto"/>
              <w:right w:val="nil"/>
            </w:tcBorders>
            <w:shd w:val="clear" w:color="000000" w:fill="FFFFFF"/>
            <w:vAlign w:val="center"/>
            <w:hideMark/>
          </w:tcPr>
          <w:p w14:paraId="294651DE"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09BF87F8"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13CFFDAA"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894" w:type="dxa"/>
            <w:tcBorders>
              <w:top w:val="nil"/>
              <w:left w:val="nil"/>
              <w:bottom w:val="single" w:sz="4" w:space="0" w:color="auto"/>
              <w:right w:val="nil"/>
            </w:tcBorders>
            <w:shd w:val="clear" w:color="000000" w:fill="FFFFFF"/>
            <w:noWrap/>
            <w:vAlign w:val="bottom"/>
            <w:hideMark/>
          </w:tcPr>
          <w:p w14:paraId="2D43264F"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000000" w:fill="FFFFFF"/>
            <w:noWrap/>
            <w:vAlign w:val="bottom"/>
            <w:hideMark/>
          </w:tcPr>
          <w:p w14:paraId="042161BB"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000000" w:fill="FFFFFF"/>
            <w:noWrap/>
            <w:vAlign w:val="bottom"/>
            <w:hideMark/>
          </w:tcPr>
          <w:p w14:paraId="0FAF0789"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000000" w:fill="FFFFFF"/>
            <w:noWrap/>
            <w:vAlign w:val="bottom"/>
            <w:hideMark/>
          </w:tcPr>
          <w:p w14:paraId="48C0BE44"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000000" w:fill="FFFFFF"/>
            <w:noWrap/>
            <w:vAlign w:val="bottom"/>
            <w:hideMark/>
          </w:tcPr>
          <w:p w14:paraId="25500E55"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1072" w:type="dxa"/>
            <w:tcBorders>
              <w:top w:val="nil"/>
              <w:left w:val="nil"/>
              <w:bottom w:val="single" w:sz="4" w:space="0" w:color="auto"/>
              <w:right w:val="nil"/>
            </w:tcBorders>
            <w:shd w:val="clear" w:color="000000" w:fill="FFFFFF"/>
            <w:noWrap/>
            <w:vAlign w:val="bottom"/>
            <w:hideMark/>
          </w:tcPr>
          <w:p w14:paraId="0B42A9F3"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177E854E"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742" w:type="dxa"/>
            <w:tcBorders>
              <w:top w:val="nil"/>
              <w:left w:val="nil"/>
              <w:bottom w:val="single" w:sz="4" w:space="0" w:color="auto"/>
              <w:right w:val="nil"/>
            </w:tcBorders>
            <w:shd w:val="clear" w:color="000000" w:fill="FFFFFF"/>
            <w:noWrap/>
            <w:vAlign w:val="bottom"/>
            <w:hideMark/>
          </w:tcPr>
          <w:p w14:paraId="6BCCB363"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6" w:type="dxa"/>
            <w:tcBorders>
              <w:top w:val="nil"/>
              <w:left w:val="nil"/>
              <w:bottom w:val="single" w:sz="4" w:space="0" w:color="auto"/>
              <w:right w:val="nil"/>
            </w:tcBorders>
            <w:shd w:val="clear" w:color="000000" w:fill="FFFFFF"/>
            <w:noWrap/>
            <w:vAlign w:val="bottom"/>
            <w:hideMark/>
          </w:tcPr>
          <w:p w14:paraId="270AC3B2"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8" w:type="dxa"/>
            <w:tcBorders>
              <w:top w:val="nil"/>
              <w:left w:val="nil"/>
              <w:bottom w:val="single" w:sz="4" w:space="0" w:color="auto"/>
              <w:right w:val="nil"/>
            </w:tcBorders>
            <w:shd w:val="clear" w:color="000000" w:fill="FFFFFF"/>
            <w:noWrap/>
            <w:vAlign w:val="bottom"/>
            <w:hideMark/>
          </w:tcPr>
          <w:p w14:paraId="63023856"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single" w:sz="4" w:space="0" w:color="auto"/>
            </w:tcBorders>
            <w:shd w:val="clear" w:color="000000" w:fill="FFFFFF"/>
            <w:noWrap/>
            <w:vAlign w:val="bottom"/>
            <w:hideMark/>
          </w:tcPr>
          <w:p w14:paraId="67382FAE"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5348CE60" w14:textId="77777777" w:rsidTr="00385AEA">
        <w:trPr>
          <w:trHeight w:val="290"/>
        </w:trPr>
        <w:tc>
          <w:tcPr>
            <w:tcW w:w="9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BD728C" w14:textId="77777777" w:rsidR="003F6084" w:rsidRPr="003F6084" w:rsidRDefault="003F6084" w:rsidP="003F6084">
            <w:pPr>
              <w:spacing w:after="0" w:line="240" w:lineRule="auto"/>
              <w:jc w:val="center"/>
              <w:rPr>
                <w:rFonts w:ascii="Calibri" w:eastAsia="Times New Roman" w:hAnsi="Calibri" w:cs="Calibri"/>
                <w:b/>
                <w:bCs/>
                <w:color w:val="000000"/>
                <w:sz w:val="18"/>
                <w:lang w:eastAsia="zh-CN"/>
              </w:rPr>
            </w:pPr>
            <w:r w:rsidRPr="003F6084">
              <w:rPr>
                <w:rFonts w:ascii="Calibri" w:eastAsia="Times New Roman" w:hAnsi="Calibri" w:cs="Calibri"/>
                <w:b/>
                <w:bCs/>
                <w:color w:val="000000"/>
                <w:sz w:val="18"/>
                <w:lang w:eastAsia="zh-CN"/>
              </w:rPr>
              <w:t>Maternal and infant health</w:t>
            </w:r>
          </w:p>
        </w:tc>
        <w:tc>
          <w:tcPr>
            <w:tcW w:w="1260" w:type="dxa"/>
            <w:tcBorders>
              <w:top w:val="nil"/>
              <w:left w:val="nil"/>
              <w:bottom w:val="nil"/>
              <w:right w:val="nil"/>
            </w:tcBorders>
            <w:shd w:val="clear" w:color="auto" w:fill="auto"/>
            <w:noWrap/>
            <w:vAlign w:val="bottom"/>
            <w:hideMark/>
          </w:tcPr>
          <w:p w14:paraId="19E044FF" w14:textId="77777777" w:rsidR="003F6084" w:rsidRPr="003F6084" w:rsidRDefault="003F6084" w:rsidP="003F6084">
            <w:pPr>
              <w:spacing w:after="0" w:line="240" w:lineRule="auto"/>
              <w:jc w:val="center"/>
              <w:rPr>
                <w:rFonts w:ascii="Calibri" w:eastAsia="Times New Roman" w:hAnsi="Calibri" w:cs="Calibri"/>
                <w:b/>
                <w:bCs/>
                <w:color w:val="000000"/>
                <w:sz w:val="16"/>
                <w:lang w:eastAsia="zh-CN"/>
              </w:rPr>
            </w:pPr>
          </w:p>
        </w:tc>
        <w:tc>
          <w:tcPr>
            <w:tcW w:w="1070" w:type="dxa"/>
            <w:tcBorders>
              <w:top w:val="nil"/>
              <w:left w:val="nil"/>
              <w:bottom w:val="nil"/>
              <w:right w:val="nil"/>
            </w:tcBorders>
            <w:shd w:val="clear" w:color="auto" w:fill="auto"/>
            <w:noWrap/>
            <w:vAlign w:val="bottom"/>
            <w:hideMark/>
          </w:tcPr>
          <w:p w14:paraId="4BC39FD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2AD7AD3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2F1D9E21"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1E482ED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523968D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7F78A4B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52534CA1"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60AFA20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4CE75203"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61421FC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40C9AAD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13AD12D8"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71B8962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51660E8B"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6954D7B7" w14:textId="77777777" w:rsidTr="00385AEA">
        <w:trPr>
          <w:trHeight w:val="580"/>
        </w:trPr>
        <w:tc>
          <w:tcPr>
            <w:tcW w:w="931" w:type="dxa"/>
            <w:vMerge/>
            <w:tcBorders>
              <w:top w:val="nil"/>
              <w:left w:val="single" w:sz="4" w:space="0" w:color="auto"/>
              <w:bottom w:val="single" w:sz="4" w:space="0" w:color="000000"/>
              <w:right w:val="single" w:sz="4" w:space="0" w:color="auto"/>
            </w:tcBorders>
            <w:vAlign w:val="center"/>
            <w:hideMark/>
          </w:tcPr>
          <w:p w14:paraId="2B221796"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nil"/>
              <w:right w:val="nil"/>
            </w:tcBorders>
            <w:shd w:val="clear" w:color="auto" w:fill="auto"/>
            <w:noWrap/>
            <w:vAlign w:val="bottom"/>
            <w:hideMark/>
          </w:tcPr>
          <w:p w14:paraId="55EF9FBF" w14:textId="77777777" w:rsidR="003F6084" w:rsidRPr="003F6084" w:rsidRDefault="003F6084" w:rsidP="003F6084">
            <w:pPr>
              <w:spacing w:after="0" w:line="240" w:lineRule="auto"/>
              <w:rPr>
                <w:rFonts w:ascii="Calibri" w:eastAsia="Times New Roman" w:hAnsi="Calibri" w:cs="Calibri"/>
                <w:b/>
                <w:color w:val="000000"/>
                <w:sz w:val="16"/>
                <w:lang w:eastAsia="zh-CN"/>
              </w:rPr>
            </w:pPr>
          </w:p>
        </w:tc>
        <w:tc>
          <w:tcPr>
            <w:tcW w:w="1070" w:type="dxa"/>
            <w:tcBorders>
              <w:top w:val="single" w:sz="4" w:space="0" w:color="auto"/>
              <w:left w:val="single" w:sz="4" w:space="0" w:color="auto"/>
              <w:bottom w:val="single" w:sz="4" w:space="0" w:color="auto"/>
              <w:right w:val="single" w:sz="4" w:space="0" w:color="auto"/>
            </w:tcBorders>
            <w:shd w:val="clear" w:color="000000" w:fill="DA9694"/>
            <w:vAlign w:val="center"/>
            <w:hideMark/>
          </w:tcPr>
          <w:p w14:paraId="64D03C73"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xml:space="preserve">Maternity and healthy </w:t>
            </w:r>
            <w:proofErr w:type="spellStart"/>
            <w:r w:rsidRPr="003F6084">
              <w:rPr>
                <w:rFonts w:ascii="Calibri" w:eastAsia="Times New Roman" w:hAnsi="Calibri" w:cs="Calibri"/>
                <w:b/>
                <w:color w:val="000000"/>
                <w:sz w:val="16"/>
                <w:lang w:eastAsia="zh-CN"/>
              </w:rPr>
              <w:t>newborns</w:t>
            </w:r>
            <w:proofErr w:type="spellEnd"/>
          </w:p>
        </w:tc>
        <w:tc>
          <w:tcPr>
            <w:tcW w:w="992" w:type="dxa"/>
            <w:tcBorders>
              <w:top w:val="nil"/>
              <w:left w:val="nil"/>
              <w:bottom w:val="nil"/>
              <w:right w:val="nil"/>
            </w:tcBorders>
            <w:shd w:val="clear" w:color="auto" w:fill="auto"/>
            <w:noWrap/>
            <w:vAlign w:val="bottom"/>
            <w:hideMark/>
          </w:tcPr>
          <w:p w14:paraId="23ABEE5B"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nil"/>
              <w:bottom w:val="nil"/>
              <w:right w:val="nil"/>
            </w:tcBorders>
            <w:shd w:val="clear" w:color="auto" w:fill="auto"/>
            <w:noWrap/>
            <w:vAlign w:val="bottom"/>
            <w:hideMark/>
          </w:tcPr>
          <w:p w14:paraId="15E3E61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single" w:sz="4" w:space="0" w:color="auto"/>
              <w:left w:val="single" w:sz="4" w:space="0" w:color="auto"/>
              <w:bottom w:val="single" w:sz="4" w:space="0" w:color="auto"/>
              <w:right w:val="single" w:sz="4" w:space="0" w:color="auto"/>
            </w:tcBorders>
            <w:shd w:val="clear" w:color="000000" w:fill="DA9694"/>
            <w:vAlign w:val="center"/>
            <w:hideMark/>
          </w:tcPr>
          <w:p w14:paraId="62FEA957"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Maternal and infant health</w:t>
            </w:r>
          </w:p>
        </w:tc>
        <w:tc>
          <w:tcPr>
            <w:tcW w:w="930" w:type="dxa"/>
            <w:tcBorders>
              <w:top w:val="single" w:sz="4" w:space="0" w:color="auto"/>
              <w:left w:val="nil"/>
              <w:bottom w:val="single" w:sz="4" w:space="0" w:color="auto"/>
              <w:right w:val="single" w:sz="4" w:space="0" w:color="auto"/>
            </w:tcBorders>
            <w:shd w:val="clear" w:color="000000" w:fill="DA9694"/>
            <w:vAlign w:val="center"/>
            <w:hideMark/>
          </w:tcPr>
          <w:p w14:paraId="5EB35628"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Maternity and infancy</w:t>
            </w:r>
          </w:p>
        </w:tc>
        <w:tc>
          <w:tcPr>
            <w:tcW w:w="922" w:type="dxa"/>
            <w:tcBorders>
              <w:top w:val="nil"/>
              <w:left w:val="nil"/>
              <w:bottom w:val="nil"/>
              <w:right w:val="nil"/>
            </w:tcBorders>
            <w:shd w:val="clear" w:color="auto" w:fill="auto"/>
            <w:noWrap/>
            <w:vAlign w:val="bottom"/>
            <w:hideMark/>
          </w:tcPr>
          <w:p w14:paraId="20FD176C"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22" w:type="dxa"/>
            <w:tcBorders>
              <w:top w:val="nil"/>
              <w:left w:val="nil"/>
              <w:bottom w:val="nil"/>
              <w:right w:val="nil"/>
            </w:tcBorders>
            <w:shd w:val="clear" w:color="auto" w:fill="auto"/>
            <w:noWrap/>
            <w:vAlign w:val="bottom"/>
            <w:hideMark/>
          </w:tcPr>
          <w:p w14:paraId="28784A6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29CA0AE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4712464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231F926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0D4117A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1534E9B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29F5C92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55318F57"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45D3E097" w14:textId="77777777" w:rsidTr="00385AEA">
        <w:trPr>
          <w:trHeight w:val="290"/>
        </w:trPr>
        <w:tc>
          <w:tcPr>
            <w:tcW w:w="931" w:type="dxa"/>
            <w:vMerge/>
            <w:tcBorders>
              <w:top w:val="nil"/>
              <w:left w:val="single" w:sz="4" w:space="0" w:color="auto"/>
              <w:bottom w:val="single" w:sz="4" w:space="0" w:color="000000"/>
              <w:right w:val="single" w:sz="4" w:space="0" w:color="auto"/>
            </w:tcBorders>
            <w:vAlign w:val="center"/>
            <w:hideMark/>
          </w:tcPr>
          <w:p w14:paraId="76E482E2"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nil"/>
            </w:tcBorders>
            <w:shd w:val="clear" w:color="000000" w:fill="FFFFFF"/>
            <w:noWrap/>
            <w:vAlign w:val="bottom"/>
            <w:hideMark/>
          </w:tcPr>
          <w:p w14:paraId="377E1E86" w14:textId="74254152"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hAnsi="Calibri" w:cs="Calibri"/>
                <w:b/>
                <w:color w:val="000000"/>
                <w:sz w:val="16"/>
              </w:rPr>
              <w:t> </w:t>
            </w:r>
          </w:p>
        </w:tc>
        <w:tc>
          <w:tcPr>
            <w:tcW w:w="1070" w:type="dxa"/>
            <w:tcBorders>
              <w:top w:val="nil"/>
              <w:left w:val="nil"/>
              <w:bottom w:val="single" w:sz="4" w:space="0" w:color="auto"/>
              <w:right w:val="nil"/>
            </w:tcBorders>
            <w:shd w:val="clear" w:color="000000" w:fill="FFFFFF"/>
            <w:vAlign w:val="center"/>
            <w:hideMark/>
          </w:tcPr>
          <w:p w14:paraId="7C65CF6C"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68D34CC8"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0D3579E3"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894" w:type="dxa"/>
            <w:tcBorders>
              <w:top w:val="nil"/>
              <w:left w:val="nil"/>
              <w:bottom w:val="single" w:sz="4" w:space="0" w:color="auto"/>
              <w:right w:val="nil"/>
            </w:tcBorders>
            <w:shd w:val="clear" w:color="000000" w:fill="FFFFFF"/>
            <w:vAlign w:val="center"/>
            <w:hideMark/>
          </w:tcPr>
          <w:p w14:paraId="5791BC26"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000000" w:fill="FFFFFF"/>
            <w:vAlign w:val="center"/>
            <w:hideMark/>
          </w:tcPr>
          <w:p w14:paraId="0CEBF0F9"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000000" w:fill="FFFFFF"/>
            <w:noWrap/>
            <w:vAlign w:val="bottom"/>
            <w:hideMark/>
          </w:tcPr>
          <w:p w14:paraId="52883AE6"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000000" w:fill="FFFFFF"/>
            <w:noWrap/>
            <w:vAlign w:val="bottom"/>
            <w:hideMark/>
          </w:tcPr>
          <w:p w14:paraId="4F487D78"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000000" w:fill="FFFFFF"/>
            <w:noWrap/>
            <w:vAlign w:val="bottom"/>
            <w:hideMark/>
          </w:tcPr>
          <w:p w14:paraId="2B023E5C"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1072" w:type="dxa"/>
            <w:tcBorders>
              <w:top w:val="nil"/>
              <w:left w:val="nil"/>
              <w:bottom w:val="single" w:sz="4" w:space="0" w:color="auto"/>
              <w:right w:val="nil"/>
            </w:tcBorders>
            <w:shd w:val="clear" w:color="000000" w:fill="FFFFFF"/>
            <w:noWrap/>
            <w:vAlign w:val="bottom"/>
            <w:hideMark/>
          </w:tcPr>
          <w:p w14:paraId="101F1A21"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143A1B23"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742" w:type="dxa"/>
            <w:tcBorders>
              <w:top w:val="nil"/>
              <w:left w:val="nil"/>
              <w:bottom w:val="single" w:sz="4" w:space="0" w:color="auto"/>
              <w:right w:val="nil"/>
            </w:tcBorders>
            <w:shd w:val="clear" w:color="000000" w:fill="FFFFFF"/>
            <w:noWrap/>
            <w:vAlign w:val="bottom"/>
            <w:hideMark/>
          </w:tcPr>
          <w:p w14:paraId="142FDB91"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6" w:type="dxa"/>
            <w:tcBorders>
              <w:top w:val="nil"/>
              <w:left w:val="nil"/>
              <w:bottom w:val="single" w:sz="4" w:space="0" w:color="auto"/>
              <w:right w:val="nil"/>
            </w:tcBorders>
            <w:shd w:val="clear" w:color="000000" w:fill="FFFFFF"/>
            <w:noWrap/>
            <w:vAlign w:val="bottom"/>
            <w:hideMark/>
          </w:tcPr>
          <w:p w14:paraId="0B0718F4"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8" w:type="dxa"/>
            <w:tcBorders>
              <w:top w:val="nil"/>
              <w:left w:val="nil"/>
              <w:bottom w:val="single" w:sz="4" w:space="0" w:color="auto"/>
              <w:right w:val="nil"/>
            </w:tcBorders>
            <w:shd w:val="clear" w:color="000000" w:fill="FFFFFF"/>
            <w:noWrap/>
            <w:vAlign w:val="bottom"/>
            <w:hideMark/>
          </w:tcPr>
          <w:p w14:paraId="2A5502DD"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single" w:sz="4" w:space="0" w:color="auto"/>
            </w:tcBorders>
            <w:shd w:val="clear" w:color="000000" w:fill="FFFFFF"/>
            <w:noWrap/>
            <w:vAlign w:val="bottom"/>
            <w:hideMark/>
          </w:tcPr>
          <w:p w14:paraId="1A5B90EF"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3C6FEFE9" w14:textId="77777777" w:rsidTr="00385AEA">
        <w:trPr>
          <w:trHeight w:val="290"/>
        </w:trPr>
        <w:tc>
          <w:tcPr>
            <w:tcW w:w="9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C5BCA6F" w14:textId="77777777" w:rsidR="003F6084" w:rsidRPr="003F6084" w:rsidRDefault="003F6084" w:rsidP="003F6084">
            <w:pPr>
              <w:spacing w:after="0" w:line="240" w:lineRule="auto"/>
              <w:jc w:val="center"/>
              <w:rPr>
                <w:rFonts w:ascii="Calibri" w:eastAsia="Times New Roman" w:hAnsi="Calibri" w:cs="Calibri"/>
                <w:b/>
                <w:bCs/>
                <w:color w:val="000000"/>
                <w:sz w:val="18"/>
                <w:lang w:eastAsia="zh-CN"/>
              </w:rPr>
            </w:pPr>
            <w:r w:rsidRPr="003F6084">
              <w:rPr>
                <w:rFonts w:ascii="Calibri" w:eastAsia="Times New Roman" w:hAnsi="Calibri" w:cs="Calibri"/>
                <w:b/>
                <w:bCs/>
                <w:color w:val="000000"/>
                <w:sz w:val="18"/>
                <w:lang w:eastAsia="zh-CN"/>
              </w:rPr>
              <w:t>Minor chronic illness</w:t>
            </w:r>
          </w:p>
        </w:tc>
        <w:tc>
          <w:tcPr>
            <w:tcW w:w="1260" w:type="dxa"/>
            <w:tcBorders>
              <w:top w:val="nil"/>
              <w:left w:val="nil"/>
              <w:bottom w:val="nil"/>
              <w:right w:val="nil"/>
            </w:tcBorders>
            <w:shd w:val="clear" w:color="auto" w:fill="auto"/>
            <w:noWrap/>
            <w:vAlign w:val="bottom"/>
            <w:hideMark/>
          </w:tcPr>
          <w:p w14:paraId="1871EC67" w14:textId="77777777" w:rsidR="003F6084" w:rsidRPr="003F6084" w:rsidRDefault="003F6084" w:rsidP="003F6084">
            <w:pPr>
              <w:spacing w:after="0" w:line="240" w:lineRule="auto"/>
              <w:jc w:val="center"/>
              <w:rPr>
                <w:rFonts w:ascii="Calibri" w:eastAsia="Times New Roman" w:hAnsi="Calibri" w:cs="Calibri"/>
                <w:b/>
                <w:bCs/>
                <w:color w:val="000000"/>
                <w:sz w:val="16"/>
                <w:lang w:eastAsia="zh-CN"/>
              </w:rPr>
            </w:pPr>
          </w:p>
        </w:tc>
        <w:tc>
          <w:tcPr>
            <w:tcW w:w="1070" w:type="dxa"/>
            <w:tcBorders>
              <w:top w:val="nil"/>
              <w:left w:val="nil"/>
              <w:bottom w:val="nil"/>
              <w:right w:val="nil"/>
            </w:tcBorders>
            <w:shd w:val="clear" w:color="auto" w:fill="auto"/>
            <w:noWrap/>
            <w:vAlign w:val="bottom"/>
            <w:hideMark/>
          </w:tcPr>
          <w:p w14:paraId="6586EA6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03DC74F3"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3B7F52D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1E99BD4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0AFFF97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1912BA9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7E8D746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13B7275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746D677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2426E373"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02F074A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5DB7847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64613DE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019140CF"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50E4C45C" w14:textId="77777777" w:rsidTr="00385AEA">
        <w:trPr>
          <w:trHeight w:val="870"/>
        </w:trPr>
        <w:tc>
          <w:tcPr>
            <w:tcW w:w="931" w:type="dxa"/>
            <w:vMerge/>
            <w:tcBorders>
              <w:top w:val="nil"/>
              <w:left w:val="single" w:sz="4" w:space="0" w:color="auto"/>
              <w:bottom w:val="single" w:sz="4" w:space="0" w:color="000000"/>
              <w:right w:val="single" w:sz="4" w:space="0" w:color="auto"/>
            </w:tcBorders>
            <w:vAlign w:val="center"/>
            <w:hideMark/>
          </w:tcPr>
          <w:p w14:paraId="2D5385A7"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single" w:sz="4" w:space="0" w:color="auto"/>
              <w:left w:val="nil"/>
              <w:bottom w:val="single" w:sz="4" w:space="0" w:color="auto"/>
              <w:right w:val="single" w:sz="4" w:space="0" w:color="auto"/>
            </w:tcBorders>
            <w:shd w:val="clear" w:color="000000" w:fill="F2DCDB"/>
            <w:vAlign w:val="center"/>
            <w:hideMark/>
          </w:tcPr>
          <w:p w14:paraId="783B2BF6" w14:textId="613CA0A5"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Infants with 1 chronic condition</w:t>
            </w:r>
          </w:p>
        </w:tc>
        <w:tc>
          <w:tcPr>
            <w:tcW w:w="1070" w:type="dxa"/>
            <w:tcBorders>
              <w:top w:val="single" w:sz="4" w:space="0" w:color="auto"/>
              <w:left w:val="nil"/>
              <w:bottom w:val="single" w:sz="4" w:space="0" w:color="auto"/>
              <w:right w:val="single" w:sz="4" w:space="0" w:color="auto"/>
            </w:tcBorders>
            <w:shd w:val="clear" w:color="000000" w:fill="F2DCDB"/>
            <w:vAlign w:val="center"/>
            <w:hideMark/>
          </w:tcPr>
          <w:p w14:paraId="11126379"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Low Complex Chronic Conditions</w:t>
            </w:r>
          </w:p>
        </w:tc>
        <w:tc>
          <w:tcPr>
            <w:tcW w:w="992" w:type="dxa"/>
            <w:tcBorders>
              <w:top w:val="single" w:sz="4" w:space="0" w:color="auto"/>
              <w:left w:val="nil"/>
              <w:bottom w:val="single" w:sz="4" w:space="0" w:color="auto"/>
              <w:right w:val="single" w:sz="4" w:space="0" w:color="auto"/>
            </w:tcBorders>
            <w:shd w:val="clear" w:color="000000" w:fill="F2DCDB"/>
            <w:vAlign w:val="center"/>
            <w:hideMark/>
          </w:tcPr>
          <w:p w14:paraId="097ECA0A"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Adults (&lt;75) with one or more LTCs</w:t>
            </w:r>
          </w:p>
        </w:tc>
        <w:tc>
          <w:tcPr>
            <w:tcW w:w="992" w:type="dxa"/>
            <w:tcBorders>
              <w:top w:val="single" w:sz="4" w:space="0" w:color="auto"/>
              <w:left w:val="nil"/>
              <w:bottom w:val="single" w:sz="4" w:space="0" w:color="auto"/>
              <w:right w:val="single" w:sz="4" w:space="0" w:color="auto"/>
            </w:tcBorders>
            <w:shd w:val="clear" w:color="000000" w:fill="F2DCDB"/>
            <w:vAlign w:val="center"/>
            <w:hideMark/>
          </w:tcPr>
          <w:p w14:paraId="60199422"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Single minor chronic disease</w:t>
            </w:r>
          </w:p>
        </w:tc>
        <w:tc>
          <w:tcPr>
            <w:tcW w:w="894" w:type="dxa"/>
            <w:tcBorders>
              <w:top w:val="single" w:sz="4" w:space="0" w:color="auto"/>
              <w:left w:val="nil"/>
              <w:bottom w:val="single" w:sz="4" w:space="0" w:color="auto"/>
              <w:right w:val="single" w:sz="4" w:space="0" w:color="auto"/>
            </w:tcBorders>
            <w:shd w:val="clear" w:color="000000" w:fill="F2DCDB"/>
            <w:vAlign w:val="center"/>
            <w:hideMark/>
          </w:tcPr>
          <w:p w14:paraId="5054C686"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Chronic conditions, normal function</w:t>
            </w:r>
          </w:p>
        </w:tc>
        <w:tc>
          <w:tcPr>
            <w:tcW w:w="930" w:type="dxa"/>
            <w:tcBorders>
              <w:top w:val="single" w:sz="4" w:space="0" w:color="auto"/>
              <w:left w:val="nil"/>
              <w:bottom w:val="single" w:sz="4" w:space="0" w:color="auto"/>
              <w:right w:val="single" w:sz="4" w:space="0" w:color="auto"/>
            </w:tcBorders>
            <w:shd w:val="clear" w:color="000000" w:fill="F2DCDB"/>
            <w:vAlign w:val="center"/>
            <w:hideMark/>
          </w:tcPr>
          <w:p w14:paraId="5F50EB47"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Possibly affected by chronic disease or at an early stage</w:t>
            </w:r>
          </w:p>
        </w:tc>
        <w:tc>
          <w:tcPr>
            <w:tcW w:w="922" w:type="dxa"/>
            <w:tcBorders>
              <w:top w:val="single" w:sz="4" w:space="0" w:color="auto"/>
              <w:left w:val="nil"/>
              <w:bottom w:val="single" w:sz="4" w:space="0" w:color="auto"/>
              <w:right w:val="single" w:sz="4" w:space="0" w:color="auto"/>
            </w:tcBorders>
            <w:shd w:val="clear" w:color="000000" w:fill="F2DCDB"/>
            <w:vAlign w:val="center"/>
            <w:hideMark/>
          </w:tcPr>
          <w:p w14:paraId="3E5EF283"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High primary care use</w:t>
            </w:r>
          </w:p>
        </w:tc>
        <w:tc>
          <w:tcPr>
            <w:tcW w:w="922" w:type="dxa"/>
            <w:tcBorders>
              <w:top w:val="single" w:sz="4" w:space="0" w:color="auto"/>
              <w:left w:val="nil"/>
              <w:bottom w:val="single" w:sz="4" w:space="0" w:color="auto"/>
              <w:right w:val="single" w:sz="4" w:space="0" w:color="auto"/>
            </w:tcBorders>
            <w:shd w:val="clear" w:color="000000" w:fill="F2DCDB"/>
            <w:vAlign w:val="center"/>
            <w:hideMark/>
          </w:tcPr>
          <w:p w14:paraId="5B8A5EC2"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Simple chronic illness</w:t>
            </w:r>
          </w:p>
        </w:tc>
        <w:tc>
          <w:tcPr>
            <w:tcW w:w="930" w:type="dxa"/>
            <w:tcBorders>
              <w:top w:val="single" w:sz="4" w:space="0" w:color="auto"/>
              <w:left w:val="nil"/>
              <w:bottom w:val="single" w:sz="4" w:space="0" w:color="auto"/>
              <w:right w:val="single" w:sz="4" w:space="0" w:color="auto"/>
            </w:tcBorders>
            <w:shd w:val="clear" w:color="000000" w:fill="F2DCDB"/>
            <w:vAlign w:val="center"/>
            <w:hideMark/>
          </w:tcPr>
          <w:p w14:paraId="66622A24"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Stable chronic</w:t>
            </w:r>
          </w:p>
        </w:tc>
        <w:tc>
          <w:tcPr>
            <w:tcW w:w="1072" w:type="dxa"/>
            <w:tcBorders>
              <w:top w:val="single" w:sz="4" w:space="0" w:color="auto"/>
              <w:left w:val="nil"/>
              <w:bottom w:val="single" w:sz="4" w:space="0" w:color="auto"/>
              <w:right w:val="single" w:sz="4" w:space="0" w:color="auto"/>
            </w:tcBorders>
            <w:shd w:val="clear" w:color="000000" w:fill="F2DCDB"/>
            <w:vAlign w:val="center"/>
            <w:hideMark/>
          </w:tcPr>
          <w:p w14:paraId="5EF795F8"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Stable, chronic disease</w:t>
            </w:r>
          </w:p>
        </w:tc>
        <w:tc>
          <w:tcPr>
            <w:tcW w:w="992" w:type="dxa"/>
            <w:tcBorders>
              <w:top w:val="nil"/>
              <w:left w:val="nil"/>
              <w:bottom w:val="nil"/>
              <w:right w:val="nil"/>
            </w:tcBorders>
            <w:shd w:val="clear" w:color="auto" w:fill="auto"/>
            <w:noWrap/>
            <w:vAlign w:val="bottom"/>
            <w:hideMark/>
          </w:tcPr>
          <w:p w14:paraId="5B4144B3"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742" w:type="dxa"/>
            <w:tcBorders>
              <w:top w:val="nil"/>
              <w:left w:val="nil"/>
              <w:bottom w:val="nil"/>
              <w:right w:val="nil"/>
            </w:tcBorders>
            <w:shd w:val="clear" w:color="auto" w:fill="auto"/>
            <w:noWrap/>
            <w:vAlign w:val="bottom"/>
            <w:hideMark/>
          </w:tcPr>
          <w:p w14:paraId="71F57FA9"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722F612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single" w:sz="4" w:space="0" w:color="auto"/>
              <w:left w:val="single" w:sz="4" w:space="0" w:color="auto"/>
              <w:bottom w:val="single" w:sz="4" w:space="0" w:color="auto"/>
              <w:right w:val="single" w:sz="4" w:space="0" w:color="auto"/>
            </w:tcBorders>
            <w:shd w:val="clear" w:color="000000" w:fill="F2DCDB"/>
            <w:vAlign w:val="center"/>
            <w:hideMark/>
          </w:tcPr>
          <w:p w14:paraId="1EAF8252"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Minor chronic</w:t>
            </w:r>
          </w:p>
        </w:tc>
        <w:tc>
          <w:tcPr>
            <w:tcW w:w="930" w:type="dxa"/>
            <w:tcBorders>
              <w:top w:val="single" w:sz="4" w:space="0" w:color="auto"/>
              <w:left w:val="nil"/>
              <w:bottom w:val="single" w:sz="4" w:space="0" w:color="auto"/>
              <w:right w:val="single" w:sz="4" w:space="0" w:color="auto"/>
            </w:tcBorders>
            <w:shd w:val="clear" w:color="000000" w:fill="F2DCDB"/>
            <w:vAlign w:val="center"/>
            <w:hideMark/>
          </w:tcPr>
          <w:p w14:paraId="4E273338"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One or more chronic conditions</w:t>
            </w:r>
          </w:p>
        </w:tc>
      </w:tr>
      <w:tr w:rsidR="003F6084" w:rsidRPr="003F6084" w14:paraId="28ECF940" w14:textId="77777777" w:rsidTr="00385AEA">
        <w:trPr>
          <w:trHeight w:val="1450"/>
        </w:trPr>
        <w:tc>
          <w:tcPr>
            <w:tcW w:w="931" w:type="dxa"/>
            <w:vMerge/>
            <w:tcBorders>
              <w:top w:val="nil"/>
              <w:left w:val="single" w:sz="4" w:space="0" w:color="auto"/>
              <w:bottom w:val="single" w:sz="4" w:space="0" w:color="000000"/>
              <w:right w:val="single" w:sz="4" w:space="0" w:color="auto"/>
            </w:tcBorders>
            <w:vAlign w:val="center"/>
            <w:hideMark/>
          </w:tcPr>
          <w:p w14:paraId="734DCF2A"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single" w:sz="4" w:space="0" w:color="auto"/>
            </w:tcBorders>
            <w:shd w:val="clear" w:color="000000" w:fill="F2DCDB"/>
            <w:vAlign w:val="center"/>
            <w:hideMark/>
          </w:tcPr>
          <w:p w14:paraId="0B1184FC" w14:textId="14320CF3"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Adolescents/</w:t>
            </w:r>
            <w:r w:rsidR="00E36CC7">
              <w:rPr>
                <w:rFonts w:ascii="Calibri" w:hAnsi="Calibri" w:cs="Calibri"/>
                <w:b/>
                <w:color w:val="000000"/>
                <w:sz w:val="16"/>
              </w:rPr>
              <w:t xml:space="preserve"> paediatrics</w:t>
            </w:r>
            <w:r w:rsidRPr="003F6084">
              <w:rPr>
                <w:rFonts w:ascii="Calibri" w:hAnsi="Calibri" w:cs="Calibri"/>
                <w:b/>
                <w:color w:val="000000"/>
                <w:sz w:val="16"/>
              </w:rPr>
              <w:t xml:space="preserve"> with 1 chronic condition</w:t>
            </w:r>
          </w:p>
        </w:tc>
        <w:tc>
          <w:tcPr>
            <w:tcW w:w="1070" w:type="dxa"/>
            <w:tcBorders>
              <w:top w:val="nil"/>
              <w:left w:val="nil"/>
              <w:bottom w:val="nil"/>
              <w:right w:val="nil"/>
            </w:tcBorders>
            <w:shd w:val="clear" w:color="auto" w:fill="auto"/>
            <w:noWrap/>
            <w:vAlign w:val="bottom"/>
            <w:hideMark/>
          </w:tcPr>
          <w:p w14:paraId="3A275B70"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single" w:sz="4" w:space="0" w:color="auto"/>
              <w:bottom w:val="single" w:sz="4" w:space="0" w:color="auto"/>
              <w:right w:val="single" w:sz="4" w:space="0" w:color="auto"/>
            </w:tcBorders>
            <w:shd w:val="clear" w:color="000000" w:fill="F2DCDB"/>
            <w:vAlign w:val="center"/>
            <w:hideMark/>
          </w:tcPr>
          <w:p w14:paraId="12EBB1C1"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Elderly (&gt;75) people with one or more LTCs</w:t>
            </w:r>
          </w:p>
        </w:tc>
        <w:tc>
          <w:tcPr>
            <w:tcW w:w="992" w:type="dxa"/>
            <w:tcBorders>
              <w:top w:val="nil"/>
              <w:left w:val="nil"/>
              <w:bottom w:val="single" w:sz="4" w:space="0" w:color="auto"/>
              <w:right w:val="single" w:sz="4" w:space="0" w:color="auto"/>
            </w:tcBorders>
            <w:shd w:val="clear" w:color="000000" w:fill="F2DCDB"/>
            <w:vAlign w:val="center"/>
            <w:hideMark/>
          </w:tcPr>
          <w:p w14:paraId="770EF953"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Minor chronic disease in multiple organ systems</w:t>
            </w:r>
          </w:p>
        </w:tc>
        <w:tc>
          <w:tcPr>
            <w:tcW w:w="894" w:type="dxa"/>
            <w:tcBorders>
              <w:top w:val="nil"/>
              <w:left w:val="nil"/>
              <w:bottom w:val="nil"/>
              <w:right w:val="nil"/>
            </w:tcBorders>
            <w:shd w:val="clear" w:color="auto" w:fill="auto"/>
            <w:noWrap/>
            <w:vAlign w:val="bottom"/>
            <w:hideMark/>
          </w:tcPr>
          <w:p w14:paraId="147FD88B"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30" w:type="dxa"/>
            <w:tcBorders>
              <w:top w:val="nil"/>
              <w:left w:val="single" w:sz="4" w:space="0" w:color="auto"/>
              <w:bottom w:val="single" w:sz="4" w:space="0" w:color="auto"/>
              <w:right w:val="single" w:sz="4" w:space="0" w:color="auto"/>
            </w:tcBorders>
            <w:shd w:val="clear" w:color="000000" w:fill="F2DCDB"/>
            <w:vAlign w:val="center"/>
            <w:hideMark/>
          </w:tcPr>
          <w:p w14:paraId="07A31BD9"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Affected by only one chronic disease</w:t>
            </w:r>
          </w:p>
        </w:tc>
        <w:tc>
          <w:tcPr>
            <w:tcW w:w="922" w:type="dxa"/>
            <w:tcBorders>
              <w:top w:val="nil"/>
              <w:left w:val="nil"/>
              <w:bottom w:val="nil"/>
              <w:right w:val="nil"/>
            </w:tcBorders>
            <w:shd w:val="clear" w:color="auto" w:fill="auto"/>
            <w:noWrap/>
            <w:vAlign w:val="bottom"/>
            <w:hideMark/>
          </w:tcPr>
          <w:p w14:paraId="17701506"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22" w:type="dxa"/>
            <w:tcBorders>
              <w:top w:val="nil"/>
              <w:left w:val="single" w:sz="4" w:space="0" w:color="auto"/>
              <w:bottom w:val="single" w:sz="4" w:space="0" w:color="auto"/>
              <w:right w:val="single" w:sz="4" w:space="0" w:color="auto"/>
            </w:tcBorders>
            <w:shd w:val="clear" w:color="000000" w:fill="F2DCDB"/>
            <w:vAlign w:val="center"/>
            <w:hideMark/>
          </w:tcPr>
          <w:p w14:paraId="41E33BB4"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Minor complex chronic illness</w:t>
            </w:r>
          </w:p>
        </w:tc>
        <w:tc>
          <w:tcPr>
            <w:tcW w:w="930" w:type="dxa"/>
            <w:tcBorders>
              <w:top w:val="nil"/>
              <w:left w:val="nil"/>
              <w:bottom w:val="nil"/>
              <w:right w:val="nil"/>
            </w:tcBorders>
            <w:shd w:val="clear" w:color="auto" w:fill="auto"/>
            <w:noWrap/>
            <w:vAlign w:val="bottom"/>
            <w:hideMark/>
          </w:tcPr>
          <w:p w14:paraId="45764EE4"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1072" w:type="dxa"/>
            <w:tcBorders>
              <w:top w:val="nil"/>
              <w:left w:val="nil"/>
              <w:bottom w:val="nil"/>
              <w:right w:val="nil"/>
            </w:tcBorders>
            <w:shd w:val="clear" w:color="auto" w:fill="auto"/>
            <w:noWrap/>
            <w:vAlign w:val="bottom"/>
            <w:hideMark/>
          </w:tcPr>
          <w:p w14:paraId="66BD6D3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0C1503B9"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1D3C910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37944B3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4F16C4D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37894A1D"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7B9B682F" w14:textId="77777777" w:rsidTr="00385AEA">
        <w:trPr>
          <w:trHeight w:val="870"/>
        </w:trPr>
        <w:tc>
          <w:tcPr>
            <w:tcW w:w="931" w:type="dxa"/>
            <w:vMerge/>
            <w:tcBorders>
              <w:top w:val="nil"/>
              <w:left w:val="single" w:sz="4" w:space="0" w:color="auto"/>
              <w:bottom w:val="single" w:sz="4" w:space="0" w:color="000000"/>
              <w:right w:val="single" w:sz="4" w:space="0" w:color="auto"/>
            </w:tcBorders>
            <w:vAlign w:val="center"/>
            <w:hideMark/>
          </w:tcPr>
          <w:p w14:paraId="2622E75D"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single" w:sz="4" w:space="0" w:color="auto"/>
            </w:tcBorders>
            <w:shd w:val="clear" w:color="000000" w:fill="F2DCDB"/>
            <w:vAlign w:val="center"/>
            <w:hideMark/>
          </w:tcPr>
          <w:p w14:paraId="2412AFD5" w14:textId="60A4C892"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Adults with 1 chronic condition</w:t>
            </w:r>
          </w:p>
        </w:tc>
        <w:tc>
          <w:tcPr>
            <w:tcW w:w="1070" w:type="dxa"/>
            <w:tcBorders>
              <w:top w:val="nil"/>
              <w:left w:val="nil"/>
              <w:bottom w:val="nil"/>
              <w:right w:val="nil"/>
            </w:tcBorders>
            <w:shd w:val="clear" w:color="auto" w:fill="auto"/>
            <w:noWrap/>
            <w:vAlign w:val="bottom"/>
            <w:hideMark/>
          </w:tcPr>
          <w:p w14:paraId="7BF03812"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nil"/>
              <w:bottom w:val="nil"/>
              <w:right w:val="nil"/>
            </w:tcBorders>
            <w:shd w:val="clear" w:color="auto" w:fill="auto"/>
            <w:noWrap/>
            <w:vAlign w:val="bottom"/>
            <w:hideMark/>
          </w:tcPr>
          <w:p w14:paraId="49A4057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3473B5D3"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56132D9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38C85D0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79A4F22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47EBFAD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43022CF8"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4584086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754316E1"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29D1B02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6C605A5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47763A4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1DA5C5A1"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1650DC0E" w14:textId="77777777" w:rsidTr="00385AEA">
        <w:trPr>
          <w:trHeight w:val="870"/>
        </w:trPr>
        <w:tc>
          <w:tcPr>
            <w:tcW w:w="931" w:type="dxa"/>
            <w:vMerge/>
            <w:tcBorders>
              <w:top w:val="nil"/>
              <w:left w:val="single" w:sz="4" w:space="0" w:color="auto"/>
              <w:bottom w:val="single" w:sz="4" w:space="0" w:color="000000"/>
              <w:right w:val="single" w:sz="4" w:space="0" w:color="auto"/>
            </w:tcBorders>
            <w:vAlign w:val="center"/>
            <w:hideMark/>
          </w:tcPr>
          <w:p w14:paraId="13F8C3D8"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single" w:sz="4" w:space="0" w:color="auto"/>
            </w:tcBorders>
            <w:shd w:val="clear" w:color="000000" w:fill="F2DCDB"/>
            <w:vAlign w:val="center"/>
            <w:hideMark/>
          </w:tcPr>
          <w:p w14:paraId="497DF72E" w14:textId="60799783"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Elderly with 1 chronic condition</w:t>
            </w:r>
          </w:p>
        </w:tc>
        <w:tc>
          <w:tcPr>
            <w:tcW w:w="1070" w:type="dxa"/>
            <w:tcBorders>
              <w:top w:val="nil"/>
              <w:left w:val="nil"/>
              <w:bottom w:val="nil"/>
              <w:right w:val="nil"/>
            </w:tcBorders>
            <w:shd w:val="clear" w:color="auto" w:fill="auto"/>
            <w:noWrap/>
            <w:vAlign w:val="bottom"/>
            <w:hideMark/>
          </w:tcPr>
          <w:p w14:paraId="00808505"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nil"/>
              <w:bottom w:val="nil"/>
              <w:right w:val="nil"/>
            </w:tcBorders>
            <w:shd w:val="clear" w:color="auto" w:fill="auto"/>
            <w:noWrap/>
            <w:vAlign w:val="bottom"/>
            <w:hideMark/>
          </w:tcPr>
          <w:p w14:paraId="5D7BB41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6DB95ED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7B78BDD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6217C9A1"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459F0E5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01F4F15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2CDAC3F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5F9C80C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1205E71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077EC35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251952C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5789522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4A220619"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5A516024" w14:textId="77777777" w:rsidTr="00385AEA">
        <w:trPr>
          <w:trHeight w:val="290"/>
        </w:trPr>
        <w:tc>
          <w:tcPr>
            <w:tcW w:w="931" w:type="dxa"/>
            <w:vMerge/>
            <w:tcBorders>
              <w:top w:val="nil"/>
              <w:left w:val="single" w:sz="4" w:space="0" w:color="auto"/>
              <w:bottom w:val="single" w:sz="4" w:space="0" w:color="000000"/>
              <w:right w:val="single" w:sz="4" w:space="0" w:color="auto"/>
            </w:tcBorders>
            <w:vAlign w:val="center"/>
            <w:hideMark/>
          </w:tcPr>
          <w:p w14:paraId="3716B8F0"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nil"/>
            </w:tcBorders>
            <w:shd w:val="clear" w:color="000000" w:fill="FFFFFF"/>
            <w:vAlign w:val="center"/>
            <w:hideMark/>
          </w:tcPr>
          <w:p w14:paraId="7DC19D56" w14:textId="75B9C4A5"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 </w:t>
            </w:r>
          </w:p>
        </w:tc>
        <w:tc>
          <w:tcPr>
            <w:tcW w:w="1070" w:type="dxa"/>
            <w:tcBorders>
              <w:top w:val="nil"/>
              <w:left w:val="nil"/>
              <w:bottom w:val="single" w:sz="4" w:space="0" w:color="auto"/>
              <w:right w:val="nil"/>
            </w:tcBorders>
            <w:shd w:val="clear" w:color="000000" w:fill="FFFFFF"/>
            <w:noWrap/>
            <w:vAlign w:val="bottom"/>
            <w:hideMark/>
          </w:tcPr>
          <w:p w14:paraId="07BDD765"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18FCE794"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394CE0D9"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894" w:type="dxa"/>
            <w:tcBorders>
              <w:top w:val="nil"/>
              <w:left w:val="nil"/>
              <w:bottom w:val="single" w:sz="4" w:space="0" w:color="auto"/>
              <w:right w:val="nil"/>
            </w:tcBorders>
            <w:shd w:val="clear" w:color="000000" w:fill="FFFFFF"/>
            <w:noWrap/>
            <w:vAlign w:val="bottom"/>
            <w:hideMark/>
          </w:tcPr>
          <w:p w14:paraId="555AB4A1"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000000" w:fill="FFFFFF"/>
            <w:noWrap/>
            <w:vAlign w:val="bottom"/>
            <w:hideMark/>
          </w:tcPr>
          <w:p w14:paraId="13D06F7D"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000000" w:fill="FFFFFF"/>
            <w:noWrap/>
            <w:vAlign w:val="bottom"/>
            <w:hideMark/>
          </w:tcPr>
          <w:p w14:paraId="3E51D093"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000000" w:fill="FFFFFF"/>
            <w:noWrap/>
            <w:vAlign w:val="bottom"/>
            <w:hideMark/>
          </w:tcPr>
          <w:p w14:paraId="63BB59C9"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000000" w:fill="FFFFFF"/>
            <w:noWrap/>
            <w:vAlign w:val="bottom"/>
            <w:hideMark/>
          </w:tcPr>
          <w:p w14:paraId="257071AD"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1072" w:type="dxa"/>
            <w:tcBorders>
              <w:top w:val="nil"/>
              <w:left w:val="nil"/>
              <w:bottom w:val="single" w:sz="4" w:space="0" w:color="auto"/>
              <w:right w:val="nil"/>
            </w:tcBorders>
            <w:shd w:val="clear" w:color="000000" w:fill="FFFFFF"/>
            <w:noWrap/>
            <w:vAlign w:val="bottom"/>
            <w:hideMark/>
          </w:tcPr>
          <w:p w14:paraId="65C5C4C6"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6F1AD258"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742" w:type="dxa"/>
            <w:tcBorders>
              <w:top w:val="nil"/>
              <w:left w:val="nil"/>
              <w:bottom w:val="single" w:sz="4" w:space="0" w:color="auto"/>
              <w:right w:val="nil"/>
            </w:tcBorders>
            <w:shd w:val="clear" w:color="000000" w:fill="FFFFFF"/>
            <w:noWrap/>
            <w:vAlign w:val="bottom"/>
            <w:hideMark/>
          </w:tcPr>
          <w:p w14:paraId="730461D1"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6" w:type="dxa"/>
            <w:tcBorders>
              <w:top w:val="nil"/>
              <w:left w:val="nil"/>
              <w:bottom w:val="single" w:sz="4" w:space="0" w:color="auto"/>
              <w:right w:val="nil"/>
            </w:tcBorders>
            <w:shd w:val="clear" w:color="000000" w:fill="FFFFFF"/>
            <w:noWrap/>
            <w:vAlign w:val="bottom"/>
            <w:hideMark/>
          </w:tcPr>
          <w:p w14:paraId="0A2985D7"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8" w:type="dxa"/>
            <w:tcBorders>
              <w:top w:val="nil"/>
              <w:left w:val="nil"/>
              <w:bottom w:val="single" w:sz="4" w:space="0" w:color="auto"/>
              <w:right w:val="nil"/>
            </w:tcBorders>
            <w:shd w:val="clear" w:color="000000" w:fill="FFFFFF"/>
            <w:noWrap/>
            <w:vAlign w:val="bottom"/>
            <w:hideMark/>
          </w:tcPr>
          <w:p w14:paraId="760046C5"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single" w:sz="4" w:space="0" w:color="auto"/>
            </w:tcBorders>
            <w:shd w:val="clear" w:color="000000" w:fill="FFFFFF"/>
            <w:noWrap/>
            <w:vAlign w:val="bottom"/>
            <w:hideMark/>
          </w:tcPr>
          <w:p w14:paraId="03A7E037"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26E2351D" w14:textId="77777777" w:rsidTr="00385AEA">
        <w:trPr>
          <w:trHeight w:val="290"/>
        </w:trPr>
        <w:tc>
          <w:tcPr>
            <w:tcW w:w="9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EE22DD3" w14:textId="77777777" w:rsidR="003F6084" w:rsidRPr="003F6084" w:rsidRDefault="003F6084" w:rsidP="003F6084">
            <w:pPr>
              <w:spacing w:after="0" w:line="240" w:lineRule="auto"/>
              <w:jc w:val="center"/>
              <w:rPr>
                <w:rFonts w:ascii="Calibri" w:eastAsia="Times New Roman" w:hAnsi="Calibri" w:cs="Calibri"/>
                <w:b/>
                <w:bCs/>
                <w:color w:val="000000"/>
                <w:sz w:val="18"/>
                <w:lang w:eastAsia="zh-CN"/>
              </w:rPr>
            </w:pPr>
            <w:r w:rsidRPr="003F6084">
              <w:rPr>
                <w:rFonts w:ascii="Calibri" w:eastAsia="Times New Roman" w:hAnsi="Calibri" w:cs="Calibri"/>
                <w:b/>
                <w:bCs/>
                <w:color w:val="000000"/>
                <w:sz w:val="18"/>
                <w:lang w:eastAsia="zh-CN"/>
              </w:rPr>
              <w:t>Moderate chronic illness</w:t>
            </w:r>
          </w:p>
        </w:tc>
        <w:tc>
          <w:tcPr>
            <w:tcW w:w="1260" w:type="dxa"/>
            <w:tcBorders>
              <w:top w:val="nil"/>
              <w:left w:val="nil"/>
              <w:bottom w:val="nil"/>
              <w:right w:val="nil"/>
            </w:tcBorders>
            <w:shd w:val="clear" w:color="auto" w:fill="auto"/>
            <w:noWrap/>
            <w:vAlign w:val="bottom"/>
            <w:hideMark/>
          </w:tcPr>
          <w:p w14:paraId="4604F54F" w14:textId="77777777" w:rsidR="003F6084" w:rsidRPr="003F6084" w:rsidRDefault="003F6084" w:rsidP="003F6084">
            <w:pPr>
              <w:spacing w:after="0" w:line="240" w:lineRule="auto"/>
              <w:jc w:val="center"/>
              <w:rPr>
                <w:rFonts w:ascii="Calibri" w:eastAsia="Times New Roman" w:hAnsi="Calibri" w:cs="Calibri"/>
                <w:b/>
                <w:bCs/>
                <w:color w:val="000000"/>
                <w:sz w:val="16"/>
                <w:lang w:eastAsia="zh-CN"/>
              </w:rPr>
            </w:pPr>
          </w:p>
        </w:tc>
        <w:tc>
          <w:tcPr>
            <w:tcW w:w="1070" w:type="dxa"/>
            <w:tcBorders>
              <w:top w:val="nil"/>
              <w:left w:val="nil"/>
              <w:bottom w:val="nil"/>
              <w:right w:val="nil"/>
            </w:tcBorders>
            <w:shd w:val="clear" w:color="auto" w:fill="auto"/>
            <w:noWrap/>
            <w:vAlign w:val="bottom"/>
            <w:hideMark/>
          </w:tcPr>
          <w:p w14:paraId="4743A2B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08C5A66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218DEDE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5CEB7B2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50E0334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441CEA4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2454E02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672794F3"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748A203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7203CEE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1726433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31EDB58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075AC5E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4066128B"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4FC67301" w14:textId="77777777" w:rsidTr="00385AEA">
        <w:trPr>
          <w:trHeight w:val="870"/>
        </w:trPr>
        <w:tc>
          <w:tcPr>
            <w:tcW w:w="931" w:type="dxa"/>
            <w:vMerge/>
            <w:tcBorders>
              <w:top w:val="nil"/>
              <w:left w:val="single" w:sz="4" w:space="0" w:color="auto"/>
              <w:bottom w:val="single" w:sz="4" w:space="0" w:color="000000"/>
              <w:right w:val="single" w:sz="4" w:space="0" w:color="auto"/>
            </w:tcBorders>
            <w:vAlign w:val="center"/>
            <w:hideMark/>
          </w:tcPr>
          <w:p w14:paraId="4F1C7279"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single" w:sz="4" w:space="0" w:color="auto"/>
              <w:left w:val="nil"/>
              <w:bottom w:val="single" w:sz="4" w:space="0" w:color="auto"/>
              <w:right w:val="single" w:sz="4" w:space="0" w:color="auto"/>
            </w:tcBorders>
            <w:shd w:val="clear" w:color="000000" w:fill="EBF1DE"/>
            <w:vAlign w:val="center"/>
            <w:hideMark/>
          </w:tcPr>
          <w:p w14:paraId="11607D1A" w14:textId="6305C6C5"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Infants with 2+ chronic conditions</w:t>
            </w:r>
          </w:p>
        </w:tc>
        <w:tc>
          <w:tcPr>
            <w:tcW w:w="1070" w:type="dxa"/>
            <w:tcBorders>
              <w:top w:val="single" w:sz="4" w:space="0" w:color="auto"/>
              <w:left w:val="nil"/>
              <w:bottom w:val="single" w:sz="4" w:space="0" w:color="auto"/>
              <w:right w:val="single" w:sz="4" w:space="0" w:color="auto"/>
            </w:tcBorders>
            <w:shd w:val="clear" w:color="000000" w:fill="EBF1DE"/>
            <w:vAlign w:val="center"/>
            <w:hideMark/>
          </w:tcPr>
          <w:p w14:paraId="3DAC0C90"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Medium Complex Chronic Conditions</w:t>
            </w:r>
          </w:p>
        </w:tc>
        <w:tc>
          <w:tcPr>
            <w:tcW w:w="992" w:type="dxa"/>
            <w:tcBorders>
              <w:top w:val="nil"/>
              <w:left w:val="nil"/>
              <w:bottom w:val="nil"/>
              <w:right w:val="nil"/>
            </w:tcBorders>
            <w:shd w:val="clear" w:color="auto" w:fill="auto"/>
            <w:noWrap/>
            <w:vAlign w:val="bottom"/>
            <w:hideMark/>
          </w:tcPr>
          <w:p w14:paraId="0C6ABA0C"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single" w:sz="4" w:space="0" w:color="auto"/>
              <w:left w:val="single" w:sz="4" w:space="0" w:color="auto"/>
              <w:bottom w:val="single" w:sz="4" w:space="0" w:color="auto"/>
              <w:right w:val="single" w:sz="4" w:space="0" w:color="auto"/>
            </w:tcBorders>
            <w:shd w:val="clear" w:color="000000" w:fill="EBF1DE"/>
            <w:vAlign w:val="center"/>
            <w:hideMark/>
          </w:tcPr>
          <w:p w14:paraId="757007A4"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Significant chronic disease</w:t>
            </w:r>
          </w:p>
        </w:tc>
        <w:tc>
          <w:tcPr>
            <w:tcW w:w="894" w:type="dxa"/>
            <w:tcBorders>
              <w:top w:val="single" w:sz="4" w:space="0" w:color="auto"/>
              <w:left w:val="nil"/>
              <w:bottom w:val="single" w:sz="4" w:space="0" w:color="auto"/>
              <w:right w:val="single" w:sz="4" w:space="0" w:color="auto"/>
            </w:tcBorders>
            <w:shd w:val="clear" w:color="000000" w:fill="EBF1DE"/>
            <w:vAlign w:val="center"/>
            <w:hideMark/>
          </w:tcPr>
          <w:p w14:paraId="65E22200"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Stable but serious disability</w:t>
            </w:r>
          </w:p>
        </w:tc>
        <w:tc>
          <w:tcPr>
            <w:tcW w:w="930" w:type="dxa"/>
            <w:tcBorders>
              <w:top w:val="single" w:sz="4" w:space="0" w:color="auto"/>
              <w:left w:val="nil"/>
              <w:bottom w:val="single" w:sz="4" w:space="0" w:color="auto"/>
              <w:right w:val="single" w:sz="4" w:space="0" w:color="auto"/>
            </w:tcBorders>
            <w:shd w:val="clear" w:color="000000" w:fill="EBF1DE"/>
            <w:vAlign w:val="center"/>
            <w:hideMark/>
          </w:tcPr>
          <w:p w14:paraId="2F3F4AEB"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Affected by more than one chronic disease</w:t>
            </w:r>
          </w:p>
        </w:tc>
        <w:tc>
          <w:tcPr>
            <w:tcW w:w="922" w:type="dxa"/>
            <w:tcBorders>
              <w:top w:val="single" w:sz="4" w:space="0" w:color="auto"/>
              <w:left w:val="nil"/>
              <w:bottom w:val="single" w:sz="4" w:space="0" w:color="auto"/>
              <w:right w:val="single" w:sz="4" w:space="0" w:color="auto"/>
            </w:tcBorders>
            <w:shd w:val="clear" w:color="000000" w:fill="EBF1DE"/>
            <w:vAlign w:val="center"/>
            <w:hideMark/>
          </w:tcPr>
          <w:p w14:paraId="2A29E8F2"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High emergency care use</w:t>
            </w:r>
          </w:p>
        </w:tc>
        <w:tc>
          <w:tcPr>
            <w:tcW w:w="922" w:type="dxa"/>
            <w:tcBorders>
              <w:top w:val="single" w:sz="4" w:space="0" w:color="auto"/>
              <w:left w:val="nil"/>
              <w:bottom w:val="single" w:sz="4" w:space="0" w:color="auto"/>
              <w:right w:val="single" w:sz="4" w:space="0" w:color="auto"/>
            </w:tcBorders>
            <w:shd w:val="clear" w:color="000000" w:fill="EBF1DE"/>
            <w:vAlign w:val="center"/>
            <w:hideMark/>
          </w:tcPr>
          <w:p w14:paraId="24DA6202"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Disabled, aged 65 and below</w:t>
            </w:r>
          </w:p>
        </w:tc>
        <w:tc>
          <w:tcPr>
            <w:tcW w:w="930" w:type="dxa"/>
            <w:tcBorders>
              <w:top w:val="single" w:sz="4" w:space="0" w:color="auto"/>
              <w:left w:val="nil"/>
              <w:bottom w:val="single" w:sz="4" w:space="0" w:color="auto"/>
              <w:right w:val="single" w:sz="4" w:space="0" w:color="auto"/>
            </w:tcBorders>
            <w:shd w:val="clear" w:color="000000" w:fill="EBF1DE"/>
            <w:vAlign w:val="center"/>
            <w:hideMark/>
          </w:tcPr>
          <w:p w14:paraId="68EEB540"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Complex chronic without frequent hospital admissions</w:t>
            </w:r>
          </w:p>
        </w:tc>
        <w:tc>
          <w:tcPr>
            <w:tcW w:w="1072" w:type="dxa"/>
            <w:tcBorders>
              <w:top w:val="single" w:sz="4" w:space="0" w:color="auto"/>
              <w:left w:val="nil"/>
              <w:bottom w:val="single" w:sz="4" w:space="0" w:color="auto"/>
              <w:right w:val="single" w:sz="4" w:space="0" w:color="auto"/>
            </w:tcBorders>
            <w:shd w:val="clear" w:color="000000" w:fill="EBF1DE"/>
            <w:vAlign w:val="center"/>
            <w:hideMark/>
          </w:tcPr>
          <w:p w14:paraId="28AC3FE1"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xml:space="preserve">Complicated </w:t>
            </w:r>
            <w:proofErr w:type="spellStart"/>
            <w:r w:rsidRPr="003F6084">
              <w:rPr>
                <w:rFonts w:ascii="Calibri" w:eastAsia="Times New Roman" w:hAnsi="Calibri" w:cs="Calibri"/>
                <w:b/>
                <w:color w:val="000000"/>
                <w:sz w:val="16"/>
                <w:lang w:eastAsia="zh-CN"/>
              </w:rPr>
              <w:t>chronice</w:t>
            </w:r>
            <w:proofErr w:type="spellEnd"/>
            <w:r w:rsidRPr="003F6084">
              <w:rPr>
                <w:rFonts w:ascii="Calibri" w:eastAsia="Times New Roman" w:hAnsi="Calibri" w:cs="Calibri"/>
                <w:b/>
                <w:color w:val="000000"/>
                <w:sz w:val="16"/>
                <w:lang w:eastAsia="zh-CN"/>
              </w:rPr>
              <w:t xml:space="preserve"> disease</w:t>
            </w:r>
          </w:p>
        </w:tc>
        <w:tc>
          <w:tcPr>
            <w:tcW w:w="992" w:type="dxa"/>
            <w:tcBorders>
              <w:top w:val="single" w:sz="4" w:space="0" w:color="auto"/>
              <w:left w:val="nil"/>
              <w:bottom w:val="single" w:sz="4" w:space="0" w:color="auto"/>
              <w:right w:val="single" w:sz="4" w:space="0" w:color="auto"/>
            </w:tcBorders>
            <w:shd w:val="clear" w:color="000000" w:fill="EBF1DE"/>
            <w:vAlign w:val="center"/>
            <w:hideMark/>
          </w:tcPr>
          <w:p w14:paraId="731B563B"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Physical and mobility complaints</w:t>
            </w:r>
          </w:p>
        </w:tc>
        <w:tc>
          <w:tcPr>
            <w:tcW w:w="742" w:type="dxa"/>
            <w:tcBorders>
              <w:top w:val="single" w:sz="4" w:space="0" w:color="auto"/>
              <w:left w:val="nil"/>
              <w:bottom w:val="single" w:sz="4" w:space="0" w:color="auto"/>
              <w:right w:val="single" w:sz="4" w:space="0" w:color="auto"/>
            </w:tcBorders>
            <w:shd w:val="clear" w:color="000000" w:fill="EBF1DE"/>
            <w:vAlign w:val="center"/>
            <w:hideMark/>
          </w:tcPr>
          <w:p w14:paraId="7AC7F7D0"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Functional Impairment group</w:t>
            </w:r>
          </w:p>
        </w:tc>
        <w:tc>
          <w:tcPr>
            <w:tcW w:w="906" w:type="dxa"/>
            <w:tcBorders>
              <w:top w:val="single" w:sz="4" w:space="0" w:color="auto"/>
              <w:left w:val="nil"/>
              <w:bottom w:val="single" w:sz="4" w:space="0" w:color="auto"/>
              <w:right w:val="single" w:sz="4" w:space="0" w:color="auto"/>
            </w:tcBorders>
            <w:shd w:val="clear" w:color="000000" w:fill="EBF1DE"/>
            <w:vAlign w:val="center"/>
            <w:hideMark/>
          </w:tcPr>
          <w:p w14:paraId="647AD36E"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Physical Impairment</w:t>
            </w:r>
          </w:p>
        </w:tc>
        <w:tc>
          <w:tcPr>
            <w:tcW w:w="908" w:type="dxa"/>
            <w:tcBorders>
              <w:top w:val="single" w:sz="4" w:space="0" w:color="auto"/>
              <w:left w:val="nil"/>
              <w:bottom w:val="single" w:sz="4" w:space="0" w:color="auto"/>
              <w:right w:val="single" w:sz="4" w:space="0" w:color="auto"/>
            </w:tcBorders>
            <w:shd w:val="clear" w:color="000000" w:fill="EBF1DE"/>
            <w:vAlign w:val="center"/>
            <w:hideMark/>
          </w:tcPr>
          <w:p w14:paraId="570E2051"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Major chronic</w:t>
            </w:r>
          </w:p>
        </w:tc>
        <w:tc>
          <w:tcPr>
            <w:tcW w:w="930" w:type="dxa"/>
            <w:tcBorders>
              <w:top w:val="nil"/>
              <w:left w:val="nil"/>
              <w:bottom w:val="nil"/>
              <w:right w:val="single" w:sz="4" w:space="0" w:color="auto"/>
            </w:tcBorders>
            <w:shd w:val="clear" w:color="auto" w:fill="auto"/>
            <w:noWrap/>
            <w:vAlign w:val="bottom"/>
            <w:hideMark/>
          </w:tcPr>
          <w:p w14:paraId="53FA98D8"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69DC101A" w14:textId="77777777" w:rsidTr="00385AEA">
        <w:trPr>
          <w:trHeight w:val="1450"/>
        </w:trPr>
        <w:tc>
          <w:tcPr>
            <w:tcW w:w="931" w:type="dxa"/>
            <w:vMerge/>
            <w:tcBorders>
              <w:top w:val="nil"/>
              <w:left w:val="single" w:sz="4" w:space="0" w:color="auto"/>
              <w:bottom w:val="single" w:sz="4" w:space="0" w:color="000000"/>
              <w:right w:val="single" w:sz="4" w:space="0" w:color="auto"/>
            </w:tcBorders>
            <w:vAlign w:val="center"/>
            <w:hideMark/>
          </w:tcPr>
          <w:p w14:paraId="0B36D3B8"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single" w:sz="4" w:space="0" w:color="auto"/>
            </w:tcBorders>
            <w:shd w:val="clear" w:color="000000" w:fill="EBF1DE"/>
            <w:vAlign w:val="center"/>
            <w:hideMark/>
          </w:tcPr>
          <w:p w14:paraId="5164F1F7" w14:textId="573F275B"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Adolescents/</w:t>
            </w:r>
            <w:r w:rsidR="00E36CC7">
              <w:rPr>
                <w:rFonts w:ascii="Calibri" w:hAnsi="Calibri" w:cs="Calibri"/>
                <w:b/>
                <w:color w:val="000000"/>
                <w:sz w:val="16"/>
              </w:rPr>
              <w:t xml:space="preserve"> paediatrics</w:t>
            </w:r>
            <w:r w:rsidRPr="003F6084">
              <w:rPr>
                <w:rFonts w:ascii="Calibri" w:hAnsi="Calibri" w:cs="Calibri"/>
                <w:b/>
                <w:color w:val="000000"/>
                <w:sz w:val="16"/>
              </w:rPr>
              <w:t xml:space="preserve"> with 2+ chronic conditions</w:t>
            </w:r>
          </w:p>
        </w:tc>
        <w:tc>
          <w:tcPr>
            <w:tcW w:w="1070" w:type="dxa"/>
            <w:tcBorders>
              <w:top w:val="nil"/>
              <w:left w:val="nil"/>
              <w:bottom w:val="nil"/>
              <w:right w:val="nil"/>
            </w:tcBorders>
            <w:shd w:val="clear" w:color="auto" w:fill="auto"/>
            <w:noWrap/>
            <w:vAlign w:val="bottom"/>
            <w:hideMark/>
          </w:tcPr>
          <w:p w14:paraId="28A36C72"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nil"/>
              <w:bottom w:val="nil"/>
              <w:right w:val="nil"/>
            </w:tcBorders>
            <w:shd w:val="clear" w:color="auto" w:fill="auto"/>
            <w:noWrap/>
            <w:vAlign w:val="bottom"/>
            <w:hideMark/>
          </w:tcPr>
          <w:p w14:paraId="2084117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single" w:sz="4" w:space="0" w:color="auto"/>
              <w:bottom w:val="single" w:sz="4" w:space="0" w:color="auto"/>
              <w:right w:val="single" w:sz="4" w:space="0" w:color="auto"/>
            </w:tcBorders>
            <w:shd w:val="clear" w:color="000000" w:fill="EBF1DE"/>
            <w:vAlign w:val="center"/>
            <w:hideMark/>
          </w:tcPr>
          <w:p w14:paraId="059F5AC7"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Significant chronic diseases in multiple organ systems</w:t>
            </w:r>
          </w:p>
        </w:tc>
        <w:tc>
          <w:tcPr>
            <w:tcW w:w="894" w:type="dxa"/>
            <w:tcBorders>
              <w:top w:val="nil"/>
              <w:left w:val="nil"/>
              <w:bottom w:val="nil"/>
              <w:right w:val="nil"/>
            </w:tcBorders>
            <w:shd w:val="clear" w:color="auto" w:fill="auto"/>
            <w:noWrap/>
            <w:vAlign w:val="bottom"/>
            <w:hideMark/>
          </w:tcPr>
          <w:p w14:paraId="4D6A3585"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30" w:type="dxa"/>
            <w:tcBorders>
              <w:top w:val="nil"/>
              <w:left w:val="nil"/>
              <w:bottom w:val="nil"/>
              <w:right w:val="nil"/>
            </w:tcBorders>
            <w:shd w:val="clear" w:color="auto" w:fill="auto"/>
            <w:noWrap/>
            <w:vAlign w:val="bottom"/>
            <w:hideMark/>
          </w:tcPr>
          <w:p w14:paraId="7E94161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single" w:sz="4" w:space="0" w:color="auto"/>
              <w:bottom w:val="single" w:sz="4" w:space="0" w:color="auto"/>
              <w:right w:val="single" w:sz="4" w:space="0" w:color="auto"/>
            </w:tcBorders>
            <w:shd w:val="clear" w:color="000000" w:fill="EBF1DE"/>
            <w:vAlign w:val="center"/>
            <w:hideMark/>
          </w:tcPr>
          <w:p w14:paraId="12215ED5"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Specialist care use</w:t>
            </w:r>
          </w:p>
        </w:tc>
        <w:tc>
          <w:tcPr>
            <w:tcW w:w="922" w:type="dxa"/>
            <w:tcBorders>
              <w:top w:val="nil"/>
              <w:left w:val="nil"/>
              <w:bottom w:val="nil"/>
              <w:right w:val="nil"/>
            </w:tcBorders>
            <w:shd w:val="clear" w:color="auto" w:fill="auto"/>
            <w:noWrap/>
            <w:vAlign w:val="bottom"/>
            <w:hideMark/>
          </w:tcPr>
          <w:p w14:paraId="253FD471"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30" w:type="dxa"/>
            <w:tcBorders>
              <w:top w:val="nil"/>
              <w:left w:val="nil"/>
              <w:bottom w:val="nil"/>
              <w:right w:val="nil"/>
            </w:tcBorders>
            <w:shd w:val="clear" w:color="auto" w:fill="auto"/>
            <w:noWrap/>
            <w:vAlign w:val="bottom"/>
            <w:hideMark/>
          </w:tcPr>
          <w:p w14:paraId="1CC5BC5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68D6D51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14B9560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25271F3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68E6644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69A251C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13276861"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201C39B3" w14:textId="77777777" w:rsidTr="00385AEA">
        <w:trPr>
          <w:trHeight w:val="870"/>
        </w:trPr>
        <w:tc>
          <w:tcPr>
            <w:tcW w:w="931" w:type="dxa"/>
            <w:vMerge/>
            <w:tcBorders>
              <w:top w:val="nil"/>
              <w:left w:val="single" w:sz="4" w:space="0" w:color="auto"/>
              <w:bottom w:val="single" w:sz="4" w:space="0" w:color="000000"/>
              <w:right w:val="single" w:sz="4" w:space="0" w:color="auto"/>
            </w:tcBorders>
            <w:vAlign w:val="center"/>
            <w:hideMark/>
          </w:tcPr>
          <w:p w14:paraId="3A629E7F"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single" w:sz="4" w:space="0" w:color="auto"/>
            </w:tcBorders>
            <w:shd w:val="clear" w:color="000000" w:fill="EBF1DE"/>
            <w:vAlign w:val="center"/>
            <w:hideMark/>
          </w:tcPr>
          <w:p w14:paraId="74673AEF" w14:textId="10D29798"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Adults with 2+ chronic conditions</w:t>
            </w:r>
          </w:p>
        </w:tc>
        <w:tc>
          <w:tcPr>
            <w:tcW w:w="1070" w:type="dxa"/>
            <w:tcBorders>
              <w:top w:val="nil"/>
              <w:left w:val="nil"/>
              <w:bottom w:val="nil"/>
              <w:right w:val="nil"/>
            </w:tcBorders>
            <w:shd w:val="clear" w:color="auto" w:fill="auto"/>
            <w:noWrap/>
            <w:vAlign w:val="bottom"/>
            <w:hideMark/>
          </w:tcPr>
          <w:p w14:paraId="374CE9FF"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nil"/>
              <w:bottom w:val="nil"/>
              <w:right w:val="nil"/>
            </w:tcBorders>
            <w:shd w:val="clear" w:color="auto" w:fill="auto"/>
            <w:noWrap/>
            <w:vAlign w:val="bottom"/>
            <w:hideMark/>
          </w:tcPr>
          <w:p w14:paraId="1CB9A931"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199C703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21894599"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2A3FB5B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692B94C8"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47F7B24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047FC7D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3521EF0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71DB9F4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117B6348"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459C830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205B23B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63752513"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0A4E5B4A" w14:textId="77777777" w:rsidTr="00385AEA">
        <w:trPr>
          <w:trHeight w:val="870"/>
        </w:trPr>
        <w:tc>
          <w:tcPr>
            <w:tcW w:w="931" w:type="dxa"/>
            <w:vMerge/>
            <w:tcBorders>
              <w:top w:val="nil"/>
              <w:left w:val="single" w:sz="4" w:space="0" w:color="auto"/>
              <w:bottom w:val="single" w:sz="4" w:space="0" w:color="000000"/>
              <w:right w:val="single" w:sz="4" w:space="0" w:color="auto"/>
            </w:tcBorders>
            <w:vAlign w:val="center"/>
            <w:hideMark/>
          </w:tcPr>
          <w:p w14:paraId="75DE3BCD"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single" w:sz="4" w:space="0" w:color="auto"/>
            </w:tcBorders>
            <w:shd w:val="clear" w:color="000000" w:fill="EBF1DE"/>
            <w:vAlign w:val="center"/>
            <w:hideMark/>
          </w:tcPr>
          <w:p w14:paraId="69A91504" w14:textId="13229D8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Elderly with 2+ chronic conditions</w:t>
            </w:r>
          </w:p>
        </w:tc>
        <w:tc>
          <w:tcPr>
            <w:tcW w:w="1070" w:type="dxa"/>
            <w:tcBorders>
              <w:top w:val="nil"/>
              <w:left w:val="nil"/>
              <w:bottom w:val="nil"/>
              <w:right w:val="nil"/>
            </w:tcBorders>
            <w:shd w:val="clear" w:color="auto" w:fill="auto"/>
            <w:noWrap/>
            <w:vAlign w:val="bottom"/>
            <w:hideMark/>
          </w:tcPr>
          <w:p w14:paraId="169829E0"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nil"/>
              <w:bottom w:val="nil"/>
              <w:right w:val="nil"/>
            </w:tcBorders>
            <w:shd w:val="clear" w:color="auto" w:fill="auto"/>
            <w:noWrap/>
            <w:vAlign w:val="bottom"/>
            <w:hideMark/>
          </w:tcPr>
          <w:p w14:paraId="668B2DA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0463FB4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0AAB737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6E79573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4013177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3779203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3CD5462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5CF1292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2AC46E9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4CD49F1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13E8A461"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5EF6E159"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vAlign w:val="center"/>
            <w:hideMark/>
          </w:tcPr>
          <w:p w14:paraId="402FF171"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04E58F00" w14:textId="77777777" w:rsidTr="00385AEA">
        <w:trPr>
          <w:trHeight w:val="290"/>
        </w:trPr>
        <w:tc>
          <w:tcPr>
            <w:tcW w:w="931" w:type="dxa"/>
            <w:vMerge/>
            <w:tcBorders>
              <w:top w:val="nil"/>
              <w:left w:val="single" w:sz="4" w:space="0" w:color="auto"/>
              <w:bottom w:val="single" w:sz="4" w:space="0" w:color="000000"/>
              <w:right w:val="single" w:sz="4" w:space="0" w:color="auto"/>
            </w:tcBorders>
            <w:vAlign w:val="center"/>
            <w:hideMark/>
          </w:tcPr>
          <w:p w14:paraId="7B10D42F"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nil"/>
            </w:tcBorders>
            <w:shd w:val="clear" w:color="000000" w:fill="FFFFFF"/>
            <w:vAlign w:val="center"/>
            <w:hideMark/>
          </w:tcPr>
          <w:p w14:paraId="4FA91904" w14:textId="134A5AEB"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 </w:t>
            </w:r>
          </w:p>
        </w:tc>
        <w:tc>
          <w:tcPr>
            <w:tcW w:w="1070" w:type="dxa"/>
            <w:tcBorders>
              <w:top w:val="nil"/>
              <w:left w:val="nil"/>
              <w:bottom w:val="single" w:sz="4" w:space="0" w:color="auto"/>
              <w:right w:val="nil"/>
            </w:tcBorders>
            <w:shd w:val="clear" w:color="000000" w:fill="FFFFFF"/>
            <w:noWrap/>
            <w:vAlign w:val="bottom"/>
            <w:hideMark/>
          </w:tcPr>
          <w:p w14:paraId="253197BB"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7A969C46"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7EF6243C"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894" w:type="dxa"/>
            <w:tcBorders>
              <w:top w:val="nil"/>
              <w:left w:val="nil"/>
              <w:bottom w:val="single" w:sz="4" w:space="0" w:color="auto"/>
              <w:right w:val="nil"/>
            </w:tcBorders>
            <w:shd w:val="clear" w:color="000000" w:fill="FFFFFF"/>
            <w:noWrap/>
            <w:vAlign w:val="bottom"/>
            <w:hideMark/>
          </w:tcPr>
          <w:p w14:paraId="43D906E9"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000000" w:fill="FFFFFF"/>
            <w:noWrap/>
            <w:vAlign w:val="bottom"/>
            <w:hideMark/>
          </w:tcPr>
          <w:p w14:paraId="77EAEEE2"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000000" w:fill="FFFFFF"/>
            <w:noWrap/>
            <w:vAlign w:val="bottom"/>
            <w:hideMark/>
          </w:tcPr>
          <w:p w14:paraId="0ADB56EE"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000000" w:fill="FFFFFF"/>
            <w:noWrap/>
            <w:vAlign w:val="bottom"/>
            <w:hideMark/>
          </w:tcPr>
          <w:p w14:paraId="1BA2A1A2"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000000" w:fill="FFFFFF"/>
            <w:noWrap/>
            <w:vAlign w:val="bottom"/>
            <w:hideMark/>
          </w:tcPr>
          <w:p w14:paraId="491F8E08"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1072" w:type="dxa"/>
            <w:tcBorders>
              <w:top w:val="nil"/>
              <w:left w:val="nil"/>
              <w:bottom w:val="single" w:sz="4" w:space="0" w:color="auto"/>
              <w:right w:val="nil"/>
            </w:tcBorders>
            <w:shd w:val="clear" w:color="000000" w:fill="FFFFFF"/>
            <w:noWrap/>
            <w:vAlign w:val="bottom"/>
            <w:hideMark/>
          </w:tcPr>
          <w:p w14:paraId="5A989C00"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2BA596B3"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742" w:type="dxa"/>
            <w:tcBorders>
              <w:top w:val="nil"/>
              <w:left w:val="nil"/>
              <w:bottom w:val="single" w:sz="4" w:space="0" w:color="auto"/>
              <w:right w:val="nil"/>
            </w:tcBorders>
            <w:shd w:val="clear" w:color="000000" w:fill="FFFFFF"/>
            <w:noWrap/>
            <w:vAlign w:val="bottom"/>
            <w:hideMark/>
          </w:tcPr>
          <w:p w14:paraId="0A931DAF"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6" w:type="dxa"/>
            <w:tcBorders>
              <w:top w:val="nil"/>
              <w:left w:val="nil"/>
              <w:bottom w:val="single" w:sz="4" w:space="0" w:color="auto"/>
              <w:right w:val="nil"/>
            </w:tcBorders>
            <w:shd w:val="clear" w:color="000000" w:fill="FFFFFF"/>
            <w:noWrap/>
            <w:vAlign w:val="bottom"/>
            <w:hideMark/>
          </w:tcPr>
          <w:p w14:paraId="48E66F15"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8" w:type="dxa"/>
            <w:tcBorders>
              <w:top w:val="nil"/>
              <w:left w:val="nil"/>
              <w:bottom w:val="single" w:sz="4" w:space="0" w:color="auto"/>
              <w:right w:val="nil"/>
            </w:tcBorders>
            <w:shd w:val="clear" w:color="000000" w:fill="FFFFFF"/>
            <w:noWrap/>
            <w:vAlign w:val="bottom"/>
            <w:hideMark/>
          </w:tcPr>
          <w:p w14:paraId="4B404E6C"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single" w:sz="4" w:space="0" w:color="auto"/>
            </w:tcBorders>
            <w:shd w:val="clear" w:color="000000" w:fill="FFFFFF"/>
            <w:vAlign w:val="center"/>
            <w:hideMark/>
          </w:tcPr>
          <w:p w14:paraId="7D0D5E3F"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37387500" w14:textId="77777777" w:rsidTr="00385AEA">
        <w:trPr>
          <w:trHeight w:val="290"/>
        </w:trPr>
        <w:tc>
          <w:tcPr>
            <w:tcW w:w="9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ABAD11" w14:textId="77777777" w:rsidR="003F6084" w:rsidRPr="003F6084" w:rsidRDefault="003F6084" w:rsidP="003F6084">
            <w:pPr>
              <w:spacing w:after="0" w:line="240" w:lineRule="auto"/>
              <w:jc w:val="center"/>
              <w:rPr>
                <w:rFonts w:ascii="Calibri" w:eastAsia="Times New Roman" w:hAnsi="Calibri" w:cs="Calibri"/>
                <w:b/>
                <w:bCs/>
                <w:color w:val="000000"/>
                <w:sz w:val="18"/>
                <w:lang w:eastAsia="zh-CN"/>
              </w:rPr>
            </w:pPr>
            <w:r w:rsidRPr="003F6084">
              <w:rPr>
                <w:rFonts w:ascii="Calibri" w:eastAsia="Times New Roman" w:hAnsi="Calibri" w:cs="Calibri"/>
                <w:b/>
                <w:bCs/>
                <w:color w:val="000000"/>
                <w:sz w:val="18"/>
                <w:lang w:eastAsia="zh-CN"/>
              </w:rPr>
              <w:t>Frailty</w:t>
            </w:r>
          </w:p>
        </w:tc>
        <w:tc>
          <w:tcPr>
            <w:tcW w:w="1260" w:type="dxa"/>
            <w:tcBorders>
              <w:top w:val="nil"/>
              <w:left w:val="nil"/>
              <w:bottom w:val="nil"/>
              <w:right w:val="nil"/>
            </w:tcBorders>
            <w:shd w:val="clear" w:color="auto" w:fill="auto"/>
            <w:noWrap/>
            <w:vAlign w:val="bottom"/>
            <w:hideMark/>
          </w:tcPr>
          <w:p w14:paraId="561B5C9C" w14:textId="77777777" w:rsidR="003F6084" w:rsidRPr="003F6084" w:rsidRDefault="003F6084" w:rsidP="003F6084">
            <w:pPr>
              <w:spacing w:after="0" w:line="240" w:lineRule="auto"/>
              <w:jc w:val="center"/>
              <w:rPr>
                <w:rFonts w:ascii="Calibri" w:eastAsia="Times New Roman" w:hAnsi="Calibri" w:cs="Calibri"/>
                <w:b/>
                <w:bCs/>
                <w:color w:val="000000"/>
                <w:sz w:val="16"/>
                <w:lang w:eastAsia="zh-CN"/>
              </w:rPr>
            </w:pPr>
          </w:p>
        </w:tc>
        <w:tc>
          <w:tcPr>
            <w:tcW w:w="1070" w:type="dxa"/>
            <w:tcBorders>
              <w:top w:val="nil"/>
              <w:left w:val="nil"/>
              <w:bottom w:val="nil"/>
              <w:right w:val="nil"/>
            </w:tcBorders>
            <w:shd w:val="clear" w:color="auto" w:fill="auto"/>
            <w:noWrap/>
            <w:vAlign w:val="bottom"/>
            <w:hideMark/>
          </w:tcPr>
          <w:p w14:paraId="72BCBB3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4D661D91"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61892AB3"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66380BD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0F2BFA4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252D12D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4D399468"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34FF37B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3E0A455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2B1237B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vAlign w:val="center"/>
            <w:hideMark/>
          </w:tcPr>
          <w:p w14:paraId="74EFB0D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vAlign w:val="center"/>
            <w:hideMark/>
          </w:tcPr>
          <w:p w14:paraId="2A60B1CE"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vAlign w:val="center"/>
            <w:hideMark/>
          </w:tcPr>
          <w:p w14:paraId="5A91E335"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vAlign w:val="center"/>
            <w:hideMark/>
          </w:tcPr>
          <w:p w14:paraId="29C64B03"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5659190E" w14:textId="77777777" w:rsidTr="00385AEA">
        <w:trPr>
          <w:trHeight w:val="1160"/>
        </w:trPr>
        <w:tc>
          <w:tcPr>
            <w:tcW w:w="931" w:type="dxa"/>
            <w:vMerge/>
            <w:tcBorders>
              <w:top w:val="nil"/>
              <w:left w:val="single" w:sz="4" w:space="0" w:color="auto"/>
              <w:bottom w:val="single" w:sz="4" w:space="0" w:color="000000"/>
              <w:right w:val="single" w:sz="4" w:space="0" w:color="auto"/>
            </w:tcBorders>
            <w:vAlign w:val="center"/>
            <w:hideMark/>
          </w:tcPr>
          <w:p w14:paraId="0BED62B6"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nil"/>
              <w:right w:val="nil"/>
            </w:tcBorders>
            <w:shd w:val="clear" w:color="auto" w:fill="auto"/>
            <w:noWrap/>
            <w:vAlign w:val="bottom"/>
            <w:hideMark/>
          </w:tcPr>
          <w:p w14:paraId="2CF08E33"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1070" w:type="dxa"/>
            <w:tcBorders>
              <w:top w:val="single" w:sz="4" w:space="0" w:color="auto"/>
              <w:left w:val="single" w:sz="4" w:space="0" w:color="auto"/>
              <w:bottom w:val="single" w:sz="4" w:space="0" w:color="auto"/>
              <w:right w:val="single" w:sz="4" w:space="0" w:color="auto"/>
            </w:tcBorders>
            <w:shd w:val="clear" w:color="000000" w:fill="FCD5B4"/>
            <w:vAlign w:val="center"/>
            <w:hideMark/>
          </w:tcPr>
          <w:p w14:paraId="238C0934"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Frail in community with High Complex Chronic Conditions</w:t>
            </w:r>
          </w:p>
        </w:tc>
        <w:tc>
          <w:tcPr>
            <w:tcW w:w="992" w:type="dxa"/>
            <w:tcBorders>
              <w:top w:val="single" w:sz="4" w:space="0" w:color="auto"/>
              <w:left w:val="nil"/>
              <w:bottom w:val="single" w:sz="4" w:space="0" w:color="auto"/>
              <w:right w:val="single" w:sz="4" w:space="0" w:color="auto"/>
            </w:tcBorders>
            <w:shd w:val="clear" w:color="000000" w:fill="FCD5B4"/>
            <w:vAlign w:val="center"/>
            <w:hideMark/>
          </w:tcPr>
          <w:p w14:paraId="4E49DF17"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Adults and elderly people with SEMI and FACS eligible physical disability</w:t>
            </w:r>
          </w:p>
        </w:tc>
        <w:tc>
          <w:tcPr>
            <w:tcW w:w="992" w:type="dxa"/>
            <w:tcBorders>
              <w:top w:val="nil"/>
              <w:left w:val="nil"/>
              <w:bottom w:val="nil"/>
              <w:right w:val="nil"/>
            </w:tcBorders>
            <w:shd w:val="clear" w:color="auto" w:fill="auto"/>
            <w:noWrap/>
            <w:vAlign w:val="bottom"/>
            <w:hideMark/>
          </w:tcPr>
          <w:p w14:paraId="03004EF9"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894" w:type="dxa"/>
            <w:tcBorders>
              <w:top w:val="single" w:sz="4" w:space="0" w:color="auto"/>
              <w:left w:val="single" w:sz="4" w:space="0" w:color="auto"/>
              <w:bottom w:val="single" w:sz="4" w:space="0" w:color="auto"/>
              <w:right w:val="single" w:sz="4" w:space="0" w:color="auto"/>
            </w:tcBorders>
            <w:shd w:val="clear" w:color="000000" w:fill="FCD5B4"/>
            <w:vAlign w:val="center"/>
            <w:hideMark/>
          </w:tcPr>
          <w:p w14:paraId="3DE26339"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Frailty, with or without dementia</w:t>
            </w:r>
          </w:p>
        </w:tc>
        <w:tc>
          <w:tcPr>
            <w:tcW w:w="930" w:type="dxa"/>
            <w:tcBorders>
              <w:top w:val="single" w:sz="4" w:space="0" w:color="auto"/>
              <w:left w:val="nil"/>
              <w:bottom w:val="single" w:sz="4" w:space="0" w:color="auto"/>
              <w:right w:val="single" w:sz="4" w:space="0" w:color="auto"/>
            </w:tcBorders>
            <w:shd w:val="clear" w:color="000000" w:fill="FCD5B4"/>
            <w:vAlign w:val="center"/>
            <w:hideMark/>
          </w:tcPr>
          <w:p w14:paraId="31056777"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Elderly</w:t>
            </w:r>
          </w:p>
        </w:tc>
        <w:tc>
          <w:tcPr>
            <w:tcW w:w="922" w:type="dxa"/>
            <w:tcBorders>
              <w:top w:val="single" w:sz="4" w:space="0" w:color="auto"/>
              <w:left w:val="nil"/>
              <w:bottom w:val="single" w:sz="4" w:space="0" w:color="auto"/>
              <w:right w:val="single" w:sz="4" w:space="0" w:color="auto"/>
            </w:tcBorders>
            <w:shd w:val="clear" w:color="000000" w:fill="FCD5B4"/>
            <w:vAlign w:val="center"/>
            <w:hideMark/>
          </w:tcPr>
          <w:p w14:paraId="375EFDF9"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High needs but low emergency care use</w:t>
            </w:r>
          </w:p>
        </w:tc>
        <w:tc>
          <w:tcPr>
            <w:tcW w:w="922" w:type="dxa"/>
            <w:tcBorders>
              <w:top w:val="single" w:sz="4" w:space="0" w:color="auto"/>
              <w:left w:val="nil"/>
              <w:bottom w:val="single" w:sz="4" w:space="0" w:color="auto"/>
              <w:right w:val="single" w:sz="4" w:space="0" w:color="auto"/>
            </w:tcBorders>
            <w:shd w:val="clear" w:color="000000" w:fill="FCD5B4"/>
            <w:vAlign w:val="center"/>
            <w:hideMark/>
          </w:tcPr>
          <w:p w14:paraId="524206B5"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Frail elderly</w:t>
            </w:r>
          </w:p>
        </w:tc>
        <w:tc>
          <w:tcPr>
            <w:tcW w:w="930" w:type="dxa"/>
            <w:tcBorders>
              <w:top w:val="nil"/>
              <w:left w:val="nil"/>
              <w:bottom w:val="nil"/>
              <w:right w:val="nil"/>
            </w:tcBorders>
            <w:shd w:val="clear" w:color="auto" w:fill="auto"/>
            <w:noWrap/>
            <w:vAlign w:val="bottom"/>
            <w:hideMark/>
          </w:tcPr>
          <w:p w14:paraId="4A083202"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1072" w:type="dxa"/>
            <w:tcBorders>
              <w:top w:val="nil"/>
              <w:left w:val="nil"/>
              <w:bottom w:val="nil"/>
              <w:right w:val="nil"/>
            </w:tcBorders>
            <w:shd w:val="clear" w:color="auto" w:fill="auto"/>
            <w:noWrap/>
            <w:vAlign w:val="bottom"/>
            <w:hideMark/>
          </w:tcPr>
          <w:p w14:paraId="377351E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single" w:sz="4" w:space="0" w:color="auto"/>
              <w:left w:val="single" w:sz="4" w:space="0" w:color="auto"/>
              <w:bottom w:val="single" w:sz="4" w:space="0" w:color="auto"/>
              <w:right w:val="single" w:sz="4" w:space="0" w:color="auto"/>
            </w:tcBorders>
            <w:shd w:val="clear" w:color="000000" w:fill="FCD5B4"/>
            <w:vAlign w:val="center"/>
            <w:hideMark/>
          </w:tcPr>
          <w:p w14:paraId="5E1A5A05"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Feeling extremely frail</w:t>
            </w:r>
          </w:p>
        </w:tc>
        <w:tc>
          <w:tcPr>
            <w:tcW w:w="742" w:type="dxa"/>
            <w:tcBorders>
              <w:top w:val="single" w:sz="4" w:space="0" w:color="auto"/>
              <w:left w:val="nil"/>
              <w:bottom w:val="single" w:sz="4" w:space="0" w:color="auto"/>
              <w:right w:val="single" w:sz="4" w:space="0" w:color="auto"/>
            </w:tcBorders>
            <w:shd w:val="clear" w:color="000000" w:fill="FCD5B4"/>
            <w:vAlign w:val="center"/>
            <w:hideMark/>
          </w:tcPr>
          <w:p w14:paraId="33FC4DC1"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Frail group</w:t>
            </w:r>
          </w:p>
        </w:tc>
        <w:tc>
          <w:tcPr>
            <w:tcW w:w="906" w:type="dxa"/>
            <w:tcBorders>
              <w:top w:val="single" w:sz="4" w:space="0" w:color="auto"/>
              <w:left w:val="nil"/>
              <w:bottom w:val="single" w:sz="4" w:space="0" w:color="auto"/>
              <w:right w:val="single" w:sz="4" w:space="0" w:color="auto"/>
            </w:tcBorders>
            <w:shd w:val="clear" w:color="000000" w:fill="FCD5B4"/>
            <w:vAlign w:val="center"/>
            <w:hideMark/>
          </w:tcPr>
          <w:p w14:paraId="713FBA14"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Cognitive and physical Impairment</w:t>
            </w:r>
          </w:p>
        </w:tc>
        <w:tc>
          <w:tcPr>
            <w:tcW w:w="908" w:type="dxa"/>
            <w:tcBorders>
              <w:top w:val="nil"/>
              <w:left w:val="nil"/>
              <w:bottom w:val="nil"/>
              <w:right w:val="nil"/>
            </w:tcBorders>
            <w:shd w:val="clear" w:color="auto" w:fill="auto"/>
            <w:noWrap/>
            <w:vAlign w:val="bottom"/>
            <w:hideMark/>
          </w:tcPr>
          <w:p w14:paraId="34D290B8"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30" w:type="dxa"/>
            <w:tcBorders>
              <w:top w:val="nil"/>
              <w:left w:val="nil"/>
              <w:bottom w:val="nil"/>
              <w:right w:val="single" w:sz="4" w:space="0" w:color="auto"/>
            </w:tcBorders>
            <w:shd w:val="clear" w:color="auto" w:fill="auto"/>
            <w:noWrap/>
            <w:vAlign w:val="bottom"/>
            <w:hideMark/>
          </w:tcPr>
          <w:p w14:paraId="0D06BBA3"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1837A47D" w14:textId="77777777" w:rsidTr="00385AEA">
        <w:trPr>
          <w:trHeight w:val="580"/>
        </w:trPr>
        <w:tc>
          <w:tcPr>
            <w:tcW w:w="931" w:type="dxa"/>
            <w:vMerge/>
            <w:tcBorders>
              <w:top w:val="nil"/>
              <w:left w:val="single" w:sz="4" w:space="0" w:color="auto"/>
              <w:bottom w:val="single" w:sz="4" w:space="0" w:color="000000"/>
              <w:right w:val="single" w:sz="4" w:space="0" w:color="auto"/>
            </w:tcBorders>
            <w:vAlign w:val="center"/>
            <w:hideMark/>
          </w:tcPr>
          <w:p w14:paraId="33231ACF"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nil"/>
              <w:right w:val="nil"/>
            </w:tcBorders>
            <w:shd w:val="clear" w:color="auto" w:fill="auto"/>
            <w:noWrap/>
            <w:vAlign w:val="bottom"/>
            <w:hideMark/>
          </w:tcPr>
          <w:p w14:paraId="64C8402D" w14:textId="77777777" w:rsidR="003F6084" w:rsidRPr="003F6084" w:rsidRDefault="003F6084" w:rsidP="003F6084">
            <w:pPr>
              <w:spacing w:after="0" w:line="240" w:lineRule="auto"/>
              <w:rPr>
                <w:rFonts w:ascii="Calibri" w:eastAsia="Times New Roman" w:hAnsi="Calibri" w:cs="Calibri"/>
                <w:b/>
                <w:color w:val="000000"/>
                <w:sz w:val="16"/>
                <w:lang w:eastAsia="zh-CN"/>
              </w:rPr>
            </w:pPr>
          </w:p>
        </w:tc>
        <w:tc>
          <w:tcPr>
            <w:tcW w:w="1070" w:type="dxa"/>
            <w:tcBorders>
              <w:top w:val="nil"/>
              <w:left w:val="single" w:sz="4" w:space="0" w:color="auto"/>
              <w:bottom w:val="single" w:sz="4" w:space="0" w:color="auto"/>
              <w:right w:val="single" w:sz="4" w:space="0" w:color="auto"/>
            </w:tcBorders>
            <w:shd w:val="clear" w:color="000000" w:fill="FCD5B4"/>
            <w:vAlign w:val="center"/>
            <w:hideMark/>
          </w:tcPr>
          <w:p w14:paraId="7152FB66"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Frail Population, Living in Residential Care</w:t>
            </w:r>
          </w:p>
        </w:tc>
        <w:tc>
          <w:tcPr>
            <w:tcW w:w="992" w:type="dxa"/>
            <w:tcBorders>
              <w:top w:val="nil"/>
              <w:left w:val="nil"/>
              <w:bottom w:val="nil"/>
              <w:right w:val="nil"/>
            </w:tcBorders>
            <w:shd w:val="clear" w:color="auto" w:fill="auto"/>
            <w:noWrap/>
            <w:vAlign w:val="bottom"/>
            <w:hideMark/>
          </w:tcPr>
          <w:p w14:paraId="17837E54"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nil"/>
              <w:bottom w:val="nil"/>
              <w:right w:val="nil"/>
            </w:tcBorders>
            <w:shd w:val="clear" w:color="auto" w:fill="auto"/>
            <w:noWrap/>
            <w:vAlign w:val="bottom"/>
            <w:hideMark/>
          </w:tcPr>
          <w:p w14:paraId="2A92232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435C33D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433D855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2A302F79"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1599ED88"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4D3A333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4CCB1F9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2787CB8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1F98EF6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49256D6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3BE2F59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0CF46E49"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51F3FF48" w14:textId="77777777" w:rsidTr="00385AEA">
        <w:trPr>
          <w:trHeight w:val="580"/>
        </w:trPr>
        <w:tc>
          <w:tcPr>
            <w:tcW w:w="931" w:type="dxa"/>
            <w:vMerge/>
            <w:tcBorders>
              <w:top w:val="nil"/>
              <w:left w:val="single" w:sz="4" w:space="0" w:color="auto"/>
              <w:bottom w:val="single" w:sz="4" w:space="0" w:color="000000"/>
              <w:right w:val="single" w:sz="4" w:space="0" w:color="auto"/>
            </w:tcBorders>
            <w:vAlign w:val="center"/>
            <w:hideMark/>
          </w:tcPr>
          <w:p w14:paraId="29AE0B34"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nil"/>
              <w:right w:val="nil"/>
            </w:tcBorders>
            <w:shd w:val="clear" w:color="auto" w:fill="auto"/>
            <w:noWrap/>
            <w:vAlign w:val="bottom"/>
            <w:hideMark/>
          </w:tcPr>
          <w:p w14:paraId="14F0A1C9" w14:textId="77777777" w:rsidR="003F6084" w:rsidRPr="003F6084" w:rsidRDefault="003F6084" w:rsidP="003F6084">
            <w:pPr>
              <w:spacing w:after="0" w:line="240" w:lineRule="auto"/>
              <w:rPr>
                <w:rFonts w:ascii="Calibri" w:eastAsia="Times New Roman" w:hAnsi="Calibri" w:cs="Calibri"/>
                <w:b/>
                <w:color w:val="000000"/>
                <w:sz w:val="16"/>
                <w:lang w:eastAsia="zh-CN"/>
              </w:rPr>
            </w:pPr>
          </w:p>
        </w:tc>
        <w:tc>
          <w:tcPr>
            <w:tcW w:w="1070" w:type="dxa"/>
            <w:tcBorders>
              <w:top w:val="nil"/>
              <w:left w:val="single" w:sz="4" w:space="0" w:color="auto"/>
              <w:bottom w:val="single" w:sz="4" w:space="0" w:color="auto"/>
              <w:right w:val="single" w:sz="4" w:space="0" w:color="auto"/>
            </w:tcBorders>
            <w:shd w:val="clear" w:color="000000" w:fill="FCD5B4"/>
            <w:vAlign w:val="center"/>
            <w:hideMark/>
          </w:tcPr>
          <w:p w14:paraId="6E7B51F7"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Frail population, Living in the community</w:t>
            </w:r>
          </w:p>
        </w:tc>
        <w:tc>
          <w:tcPr>
            <w:tcW w:w="992" w:type="dxa"/>
            <w:tcBorders>
              <w:top w:val="nil"/>
              <w:left w:val="nil"/>
              <w:bottom w:val="nil"/>
              <w:right w:val="nil"/>
            </w:tcBorders>
            <w:shd w:val="clear" w:color="auto" w:fill="auto"/>
            <w:noWrap/>
            <w:vAlign w:val="bottom"/>
            <w:hideMark/>
          </w:tcPr>
          <w:p w14:paraId="0C04688B"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nil"/>
              <w:bottom w:val="nil"/>
              <w:right w:val="nil"/>
            </w:tcBorders>
            <w:shd w:val="clear" w:color="auto" w:fill="auto"/>
            <w:noWrap/>
            <w:vAlign w:val="bottom"/>
            <w:hideMark/>
          </w:tcPr>
          <w:p w14:paraId="202B610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3B3737A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505E7B73"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53B2C1B1"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0BBD981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0381713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17E04AC8"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12A1964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5C0FD1E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65F555A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0FE3B85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2E24B9AD"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32A398A6" w14:textId="77777777" w:rsidTr="00385AEA">
        <w:trPr>
          <w:trHeight w:val="290"/>
        </w:trPr>
        <w:tc>
          <w:tcPr>
            <w:tcW w:w="931" w:type="dxa"/>
            <w:vMerge/>
            <w:tcBorders>
              <w:top w:val="nil"/>
              <w:left w:val="single" w:sz="4" w:space="0" w:color="auto"/>
              <w:bottom w:val="single" w:sz="4" w:space="0" w:color="000000"/>
              <w:right w:val="single" w:sz="4" w:space="0" w:color="auto"/>
            </w:tcBorders>
            <w:vAlign w:val="center"/>
            <w:hideMark/>
          </w:tcPr>
          <w:p w14:paraId="18955A68"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nil"/>
            </w:tcBorders>
            <w:shd w:val="clear" w:color="auto" w:fill="auto"/>
            <w:noWrap/>
            <w:vAlign w:val="bottom"/>
            <w:hideMark/>
          </w:tcPr>
          <w:p w14:paraId="34B9F4D0" w14:textId="4A23AB7C"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hAnsi="Calibri" w:cs="Calibri"/>
                <w:b/>
                <w:color w:val="000000"/>
                <w:sz w:val="16"/>
              </w:rPr>
              <w:t> </w:t>
            </w:r>
          </w:p>
        </w:tc>
        <w:tc>
          <w:tcPr>
            <w:tcW w:w="1070" w:type="dxa"/>
            <w:tcBorders>
              <w:top w:val="nil"/>
              <w:left w:val="nil"/>
              <w:bottom w:val="single" w:sz="4" w:space="0" w:color="auto"/>
              <w:right w:val="nil"/>
            </w:tcBorders>
            <w:shd w:val="clear" w:color="auto" w:fill="auto"/>
            <w:noWrap/>
            <w:vAlign w:val="bottom"/>
            <w:hideMark/>
          </w:tcPr>
          <w:p w14:paraId="5CF1AFC5"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auto" w:fill="auto"/>
            <w:noWrap/>
            <w:vAlign w:val="bottom"/>
            <w:hideMark/>
          </w:tcPr>
          <w:p w14:paraId="3EF0FB19"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auto" w:fill="auto"/>
            <w:noWrap/>
            <w:vAlign w:val="bottom"/>
            <w:hideMark/>
          </w:tcPr>
          <w:p w14:paraId="3DDDC274"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894" w:type="dxa"/>
            <w:tcBorders>
              <w:top w:val="nil"/>
              <w:left w:val="nil"/>
              <w:bottom w:val="single" w:sz="4" w:space="0" w:color="auto"/>
              <w:right w:val="nil"/>
            </w:tcBorders>
            <w:shd w:val="clear" w:color="auto" w:fill="auto"/>
            <w:noWrap/>
            <w:vAlign w:val="bottom"/>
            <w:hideMark/>
          </w:tcPr>
          <w:p w14:paraId="7F79A3D8"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auto" w:fill="auto"/>
            <w:noWrap/>
            <w:vAlign w:val="bottom"/>
            <w:hideMark/>
          </w:tcPr>
          <w:p w14:paraId="788F8F26"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auto" w:fill="auto"/>
            <w:noWrap/>
            <w:vAlign w:val="bottom"/>
            <w:hideMark/>
          </w:tcPr>
          <w:p w14:paraId="3673A469"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auto" w:fill="auto"/>
            <w:noWrap/>
            <w:vAlign w:val="bottom"/>
            <w:hideMark/>
          </w:tcPr>
          <w:p w14:paraId="0D771083"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auto" w:fill="auto"/>
            <w:noWrap/>
            <w:vAlign w:val="bottom"/>
            <w:hideMark/>
          </w:tcPr>
          <w:p w14:paraId="2BC12631"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1072" w:type="dxa"/>
            <w:tcBorders>
              <w:top w:val="nil"/>
              <w:left w:val="nil"/>
              <w:bottom w:val="single" w:sz="4" w:space="0" w:color="auto"/>
              <w:right w:val="nil"/>
            </w:tcBorders>
            <w:shd w:val="clear" w:color="auto" w:fill="auto"/>
            <w:noWrap/>
            <w:vAlign w:val="bottom"/>
            <w:hideMark/>
          </w:tcPr>
          <w:p w14:paraId="2BE2ECE9"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auto" w:fill="auto"/>
            <w:noWrap/>
            <w:vAlign w:val="bottom"/>
            <w:hideMark/>
          </w:tcPr>
          <w:p w14:paraId="3BA76895"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742" w:type="dxa"/>
            <w:tcBorders>
              <w:top w:val="nil"/>
              <w:left w:val="nil"/>
              <w:bottom w:val="single" w:sz="4" w:space="0" w:color="auto"/>
              <w:right w:val="nil"/>
            </w:tcBorders>
            <w:shd w:val="clear" w:color="auto" w:fill="auto"/>
            <w:noWrap/>
            <w:vAlign w:val="bottom"/>
            <w:hideMark/>
          </w:tcPr>
          <w:p w14:paraId="2063EFFA"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6" w:type="dxa"/>
            <w:tcBorders>
              <w:top w:val="nil"/>
              <w:left w:val="nil"/>
              <w:bottom w:val="single" w:sz="4" w:space="0" w:color="auto"/>
              <w:right w:val="nil"/>
            </w:tcBorders>
            <w:shd w:val="clear" w:color="auto" w:fill="auto"/>
            <w:noWrap/>
            <w:vAlign w:val="bottom"/>
            <w:hideMark/>
          </w:tcPr>
          <w:p w14:paraId="34FA071D"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8" w:type="dxa"/>
            <w:tcBorders>
              <w:top w:val="nil"/>
              <w:left w:val="nil"/>
              <w:bottom w:val="single" w:sz="4" w:space="0" w:color="auto"/>
              <w:right w:val="nil"/>
            </w:tcBorders>
            <w:shd w:val="clear" w:color="auto" w:fill="auto"/>
            <w:noWrap/>
            <w:vAlign w:val="bottom"/>
            <w:hideMark/>
          </w:tcPr>
          <w:p w14:paraId="76EFAD56"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single" w:sz="4" w:space="0" w:color="auto"/>
            </w:tcBorders>
            <w:shd w:val="clear" w:color="auto" w:fill="auto"/>
            <w:noWrap/>
            <w:vAlign w:val="bottom"/>
            <w:hideMark/>
          </w:tcPr>
          <w:p w14:paraId="63D9B939"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2F519B07" w14:textId="77777777" w:rsidTr="00385AEA">
        <w:trPr>
          <w:trHeight w:val="290"/>
        </w:trPr>
        <w:tc>
          <w:tcPr>
            <w:tcW w:w="9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923E315" w14:textId="77777777" w:rsidR="003F6084" w:rsidRPr="003F6084" w:rsidRDefault="003F6084" w:rsidP="003F6084">
            <w:pPr>
              <w:spacing w:after="0" w:line="240" w:lineRule="auto"/>
              <w:jc w:val="center"/>
              <w:rPr>
                <w:rFonts w:ascii="Calibri" w:eastAsia="Times New Roman" w:hAnsi="Calibri" w:cs="Calibri"/>
                <w:b/>
                <w:bCs/>
                <w:color w:val="000000"/>
                <w:sz w:val="18"/>
                <w:lang w:eastAsia="zh-CN"/>
              </w:rPr>
            </w:pPr>
            <w:r w:rsidRPr="003F6084">
              <w:rPr>
                <w:rFonts w:ascii="Calibri" w:eastAsia="Times New Roman" w:hAnsi="Calibri" w:cs="Calibri"/>
                <w:b/>
                <w:bCs/>
                <w:color w:val="000000"/>
                <w:sz w:val="18"/>
                <w:lang w:eastAsia="zh-CN"/>
              </w:rPr>
              <w:t>Major chronic illness</w:t>
            </w:r>
          </w:p>
        </w:tc>
        <w:tc>
          <w:tcPr>
            <w:tcW w:w="1260" w:type="dxa"/>
            <w:tcBorders>
              <w:top w:val="nil"/>
              <w:left w:val="nil"/>
              <w:bottom w:val="nil"/>
              <w:right w:val="nil"/>
            </w:tcBorders>
            <w:shd w:val="clear" w:color="auto" w:fill="auto"/>
            <w:noWrap/>
            <w:vAlign w:val="bottom"/>
            <w:hideMark/>
          </w:tcPr>
          <w:p w14:paraId="00CB811D" w14:textId="77777777" w:rsidR="003F6084" w:rsidRPr="003F6084" w:rsidRDefault="003F6084" w:rsidP="003F6084">
            <w:pPr>
              <w:spacing w:after="0" w:line="240" w:lineRule="auto"/>
              <w:jc w:val="center"/>
              <w:rPr>
                <w:rFonts w:ascii="Calibri" w:eastAsia="Times New Roman" w:hAnsi="Calibri" w:cs="Calibri"/>
                <w:b/>
                <w:bCs/>
                <w:color w:val="000000"/>
                <w:sz w:val="16"/>
                <w:lang w:eastAsia="zh-CN"/>
              </w:rPr>
            </w:pPr>
          </w:p>
        </w:tc>
        <w:tc>
          <w:tcPr>
            <w:tcW w:w="1070" w:type="dxa"/>
            <w:tcBorders>
              <w:top w:val="nil"/>
              <w:left w:val="nil"/>
              <w:bottom w:val="nil"/>
              <w:right w:val="nil"/>
            </w:tcBorders>
            <w:shd w:val="clear" w:color="auto" w:fill="auto"/>
            <w:noWrap/>
            <w:vAlign w:val="bottom"/>
            <w:hideMark/>
          </w:tcPr>
          <w:p w14:paraId="1A24D8E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12A1E59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67F0D43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1D0B013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4A3A5D11"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3C1136F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7B76306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002C436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3D237C3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156259F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7921981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18D3A76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0AC920F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61024658"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3AB6A3F2" w14:textId="77777777" w:rsidTr="00385AEA">
        <w:trPr>
          <w:trHeight w:val="870"/>
        </w:trPr>
        <w:tc>
          <w:tcPr>
            <w:tcW w:w="931" w:type="dxa"/>
            <w:vMerge/>
            <w:tcBorders>
              <w:top w:val="nil"/>
              <w:left w:val="single" w:sz="4" w:space="0" w:color="auto"/>
              <w:bottom w:val="single" w:sz="4" w:space="0" w:color="000000"/>
              <w:right w:val="single" w:sz="4" w:space="0" w:color="auto"/>
            </w:tcBorders>
            <w:vAlign w:val="center"/>
            <w:hideMark/>
          </w:tcPr>
          <w:p w14:paraId="68B51516"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nil"/>
              <w:right w:val="nil"/>
            </w:tcBorders>
            <w:shd w:val="clear" w:color="auto" w:fill="auto"/>
            <w:noWrap/>
            <w:vAlign w:val="bottom"/>
            <w:hideMark/>
          </w:tcPr>
          <w:p w14:paraId="05F6DA04" w14:textId="77777777" w:rsidR="003F6084" w:rsidRPr="003F6084" w:rsidRDefault="003F6084" w:rsidP="003F6084">
            <w:pPr>
              <w:spacing w:after="0" w:line="240" w:lineRule="auto"/>
              <w:rPr>
                <w:rFonts w:ascii="Calibri" w:eastAsia="Times New Roman" w:hAnsi="Calibri" w:cs="Calibri"/>
                <w:b/>
                <w:color w:val="000000"/>
                <w:sz w:val="16"/>
                <w:lang w:eastAsia="zh-CN"/>
              </w:rPr>
            </w:pPr>
          </w:p>
        </w:tc>
        <w:tc>
          <w:tcPr>
            <w:tcW w:w="1070" w:type="dxa"/>
            <w:tcBorders>
              <w:top w:val="single" w:sz="4" w:space="0" w:color="auto"/>
              <w:left w:val="single" w:sz="4" w:space="0" w:color="auto"/>
              <w:bottom w:val="single" w:sz="4" w:space="0" w:color="auto"/>
              <w:right w:val="single" w:sz="4" w:space="0" w:color="auto"/>
            </w:tcBorders>
            <w:shd w:val="clear" w:color="000000" w:fill="CCC0DA"/>
            <w:vAlign w:val="center"/>
            <w:hideMark/>
          </w:tcPr>
          <w:p w14:paraId="6A1689F1"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High Complex Chronic Conditions without Frail ADL supports</w:t>
            </w:r>
          </w:p>
        </w:tc>
        <w:tc>
          <w:tcPr>
            <w:tcW w:w="992" w:type="dxa"/>
            <w:tcBorders>
              <w:top w:val="nil"/>
              <w:left w:val="nil"/>
              <w:bottom w:val="nil"/>
              <w:right w:val="nil"/>
            </w:tcBorders>
            <w:shd w:val="clear" w:color="auto" w:fill="auto"/>
            <w:noWrap/>
            <w:vAlign w:val="bottom"/>
            <w:hideMark/>
          </w:tcPr>
          <w:p w14:paraId="7DB6CF1E"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single" w:sz="4" w:space="0" w:color="auto"/>
              <w:left w:val="single" w:sz="4" w:space="0" w:color="auto"/>
              <w:bottom w:val="single" w:sz="4" w:space="0" w:color="auto"/>
              <w:right w:val="single" w:sz="4" w:space="0" w:color="auto"/>
            </w:tcBorders>
            <w:shd w:val="clear" w:color="000000" w:fill="CCC0DA"/>
            <w:vAlign w:val="center"/>
            <w:hideMark/>
          </w:tcPr>
          <w:p w14:paraId="6934B9AB"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Dominant chronic disease in 3 or more organ systems</w:t>
            </w:r>
          </w:p>
        </w:tc>
        <w:tc>
          <w:tcPr>
            <w:tcW w:w="894" w:type="dxa"/>
            <w:tcBorders>
              <w:top w:val="single" w:sz="4" w:space="0" w:color="auto"/>
              <w:left w:val="nil"/>
              <w:bottom w:val="single" w:sz="4" w:space="0" w:color="auto"/>
              <w:right w:val="single" w:sz="4" w:space="0" w:color="auto"/>
            </w:tcBorders>
            <w:shd w:val="clear" w:color="000000" w:fill="CCC0DA"/>
            <w:vAlign w:val="center"/>
            <w:hideMark/>
          </w:tcPr>
          <w:p w14:paraId="26C3B40F"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Limited reserve and exacerbations</w:t>
            </w:r>
          </w:p>
        </w:tc>
        <w:tc>
          <w:tcPr>
            <w:tcW w:w="930" w:type="dxa"/>
            <w:tcBorders>
              <w:top w:val="nil"/>
              <w:left w:val="nil"/>
              <w:bottom w:val="nil"/>
              <w:right w:val="nil"/>
            </w:tcBorders>
            <w:shd w:val="clear" w:color="auto" w:fill="auto"/>
            <w:noWrap/>
            <w:vAlign w:val="bottom"/>
            <w:hideMark/>
          </w:tcPr>
          <w:p w14:paraId="3CDF5C3F"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22" w:type="dxa"/>
            <w:tcBorders>
              <w:top w:val="single" w:sz="4" w:space="0" w:color="auto"/>
              <w:left w:val="single" w:sz="4" w:space="0" w:color="auto"/>
              <w:bottom w:val="single" w:sz="4" w:space="0" w:color="auto"/>
              <w:right w:val="single" w:sz="4" w:space="0" w:color="auto"/>
            </w:tcBorders>
            <w:shd w:val="clear" w:color="000000" w:fill="CCC0DA"/>
            <w:vAlign w:val="center"/>
            <w:hideMark/>
          </w:tcPr>
          <w:p w14:paraId="5FE2AA96"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Very high needs and high emergency care use</w:t>
            </w:r>
          </w:p>
        </w:tc>
        <w:tc>
          <w:tcPr>
            <w:tcW w:w="922" w:type="dxa"/>
            <w:tcBorders>
              <w:top w:val="single" w:sz="4" w:space="0" w:color="auto"/>
              <w:left w:val="nil"/>
              <w:bottom w:val="single" w:sz="4" w:space="0" w:color="auto"/>
              <w:right w:val="single" w:sz="4" w:space="0" w:color="auto"/>
            </w:tcBorders>
            <w:shd w:val="clear" w:color="000000" w:fill="CCC0DA"/>
            <w:vAlign w:val="center"/>
            <w:hideMark/>
          </w:tcPr>
          <w:p w14:paraId="15B72432"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Major complex chronic illness</w:t>
            </w:r>
          </w:p>
        </w:tc>
        <w:tc>
          <w:tcPr>
            <w:tcW w:w="930" w:type="dxa"/>
            <w:tcBorders>
              <w:top w:val="single" w:sz="4" w:space="0" w:color="auto"/>
              <w:left w:val="nil"/>
              <w:bottom w:val="single" w:sz="4" w:space="0" w:color="auto"/>
              <w:right w:val="single" w:sz="4" w:space="0" w:color="auto"/>
            </w:tcBorders>
            <w:shd w:val="clear" w:color="000000" w:fill="CCC0DA"/>
            <w:vAlign w:val="center"/>
            <w:hideMark/>
          </w:tcPr>
          <w:p w14:paraId="2DF454A0"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Complex chronic with frequent hospital admissions</w:t>
            </w:r>
          </w:p>
        </w:tc>
        <w:tc>
          <w:tcPr>
            <w:tcW w:w="1072" w:type="dxa"/>
            <w:tcBorders>
              <w:top w:val="single" w:sz="4" w:space="0" w:color="auto"/>
              <w:left w:val="nil"/>
              <w:bottom w:val="single" w:sz="4" w:space="0" w:color="auto"/>
              <w:right w:val="single" w:sz="4" w:space="0" w:color="auto"/>
            </w:tcBorders>
            <w:shd w:val="clear" w:color="000000" w:fill="CCC0DA"/>
            <w:vAlign w:val="center"/>
            <w:hideMark/>
          </w:tcPr>
          <w:p w14:paraId="115F5C63"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Frequent admitters</w:t>
            </w:r>
          </w:p>
        </w:tc>
        <w:tc>
          <w:tcPr>
            <w:tcW w:w="992" w:type="dxa"/>
            <w:tcBorders>
              <w:top w:val="single" w:sz="4" w:space="0" w:color="auto"/>
              <w:left w:val="nil"/>
              <w:bottom w:val="single" w:sz="4" w:space="0" w:color="auto"/>
              <w:right w:val="single" w:sz="4" w:space="0" w:color="auto"/>
            </w:tcBorders>
            <w:shd w:val="clear" w:color="000000" w:fill="CCC0DA"/>
            <w:vAlign w:val="center"/>
            <w:hideMark/>
          </w:tcPr>
          <w:p w14:paraId="126808C6"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Difficulties experienced in multiple domains</w:t>
            </w:r>
          </w:p>
        </w:tc>
        <w:tc>
          <w:tcPr>
            <w:tcW w:w="742" w:type="dxa"/>
            <w:tcBorders>
              <w:top w:val="single" w:sz="4" w:space="0" w:color="auto"/>
              <w:left w:val="nil"/>
              <w:bottom w:val="single" w:sz="4" w:space="0" w:color="auto"/>
              <w:right w:val="single" w:sz="4" w:space="0" w:color="auto"/>
            </w:tcBorders>
            <w:shd w:val="clear" w:color="000000" w:fill="CCC0DA"/>
            <w:vAlign w:val="center"/>
            <w:hideMark/>
          </w:tcPr>
          <w:p w14:paraId="3C25605B"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High comorbidity group</w:t>
            </w:r>
          </w:p>
        </w:tc>
        <w:tc>
          <w:tcPr>
            <w:tcW w:w="906" w:type="dxa"/>
            <w:tcBorders>
              <w:top w:val="nil"/>
              <w:left w:val="nil"/>
              <w:bottom w:val="nil"/>
              <w:right w:val="nil"/>
            </w:tcBorders>
            <w:shd w:val="clear" w:color="auto" w:fill="auto"/>
            <w:vAlign w:val="center"/>
            <w:hideMark/>
          </w:tcPr>
          <w:p w14:paraId="00EE6764"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08" w:type="dxa"/>
            <w:tcBorders>
              <w:top w:val="single" w:sz="4" w:space="0" w:color="auto"/>
              <w:left w:val="single" w:sz="4" w:space="0" w:color="auto"/>
              <w:bottom w:val="single" w:sz="4" w:space="0" w:color="auto"/>
              <w:right w:val="single" w:sz="4" w:space="0" w:color="auto"/>
            </w:tcBorders>
            <w:shd w:val="clear" w:color="000000" w:fill="CCC0DA"/>
            <w:vAlign w:val="center"/>
            <w:hideMark/>
          </w:tcPr>
          <w:p w14:paraId="5501231F"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Complex chronic</w:t>
            </w:r>
          </w:p>
        </w:tc>
        <w:tc>
          <w:tcPr>
            <w:tcW w:w="930" w:type="dxa"/>
            <w:tcBorders>
              <w:top w:val="single" w:sz="4" w:space="0" w:color="auto"/>
              <w:left w:val="nil"/>
              <w:bottom w:val="single" w:sz="4" w:space="0" w:color="auto"/>
              <w:right w:val="single" w:sz="4" w:space="0" w:color="auto"/>
            </w:tcBorders>
            <w:shd w:val="clear" w:color="000000" w:fill="CCC0DA"/>
            <w:vAlign w:val="center"/>
            <w:hideMark/>
          </w:tcPr>
          <w:p w14:paraId="27AD3428"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Advanced illness and/or end-organ failure</w:t>
            </w:r>
          </w:p>
        </w:tc>
      </w:tr>
      <w:tr w:rsidR="003F6084" w:rsidRPr="003F6084" w14:paraId="0ADE610D" w14:textId="77777777" w:rsidTr="00385AEA">
        <w:trPr>
          <w:trHeight w:val="580"/>
        </w:trPr>
        <w:tc>
          <w:tcPr>
            <w:tcW w:w="931" w:type="dxa"/>
            <w:vMerge/>
            <w:tcBorders>
              <w:top w:val="nil"/>
              <w:left w:val="single" w:sz="4" w:space="0" w:color="auto"/>
              <w:bottom w:val="single" w:sz="4" w:space="0" w:color="000000"/>
              <w:right w:val="single" w:sz="4" w:space="0" w:color="auto"/>
            </w:tcBorders>
            <w:vAlign w:val="center"/>
            <w:hideMark/>
          </w:tcPr>
          <w:p w14:paraId="0BBC4459"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nil"/>
              <w:right w:val="nil"/>
            </w:tcBorders>
            <w:shd w:val="clear" w:color="auto" w:fill="auto"/>
            <w:noWrap/>
            <w:vAlign w:val="bottom"/>
            <w:hideMark/>
          </w:tcPr>
          <w:p w14:paraId="5096BE1B"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1070" w:type="dxa"/>
            <w:tcBorders>
              <w:top w:val="nil"/>
              <w:left w:val="nil"/>
              <w:bottom w:val="nil"/>
              <w:right w:val="nil"/>
            </w:tcBorders>
            <w:shd w:val="clear" w:color="auto" w:fill="auto"/>
            <w:noWrap/>
            <w:vAlign w:val="bottom"/>
            <w:hideMark/>
          </w:tcPr>
          <w:p w14:paraId="4207FF5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47DC0EF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single" w:sz="4" w:space="0" w:color="auto"/>
              <w:bottom w:val="single" w:sz="4" w:space="0" w:color="auto"/>
              <w:right w:val="single" w:sz="4" w:space="0" w:color="auto"/>
            </w:tcBorders>
            <w:shd w:val="clear" w:color="000000" w:fill="CCC0DA"/>
            <w:vAlign w:val="center"/>
            <w:hideMark/>
          </w:tcPr>
          <w:p w14:paraId="6036E974"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Catastrophic conditions</w:t>
            </w:r>
          </w:p>
        </w:tc>
        <w:tc>
          <w:tcPr>
            <w:tcW w:w="894" w:type="dxa"/>
            <w:tcBorders>
              <w:top w:val="nil"/>
              <w:left w:val="nil"/>
              <w:bottom w:val="nil"/>
              <w:right w:val="nil"/>
            </w:tcBorders>
            <w:shd w:val="clear" w:color="auto" w:fill="auto"/>
            <w:noWrap/>
            <w:vAlign w:val="bottom"/>
            <w:hideMark/>
          </w:tcPr>
          <w:p w14:paraId="35A6EB2C"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30" w:type="dxa"/>
            <w:tcBorders>
              <w:top w:val="nil"/>
              <w:left w:val="nil"/>
              <w:bottom w:val="nil"/>
              <w:right w:val="nil"/>
            </w:tcBorders>
            <w:shd w:val="clear" w:color="auto" w:fill="auto"/>
            <w:noWrap/>
            <w:vAlign w:val="bottom"/>
            <w:hideMark/>
          </w:tcPr>
          <w:p w14:paraId="5F98BD4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01A1C21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359F541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3C6962C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3200281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4B0FD1F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vAlign w:val="center"/>
            <w:hideMark/>
          </w:tcPr>
          <w:p w14:paraId="38F73DC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vAlign w:val="center"/>
            <w:hideMark/>
          </w:tcPr>
          <w:p w14:paraId="000B0DD0"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vAlign w:val="center"/>
            <w:hideMark/>
          </w:tcPr>
          <w:p w14:paraId="431D8F59"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vAlign w:val="center"/>
            <w:hideMark/>
          </w:tcPr>
          <w:p w14:paraId="6011184E"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5BA29C6B" w14:textId="77777777" w:rsidTr="00385AEA">
        <w:trPr>
          <w:trHeight w:val="290"/>
        </w:trPr>
        <w:tc>
          <w:tcPr>
            <w:tcW w:w="931" w:type="dxa"/>
            <w:vMerge/>
            <w:tcBorders>
              <w:top w:val="nil"/>
              <w:left w:val="single" w:sz="4" w:space="0" w:color="auto"/>
              <w:bottom w:val="single" w:sz="4" w:space="0" w:color="000000"/>
              <w:right w:val="single" w:sz="4" w:space="0" w:color="auto"/>
            </w:tcBorders>
            <w:vAlign w:val="center"/>
            <w:hideMark/>
          </w:tcPr>
          <w:p w14:paraId="103DD4BE"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nil"/>
            </w:tcBorders>
            <w:shd w:val="clear" w:color="000000" w:fill="FFFFFF"/>
            <w:noWrap/>
            <w:vAlign w:val="bottom"/>
            <w:hideMark/>
          </w:tcPr>
          <w:p w14:paraId="2F172629" w14:textId="3F6A97EE"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hAnsi="Calibri" w:cs="Calibri"/>
                <w:b/>
                <w:color w:val="000000"/>
                <w:sz w:val="16"/>
              </w:rPr>
              <w:t> </w:t>
            </w:r>
          </w:p>
        </w:tc>
        <w:tc>
          <w:tcPr>
            <w:tcW w:w="1070" w:type="dxa"/>
            <w:tcBorders>
              <w:top w:val="nil"/>
              <w:left w:val="nil"/>
              <w:bottom w:val="single" w:sz="4" w:space="0" w:color="auto"/>
              <w:right w:val="nil"/>
            </w:tcBorders>
            <w:shd w:val="clear" w:color="000000" w:fill="FFFFFF"/>
            <w:noWrap/>
            <w:vAlign w:val="bottom"/>
            <w:hideMark/>
          </w:tcPr>
          <w:p w14:paraId="261FC205"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2B630C77"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vAlign w:val="center"/>
            <w:hideMark/>
          </w:tcPr>
          <w:p w14:paraId="11E1F21F"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894" w:type="dxa"/>
            <w:tcBorders>
              <w:top w:val="nil"/>
              <w:left w:val="nil"/>
              <w:bottom w:val="single" w:sz="4" w:space="0" w:color="auto"/>
              <w:right w:val="nil"/>
            </w:tcBorders>
            <w:shd w:val="clear" w:color="000000" w:fill="FFFFFF"/>
            <w:noWrap/>
            <w:vAlign w:val="bottom"/>
            <w:hideMark/>
          </w:tcPr>
          <w:p w14:paraId="24124E47"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000000" w:fill="FFFFFF"/>
            <w:noWrap/>
            <w:vAlign w:val="bottom"/>
            <w:hideMark/>
          </w:tcPr>
          <w:p w14:paraId="6D51CA6A"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000000" w:fill="FFFFFF"/>
            <w:noWrap/>
            <w:vAlign w:val="bottom"/>
            <w:hideMark/>
          </w:tcPr>
          <w:p w14:paraId="75CF2F6D"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000000" w:fill="FFFFFF"/>
            <w:noWrap/>
            <w:vAlign w:val="bottom"/>
            <w:hideMark/>
          </w:tcPr>
          <w:p w14:paraId="285B7098"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000000" w:fill="FFFFFF"/>
            <w:noWrap/>
            <w:vAlign w:val="bottom"/>
            <w:hideMark/>
          </w:tcPr>
          <w:p w14:paraId="56FB44C5"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1072" w:type="dxa"/>
            <w:tcBorders>
              <w:top w:val="nil"/>
              <w:left w:val="nil"/>
              <w:bottom w:val="single" w:sz="4" w:space="0" w:color="auto"/>
              <w:right w:val="nil"/>
            </w:tcBorders>
            <w:shd w:val="clear" w:color="000000" w:fill="FFFFFF"/>
            <w:noWrap/>
            <w:vAlign w:val="bottom"/>
            <w:hideMark/>
          </w:tcPr>
          <w:p w14:paraId="008A1356"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4C146E95"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742" w:type="dxa"/>
            <w:tcBorders>
              <w:top w:val="nil"/>
              <w:left w:val="nil"/>
              <w:bottom w:val="single" w:sz="4" w:space="0" w:color="auto"/>
              <w:right w:val="nil"/>
            </w:tcBorders>
            <w:shd w:val="clear" w:color="000000" w:fill="FFFFFF"/>
            <w:vAlign w:val="center"/>
            <w:hideMark/>
          </w:tcPr>
          <w:p w14:paraId="46E327A4"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6" w:type="dxa"/>
            <w:tcBorders>
              <w:top w:val="nil"/>
              <w:left w:val="nil"/>
              <w:bottom w:val="single" w:sz="4" w:space="0" w:color="auto"/>
              <w:right w:val="nil"/>
            </w:tcBorders>
            <w:shd w:val="clear" w:color="000000" w:fill="FFFFFF"/>
            <w:vAlign w:val="center"/>
            <w:hideMark/>
          </w:tcPr>
          <w:p w14:paraId="137497E5"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8" w:type="dxa"/>
            <w:tcBorders>
              <w:top w:val="nil"/>
              <w:left w:val="nil"/>
              <w:bottom w:val="single" w:sz="4" w:space="0" w:color="auto"/>
              <w:right w:val="nil"/>
            </w:tcBorders>
            <w:shd w:val="clear" w:color="000000" w:fill="FFFFFF"/>
            <w:vAlign w:val="center"/>
            <w:hideMark/>
          </w:tcPr>
          <w:p w14:paraId="7AF3F372"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single" w:sz="4" w:space="0" w:color="auto"/>
            </w:tcBorders>
            <w:shd w:val="clear" w:color="000000" w:fill="FFFFFF"/>
            <w:vAlign w:val="center"/>
            <w:hideMark/>
          </w:tcPr>
          <w:p w14:paraId="7BCF52A6"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28DBFDD1" w14:textId="77777777" w:rsidTr="00385AEA">
        <w:trPr>
          <w:trHeight w:val="290"/>
        </w:trPr>
        <w:tc>
          <w:tcPr>
            <w:tcW w:w="9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57A74A" w14:textId="77777777" w:rsidR="003F6084" w:rsidRPr="003F6084" w:rsidRDefault="003F6084" w:rsidP="003F6084">
            <w:pPr>
              <w:spacing w:after="0" w:line="240" w:lineRule="auto"/>
              <w:jc w:val="center"/>
              <w:rPr>
                <w:rFonts w:ascii="Calibri" w:eastAsia="Times New Roman" w:hAnsi="Calibri" w:cs="Calibri"/>
                <w:b/>
                <w:bCs/>
                <w:color w:val="000000"/>
                <w:sz w:val="18"/>
                <w:lang w:eastAsia="zh-CN"/>
              </w:rPr>
            </w:pPr>
            <w:r w:rsidRPr="003F6084">
              <w:rPr>
                <w:rFonts w:ascii="Calibri" w:eastAsia="Times New Roman" w:hAnsi="Calibri" w:cs="Calibri"/>
                <w:b/>
                <w:bCs/>
                <w:color w:val="000000"/>
                <w:sz w:val="18"/>
                <w:lang w:eastAsia="zh-CN"/>
              </w:rPr>
              <w:t>Cancer</w:t>
            </w:r>
          </w:p>
        </w:tc>
        <w:tc>
          <w:tcPr>
            <w:tcW w:w="1260" w:type="dxa"/>
            <w:tcBorders>
              <w:top w:val="nil"/>
              <w:left w:val="nil"/>
              <w:bottom w:val="nil"/>
              <w:right w:val="nil"/>
            </w:tcBorders>
            <w:shd w:val="clear" w:color="auto" w:fill="auto"/>
            <w:noWrap/>
            <w:vAlign w:val="bottom"/>
            <w:hideMark/>
          </w:tcPr>
          <w:p w14:paraId="25B9835F" w14:textId="77777777" w:rsidR="003F6084" w:rsidRPr="003F6084" w:rsidRDefault="003F6084" w:rsidP="003F6084">
            <w:pPr>
              <w:spacing w:after="0" w:line="240" w:lineRule="auto"/>
              <w:jc w:val="center"/>
              <w:rPr>
                <w:rFonts w:ascii="Calibri" w:eastAsia="Times New Roman" w:hAnsi="Calibri" w:cs="Calibri"/>
                <w:b/>
                <w:bCs/>
                <w:color w:val="000000"/>
                <w:sz w:val="16"/>
                <w:lang w:eastAsia="zh-CN"/>
              </w:rPr>
            </w:pPr>
          </w:p>
        </w:tc>
        <w:tc>
          <w:tcPr>
            <w:tcW w:w="1070" w:type="dxa"/>
            <w:tcBorders>
              <w:top w:val="nil"/>
              <w:left w:val="nil"/>
              <w:bottom w:val="nil"/>
              <w:right w:val="nil"/>
            </w:tcBorders>
            <w:shd w:val="clear" w:color="auto" w:fill="auto"/>
            <w:noWrap/>
            <w:vAlign w:val="bottom"/>
            <w:hideMark/>
          </w:tcPr>
          <w:p w14:paraId="58F1A3E9"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4929F7A9"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6A0EFC5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5BF274C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7F780AA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3B3E9B1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6BD1829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5F8B0F7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74DD9FA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7542857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vAlign w:val="center"/>
            <w:hideMark/>
          </w:tcPr>
          <w:p w14:paraId="1406D7E9"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vAlign w:val="center"/>
            <w:hideMark/>
          </w:tcPr>
          <w:p w14:paraId="6595C99A"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vAlign w:val="center"/>
            <w:hideMark/>
          </w:tcPr>
          <w:p w14:paraId="3E640F7B"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000000" w:fill="FFFFFF"/>
            <w:vAlign w:val="center"/>
            <w:hideMark/>
          </w:tcPr>
          <w:p w14:paraId="1FB2C929"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5246FF6B" w14:textId="77777777" w:rsidTr="00385AEA">
        <w:trPr>
          <w:trHeight w:val="580"/>
        </w:trPr>
        <w:tc>
          <w:tcPr>
            <w:tcW w:w="931" w:type="dxa"/>
            <w:vMerge/>
            <w:tcBorders>
              <w:top w:val="nil"/>
              <w:left w:val="single" w:sz="4" w:space="0" w:color="auto"/>
              <w:bottom w:val="single" w:sz="4" w:space="0" w:color="000000"/>
              <w:right w:val="single" w:sz="4" w:space="0" w:color="auto"/>
            </w:tcBorders>
            <w:vAlign w:val="center"/>
            <w:hideMark/>
          </w:tcPr>
          <w:p w14:paraId="1AA4FF30"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nil"/>
              <w:right w:val="nil"/>
            </w:tcBorders>
            <w:shd w:val="clear" w:color="auto" w:fill="auto"/>
            <w:noWrap/>
            <w:vAlign w:val="bottom"/>
            <w:hideMark/>
          </w:tcPr>
          <w:p w14:paraId="46DE9A1F"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1070" w:type="dxa"/>
            <w:tcBorders>
              <w:top w:val="single" w:sz="4" w:space="0" w:color="auto"/>
              <w:left w:val="single" w:sz="4" w:space="0" w:color="auto"/>
              <w:bottom w:val="single" w:sz="4" w:space="0" w:color="auto"/>
              <w:right w:val="single" w:sz="4" w:space="0" w:color="auto"/>
            </w:tcBorders>
            <w:shd w:val="clear" w:color="000000" w:fill="948A54"/>
            <w:vAlign w:val="center"/>
            <w:hideMark/>
          </w:tcPr>
          <w:p w14:paraId="64CB6E40"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Population with Cancer</w:t>
            </w:r>
          </w:p>
        </w:tc>
        <w:tc>
          <w:tcPr>
            <w:tcW w:w="992" w:type="dxa"/>
            <w:tcBorders>
              <w:top w:val="single" w:sz="4" w:space="0" w:color="auto"/>
              <w:left w:val="nil"/>
              <w:bottom w:val="single" w:sz="4" w:space="0" w:color="auto"/>
              <w:right w:val="single" w:sz="4" w:space="0" w:color="auto"/>
            </w:tcBorders>
            <w:shd w:val="clear" w:color="000000" w:fill="948A54"/>
            <w:vAlign w:val="center"/>
            <w:hideMark/>
          </w:tcPr>
          <w:p w14:paraId="6B518907"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Adults and elderly people with cancer</w:t>
            </w:r>
          </w:p>
        </w:tc>
        <w:tc>
          <w:tcPr>
            <w:tcW w:w="992" w:type="dxa"/>
            <w:tcBorders>
              <w:top w:val="nil"/>
              <w:left w:val="nil"/>
              <w:bottom w:val="nil"/>
              <w:right w:val="nil"/>
            </w:tcBorders>
            <w:shd w:val="clear" w:color="auto" w:fill="auto"/>
            <w:noWrap/>
            <w:vAlign w:val="bottom"/>
            <w:hideMark/>
          </w:tcPr>
          <w:p w14:paraId="3202D472"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894" w:type="dxa"/>
            <w:tcBorders>
              <w:top w:val="nil"/>
              <w:left w:val="nil"/>
              <w:bottom w:val="nil"/>
              <w:right w:val="nil"/>
            </w:tcBorders>
            <w:shd w:val="clear" w:color="auto" w:fill="auto"/>
            <w:noWrap/>
            <w:vAlign w:val="bottom"/>
            <w:hideMark/>
          </w:tcPr>
          <w:p w14:paraId="319CD97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695002C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3D873D8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084FFE1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7FD4A6D3"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1C10FC5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52AE649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vAlign w:val="center"/>
            <w:hideMark/>
          </w:tcPr>
          <w:p w14:paraId="075692E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center"/>
            <w:hideMark/>
          </w:tcPr>
          <w:p w14:paraId="1F4FA1A2"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vAlign w:val="center"/>
            <w:hideMark/>
          </w:tcPr>
          <w:p w14:paraId="4CF89047"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vAlign w:val="center"/>
            <w:hideMark/>
          </w:tcPr>
          <w:p w14:paraId="76C3D81E"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0A9D9827" w14:textId="77777777" w:rsidTr="00385AEA">
        <w:trPr>
          <w:trHeight w:val="290"/>
        </w:trPr>
        <w:tc>
          <w:tcPr>
            <w:tcW w:w="931" w:type="dxa"/>
            <w:vMerge/>
            <w:tcBorders>
              <w:top w:val="nil"/>
              <w:left w:val="single" w:sz="4" w:space="0" w:color="auto"/>
              <w:bottom w:val="single" w:sz="4" w:space="0" w:color="000000"/>
              <w:right w:val="single" w:sz="4" w:space="0" w:color="auto"/>
            </w:tcBorders>
            <w:vAlign w:val="center"/>
            <w:hideMark/>
          </w:tcPr>
          <w:p w14:paraId="08C183EA"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nil"/>
            </w:tcBorders>
            <w:shd w:val="clear" w:color="000000" w:fill="FFFFFF"/>
            <w:noWrap/>
            <w:vAlign w:val="bottom"/>
            <w:hideMark/>
          </w:tcPr>
          <w:p w14:paraId="02EE6BE6" w14:textId="562B0B3F"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hAnsi="Calibri" w:cs="Calibri"/>
                <w:b/>
                <w:color w:val="000000"/>
                <w:sz w:val="16"/>
              </w:rPr>
              <w:t> </w:t>
            </w:r>
          </w:p>
        </w:tc>
        <w:tc>
          <w:tcPr>
            <w:tcW w:w="1070" w:type="dxa"/>
            <w:tcBorders>
              <w:top w:val="nil"/>
              <w:left w:val="nil"/>
              <w:bottom w:val="single" w:sz="4" w:space="0" w:color="auto"/>
              <w:right w:val="nil"/>
            </w:tcBorders>
            <w:shd w:val="clear" w:color="000000" w:fill="FFFFFF"/>
            <w:vAlign w:val="center"/>
            <w:hideMark/>
          </w:tcPr>
          <w:p w14:paraId="0FADF966"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vAlign w:val="center"/>
            <w:hideMark/>
          </w:tcPr>
          <w:p w14:paraId="2045834B"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25CA986F"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894" w:type="dxa"/>
            <w:tcBorders>
              <w:top w:val="nil"/>
              <w:left w:val="nil"/>
              <w:bottom w:val="single" w:sz="4" w:space="0" w:color="auto"/>
              <w:right w:val="nil"/>
            </w:tcBorders>
            <w:shd w:val="clear" w:color="000000" w:fill="FFFFFF"/>
            <w:noWrap/>
            <w:vAlign w:val="bottom"/>
            <w:hideMark/>
          </w:tcPr>
          <w:p w14:paraId="68469909"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000000" w:fill="FFFFFF"/>
            <w:noWrap/>
            <w:vAlign w:val="bottom"/>
            <w:hideMark/>
          </w:tcPr>
          <w:p w14:paraId="7769EFBE"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000000" w:fill="FFFFFF"/>
            <w:noWrap/>
            <w:vAlign w:val="bottom"/>
            <w:hideMark/>
          </w:tcPr>
          <w:p w14:paraId="361F476E"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000000" w:fill="FFFFFF"/>
            <w:noWrap/>
            <w:vAlign w:val="bottom"/>
            <w:hideMark/>
          </w:tcPr>
          <w:p w14:paraId="69042717"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000000" w:fill="FFFFFF"/>
            <w:noWrap/>
            <w:vAlign w:val="bottom"/>
            <w:hideMark/>
          </w:tcPr>
          <w:p w14:paraId="5F5C9F48"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1072" w:type="dxa"/>
            <w:tcBorders>
              <w:top w:val="nil"/>
              <w:left w:val="nil"/>
              <w:bottom w:val="single" w:sz="4" w:space="0" w:color="auto"/>
              <w:right w:val="nil"/>
            </w:tcBorders>
            <w:shd w:val="clear" w:color="000000" w:fill="FFFFFF"/>
            <w:noWrap/>
            <w:vAlign w:val="bottom"/>
            <w:hideMark/>
          </w:tcPr>
          <w:p w14:paraId="7F5765A5"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56E358A3"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742" w:type="dxa"/>
            <w:tcBorders>
              <w:top w:val="nil"/>
              <w:left w:val="nil"/>
              <w:bottom w:val="single" w:sz="4" w:space="0" w:color="auto"/>
              <w:right w:val="nil"/>
            </w:tcBorders>
            <w:shd w:val="clear" w:color="000000" w:fill="FFFFFF"/>
            <w:vAlign w:val="center"/>
            <w:hideMark/>
          </w:tcPr>
          <w:p w14:paraId="6ACC3C0E"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6" w:type="dxa"/>
            <w:tcBorders>
              <w:top w:val="nil"/>
              <w:left w:val="nil"/>
              <w:bottom w:val="single" w:sz="4" w:space="0" w:color="auto"/>
              <w:right w:val="nil"/>
            </w:tcBorders>
            <w:shd w:val="clear" w:color="000000" w:fill="FFFFFF"/>
            <w:noWrap/>
            <w:vAlign w:val="center"/>
            <w:hideMark/>
          </w:tcPr>
          <w:p w14:paraId="3828D2EE"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8" w:type="dxa"/>
            <w:tcBorders>
              <w:top w:val="nil"/>
              <w:left w:val="nil"/>
              <w:bottom w:val="single" w:sz="4" w:space="0" w:color="auto"/>
              <w:right w:val="nil"/>
            </w:tcBorders>
            <w:shd w:val="clear" w:color="000000" w:fill="FFFFFF"/>
            <w:vAlign w:val="center"/>
            <w:hideMark/>
          </w:tcPr>
          <w:p w14:paraId="1130D964"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single" w:sz="4" w:space="0" w:color="auto"/>
            </w:tcBorders>
            <w:shd w:val="clear" w:color="000000" w:fill="FFFFFF"/>
            <w:vAlign w:val="center"/>
            <w:hideMark/>
          </w:tcPr>
          <w:p w14:paraId="1A109E82"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008B3977" w14:textId="77777777" w:rsidTr="00385AEA">
        <w:trPr>
          <w:trHeight w:val="290"/>
        </w:trPr>
        <w:tc>
          <w:tcPr>
            <w:tcW w:w="9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E2C91D" w14:textId="77777777" w:rsidR="003F6084" w:rsidRPr="003F6084" w:rsidRDefault="003F6084" w:rsidP="003F6084">
            <w:pPr>
              <w:spacing w:after="0" w:line="240" w:lineRule="auto"/>
              <w:jc w:val="center"/>
              <w:rPr>
                <w:rFonts w:ascii="Calibri" w:eastAsia="Times New Roman" w:hAnsi="Calibri" w:cs="Calibri"/>
                <w:b/>
                <w:bCs/>
                <w:color w:val="000000"/>
                <w:sz w:val="18"/>
                <w:lang w:eastAsia="zh-CN"/>
              </w:rPr>
            </w:pPr>
            <w:r w:rsidRPr="003F6084">
              <w:rPr>
                <w:rFonts w:ascii="Calibri" w:eastAsia="Times New Roman" w:hAnsi="Calibri" w:cs="Calibri"/>
                <w:b/>
                <w:bCs/>
                <w:color w:val="000000"/>
                <w:sz w:val="18"/>
                <w:lang w:eastAsia="zh-CN"/>
              </w:rPr>
              <w:t>Mental illness</w:t>
            </w:r>
          </w:p>
        </w:tc>
        <w:tc>
          <w:tcPr>
            <w:tcW w:w="1260" w:type="dxa"/>
            <w:tcBorders>
              <w:top w:val="nil"/>
              <w:left w:val="nil"/>
              <w:bottom w:val="nil"/>
              <w:right w:val="nil"/>
            </w:tcBorders>
            <w:shd w:val="clear" w:color="auto" w:fill="auto"/>
            <w:noWrap/>
            <w:vAlign w:val="bottom"/>
            <w:hideMark/>
          </w:tcPr>
          <w:p w14:paraId="494A392C" w14:textId="77777777" w:rsidR="003F6084" w:rsidRPr="003F6084" w:rsidRDefault="003F6084" w:rsidP="003F6084">
            <w:pPr>
              <w:spacing w:after="0" w:line="240" w:lineRule="auto"/>
              <w:jc w:val="center"/>
              <w:rPr>
                <w:rFonts w:ascii="Calibri" w:eastAsia="Times New Roman" w:hAnsi="Calibri" w:cs="Calibri"/>
                <w:b/>
                <w:bCs/>
                <w:color w:val="000000"/>
                <w:sz w:val="16"/>
                <w:lang w:eastAsia="zh-CN"/>
              </w:rPr>
            </w:pPr>
          </w:p>
        </w:tc>
        <w:tc>
          <w:tcPr>
            <w:tcW w:w="1070" w:type="dxa"/>
            <w:tcBorders>
              <w:top w:val="nil"/>
              <w:left w:val="nil"/>
              <w:bottom w:val="nil"/>
              <w:right w:val="nil"/>
            </w:tcBorders>
            <w:shd w:val="clear" w:color="auto" w:fill="auto"/>
            <w:noWrap/>
            <w:vAlign w:val="bottom"/>
            <w:hideMark/>
          </w:tcPr>
          <w:p w14:paraId="3F802C7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3335D4A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332AD558"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0D4754E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0491FEA3"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6FE27453"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5D958E6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4D8622F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2DF789F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0C74795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6B6093D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73147BA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73D82901"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46A9F0E4"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5E51B584" w14:textId="77777777" w:rsidTr="00385AEA">
        <w:trPr>
          <w:trHeight w:val="1160"/>
        </w:trPr>
        <w:tc>
          <w:tcPr>
            <w:tcW w:w="931" w:type="dxa"/>
            <w:vMerge/>
            <w:tcBorders>
              <w:top w:val="nil"/>
              <w:left w:val="single" w:sz="4" w:space="0" w:color="auto"/>
              <w:bottom w:val="single" w:sz="4" w:space="0" w:color="000000"/>
              <w:right w:val="single" w:sz="4" w:space="0" w:color="auto"/>
            </w:tcBorders>
            <w:vAlign w:val="center"/>
            <w:hideMark/>
          </w:tcPr>
          <w:p w14:paraId="78284D83"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single" w:sz="4" w:space="0" w:color="auto"/>
              <w:left w:val="nil"/>
              <w:bottom w:val="single" w:sz="4" w:space="0" w:color="auto"/>
              <w:right w:val="single" w:sz="4" w:space="0" w:color="auto"/>
            </w:tcBorders>
            <w:shd w:val="clear" w:color="000000" w:fill="B7DEE8"/>
            <w:vAlign w:val="center"/>
            <w:hideMark/>
          </w:tcPr>
          <w:p w14:paraId="3D329F24" w14:textId="64703E84"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Infants with Mild mental health illness</w:t>
            </w:r>
          </w:p>
        </w:tc>
        <w:tc>
          <w:tcPr>
            <w:tcW w:w="1070" w:type="dxa"/>
            <w:tcBorders>
              <w:top w:val="single" w:sz="4" w:space="0" w:color="auto"/>
              <w:left w:val="nil"/>
              <w:bottom w:val="single" w:sz="4" w:space="0" w:color="auto"/>
              <w:right w:val="single" w:sz="4" w:space="0" w:color="auto"/>
            </w:tcBorders>
            <w:shd w:val="clear" w:color="000000" w:fill="B7DEE8"/>
            <w:vAlign w:val="center"/>
            <w:hideMark/>
          </w:tcPr>
          <w:p w14:paraId="5A0FF388"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Mental Health and Substance Use Needs</w:t>
            </w:r>
          </w:p>
        </w:tc>
        <w:tc>
          <w:tcPr>
            <w:tcW w:w="992" w:type="dxa"/>
            <w:tcBorders>
              <w:top w:val="single" w:sz="4" w:space="0" w:color="auto"/>
              <w:left w:val="nil"/>
              <w:bottom w:val="single" w:sz="4" w:space="0" w:color="auto"/>
              <w:right w:val="single" w:sz="4" w:space="0" w:color="auto"/>
            </w:tcBorders>
            <w:shd w:val="clear" w:color="000000" w:fill="B7DEE8"/>
            <w:vAlign w:val="center"/>
            <w:hideMark/>
          </w:tcPr>
          <w:p w14:paraId="30FE7EE0"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Adults and elderly people with severe and enduring mental illness (SEMI)</w:t>
            </w:r>
          </w:p>
        </w:tc>
        <w:tc>
          <w:tcPr>
            <w:tcW w:w="992" w:type="dxa"/>
            <w:tcBorders>
              <w:top w:val="nil"/>
              <w:left w:val="nil"/>
              <w:bottom w:val="nil"/>
              <w:right w:val="nil"/>
            </w:tcBorders>
            <w:shd w:val="clear" w:color="auto" w:fill="auto"/>
            <w:noWrap/>
            <w:vAlign w:val="bottom"/>
            <w:hideMark/>
          </w:tcPr>
          <w:p w14:paraId="2E562261"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894" w:type="dxa"/>
            <w:tcBorders>
              <w:top w:val="nil"/>
              <w:left w:val="nil"/>
              <w:bottom w:val="nil"/>
              <w:right w:val="nil"/>
            </w:tcBorders>
            <w:shd w:val="clear" w:color="auto" w:fill="auto"/>
            <w:noWrap/>
            <w:vAlign w:val="bottom"/>
            <w:hideMark/>
          </w:tcPr>
          <w:p w14:paraId="3971B64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5A69E5B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2B9E218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6C790A89"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7A96297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6DC0E808"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single" w:sz="4" w:space="0" w:color="auto"/>
              <w:left w:val="single" w:sz="4" w:space="0" w:color="auto"/>
              <w:bottom w:val="single" w:sz="4" w:space="0" w:color="auto"/>
              <w:right w:val="single" w:sz="4" w:space="0" w:color="auto"/>
            </w:tcBorders>
            <w:shd w:val="clear" w:color="000000" w:fill="B7DEE8"/>
            <w:vAlign w:val="center"/>
            <w:hideMark/>
          </w:tcPr>
          <w:p w14:paraId="1C927138"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Difficulties in psycho-social coping</w:t>
            </w:r>
          </w:p>
        </w:tc>
        <w:tc>
          <w:tcPr>
            <w:tcW w:w="742" w:type="dxa"/>
            <w:tcBorders>
              <w:top w:val="nil"/>
              <w:left w:val="nil"/>
              <w:bottom w:val="nil"/>
              <w:right w:val="nil"/>
            </w:tcBorders>
            <w:shd w:val="clear" w:color="auto" w:fill="auto"/>
            <w:noWrap/>
            <w:vAlign w:val="center"/>
            <w:hideMark/>
          </w:tcPr>
          <w:p w14:paraId="390E43FE"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06" w:type="dxa"/>
            <w:tcBorders>
              <w:top w:val="single" w:sz="4" w:space="0" w:color="auto"/>
              <w:left w:val="single" w:sz="4" w:space="0" w:color="auto"/>
              <w:bottom w:val="single" w:sz="4" w:space="0" w:color="auto"/>
              <w:right w:val="single" w:sz="4" w:space="0" w:color="auto"/>
            </w:tcBorders>
            <w:shd w:val="clear" w:color="000000" w:fill="B7DEE8"/>
            <w:vAlign w:val="center"/>
            <w:hideMark/>
          </w:tcPr>
          <w:p w14:paraId="73532829"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Cognitive Impairment</w:t>
            </w:r>
          </w:p>
        </w:tc>
        <w:tc>
          <w:tcPr>
            <w:tcW w:w="908" w:type="dxa"/>
            <w:tcBorders>
              <w:top w:val="nil"/>
              <w:left w:val="nil"/>
              <w:bottom w:val="nil"/>
              <w:right w:val="nil"/>
            </w:tcBorders>
            <w:shd w:val="clear" w:color="auto" w:fill="auto"/>
            <w:noWrap/>
            <w:vAlign w:val="bottom"/>
            <w:hideMark/>
          </w:tcPr>
          <w:p w14:paraId="58389245"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30" w:type="dxa"/>
            <w:tcBorders>
              <w:top w:val="nil"/>
              <w:left w:val="nil"/>
              <w:bottom w:val="nil"/>
              <w:right w:val="single" w:sz="4" w:space="0" w:color="auto"/>
            </w:tcBorders>
            <w:shd w:val="clear" w:color="auto" w:fill="auto"/>
            <w:noWrap/>
            <w:vAlign w:val="bottom"/>
            <w:hideMark/>
          </w:tcPr>
          <w:p w14:paraId="0D505822"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2083131D" w14:textId="77777777" w:rsidTr="00385AEA">
        <w:trPr>
          <w:trHeight w:val="870"/>
        </w:trPr>
        <w:tc>
          <w:tcPr>
            <w:tcW w:w="931" w:type="dxa"/>
            <w:vMerge/>
            <w:tcBorders>
              <w:top w:val="nil"/>
              <w:left w:val="single" w:sz="4" w:space="0" w:color="auto"/>
              <w:bottom w:val="single" w:sz="4" w:space="0" w:color="000000"/>
              <w:right w:val="single" w:sz="4" w:space="0" w:color="auto"/>
            </w:tcBorders>
            <w:vAlign w:val="center"/>
            <w:hideMark/>
          </w:tcPr>
          <w:p w14:paraId="7FAD6663"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single" w:sz="4" w:space="0" w:color="auto"/>
            </w:tcBorders>
            <w:shd w:val="clear" w:color="000000" w:fill="B7DEE8"/>
            <w:vAlign w:val="center"/>
            <w:hideMark/>
          </w:tcPr>
          <w:p w14:paraId="3A3DD136" w14:textId="4EC8EF41"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Infants with Severe mental health illness</w:t>
            </w:r>
          </w:p>
        </w:tc>
        <w:tc>
          <w:tcPr>
            <w:tcW w:w="1070" w:type="dxa"/>
            <w:tcBorders>
              <w:top w:val="nil"/>
              <w:left w:val="nil"/>
              <w:bottom w:val="nil"/>
              <w:right w:val="nil"/>
            </w:tcBorders>
            <w:shd w:val="clear" w:color="auto" w:fill="auto"/>
            <w:noWrap/>
            <w:vAlign w:val="bottom"/>
            <w:hideMark/>
          </w:tcPr>
          <w:p w14:paraId="708FD829"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single" w:sz="4" w:space="0" w:color="auto"/>
              <w:bottom w:val="single" w:sz="4" w:space="0" w:color="auto"/>
              <w:right w:val="single" w:sz="4" w:space="0" w:color="auto"/>
            </w:tcBorders>
            <w:shd w:val="clear" w:color="000000" w:fill="B7DEE8"/>
            <w:vAlign w:val="center"/>
            <w:hideMark/>
          </w:tcPr>
          <w:p w14:paraId="59648B0A"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Adults and elderly with advanced organic brain disorders</w:t>
            </w:r>
          </w:p>
        </w:tc>
        <w:tc>
          <w:tcPr>
            <w:tcW w:w="992" w:type="dxa"/>
            <w:tcBorders>
              <w:top w:val="nil"/>
              <w:left w:val="nil"/>
              <w:bottom w:val="nil"/>
              <w:right w:val="nil"/>
            </w:tcBorders>
            <w:shd w:val="clear" w:color="auto" w:fill="auto"/>
            <w:noWrap/>
            <w:vAlign w:val="bottom"/>
            <w:hideMark/>
          </w:tcPr>
          <w:p w14:paraId="0136D913"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894" w:type="dxa"/>
            <w:tcBorders>
              <w:top w:val="nil"/>
              <w:left w:val="nil"/>
              <w:bottom w:val="nil"/>
              <w:right w:val="nil"/>
            </w:tcBorders>
            <w:shd w:val="clear" w:color="auto" w:fill="auto"/>
            <w:noWrap/>
            <w:vAlign w:val="bottom"/>
            <w:hideMark/>
          </w:tcPr>
          <w:p w14:paraId="30326A98"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1930280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677B8B1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0993AF9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01C3CE89"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4FD7045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06CF05C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4F1E8C2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61F35F4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509A0519"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3FC26AAC"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0A7A26DE" w14:textId="77777777" w:rsidTr="00385AEA">
        <w:trPr>
          <w:trHeight w:val="1450"/>
        </w:trPr>
        <w:tc>
          <w:tcPr>
            <w:tcW w:w="931" w:type="dxa"/>
            <w:vMerge/>
            <w:tcBorders>
              <w:top w:val="nil"/>
              <w:left w:val="single" w:sz="4" w:space="0" w:color="auto"/>
              <w:bottom w:val="single" w:sz="4" w:space="0" w:color="000000"/>
              <w:right w:val="single" w:sz="4" w:space="0" w:color="auto"/>
            </w:tcBorders>
            <w:vAlign w:val="center"/>
            <w:hideMark/>
          </w:tcPr>
          <w:p w14:paraId="5F811613"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single" w:sz="4" w:space="0" w:color="auto"/>
            </w:tcBorders>
            <w:shd w:val="clear" w:color="000000" w:fill="B7DEE8"/>
            <w:vAlign w:val="center"/>
            <w:hideMark/>
          </w:tcPr>
          <w:p w14:paraId="7638CF3C" w14:textId="6C3650BC" w:rsidR="003F6084" w:rsidRPr="003F6084" w:rsidRDefault="00E36CC7" w:rsidP="003F6084">
            <w:pPr>
              <w:spacing w:after="0" w:line="240" w:lineRule="auto"/>
              <w:jc w:val="center"/>
              <w:rPr>
                <w:rFonts w:ascii="Calibri" w:eastAsia="Times New Roman" w:hAnsi="Calibri" w:cs="Calibri"/>
                <w:b/>
                <w:color w:val="000000"/>
                <w:sz w:val="16"/>
                <w:lang w:eastAsia="zh-CN"/>
              </w:rPr>
            </w:pPr>
            <w:r>
              <w:rPr>
                <w:rFonts w:ascii="Calibri" w:hAnsi="Calibri" w:cs="Calibri"/>
                <w:b/>
                <w:color w:val="000000"/>
                <w:sz w:val="16"/>
              </w:rPr>
              <w:t>Adolescents/ paediatric</w:t>
            </w:r>
            <w:r w:rsidR="003F6084" w:rsidRPr="003F6084">
              <w:rPr>
                <w:rFonts w:ascii="Calibri" w:hAnsi="Calibri" w:cs="Calibri"/>
                <w:b/>
                <w:color w:val="000000"/>
                <w:sz w:val="16"/>
              </w:rPr>
              <w:t>s with Mild mental health illness</w:t>
            </w:r>
          </w:p>
        </w:tc>
        <w:tc>
          <w:tcPr>
            <w:tcW w:w="1070" w:type="dxa"/>
            <w:tcBorders>
              <w:top w:val="nil"/>
              <w:left w:val="nil"/>
              <w:bottom w:val="nil"/>
              <w:right w:val="nil"/>
            </w:tcBorders>
            <w:shd w:val="clear" w:color="auto" w:fill="auto"/>
            <w:noWrap/>
            <w:vAlign w:val="bottom"/>
            <w:hideMark/>
          </w:tcPr>
          <w:p w14:paraId="7C73260E"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single" w:sz="4" w:space="0" w:color="auto"/>
              <w:bottom w:val="single" w:sz="4" w:space="0" w:color="auto"/>
              <w:right w:val="single" w:sz="4" w:space="0" w:color="auto"/>
            </w:tcBorders>
            <w:shd w:val="clear" w:color="000000" w:fill="B7DEE8"/>
            <w:vAlign w:val="center"/>
            <w:hideMark/>
          </w:tcPr>
          <w:p w14:paraId="6887F1A0"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Adults and elderly people with learning disabilities</w:t>
            </w:r>
          </w:p>
        </w:tc>
        <w:tc>
          <w:tcPr>
            <w:tcW w:w="992" w:type="dxa"/>
            <w:tcBorders>
              <w:top w:val="nil"/>
              <w:left w:val="nil"/>
              <w:bottom w:val="nil"/>
              <w:right w:val="nil"/>
            </w:tcBorders>
            <w:shd w:val="clear" w:color="auto" w:fill="auto"/>
            <w:noWrap/>
            <w:vAlign w:val="bottom"/>
            <w:hideMark/>
          </w:tcPr>
          <w:p w14:paraId="424D81C8"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894" w:type="dxa"/>
            <w:tcBorders>
              <w:top w:val="nil"/>
              <w:left w:val="nil"/>
              <w:bottom w:val="nil"/>
              <w:right w:val="nil"/>
            </w:tcBorders>
            <w:shd w:val="clear" w:color="auto" w:fill="auto"/>
            <w:noWrap/>
            <w:vAlign w:val="bottom"/>
            <w:hideMark/>
          </w:tcPr>
          <w:p w14:paraId="3278BCC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5CEE35E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3997513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7D1454F8"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100C96B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4DFDF40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228736F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3855533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3C662D83"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36ECCDD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35A15D04"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3B8212F6" w14:textId="77777777" w:rsidTr="00385AEA">
        <w:trPr>
          <w:trHeight w:val="1450"/>
        </w:trPr>
        <w:tc>
          <w:tcPr>
            <w:tcW w:w="931" w:type="dxa"/>
            <w:vMerge/>
            <w:tcBorders>
              <w:top w:val="nil"/>
              <w:left w:val="single" w:sz="4" w:space="0" w:color="auto"/>
              <w:bottom w:val="single" w:sz="4" w:space="0" w:color="000000"/>
              <w:right w:val="single" w:sz="4" w:space="0" w:color="auto"/>
            </w:tcBorders>
            <w:vAlign w:val="center"/>
            <w:hideMark/>
          </w:tcPr>
          <w:p w14:paraId="0B31BFE9"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single" w:sz="4" w:space="0" w:color="auto"/>
            </w:tcBorders>
            <w:shd w:val="clear" w:color="000000" w:fill="B7DEE8"/>
            <w:vAlign w:val="center"/>
            <w:hideMark/>
          </w:tcPr>
          <w:p w14:paraId="0E9BF609" w14:textId="48B85446"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Adolescents/</w:t>
            </w:r>
            <w:r w:rsidR="00E36CC7">
              <w:rPr>
                <w:rFonts w:ascii="Calibri" w:hAnsi="Calibri" w:cs="Calibri"/>
                <w:b/>
                <w:color w:val="000000"/>
                <w:sz w:val="16"/>
              </w:rPr>
              <w:t xml:space="preserve"> paediatrics</w:t>
            </w:r>
            <w:r w:rsidRPr="003F6084">
              <w:rPr>
                <w:rFonts w:ascii="Calibri" w:hAnsi="Calibri" w:cs="Calibri"/>
                <w:b/>
                <w:color w:val="000000"/>
                <w:sz w:val="16"/>
              </w:rPr>
              <w:t xml:space="preserve"> with Severe mental health illness</w:t>
            </w:r>
          </w:p>
        </w:tc>
        <w:tc>
          <w:tcPr>
            <w:tcW w:w="1070" w:type="dxa"/>
            <w:tcBorders>
              <w:top w:val="nil"/>
              <w:left w:val="nil"/>
              <w:bottom w:val="nil"/>
              <w:right w:val="nil"/>
            </w:tcBorders>
            <w:shd w:val="clear" w:color="auto" w:fill="auto"/>
            <w:noWrap/>
            <w:vAlign w:val="bottom"/>
            <w:hideMark/>
          </w:tcPr>
          <w:p w14:paraId="103A6714"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nil"/>
              <w:bottom w:val="nil"/>
              <w:right w:val="nil"/>
            </w:tcBorders>
            <w:shd w:val="clear" w:color="auto" w:fill="auto"/>
            <w:noWrap/>
            <w:vAlign w:val="bottom"/>
            <w:hideMark/>
          </w:tcPr>
          <w:p w14:paraId="2B91196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78881B31"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18882F6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3B8F14A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7B171D48"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40CB4738"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5178171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bottom"/>
            <w:hideMark/>
          </w:tcPr>
          <w:p w14:paraId="071BC9B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5015657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5FE1673B"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654231B3"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3779961D"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4E80BA90"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3E6A8D5E" w14:textId="77777777" w:rsidTr="00385AEA">
        <w:trPr>
          <w:trHeight w:val="870"/>
        </w:trPr>
        <w:tc>
          <w:tcPr>
            <w:tcW w:w="931" w:type="dxa"/>
            <w:vMerge/>
            <w:tcBorders>
              <w:top w:val="nil"/>
              <w:left w:val="single" w:sz="4" w:space="0" w:color="auto"/>
              <w:bottom w:val="single" w:sz="4" w:space="0" w:color="000000"/>
              <w:right w:val="single" w:sz="4" w:space="0" w:color="auto"/>
            </w:tcBorders>
            <w:vAlign w:val="center"/>
            <w:hideMark/>
          </w:tcPr>
          <w:p w14:paraId="081E2962"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single" w:sz="4" w:space="0" w:color="auto"/>
            </w:tcBorders>
            <w:shd w:val="clear" w:color="000000" w:fill="B7DEE8"/>
            <w:vAlign w:val="center"/>
            <w:hideMark/>
          </w:tcPr>
          <w:p w14:paraId="0826490E" w14:textId="1402A613"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Adults with Mild mental health illness</w:t>
            </w:r>
          </w:p>
        </w:tc>
        <w:tc>
          <w:tcPr>
            <w:tcW w:w="1070" w:type="dxa"/>
            <w:tcBorders>
              <w:top w:val="nil"/>
              <w:left w:val="nil"/>
              <w:bottom w:val="nil"/>
              <w:right w:val="nil"/>
            </w:tcBorders>
            <w:shd w:val="clear" w:color="auto" w:fill="auto"/>
            <w:noWrap/>
            <w:vAlign w:val="bottom"/>
            <w:hideMark/>
          </w:tcPr>
          <w:p w14:paraId="3FCD5742"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nil"/>
              <w:bottom w:val="nil"/>
              <w:right w:val="nil"/>
            </w:tcBorders>
            <w:shd w:val="clear" w:color="auto" w:fill="auto"/>
            <w:noWrap/>
            <w:vAlign w:val="bottom"/>
            <w:hideMark/>
          </w:tcPr>
          <w:p w14:paraId="43994928"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6A9856A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714022D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4484C54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34921448"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6320EAEA"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00E10E4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000000" w:fill="FFFFFF"/>
            <w:vAlign w:val="center"/>
            <w:hideMark/>
          </w:tcPr>
          <w:p w14:paraId="54ED18D3"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nil"/>
              <w:right w:val="nil"/>
            </w:tcBorders>
            <w:shd w:val="clear" w:color="auto" w:fill="auto"/>
            <w:vAlign w:val="center"/>
            <w:hideMark/>
          </w:tcPr>
          <w:p w14:paraId="26DE337E"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742" w:type="dxa"/>
            <w:tcBorders>
              <w:top w:val="nil"/>
              <w:left w:val="nil"/>
              <w:bottom w:val="nil"/>
              <w:right w:val="nil"/>
            </w:tcBorders>
            <w:shd w:val="clear" w:color="auto" w:fill="auto"/>
            <w:noWrap/>
            <w:vAlign w:val="center"/>
            <w:hideMark/>
          </w:tcPr>
          <w:p w14:paraId="356A29BD"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center"/>
            <w:hideMark/>
          </w:tcPr>
          <w:p w14:paraId="44CFFDA5"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center"/>
            <w:hideMark/>
          </w:tcPr>
          <w:p w14:paraId="7A426F71"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center"/>
            <w:hideMark/>
          </w:tcPr>
          <w:p w14:paraId="61BA2D59"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0BF77BF8" w14:textId="77777777" w:rsidTr="00385AEA">
        <w:trPr>
          <w:trHeight w:val="870"/>
        </w:trPr>
        <w:tc>
          <w:tcPr>
            <w:tcW w:w="931" w:type="dxa"/>
            <w:vMerge/>
            <w:tcBorders>
              <w:top w:val="nil"/>
              <w:left w:val="single" w:sz="4" w:space="0" w:color="auto"/>
              <w:bottom w:val="single" w:sz="4" w:space="0" w:color="000000"/>
              <w:right w:val="single" w:sz="4" w:space="0" w:color="auto"/>
            </w:tcBorders>
            <w:vAlign w:val="center"/>
            <w:hideMark/>
          </w:tcPr>
          <w:p w14:paraId="18BE276B"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single" w:sz="4" w:space="0" w:color="auto"/>
            </w:tcBorders>
            <w:shd w:val="clear" w:color="000000" w:fill="B7DEE8"/>
            <w:vAlign w:val="center"/>
            <w:hideMark/>
          </w:tcPr>
          <w:p w14:paraId="51FAE64C" w14:textId="427954EE"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Adults with Severe mental health illness</w:t>
            </w:r>
          </w:p>
        </w:tc>
        <w:tc>
          <w:tcPr>
            <w:tcW w:w="1070" w:type="dxa"/>
            <w:tcBorders>
              <w:top w:val="nil"/>
              <w:left w:val="nil"/>
              <w:bottom w:val="nil"/>
              <w:right w:val="nil"/>
            </w:tcBorders>
            <w:shd w:val="clear" w:color="auto" w:fill="auto"/>
            <w:noWrap/>
            <w:vAlign w:val="bottom"/>
            <w:hideMark/>
          </w:tcPr>
          <w:p w14:paraId="2161D4D1"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nil"/>
              <w:bottom w:val="nil"/>
              <w:right w:val="nil"/>
            </w:tcBorders>
            <w:shd w:val="clear" w:color="auto" w:fill="auto"/>
            <w:noWrap/>
            <w:vAlign w:val="bottom"/>
            <w:hideMark/>
          </w:tcPr>
          <w:p w14:paraId="412E1C49"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20FFE580"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1414363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666FD5B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6B666DC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000000" w:fill="FFFFFF"/>
            <w:vAlign w:val="center"/>
            <w:hideMark/>
          </w:tcPr>
          <w:p w14:paraId="538E29C8"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nil"/>
              <w:right w:val="nil"/>
            </w:tcBorders>
            <w:shd w:val="clear" w:color="auto" w:fill="auto"/>
            <w:noWrap/>
            <w:vAlign w:val="bottom"/>
            <w:hideMark/>
          </w:tcPr>
          <w:p w14:paraId="0FE5CA61"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1072" w:type="dxa"/>
            <w:tcBorders>
              <w:top w:val="nil"/>
              <w:left w:val="nil"/>
              <w:bottom w:val="nil"/>
              <w:right w:val="nil"/>
            </w:tcBorders>
            <w:shd w:val="clear" w:color="000000" w:fill="FFFFFF"/>
            <w:vAlign w:val="center"/>
            <w:hideMark/>
          </w:tcPr>
          <w:p w14:paraId="7D91B437"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nil"/>
              <w:right w:val="nil"/>
            </w:tcBorders>
            <w:shd w:val="clear" w:color="auto" w:fill="auto"/>
            <w:vAlign w:val="center"/>
            <w:hideMark/>
          </w:tcPr>
          <w:p w14:paraId="59BB9F09"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742" w:type="dxa"/>
            <w:tcBorders>
              <w:top w:val="nil"/>
              <w:left w:val="nil"/>
              <w:bottom w:val="nil"/>
              <w:right w:val="nil"/>
            </w:tcBorders>
            <w:shd w:val="clear" w:color="auto" w:fill="auto"/>
            <w:noWrap/>
            <w:vAlign w:val="center"/>
            <w:hideMark/>
          </w:tcPr>
          <w:p w14:paraId="0DD0FC42"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center"/>
            <w:hideMark/>
          </w:tcPr>
          <w:p w14:paraId="256A173E"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center"/>
            <w:hideMark/>
          </w:tcPr>
          <w:p w14:paraId="720A5FE4"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center"/>
            <w:hideMark/>
          </w:tcPr>
          <w:p w14:paraId="130D9AC7"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23F62571" w14:textId="77777777" w:rsidTr="00385AEA">
        <w:trPr>
          <w:trHeight w:val="870"/>
        </w:trPr>
        <w:tc>
          <w:tcPr>
            <w:tcW w:w="931" w:type="dxa"/>
            <w:vMerge/>
            <w:tcBorders>
              <w:top w:val="nil"/>
              <w:left w:val="single" w:sz="4" w:space="0" w:color="auto"/>
              <w:bottom w:val="single" w:sz="4" w:space="0" w:color="000000"/>
              <w:right w:val="single" w:sz="4" w:space="0" w:color="auto"/>
            </w:tcBorders>
            <w:vAlign w:val="center"/>
            <w:hideMark/>
          </w:tcPr>
          <w:p w14:paraId="305B8AFF"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single" w:sz="4" w:space="0" w:color="auto"/>
            </w:tcBorders>
            <w:shd w:val="clear" w:color="000000" w:fill="B7DEE8"/>
            <w:vAlign w:val="center"/>
            <w:hideMark/>
          </w:tcPr>
          <w:p w14:paraId="42F0316D" w14:textId="1D91DAED"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Elderly with Mild mental health illness</w:t>
            </w:r>
          </w:p>
        </w:tc>
        <w:tc>
          <w:tcPr>
            <w:tcW w:w="1070" w:type="dxa"/>
            <w:tcBorders>
              <w:top w:val="nil"/>
              <w:left w:val="nil"/>
              <w:bottom w:val="nil"/>
              <w:right w:val="nil"/>
            </w:tcBorders>
            <w:shd w:val="clear" w:color="auto" w:fill="auto"/>
            <w:noWrap/>
            <w:vAlign w:val="bottom"/>
            <w:hideMark/>
          </w:tcPr>
          <w:p w14:paraId="13A505CE"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nil"/>
              <w:bottom w:val="nil"/>
              <w:right w:val="nil"/>
            </w:tcBorders>
            <w:shd w:val="clear" w:color="auto" w:fill="auto"/>
            <w:noWrap/>
            <w:vAlign w:val="bottom"/>
            <w:hideMark/>
          </w:tcPr>
          <w:p w14:paraId="3CDC7632"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70AF2524"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0A30D323"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bottom"/>
            <w:hideMark/>
          </w:tcPr>
          <w:p w14:paraId="0E209F57"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bottom"/>
            <w:hideMark/>
          </w:tcPr>
          <w:p w14:paraId="148D73DF"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000000" w:fill="FFFFFF"/>
            <w:vAlign w:val="center"/>
            <w:hideMark/>
          </w:tcPr>
          <w:p w14:paraId="11A2EC62" w14:textId="77777777" w:rsidR="003F6084" w:rsidRPr="003F6084" w:rsidRDefault="003F6084" w:rsidP="003F6084">
            <w:pPr>
              <w:spacing w:after="0" w:line="240" w:lineRule="auto"/>
              <w:jc w:val="center"/>
              <w:rPr>
                <w:rFonts w:ascii="Calibri" w:eastAsia="Times New Roman" w:hAnsi="Calibri" w:cs="Calibri"/>
                <w:b/>
                <w:sz w:val="16"/>
                <w:lang w:eastAsia="zh-CN"/>
              </w:rPr>
            </w:pPr>
            <w:r w:rsidRPr="003F6084">
              <w:rPr>
                <w:rFonts w:ascii="Calibri" w:eastAsia="Times New Roman" w:hAnsi="Calibri" w:cs="Calibri"/>
                <w:b/>
                <w:sz w:val="16"/>
                <w:lang w:eastAsia="zh-CN"/>
              </w:rPr>
              <w:t> </w:t>
            </w:r>
          </w:p>
        </w:tc>
        <w:tc>
          <w:tcPr>
            <w:tcW w:w="930" w:type="dxa"/>
            <w:tcBorders>
              <w:top w:val="nil"/>
              <w:left w:val="nil"/>
              <w:bottom w:val="nil"/>
              <w:right w:val="nil"/>
            </w:tcBorders>
            <w:shd w:val="clear" w:color="000000" w:fill="FFFFFF"/>
            <w:vAlign w:val="center"/>
            <w:hideMark/>
          </w:tcPr>
          <w:p w14:paraId="3253322F" w14:textId="77777777" w:rsidR="003F6084" w:rsidRPr="003F6084" w:rsidRDefault="003F6084" w:rsidP="003F6084">
            <w:pPr>
              <w:spacing w:after="0" w:line="240" w:lineRule="auto"/>
              <w:jc w:val="center"/>
              <w:rPr>
                <w:rFonts w:ascii="Calibri" w:eastAsia="Times New Roman" w:hAnsi="Calibri" w:cs="Calibri"/>
                <w:b/>
                <w:sz w:val="16"/>
                <w:lang w:eastAsia="zh-CN"/>
              </w:rPr>
            </w:pPr>
            <w:r w:rsidRPr="003F6084">
              <w:rPr>
                <w:rFonts w:ascii="Calibri" w:eastAsia="Times New Roman" w:hAnsi="Calibri" w:cs="Calibri"/>
                <w:b/>
                <w:sz w:val="16"/>
                <w:lang w:eastAsia="zh-CN"/>
              </w:rPr>
              <w:t> </w:t>
            </w:r>
          </w:p>
        </w:tc>
        <w:tc>
          <w:tcPr>
            <w:tcW w:w="1072" w:type="dxa"/>
            <w:tcBorders>
              <w:top w:val="nil"/>
              <w:left w:val="nil"/>
              <w:bottom w:val="nil"/>
              <w:right w:val="nil"/>
            </w:tcBorders>
            <w:shd w:val="clear" w:color="000000" w:fill="FFFFFF"/>
            <w:vAlign w:val="center"/>
            <w:hideMark/>
          </w:tcPr>
          <w:p w14:paraId="3CB912F6" w14:textId="77777777" w:rsidR="003F6084" w:rsidRPr="003F6084" w:rsidRDefault="003F6084" w:rsidP="003F6084">
            <w:pPr>
              <w:spacing w:after="0" w:line="240" w:lineRule="auto"/>
              <w:jc w:val="center"/>
              <w:rPr>
                <w:rFonts w:ascii="Calibri" w:eastAsia="Times New Roman" w:hAnsi="Calibri" w:cs="Calibri"/>
                <w:b/>
                <w:sz w:val="16"/>
                <w:lang w:eastAsia="zh-CN"/>
              </w:rPr>
            </w:pPr>
            <w:r w:rsidRPr="003F6084">
              <w:rPr>
                <w:rFonts w:ascii="Calibri" w:eastAsia="Times New Roman" w:hAnsi="Calibri" w:cs="Calibri"/>
                <w:b/>
                <w:sz w:val="16"/>
                <w:lang w:eastAsia="zh-CN"/>
              </w:rPr>
              <w:t> </w:t>
            </w:r>
          </w:p>
        </w:tc>
        <w:tc>
          <w:tcPr>
            <w:tcW w:w="992" w:type="dxa"/>
            <w:tcBorders>
              <w:top w:val="nil"/>
              <w:left w:val="nil"/>
              <w:bottom w:val="nil"/>
              <w:right w:val="nil"/>
            </w:tcBorders>
            <w:shd w:val="clear" w:color="auto" w:fill="auto"/>
            <w:vAlign w:val="center"/>
            <w:hideMark/>
          </w:tcPr>
          <w:p w14:paraId="231931B3" w14:textId="77777777" w:rsidR="003F6084" w:rsidRPr="003F6084" w:rsidRDefault="003F6084" w:rsidP="003F6084">
            <w:pPr>
              <w:spacing w:after="0" w:line="240" w:lineRule="auto"/>
              <w:jc w:val="center"/>
              <w:rPr>
                <w:rFonts w:ascii="Calibri" w:eastAsia="Times New Roman" w:hAnsi="Calibri" w:cs="Calibri"/>
                <w:b/>
                <w:sz w:val="16"/>
                <w:lang w:eastAsia="zh-CN"/>
              </w:rPr>
            </w:pPr>
          </w:p>
        </w:tc>
        <w:tc>
          <w:tcPr>
            <w:tcW w:w="742" w:type="dxa"/>
            <w:tcBorders>
              <w:top w:val="nil"/>
              <w:left w:val="nil"/>
              <w:bottom w:val="nil"/>
              <w:right w:val="nil"/>
            </w:tcBorders>
            <w:shd w:val="clear" w:color="auto" w:fill="auto"/>
            <w:noWrap/>
            <w:vAlign w:val="center"/>
            <w:hideMark/>
          </w:tcPr>
          <w:p w14:paraId="18945AB3"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center"/>
            <w:hideMark/>
          </w:tcPr>
          <w:p w14:paraId="0E684120"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center"/>
            <w:hideMark/>
          </w:tcPr>
          <w:p w14:paraId="50970FA9"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4E40B896"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500102BA" w14:textId="77777777" w:rsidTr="00385AEA">
        <w:trPr>
          <w:trHeight w:val="870"/>
        </w:trPr>
        <w:tc>
          <w:tcPr>
            <w:tcW w:w="931" w:type="dxa"/>
            <w:vMerge/>
            <w:tcBorders>
              <w:top w:val="nil"/>
              <w:left w:val="single" w:sz="4" w:space="0" w:color="auto"/>
              <w:bottom w:val="single" w:sz="4" w:space="0" w:color="000000"/>
              <w:right w:val="single" w:sz="4" w:space="0" w:color="auto"/>
            </w:tcBorders>
            <w:vAlign w:val="center"/>
            <w:hideMark/>
          </w:tcPr>
          <w:p w14:paraId="35071673"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single" w:sz="4" w:space="0" w:color="auto"/>
            </w:tcBorders>
            <w:shd w:val="clear" w:color="000000" w:fill="B7DEE8"/>
            <w:vAlign w:val="center"/>
            <w:hideMark/>
          </w:tcPr>
          <w:p w14:paraId="6BF50EAB" w14:textId="3124289B"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Elderly with Severe mental health illness</w:t>
            </w:r>
          </w:p>
        </w:tc>
        <w:tc>
          <w:tcPr>
            <w:tcW w:w="1070" w:type="dxa"/>
            <w:tcBorders>
              <w:top w:val="nil"/>
              <w:left w:val="nil"/>
              <w:bottom w:val="nil"/>
              <w:right w:val="nil"/>
            </w:tcBorders>
            <w:shd w:val="clear" w:color="auto" w:fill="auto"/>
            <w:noWrap/>
            <w:vAlign w:val="bottom"/>
            <w:hideMark/>
          </w:tcPr>
          <w:p w14:paraId="3340AE9B"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p>
        </w:tc>
        <w:tc>
          <w:tcPr>
            <w:tcW w:w="992" w:type="dxa"/>
            <w:tcBorders>
              <w:top w:val="nil"/>
              <w:left w:val="nil"/>
              <w:bottom w:val="nil"/>
              <w:right w:val="nil"/>
            </w:tcBorders>
            <w:shd w:val="clear" w:color="auto" w:fill="auto"/>
            <w:noWrap/>
            <w:vAlign w:val="bottom"/>
            <w:hideMark/>
          </w:tcPr>
          <w:p w14:paraId="53774D25"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22D7604E"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center"/>
            <w:hideMark/>
          </w:tcPr>
          <w:p w14:paraId="3B965E56"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center"/>
            <w:hideMark/>
          </w:tcPr>
          <w:p w14:paraId="12ADE675"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center"/>
            <w:hideMark/>
          </w:tcPr>
          <w:p w14:paraId="346EC87B"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center"/>
            <w:hideMark/>
          </w:tcPr>
          <w:p w14:paraId="190DF672"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center"/>
            <w:hideMark/>
          </w:tcPr>
          <w:p w14:paraId="47B42C22"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center"/>
            <w:hideMark/>
          </w:tcPr>
          <w:p w14:paraId="660E0172"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vAlign w:val="center"/>
            <w:hideMark/>
          </w:tcPr>
          <w:p w14:paraId="425A5E3C"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1FDE0C40" w14:textId="77777777" w:rsidR="003F6084" w:rsidRPr="003F6084" w:rsidRDefault="003F6084" w:rsidP="003F6084">
            <w:pPr>
              <w:spacing w:after="0" w:line="240" w:lineRule="auto"/>
              <w:jc w:val="center"/>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2488AEAC"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2AA1B189" w14:textId="77777777" w:rsidR="003F6084" w:rsidRPr="003F6084" w:rsidRDefault="003F6084" w:rsidP="003F6084">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18249F53"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67E0F711" w14:textId="77777777" w:rsidTr="00385AEA">
        <w:trPr>
          <w:trHeight w:val="290"/>
        </w:trPr>
        <w:tc>
          <w:tcPr>
            <w:tcW w:w="931" w:type="dxa"/>
            <w:vMerge/>
            <w:tcBorders>
              <w:top w:val="nil"/>
              <w:left w:val="single" w:sz="4" w:space="0" w:color="auto"/>
              <w:bottom w:val="single" w:sz="4" w:space="0" w:color="000000"/>
              <w:right w:val="single" w:sz="4" w:space="0" w:color="auto"/>
            </w:tcBorders>
            <w:vAlign w:val="center"/>
            <w:hideMark/>
          </w:tcPr>
          <w:p w14:paraId="51D26FAA" w14:textId="77777777" w:rsidR="003F6084" w:rsidRPr="003F6084" w:rsidRDefault="003F6084" w:rsidP="003F6084">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nil"/>
            </w:tcBorders>
            <w:shd w:val="clear" w:color="000000" w:fill="FFFFFF"/>
            <w:vAlign w:val="center"/>
            <w:hideMark/>
          </w:tcPr>
          <w:p w14:paraId="11129B49" w14:textId="71F72521"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hAnsi="Calibri" w:cs="Calibri"/>
                <w:b/>
                <w:color w:val="000000"/>
                <w:sz w:val="16"/>
              </w:rPr>
              <w:t> </w:t>
            </w:r>
          </w:p>
        </w:tc>
        <w:tc>
          <w:tcPr>
            <w:tcW w:w="1070" w:type="dxa"/>
            <w:tcBorders>
              <w:top w:val="nil"/>
              <w:left w:val="nil"/>
              <w:bottom w:val="single" w:sz="4" w:space="0" w:color="auto"/>
              <w:right w:val="nil"/>
            </w:tcBorders>
            <w:shd w:val="clear" w:color="000000" w:fill="FFFFFF"/>
            <w:noWrap/>
            <w:vAlign w:val="bottom"/>
            <w:hideMark/>
          </w:tcPr>
          <w:p w14:paraId="11DC00C9"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4016DA83"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47C9B5F8"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894" w:type="dxa"/>
            <w:tcBorders>
              <w:top w:val="nil"/>
              <w:left w:val="nil"/>
              <w:bottom w:val="single" w:sz="4" w:space="0" w:color="auto"/>
              <w:right w:val="nil"/>
            </w:tcBorders>
            <w:shd w:val="clear" w:color="000000" w:fill="FFFFFF"/>
            <w:noWrap/>
            <w:vAlign w:val="center"/>
            <w:hideMark/>
          </w:tcPr>
          <w:p w14:paraId="2056D7E4"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000000" w:fill="FFFFFF"/>
            <w:noWrap/>
            <w:vAlign w:val="center"/>
            <w:hideMark/>
          </w:tcPr>
          <w:p w14:paraId="3EA515C7"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000000" w:fill="FFFFFF"/>
            <w:noWrap/>
            <w:vAlign w:val="center"/>
            <w:hideMark/>
          </w:tcPr>
          <w:p w14:paraId="5E4145DD"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000000" w:fill="FFFFFF"/>
            <w:noWrap/>
            <w:vAlign w:val="center"/>
            <w:hideMark/>
          </w:tcPr>
          <w:p w14:paraId="09220F92"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000000" w:fill="FFFFFF"/>
            <w:noWrap/>
            <w:vAlign w:val="center"/>
            <w:hideMark/>
          </w:tcPr>
          <w:p w14:paraId="7ABC172C"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1072" w:type="dxa"/>
            <w:tcBorders>
              <w:top w:val="nil"/>
              <w:left w:val="nil"/>
              <w:bottom w:val="single" w:sz="4" w:space="0" w:color="auto"/>
              <w:right w:val="nil"/>
            </w:tcBorders>
            <w:shd w:val="clear" w:color="000000" w:fill="FFFFFF"/>
            <w:noWrap/>
            <w:vAlign w:val="center"/>
            <w:hideMark/>
          </w:tcPr>
          <w:p w14:paraId="1CD1E999"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vAlign w:val="center"/>
            <w:hideMark/>
          </w:tcPr>
          <w:p w14:paraId="3BFB5ABD" w14:textId="77777777" w:rsidR="003F6084" w:rsidRPr="003F6084" w:rsidRDefault="003F6084" w:rsidP="003F6084">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742" w:type="dxa"/>
            <w:tcBorders>
              <w:top w:val="nil"/>
              <w:left w:val="nil"/>
              <w:bottom w:val="single" w:sz="4" w:space="0" w:color="auto"/>
              <w:right w:val="nil"/>
            </w:tcBorders>
            <w:shd w:val="clear" w:color="000000" w:fill="FFFFFF"/>
            <w:noWrap/>
            <w:vAlign w:val="bottom"/>
            <w:hideMark/>
          </w:tcPr>
          <w:p w14:paraId="34D4DB6E"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6" w:type="dxa"/>
            <w:tcBorders>
              <w:top w:val="nil"/>
              <w:left w:val="nil"/>
              <w:bottom w:val="single" w:sz="4" w:space="0" w:color="auto"/>
              <w:right w:val="nil"/>
            </w:tcBorders>
            <w:shd w:val="clear" w:color="000000" w:fill="FFFFFF"/>
            <w:noWrap/>
            <w:vAlign w:val="bottom"/>
            <w:hideMark/>
          </w:tcPr>
          <w:p w14:paraId="64F2CB79"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8" w:type="dxa"/>
            <w:tcBorders>
              <w:top w:val="nil"/>
              <w:left w:val="nil"/>
              <w:bottom w:val="single" w:sz="4" w:space="0" w:color="auto"/>
              <w:right w:val="nil"/>
            </w:tcBorders>
            <w:shd w:val="clear" w:color="000000" w:fill="FFFFFF"/>
            <w:noWrap/>
            <w:vAlign w:val="bottom"/>
            <w:hideMark/>
          </w:tcPr>
          <w:p w14:paraId="5174C9DB"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single" w:sz="4" w:space="0" w:color="auto"/>
            </w:tcBorders>
            <w:shd w:val="clear" w:color="000000" w:fill="FFFFFF"/>
            <w:noWrap/>
            <w:vAlign w:val="bottom"/>
            <w:hideMark/>
          </w:tcPr>
          <w:p w14:paraId="0870BBCA" w14:textId="77777777" w:rsidR="003F6084" w:rsidRPr="003F6084" w:rsidRDefault="003F6084" w:rsidP="003F6084">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77628B7D" w14:textId="77777777" w:rsidTr="00385AEA">
        <w:trPr>
          <w:trHeight w:val="290"/>
        </w:trPr>
        <w:tc>
          <w:tcPr>
            <w:tcW w:w="9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733A57" w14:textId="77777777" w:rsidR="007B65E2" w:rsidRPr="003F6084" w:rsidRDefault="007B65E2" w:rsidP="007B65E2">
            <w:pPr>
              <w:spacing w:after="0" w:line="240" w:lineRule="auto"/>
              <w:jc w:val="center"/>
              <w:rPr>
                <w:rFonts w:ascii="Calibri" w:eastAsia="Times New Roman" w:hAnsi="Calibri" w:cs="Calibri"/>
                <w:b/>
                <w:bCs/>
                <w:color w:val="000000"/>
                <w:sz w:val="18"/>
                <w:lang w:eastAsia="zh-CN"/>
              </w:rPr>
            </w:pPr>
            <w:r w:rsidRPr="003F6084">
              <w:rPr>
                <w:rFonts w:ascii="Calibri" w:eastAsia="Times New Roman" w:hAnsi="Calibri" w:cs="Calibri"/>
                <w:b/>
                <w:bCs/>
                <w:color w:val="000000"/>
                <w:sz w:val="18"/>
                <w:lang w:eastAsia="zh-CN"/>
              </w:rPr>
              <w:t>End of life</w:t>
            </w:r>
          </w:p>
        </w:tc>
        <w:tc>
          <w:tcPr>
            <w:tcW w:w="1260" w:type="dxa"/>
            <w:tcBorders>
              <w:top w:val="nil"/>
              <w:left w:val="nil"/>
              <w:bottom w:val="nil"/>
              <w:right w:val="nil"/>
            </w:tcBorders>
            <w:shd w:val="clear" w:color="auto" w:fill="auto"/>
            <w:noWrap/>
            <w:vAlign w:val="bottom"/>
            <w:hideMark/>
          </w:tcPr>
          <w:p w14:paraId="2B91FC6A" w14:textId="77777777" w:rsidR="007B65E2" w:rsidRPr="003F6084" w:rsidRDefault="007B65E2" w:rsidP="007B65E2">
            <w:pPr>
              <w:spacing w:after="0" w:line="240" w:lineRule="auto"/>
              <w:jc w:val="center"/>
              <w:rPr>
                <w:rFonts w:ascii="Calibri" w:eastAsia="Times New Roman" w:hAnsi="Calibri" w:cs="Calibri"/>
                <w:b/>
                <w:bCs/>
                <w:color w:val="000000"/>
                <w:sz w:val="12"/>
                <w:lang w:eastAsia="zh-CN"/>
              </w:rPr>
            </w:pPr>
          </w:p>
        </w:tc>
        <w:tc>
          <w:tcPr>
            <w:tcW w:w="1070" w:type="dxa"/>
            <w:tcBorders>
              <w:top w:val="nil"/>
              <w:left w:val="nil"/>
              <w:bottom w:val="single" w:sz="4" w:space="0" w:color="auto"/>
              <w:right w:val="nil"/>
            </w:tcBorders>
            <w:shd w:val="clear" w:color="auto" w:fill="auto"/>
            <w:noWrap/>
            <w:vAlign w:val="bottom"/>
            <w:hideMark/>
          </w:tcPr>
          <w:p w14:paraId="1A8D3C10"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3745E537"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center"/>
            <w:hideMark/>
          </w:tcPr>
          <w:p w14:paraId="0F7739B0"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center"/>
            <w:hideMark/>
          </w:tcPr>
          <w:p w14:paraId="6BECCC15"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center"/>
            <w:hideMark/>
          </w:tcPr>
          <w:p w14:paraId="765E35D7"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center"/>
            <w:hideMark/>
          </w:tcPr>
          <w:p w14:paraId="17446ED2"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center"/>
            <w:hideMark/>
          </w:tcPr>
          <w:p w14:paraId="375C2F8D"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center"/>
            <w:hideMark/>
          </w:tcPr>
          <w:p w14:paraId="66991614"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center"/>
            <w:hideMark/>
          </w:tcPr>
          <w:p w14:paraId="19F0DFA6"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center"/>
            <w:hideMark/>
          </w:tcPr>
          <w:p w14:paraId="48C0A9BD"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223C879C"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072B3E3F"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20FFB0CF"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0C2EB857" w14:textId="77777777" w:rsidR="007B65E2" w:rsidRPr="003F6084" w:rsidRDefault="007B65E2" w:rsidP="007B65E2">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39000BA1" w14:textId="77777777" w:rsidTr="00385AEA">
        <w:trPr>
          <w:trHeight w:val="870"/>
        </w:trPr>
        <w:tc>
          <w:tcPr>
            <w:tcW w:w="931" w:type="dxa"/>
            <w:vMerge/>
            <w:tcBorders>
              <w:top w:val="nil"/>
              <w:left w:val="single" w:sz="4" w:space="0" w:color="auto"/>
              <w:bottom w:val="single" w:sz="4" w:space="0" w:color="000000"/>
              <w:right w:val="single" w:sz="4" w:space="0" w:color="auto"/>
            </w:tcBorders>
            <w:vAlign w:val="center"/>
            <w:hideMark/>
          </w:tcPr>
          <w:p w14:paraId="1A8E28DB" w14:textId="77777777" w:rsidR="007B65E2" w:rsidRPr="003F6084" w:rsidRDefault="007B65E2" w:rsidP="007B65E2">
            <w:pPr>
              <w:spacing w:after="0" w:line="240" w:lineRule="auto"/>
              <w:rPr>
                <w:rFonts w:ascii="Calibri" w:eastAsia="Times New Roman" w:hAnsi="Calibri" w:cs="Calibri"/>
                <w:b/>
                <w:bCs/>
                <w:color w:val="000000"/>
                <w:sz w:val="18"/>
                <w:lang w:eastAsia="zh-CN"/>
              </w:rPr>
            </w:pPr>
          </w:p>
        </w:tc>
        <w:tc>
          <w:tcPr>
            <w:tcW w:w="1260" w:type="dxa"/>
            <w:tcBorders>
              <w:top w:val="nil"/>
              <w:left w:val="nil"/>
              <w:bottom w:val="nil"/>
              <w:right w:val="single" w:sz="4" w:space="0" w:color="auto"/>
            </w:tcBorders>
            <w:shd w:val="clear" w:color="auto" w:fill="auto"/>
            <w:noWrap/>
            <w:vAlign w:val="bottom"/>
            <w:hideMark/>
          </w:tcPr>
          <w:p w14:paraId="5AC22981" w14:textId="77777777" w:rsidR="007B65E2" w:rsidRPr="003F6084" w:rsidRDefault="007B65E2" w:rsidP="007B65E2">
            <w:pPr>
              <w:spacing w:after="0" w:line="240" w:lineRule="auto"/>
              <w:rPr>
                <w:rFonts w:ascii="Calibri" w:eastAsia="Times New Roman" w:hAnsi="Calibri" w:cs="Calibri"/>
                <w:b/>
                <w:color w:val="000000"/>
                <w:sz w:val="12"/>
                <w:lang w:eastAsia="zh-CN"/>
              </w:rPr>
            </w:pPr>
          </w:p>
        </w:tc>
        <w:tc>
          <w:tcPr>
            <w:tcW w:w="1070" w:type="dxa"/>
            <w:tcBorders>
              <w:top w:val="single" w:sz="4" w:space="0" w:color="auto"/>
              <w:left w:val="single" w:sz="4" w:space="0" w:color="auto"/>
              <w:bottom w:val="single" w:sz="4" w:space="0" w:color="auto"/>
              <w:right w:val="single" w:sz="4" w:space="0" w:color="auto"/>
            </w:tcBorders>
            <w:shd w:val="clear" w:color="000000" w:fill="C0504D"/>
            <w:vAlign w:val="center"/>
            <w:hideMark/>
          </w:tcPr>
          <w:p w14:paraId="65BF32CC" w14:textId="77777777" w:rsidR="007B65E2" w:rsidRPr="003F6084" w:rsidRDefault="007B65E2" w:rsidP="007B65E2">
            <w:pPr>
              <w:spacing w:after="0" w:line="240" w:lineRule="auto"/>
              <w:jc w:val="center"/>
              <w:rPr>
                <w:rFonts w:ascii="Calibri" w:eastAsia="Times New Roman" w:hAnsi="Calibri" w:cs="Calibri"/>
                <w:b/>
                <w:color w:val="FFFFFF"/>
                <w:sz w:val="16"/>
                <w:lang w:eastAsia="zh-CN"/>
              </w:rPr>
            </w:pPr>
            <w:r w:rsidRPr="003F6084">
              <w:rPr>
                <w:rFonts w:ascii="Calibri" w:eastAsia="Times New Roman" w:hAnsi="Calibri" w:cs="Calibri"/>
                <w:b/>
                <w:color w:val="FFFFFF"/>
                <w:sz w:val="16"/>
                <w:lang w:eastAsia="zh-CN"/>
              </w:rPr>
              <w:t>Living in the Community with Palliative Needs</w:t>
            </w:r>
          </w:p>
        </w:tc>
        <w:tc>
          <w:tcPr>
            <w:tcW w:w="992" w:type="dxa"/>
            <w:tcBorders>
              <w:top w:val="nil"/>
              <w:left w:val="nil"/>
              <w:bottom w:val="nil"/>
              <w:right w:val="nil"/>
            </w:tcBorders>
            <w:shd w:val="clear" w:color="auto" w:fill="auto"/>
            <w:noWrap/>
            <w:vAlign w:val="bottom"/>
            <w:hideMark/>
          </w:tcPr>
          <w:p w14:paraId="730C9C64" w14:textId="77777777" w:rsidR="007B65E2" w:rsidRPr="003F6084" w:rsidRDefault="007B65E2" w:rsidP="007B65E2">
            <w:pPr>
              <w:spacing w:after="0" w:line="240" w:lineRule="auto"/>
              <w:jc w:val="center"/>
              <w:rPr>
                <w:rFonts w:ascii="Calibri" w:eastAsia="Times New Roman" w:hAnsi="Calibri" w:cs="Calibri"/>
                <w:b/>
                <w:color w:val="FFFFFF"/>
                <w:sz w:val="16"/>
                <w:lang w:eastAsia="zh-CN"/>
              </w:rPr>
            </w:pPr>
          </w:p>
        </w:tc>
        <w:tc>
          <w:tcPr>
            <w:tcW w:w="992" w:type="dxa"/>
            <w:tcBorders>
              <w:top w:val="single" w:sz="4" w:space="0" w:color="auto"/>
              <w:left w:val="single" w:sz="4" w:space="0" w:color="auto"/>
              <w:bottom w:val="single" w:sz="4" w:space="0" w:color="auto"/>
              <w:right w:val="single" w:sz="4" w:space="0" w:color="auto"/>
            </w:tcBorders>
            <w:shd w:val="clear" w:color="000000" w:fill="C0504D"/>
            <w:vAlign w:val="center"/>
            <w:hideMark/>
          </w:tcPr>
          <w:p w14:paraId="45D891D4" w14:textId="77777777" w:rsidR="007B65E2" w:rsidRPr="003F6084" w:rsidRDefault="007B65E2" w:rsidP="007B65E2">
            <w:pPr>
              <w:spacing w:after="0" w:line="240" w:lineRule="auto"/>
              <w:jc w:val="center"/>
              <w:rPr>
                <w:rFonts w:ascii="Calibri" w:eastAsia="Times New Roman" w:hAnsi="Calibri" w:cs="Calibri"/>
                <w:b/>
                <w:color w:val="FFFFFF"/>
                <w:sz w:val="16"/>
                <w:lang w:eastAsia="zh-CN"/>
              </w:rPr>
            </w:pPr>
            <w:r w:rsidRPr="003F6084">
              <w:rPr>
                <w:rFonts w:ascii="Calibri" w:eastAsia="Times New Roman" w:hAnsi="Calibri" w:cs="Calibri"/>
                <w:b/>
                <w:color w:val="FFFFFF"/>
                <w:sz w:val="16"/>
                <w:lang w:eastAsia="zh-CN"/>
              </w:rPr>
              <w:t>Dominant and metastatic malignancies</w:t>
            </w:r>
          </w:p>
        </w:tc>
        <w:tc>
          <w:tcPr>
            <w:tcW w:w="894" w:type="dxa"/>
            <w:tcBorders>
              <w:top w:val="single" w:sz="4" w:space="0" w:color="auto"/>
              <w:left w:val="nil"/>
              <w:bottom w:val="single" w:sz="4" w:space="0" w:color="auto"/>
              <w:right w:val="single" w:sz="4" w:space="0" w:color="auto"/>
            </w:tcBorders>
            <w:shd w:val="clear" w:color="000000" w:fill="C0504D"/>
            <w:vAlign w:val="center"/>
            <w:hideMark/>
          </w:tcPr>
          <w:p w14:paraId="205F4244" w14:textId="77777777" w:rsidR="007B65E2" w:rsidRPr="003F6084" w:rsidRDefault="007B65E2" w:rsidP="007B65E2">
            <w:pPr>
              <w:spacing w:after="0" w:line="240" w:lineRule="auto"/>
              <w:jc w:val="center"/>
              <w:rPr>
                <w:rFonts w:ascii="Calibri" w:eastAsia="Times New Roman" w:hAnsi="Calibri" w:cs="Calibri"/>
                <w:b/>
                <w:color w:val="FFFFFF"/>
                <w:sz w:val="16"/>
                <w:lang w:eastAsia="zh-CN"/>
              </w:rPr>
            </w:pPr>
            <w:r w:rsidRPr="003F6084">
              <w:rPr>
                <w:rFonts w:ascii="Calibri" w:eastAsia="Times New Roman" w:hAnsi="Calibri" w:cs="Calibri"/>
                <w:b/>
                <w:color w:val="FFFFFF"/>
                <w:sz w:val="16"/>
                <w:lang w:eastAsia="zh-CN"/>
              </w:rPr>
              <w:t>Short period of decline before dying</w:t>
            </w:r>
          </w:p>
        </w:tc>
        <w:tc>
          <w:tcPr>
            <w:tcW w:w="930" w:type="dxa"/>
            <w:tcBorders>
              <w:top w:val="nil"/>
              <w:left w:val="nil"/>
              <w:bottom w:val="nil"/>
              <w:right w:val="nil"/>
            </w:tcBorders>
            <w:shd w:val="clear" w:color="auto" w:fill="auto"/>
            <w:noWrap/>
            <w:vAlign w:val="center"/>
            <w:hideMark/>
          </w:tcPr>
          <w:p w14:paraId="017DF2CA" w14:textId="77777777" w:rsidR="007B65E2" w:rsidRPr="003F6084" w:rsidRDefault="007B65E2" w:rsidP="007B65E2">
            <w:pPr>
              <w:spacing w:after="0" w:line="240" w:lineRule="auto"/>
              <w:jc w:val="center"/>
              <w:rPr>
                <w:rFonts w:ascii="Calibri" w:eastAsia="Times New Roman" w:hAnsi="Calibri" w:cs="Calibri"/>
                <w:b/>
                <w:color w:val="FFFFFF"/>
                <w:sz w:val="16"/>
                <w:lang w:eastAsia="zh-CN"/>
              </w:rPr>
            </w:pPr>
          </w:p>
        </w:tc>
        <w:tc>
          <w:tcPr>
            <w:tcW w:w="922" w:type="dxa"/>
            <w:tcBorders>
              <w:top w:val="single" w:sz="4" w:space="0" w:color="auto"/>
              <w:left w:val="single" w:sz="4" w:space="0" w:color="auto"/>
              <w:bottom w:val="single" w:sz="4" w:space="0" w:color="auto"/>
              <w:right w:val="single" w:sz="4" w:space="0" w:color="auto"/>
            </w:tcBorders>
            <w:shd w:val="clear" w:color="000000" w:fill="C0504D"/>
            <w:vAlign w:val="center"/>
            <w:hideMark/>
          </w:tcPr>
          <w:p w14:paraId="57D7D8D1" w14:textId="77777777" w:rsidR="007B65E2" w:rsidRPr="003F6084" w:rsidRDefault="007B65E2" w:rsidP="007B65E2">
            <w:pPr>
              <w:spacing w:after="0" w:line="240" w:lineRule="auto"/>
              <w:jc w:val="center"/>
              <w:rPr>
                <w:rFonts w:ascii="Calibri" w:eastAsia="Times New Roman" w:hAnsi="Calibri" w:cs="Calibri"/>
                <w:b/>
                <w:color w:val="FFFFFF"/>
                <w:sz w:val="16"/>
                <w:lang w:eastAsia="zh-CN"/>
              </w:rPr>
            </w:pPr>
            <w:r w:rsidRPr="003F6084">
              <w:rPr>
                <w:rFonts w:ascii="Calibri" w:eastAsia="Times New Roman" w:hAnsi="Calibri" w:cs="Calibri"/>
                <w:b/>
                <w:color w:val="FFFFFF"/>
                <w:sz w:val="16"/>
                <w:lang w:eastAsia="zh-CN"/>
              </w:rPr>
              <w:t>High needs, emergency and home care use</w:t>
            </w:r>
          </w:p>
        </w:tc>
        <w:tc>
          <w:tcPr>
            <w:tcW w:w="922" w:type="dxa"/>
            <w:tcBorders>
              <w:top w:val="nil"/>
              <w:left w:val="nil"/>
              <w:bottom w:val="nil"/>
              <w:right w:val="nil"/>
            </w:tcBorders>
            <w:shd w:val="clear" w:color="auto" w:fill="auto"/>
            <w:noWrap/>
            <w:vAlign w:val="center"/>
            <w:hideMark/>
          </w:tcPr>
          <w:p w14:paraId="0EA5B4EE" w14:textId="77777777" w:rsidR="007B65E2" w:rsidRPr="003F6084" w:rsidRDefault="007B65E2" w:rsidP="007B65E2">
            <w:pPr>
              <w:spacing w:after="0" w:line="240" w:lineRule="auto"/>
              <w:jc w:val="center"/>
              <w:rPr>
                <w:rFonts w:ascii="Calibri" w:eastAsia="Times New Roman" w:hAnsi="Calibri" w:cs="Calibri"/>
                <w:b/>
                <w:color w:val="FFFFFF"/>
                <w:sz w:val="16"/>
                <w:lang w:eastAsia="zh-CN"/>
              </w:rPr>
            </w:pPr>
          </w:p>
        </w:tc>
        <w:tc>
          <w:tcPr>
            <w:tcW w:w="930" w:type="dxa"/>
            <w:tcBorders>
              <w:top w:val="single" w:sz="4" w:space="0" w:color="auto"/>
              <w:left w:val="single" w:sz="4" w:space="0" w:color="auto"/>
              <w:bottom w:val="single" w:sz="4" w:space="0" w:color="auto"/>
              <w:right w:val="single" w:sz="4" w:space="0" w:color="auto"/>
            </w:tcBorders>
            <w:shd w:val="clear" w:color="000000" w:fill="C0504D"/>
            <w:vAlign w:val="center"/>
            <w:hideMark/>
          </w:tcPr>
          <w:p w14:paraId="061AB5BA" w14:textId="77777777" w:rsidR="007B65E2" w:rsidRPr="003F6084" w:rsidRDefault="007B65E2" w:rsidP="007B65E2">
            <w:pPr>
              <w:spacing w:after="0" w:line="240" w:lineRule="auto"/>
              <w:jc w:val="center"/>
              <w:rPr>
                <w:rFonts w:ascii="Calibri" w:eastAsia="Times New Roman" w:hAnsi="Calibri" w:cs="Calibri"/>
                <w:b/>
                <w:color w:val="FFFFFF"/>
                <w:sz w:val="16"/>
                <w:lang w:eastAsia="zh-CN"/>
              </w:rPr>
            </w:pPr>
            <w:r w:rsidRPr="003F6084">
              <w:rPr>
                <w:rFonts w:ascii="Calibri" w:eastAsia="Times New Roman" w:hAnsi="Calibri" w:cs="Calibri"/>
                <w:b/>
                <w:color w:val="FFFFFF"/>
                <w:sz w:val="16"/>
                <w:lang w:eastAsia="zh-CN"/>
              </w:rPr>
              <w:t>End of life</w:t>
            </w:r>
          </w:p>
        </w:tc>
        <w:tc>
          <w:tcPr>
            <w:tcW w:w="1072" w:type="dxa"/>
            <w:tcBorders>
              <w:top w:val="nil"/>
              <w:left w:val="nil"/>
              <w:bottom w:val="nil"/>
              <w:right w:val="nil"/>
            </w:tcBorders>
            <w:shd w:val="clear" w:color="auto" w:fill="auto"/>
            <w:noWrap/>
            <w:vAlign w:val="center"/>
            <w:hideMark/>
          </w:tcPr>
          <w:p w14:paraId="49BA5AF0" w14:textId="77777777" w:rsidR="007B65E2" w:rsidRPr="003F6084" w:rsidRDefault="007B65E2" w:rsidP="007B65E2">
            <w:pPr>
              <w:spacing w:after="0" w:line="240" w:lineRule="auto"/>
              <w:jc w:val="center"/>
              <w:rPr>
                <w:rFonts w:ascii="Calibri" w:eastAsia="Times New Roman" w:hAnsi="Calibri" w:cs="Calibri"/>
                <w:b/>
                <w:color w:val="FFFFFF"/>
                <w:sz w:val="16"/>
                <w:lang w:eastAsia="zh-CN"/>
              </w:rPr>
            </w:pPr>
          </w:p>
        </w:tc>
        <w:tc>
          <w:tcPr>
            <w:tcW w:w="992" w:type="dxa"/>
            <w:tcBorders>
              <w:top w:val="nil"/>
              <w:left w:val="nil"/>
              <w:bottom w:val="nil"/>
              <w:right w:val="nil"/>
            </w:tcBorders>
            <w:shd w:val="clear" w:color="auto" w:fill="auto"/>
            <w:noWrap/>
            <w:vAlign w:val="center"/>
            <w:hideMark/>
          </w:tcPr>
          <w:p w14:paraId="0D3F9623"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5B6F743C"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5DCB127D"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52912671"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930" w:type="dxa"/>
            <w:tcBorders>
              <w:top w:val="single" w:sz="4" w:space="0" w:color="auto"/>
              <w:left w:val="single" w:sz="4" w:space="0" w:color="auto"/>
              <w:bottom w:val="single" w:sz="4" w:space="0" w:color="auto"/>
              <w:right w:val="single" w:sz="4" w:space="0" w:color="auto"/>
            </w:tcBorders>
            <w:shd w:val="clear" w:color="000000" w:fill="C0504D"/>
            <w:vAlign w:val="center"/>
            <w:hideMark/>
          </w:tcPr>
          <w:p w14:paraId="257C9F82" w14:textId="77777777" w:rsidR="007B65E2" w:rsidRPr="003F6084" w:rsidRDefault="007B65E2" w:rsidP="007B65E2">
            <w:pPr>
              <w:spacing w:after="0" w:line="240" w:lineRule="auto"/>
              <w:jc w:val="center"/>
              <w:rPr>
                <w:rFonts w:ascii="Calibri" w:eastAsia="Times New Roman" w:hAnsi="Calibri" w:cs="Calibri"/>
                <w:b/>
                <w:color w:val="FFFFFF"/>
                <w:sz w:val="16"/>
                <w:lang w:eastAsia="zh-CN"/>
              </w:rPr>
            </w:pPr>
            <w:r w:rsidRPr="003F6084">
              <w:rPr>
                <w:rFonts w:ascii="Calibri" w:eastAsia="Times New Roman" w:hAnsi="Calibri" w:cs="Calibri"/>
                <w:b/>
                <w:color w:val="FFFFFF"/>
                <w:sz w:val="16"/>
                <w:lang w:eastAsia="zh-CN"/>
              </w:rPr>
              <w:t>Extreme frailty or near the end of life</w:t>
            </w:r>
          </w:p>
        </w:tc>
      </w:tr>
      <w:tr w:rsidR="003F6084" w:rsidRPr="003F6084" w14:paraId="3CA52949" w14:textId="77777777" w:rsidTr="00385AEA">
        <w:trPr>
          <w:trHeight w:val="290"/>
        </w:trPr>
        <w:tc>
          <w:tcPr>
            <w:tcW w:w="931" w:type="dxa"/>
            <w:vMerge/>
            <w:tcBorders>
              <w:top w:val="nil"/>
              <w:left w:val="single" w:sz="4" w:space="0" w:color="auto"/>
              <w:bottom w:val="single" w:sz="4" w:space="0" w:color="000000"/>
              <w:right w:val="single" w:sz="4" w:space="0" w:color="auto"/>
            </w:tcBorders>
            <w:vAlign w:val="center"/>
            <w:hideMark/>
          </w:tcPr>
          <w:p w14:paraId="51CAEB51" w14:textId="77777777" w:rsidR="007B65E2" w:rsidRPr="003F6084" w:rsidRDefault="007B65E2" w:rsidP="007B65E2">
            <w:pPr>
              <w:spacing w:after="0" w:line="240" w:lineRule="auto"/>
              <w:rPr>
                <w:rFonts w:ascii="Calibri" w:eastAsia="Times New Roman" w:hAnsi="Calibri" w:cs="Calibri"/>
                <w:b/>
                <w:bCs/>
                <w:color w:val="000000"/>
                <w:sz w:val="18"/>
                <w:lang w:eastAsia="zh-CN"/>
              </w:rPr>
            </w:pPr>
          </w:p>
        </w:tc>
        <w:tc>
          <w:tcPr>
            <w:tcW w:w="1260" w:type="dxa"/>
            <w:tcBorders>
              <w:top w:val="nil"/>
              <w:left w:val="nil"/>
              <w:bottom w:val="single" w:sz="4" w:space="0" w:color="auto"/>
              <w:right w:val="nil"/>
            </w:tcBorders>
            <w:shd w:val="clear" w:color="000000" w:fill="FFFFFF"/>
            <w:noWrap/>
            <w:vAlign w:val="bottom"/>
            <w:hideMark/>
          </w:tcPr>
          <w:p w14:paraId="70B2555E" w14:textId="77777777" w:rsidR="007B65E2" w:rsidRPr="003F6084" w:rsidRDefault="007B65E2" w:rsidP="007B65E2">
            <w:pPr>
              <w:spacing w:after="0" w:line="240" w:lineRule="auto"/>
              <w:rPr>
                <w:rFonts w:ascii="Calibri" w:eastAsia="Times New Roman" w:hAnsi="Calibri" w:cs="Calibri"/>
                <w:b/>
                <w:color w:val="000000"/>
                <w:sz w:val="12"/>
                <w:lang w:eastAsia="zh-CN"/>
              </w:rPr>
            </w:pPr>
            <w:r w:rsidRPr="003F6084">
              <w:rPr>
                <w:rFonts w:ascii="Calibri" w:eastAsia="Times New Roman" w:hAnsi="Calibri" w:cs="Calibri"/>
                <w:b/>
                <w:color w:val="000000"/>
                <w:sz w:val="12"/>
                <w:lang w:eastAsia="zh-CN"/>
              </w:rPr>
              <w:t> </w:t>
            </w:r>
          </w:p>
        </w:tc>
        <w:tc>
          <w:tcPr>
            <w:tcW w:w="1070" w:type="dxa"/>
            <w:tcBorders>
              <w:top w:val="nil"/>
              <w:left w:val="nil"/>
              <w:bottom w:val="single" w:sz="4" w:space="0" w:color="auto"/>
              <w:right w:val="nil"/>
            </w:tcBorders>
            <w:shd w:val="clear" w:color="000000" w:fill="FFFFFF"/>
            <w:vAlign w:val="center"/>
            <w:hideMark/>
          </w:tcPr>
          <w:p w14:paraId="0481FA47" w14:textId="77777777" w:rsidR="007B65E2" w:rsidRPr="003F6084" w:rsidRDefault="007B65E2" w:rsidP="007B65E2">
            <w:pPr>
              <w:spacing w:after="0" w:line="240" w:lineRule="auto"/>
              <w:jc w:val="center"/>
              <w:rPr>
                <w:rFonts w:ascii="Calibri" w:eastAsia="Times New Roman" w:hAnsi="Calibri" w:cs="Calibri"/>
                <w:b/>
                <w:color w:val="FFFFFF"/>
                <w:sz w:val="16"/>
                <w:lang w:eastAsia="zh-CN"/>
              </w:rPr>
            </w:pPr>
            <w:r w:rsidRPr="003F6084">
              <w:rPr>
                <w:rFonts w:ascii="Calibri" w:eastAsia="Times New Roman" w:hAnsi="Calibri" w:cs="Calibri"/>
                <w:b/>
                <w:color w:val="FFFFFF"/>
                <w:sz w:val="16"/>
                <w:lang w:eastAsia="zh-CN"/>
              </w:rPr>
              <w:t> </w:t>
            </w:r>
          </w:p>
        </w:tc>
        <w:tc>
          <w:tcPr>
            <w:tcW w:w="992" w:type="dxa"/>
            <w:tcBorders>
              <w:top w:val="nil"/>
              <w:left w:val="nil"/>
              <w:bottom w:val="single" w:sz="4" w:space="0" w:color="auto"/>
              <w:right w:val="nil"/>
            </w:tcBorders>
            <w:shd w:val="clear" w:color="000000" w:fill="FFFFFF"/>
            <w:noWrap/>
            <w:vAlign w:val="bottom"/>
            <w:hideMark/>
          </w:tcPr>
          <w:p w14:paraId="096B247A" w14:textId="77777777" w:rsidR="007B65E2" w:rsidRPr="003F6084" w:rsidRDefault="007B65E2" w:rsidP="007B65E2">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vAlign w:val="center"/>
            <w:hideMark/>
          </w:tcPr>
          <w:p w14:paraId="6E631603" w14:textId="77777777" w:rsidR="007B65E2" w:rsidRPr="003F6084" w:rsidRDefault="007B65E2" w:rsidP="007B65E2">
            <w:pPr>
              <w:spacing w:after="0" w:line="240" w:lineRule="auto"/>
              <w:jc w:val="center"/>
              <w:rPr>
                <w:rFonts w:ascii="Calibri" w:eastAsia="Times New Roman" w:hAnsi="Calibri" w:cs="Calibri"/>
                <w:b/>
                <w:color w:val="FFFFFF"/>
                <w:sz w:val="16"/>
                <w:lang w:eastAsia="zh-CN"/>
              </w:rPr>
            </w:pPr>
            <w:r w:rsidRPr="003F6084">
              <w:rPr>
                <w:rFonts w:ascii="Calibri" w:eastAsia="Times New Roman" w:hAnsi="Calibri" w:cs="Calibri"/>
                <w:b/>
                <w:color w:val="FFFFFF"/>
                <w:sz w:val="16"/>
                <w:lang w:eastAsia="zh-CN"/>
              </w:rPr>
              <w:t> </w:t>
            </w:r>
          </w:p>
        </w:tc>
        <w:tc>
          <w:tcPr>
            <w:tcW w:w="894" w:type="dxa"/>
            <w:tcBorders>
              <w:top w:val="nil"/>
              <w:left w:val="nil"/>
              <w:bottom w:val="single" w:sz="4" w:space="0" w:color="auto"/>
              <w:right w:val="nil"/>
            </w:tcBorders>
            <w:shd w:val="clear" w:color="000000" w:fill="FFFFFF"/>
            <w:vAlign w:val="center"/>
            <w:hideMark/>
          </w:tcPr>
          <w:p w14:paraId="6A506C0B" w14:textId="77777777" w:rsidR="007B65E2" w:rsidRPr="003F6084" w:rsidRDefault="007B65E2" w:rsidP="007B65E2">
            <w:pPr>
              <w:spacing w:after="0" w:line="240" w:lineRule="auto"/>
              <w:jc w:val="center"/>
              <w:rPr>
                <w:rFonts w:ascii="Calibri" w:eastAsia="Times New Roman" w:hAnsi="Calibri" w:cs="Calibri"/>
                <w:b/>
                <w:color w:val="FFFFFF"/>
                <w:sz w:val="16"/>
                <w:lang w:eastAsia="zh-CN"/>
              </w:rPr>
            </w:pPr>
            <w:r w:rsidRPr="003F6084">
              <w:rPr>
                <w:rFonts w:ascii="Calibri" w:eastAsia="Times New Roman" w:hAnsi="Calibri" w:cs="Calibri"/>
                <w:b/>
                <w:color w:val="FFFFFF"/>
                <w:sz w:val="16"/>
                <w:lang w:eastAsia="zh-CN"/>
              </w:rPr>
              <w:t> </w:t>
            </w:r>
          </w:p>
        </w:tc>
        <w:tc>
          <w:tcPr>
            <w:tcW w:w="930" w:type="dxa"/>
            <w:tcBorders>
              <w:top w:val="nil"/>
              <w:left w:val="nil"/>
              <w:bottom w:val="single" w:sz="4" w:space="0" w:color="auto"/>
              <w:right w:val="nil"/>
            </w:tcBorders>
            <w:shd w:val="clear" w:color="000000" w:fill="FFFFFF"/>
            <w:noWrap/>
            <w:vAlign w:val="center"/>
            <w:hideMark/>
          </w:tcPr>
          <w:p w14:paraId="2A4DE50C" w14:textId="77777777" w:rsidR="007B65E2" w:rsidRPr="003F6084" w:rsidRDefault="007B65E2" w:rsidP="007B65E2">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22" w:type="dxa"/>
            <w:tcBorders>
              <w:top w:val="nil"/>
              <w:left w:val="nil"/>
              <w:bottom w:val="single" w:sz="4" w:space="0" w:color="auto"/>
              <w:right w:val="nil"/>
            </w:tcBorders>
            <w:shd w:val="clear" w:color="000000" w:fill="FFFFFF"/>
            <w:vAlign w:val="center"/>
            <w:hideMark/>
          </w:tcPr>
          <w:p w14:paraId="0958CB4A" w14:textId="77777777" w:rsidR="007B65E2" w:rsidRPr="003F6084" w:rsidRDefault="007B65E2" w:rsidP="007B65E2">
            <w:pPr>
              <w:spacing w:after="0" w:line="240" w:lineRule="auto"/>
              <w:jc w:val="center"/>
              <w:rPr>
                <w:rFonts w:ascii="Calibri" w:eastAsia="Times New Roman" w:hAnsi="Calibri" w:cs="Calibri"/>
                <w:b/>
                <w:color w:val="FFFFFF"/>
                <w:sz w:val="16"/>
                <w:lang w:eastAsia="zh-CN"/>
              </w:rPr>
            </w:pPr>
            <w:r w:rsidRPr="003F6084">
              <w:rPr>
                <w:rFonts w:ascii="Calibri" w:eastAsia="Times New Roman" w:hAnsi="Calibri" w:cs="Calibri"/>
                <w:b/>
                <w:color w:val="FFFFFF"/>
                <w:sz w:val="16"/>
                <w:lang w:eastAsia="zh-CN"/>
              </w:rPr>
              <w:t> </w:t>
            </w:r>
          </w:p>
        </w:tc>
        <w:tc>
          <w:tcPr>
            <w:tcW w:w="922" w:type="dxa"/>
            <w:tcBorders>
              <w:top w:val="nil"/>
              <w:left w:val="nil"/>
              <w:bottom w:val="single" w:sz="4" w:space="0" w:color="auto"/>
              <w:right w:val="nil"/>
            </w:tcBorders>
            <w:shd w:val="clear" w:color="000000" w:fill="FFFFFF"/>
            <w:noWrap/>
            <w:vAlign w:val="center"/>
            <w:hideMark/>
          </w:tcPr>
          <w:p w14:paraId="2E7B85C3" w14:textId="77777777" w:rsidR="007B65E2" w:rsidRPr="003F6084" w:rsidRDefault="007B65E2" w:rsidP="007B65E2">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nil"/>
            </w:tcBorders>
            <w:shd w:val="clear" w:color="000000" w:fill="FFFFFF"/>
            <w:vAlign w:val="center"/>
            <w:hideMark/>
          </w:tcPr>
          <w:p w14:paraId="53C7664D" w14:textId="77777777" w:rsidR="007B65E2" w:rsidRPr="003F6084" w:rsidRDefault="007B65E2" w:rsidP="007B65E2">
            <w:pPr>
              <w:spacing w:after="0" w:line="240" w:lineRule="auto"/>
              <w:jc w:val="center"/>
              <w:rPr>
                <w:rFonts w:ascii="Calibri" w:eastAsia="Times New Roman" w:hAnsi="Calibri" w:cs="Calibri"/>
                <w:b/>
                <w:color w:val="FFFFFF"/>
                <w:sz w:val="16"/>
                <w:lang w:eastAsia="zh-CN"/>
              </w:rPr>
            </w:pPr>
            <w:r w:rsidRPr="003F6084">
              <w:rPr>
                <w:rFonts w:ascii="Calibri" w:eastAsia="Times New Roman" w:hAnsi="Calibri" w:cs="Calibri"/>
                <w:b/>
                <w:color w:val="FFFFFF"/>
                <w:sz w:val="16"/>
                <w:lang w:eastAsia="zh-CN"/>
              </w:rPr>
              <w:t> </w:t>
            </w:r>
          </w:p>
        </w:tc>
        <w:tc>
          <w:tcPr>
            <w:tcW w:w="1072" w:type="dxa"/>
            <w:tcBorders>
              <w:top w:val="nil"/>
              <w:left w:val="nil"/>
              <w:bottom w:val="single" w:sz="4" w:space="0" w:color="auto"/>
              <w:right w:val="nil"/>
            </w:tcBorders>
            <w:shd w:val="clear" w:color="000000" w:fill="FFFFFF"/>
            <w:noWrap/>
            <w:vAlign w:val="center"/>
            <w:hideMark/>
          </w:tcPr>
          <w:p w14:paraId="23AC775C" w14:textId="77777777" w:rsidR="007B65E2" w:rsidRPr="003F6084" w:rsidRDefault="007B65E2" w:rsidP="007B65E2">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92" w:type="dxa"/>
            <w:tcBorders>
              <w:top w:val="nil"/>
              <w:left w:val="nil"/>
              <w:bottom w:val="single" w:sz="4" w:space="0" w:color="auto"/>
              <w:right w:val="nil"/>
            </w:tcBorders>
            <w:shd w:val="clear" w:color="000000" w:fill="FFFFFF"/>
            <w:noWrap/>
            <w:vAlign w:val="center"/>
            <w:hideMark/>
          </w:tcPr>
          <w:p w14:paraId="2A6BC0AA" w14:textId="77777777" w:rsidR="007B65E2" w:rsidRPr="003F6084" w:rsidRDefault="007B65E2" w:rsidP="007B65E2">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742" w:type="dxa"/>
            <w:tcBorders>
              <w:top w:val="nil"/>
              <w:left w:val="nil"/>
              <w:bottom w:val="single" w:sz="4" w:space="0" w:color="auto"/>
              <w:right w:val="nil"/>
            </w:tcBorders>
            <w:shd w:val="clear" w:color="000000" w:fill="FFFFFF"/>
            <w:noWrap/>
            <w:vAlign w:val="bottom"/>
            <w:hideMark/>
          </w:tcPr>
          <w:p w14:paraId="02CB1519" w14:textId="77777777" w:rsidR="007B65E2" w:rsidRPr="003F6084" w:rsidRDefault="007B65E2" w:rsidP="007B65E2">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6" w:type="dxa"/>
            <w:tcBorders>
              <w:top w:val="nil"/>
              <w:left w:val="nil"/>
              <w:bottom w:val="single" w:sz="4" w:space="0" w:color="auto"/>
              <w:right w:val="nil"/>
            </w:tcBorders>
            <w:shd w:val="clear" w:color="000000" w:fill="FFFFFF"/>
            <w:noWrap/>
            <w:vAlign w:val="bottom"/>
            <w:hideMark/>
          </w:tcPr>
          <w:p w14:paraId="43F523AB" w14:textId="77777777" w:rsidR="007B65E2" w:rsidRPr="003F6084" w:rsidRDefault="007B65E2" w:rsidP="007B65E2">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08" w:type="dxa"/>
            <w:tcBorders>
              <w:top w:val="nil"/>
              <w:left w:val="nil"/>
              <w:bottom w:val="single" w:sz="4" w:space="0" w:color="auto"/>
              <w:right w:val="nil"/>
            </w:tcBorders>
            <w:shd w:val="clear" w:color="000000" w:fill="FFFFFF"/>
            <w:noWrap/>
            <w:vAlign w:val="bottom"/>
            <w:hideMark/>
          </w:tcPr>
          <w:p w14:paraId="2E662AD2" w14:textId="77777777" w:rsidR="007B65E2" w:rsidRPr="003F6084" w:rsidRDefault="007B65E2" w:rsidP="007B65E2">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c>
          <w:tcPr>
            <w:tcW w:w="930" w:type="dxa"/>
            <w:tcBorders>
              <w:top w:val="nil"/>
              <w:left w:val="nil"/>
              <w:bottom w:val="single" w:sz="4" w:space="0" w:color="auto"/>
              <w:right w:val="single" w:sz="4" w:space="0" w:color="auto"/>
            </w:tcBorders>
            <w:shd w:val="clear" w:color="000000" w:fill="FFFFFF"/>
            <w:vAlign w:val="center"/>
            <w:hideMark/>
          </w:tcPr>
          <w:p w14:paraId="208580A6" w14:textId="77777777" w:rsidR="007B65E2" w:rsidRPr="003F6084" w:rsidRDefault="007B65E2" w:rsidP="007B65E2">
            <w:pPr>
              <w:spacing w:after="0" w:line="240" w:lineRule="auto"/>
              <w:jc w:val="center"/>
              <w:rPr>
                <w:rFonts w:ascii="Calibri" w:eastAsia="Times New Roman" w:hAnsi="Calibri" w:cs="Calibri"/>
                <w:b/>
                <w:color w:val="FFFFFF"/>
                <w:sz w:val="16"/>
                <w:lang w:eastAsia="zh-CN"/>
              </w:rPr>
            </w:pPr>
            <w:r w:rsidRPr="003F6084">
              <w:rPr>
                <w:rFonts w:ascii="Calibri" w:eastAsia="Times New Roman" w:hAnsi="Calibri" w:cs="Calibri"/>
                <w:b/>
                <w:color w:val="FFFFFF"/>
                <w:sz w:val="16"/>
                <w:lang w:eastAsia="zh-CN"/>
              </w:rPr>
              <w:t> </w:t>
            </w:r>
          </w:p>
        </w:tc>
      </w:tr>
      <w:tr w:rsidR="003F6084" w:rsidRPr="003F6084" w14:paraId="02568158" w14:textId="77777777" w:rsidTr="00385AEA">
        <w:trPr>
          <w:trHeight w:val="290"/>
        </w:trPr>
        <w:tc>
          <w:tcPr>
            <w:tcW w:w="93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2DAC37" w14:textId="18E11E7E" w:rsidR="007B65E2" w:rsidRPr="003F6084" w:rsidRDefault="007B65E2" w:rsidP="007B65E2">
            <w:pPr>
              <w:spacing w:after="0" w:line="240" w:lineRule="auto"/>
              <w:jc w:val="center"/>
              <w:rPr>
                <w:rFonts w:ascii="Calibri" w:eastAsia="Times New Roman" w:hAnsi="Calibri" w:cs="Calibri"/>
                <w:b/>
                <w:bCs/>
                <w:color w:val="000000"/>
                <w:sz w:val="18"/>
                <w:lang w:eastAsia="zh-CN"/>
              </w:rPr>
            </w:pPr>
            <w:r w:rsidRPr="003F6084">
              <w:rPr>
                <w:rFonts w:ascii="Calibri" w:eastAsia="Times New Roman" w:hAnsi="Calibri" w:cs="Calibri"/>
                <w:b/>
                <w:bCs/>
                <w:color w:val="000000"/>
                <w:sz w:val="18"/>
                <w:lang w:eastAsia="zh-CN"/>
              </w:rPr>
              <w:t xml:space="preserve">Excluded </w:t>
            </w:r>
            <w:r w:rsidR="003F6084">
              <w:rPr>
                <w:rFonts w:ascii="Calibri" w:eastAsia="Times New Roman" w:hAnsi="Calibri" w:cs="Calibri"/>
                <w:b/>
                <w:bCs/>
                <w:color w:val="000000"/>
                <w:sz w:val="18"/>
                <w:lang w:eastAsia="zh-CN"/>
              </w:rPr>
              <w:t>subjects</w:t>
            </w:r>
          </w:p>
        </w:tc>
        <w:tc>
          <w:tcPr>
            <w:tcW w:w="1260" w:type="dxa"/>
            <w:tcBorders>
              <w:top w:val="nil"/>
              <w:left w:val="nil"/>
              <w:bottom w:val="nil"/>
              <w:right w:val="nil"/>
            </w:tcBorders>
            <w:shd w:val="clear" w:color="auto" w:fill="auto"/>
            <w:noWrap/>
            <w:vAlign w:val="bottom"/>
            <w:hideMark/>
          </w:tcPr>
          <w:p w14:paraId="1E347387" w14:textId="77777777" w:rsidR="007B65E2" w:rsidRPr="003F6084" w:rsidRDefault="007B65E2" w:rsidP="007B65E2">
            <w:pPr>
              <w:spacing w:after="0" w:line="240" w:lineRule="auto"/>
              <w:jc w:val="center"/>
              <w:rPr>
                <w:rFonts w:ascii="Calibri" w:eastAsia="Times New Roman" w:hAnsi="Calibri" w:cs="Calibri"/>
                <w:b/>
                <w:bCs/>
                <w:color w:val="000000"/>
                <w:sz w:val="12"/>
                <w:lang w:eastAsia="zh-CN"/>
              </w:rPr>
            </w:pPr>
          </w:p>
        </w:tc>
        <w:tc>
          <w:tcPr>
            <w:tcW w:w="1070" w:type="dxa"/>
            <w:tcBorders>
              <w:top w:val="nil"/>
              <w:left w:val="nil"/>
              <w:bottom w:val="nil"/>
              <w:right w:val="nil"/>
            </w:tcBorders>
            <w:shd w:val="clear" w:color="auto" w:fill="auto"/>
            <w:noWrap/>
            <w:vAlign w:val="bottom"/>
            <w:hideMark/>
          </w:tcPr>
          <w:p w14:paraId="5D40C8B3"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19605FE2"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bottom"/>
            <w:hideMark/>
          </w:tcPr>
          <w:p w14:paraId="214B2750"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894" w:type="dxa"/>
            <w:tcBorders>
              <w:top w:val="nil"/>
              <w:left w:val="nil"/>
              <w:bottom w:val="nil"/>
              <w:right w:val="nil"/>
            </w:tcBorders>
            <w:shd w:val="clear" w:color="auto" w:fill="auto"/>
            <w:noWrap/>
            <w:vAlign w:val="bottom"/>
            <w:hideMark/>
          </w:tcPr>
          <w:p w14:paraId="5B2FE31B"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center"/>
            <w:hideMark/>
          </w:tcPr>
          <w:p w14:paraId="572861BE"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center"/>
            <w:hideMark/>
          </w:tcPr>
          <w:p w14:paraId="433A952F"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922" w:type="dxa"/>
            <w:tcBorders>
              <w:top w:val="nil"/>
              <w:left w:val="nil"/>
              <w:bottom w:val="nil"/>
              <w:right w:val="nil"/>
            </w:tcBorders>
            <w:shd w:val="clear" w:color="auto" w:fill="auto"/>
            <w:noWrap/>
            <w:vAlign w:val="center"/>
            <w:hideMark/>
          </w:tcPr>
          <w:p w14:paraId="3979F9C7"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center"/>
            <w:hideMark/>
          </w:tcPr>
          <w:p w14:paraId="177008A2"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center"/>
            <w:hideMark/>
          </w:tcPr>
          <w:p w14:paraId="4007F150"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center"/>
            <w:hideMark/>
          </w:tcPr>
          <w:p w14:paraId="0BC16853"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15CBFEF6"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4E00EFCB"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14FC2314"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27DA720F" w14:textId="77777777" w:rsidR="007B65E2" w:rsidRPr="003F6084" w:rsidRDefault="007B65E2" w:rsidP="007B65E2">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3BA52FB7" w14:textId="77777777" w:rsidTr="00385AEA">
        <w:trPr>
          <w:trHeight w:val="870"/>
        </w:trPr>
        <w:tc>
          <w:tcPr>
            <w:tcW w:w="931" w:type="dxa"/>
            <w:vMerge/>
            <w:tcBorders>
              <w:top w:val="nil"/>
              <w:left w:val="single" w:sz="4" w:space="0" w:color="auto"/>
              <w:bottom w:val="single" w:sz="4" w:space="0" w:color="000000"/>
              <w:right w:val="single" w:sz="4" w:space="0" w:color="auto"/>
            </w:tcBorders>
            <w:vAlign w:val="center"/>
            <w:hideMark/>
          </w:tcPr>
          <w:p w14:paraId="4BACC2EB" w14:textId="77777777" w:rsidR="007B65E2" w:rsidRPr="003F6084" w:rsidRDefault="007B65E2" w:rsidP="007B65E2">
            <w:pPr>
              <w:spacing w:after="0" w:line="240" w:lineRule="auto"/>
              <w:rPr>
                <w:rFonts w:ascii="Calibri" w:eastAsia="Times New Roman" w:hAnsi="Calibri" w:cs="Calibri"/>
                <w:b/>
                <w:bCs/>
                <w:color w:val="000000"/>
                <w:sz w:val="10"/>
                <w:lang w:eastAsia="zh-CN"/>
              </w:rPr>
            </w:pPr>
          </w:p>
        </w:tc>
        <w:tc>
          <w:tcPr>
            <w:tcW w:w="1260" w:type="dxa"/>
            <w:tcBorders>
              <w:top w:val="nil"/>
              <w:left w:val="nil"/>
              <w:bottom w:val="nil"/>
              <w:right w:val="nil"/>
            </w:tcBorders>
            <w:shd w:val="clear" w:color="auto" w:fill="auto"/>
            <w:noWrap/>
            <w:vAlign w:val="bottom"/>
            <w:hideMark/>
          </w:tcPr>
          <w:p w14:paraId="3DBE82D2" w14:textId="77777777" w:rsidR="007B65E2" w:rsidRPr="003F6084" w:rsidRDefault="007B65E2" w:rsidP="007B65E2">
            <w:pPr>
              <w:spacing w:after="0" w:line="240" w:lineRule="auto"/>
              <w:rPr>
                <w:rFonts w:ascii="Calibri" w:eastAsia="Times New Roman" w:hAnsi="Calibri" w:cs="Calibri"/>
                <w:b/>
                <w:color w:val="000000"/>
                <w:sz w:val="12"/>
                <w:lang w:eastAsia="zh-CN"/>
              </w:rPr>
            </w:pPr>
          </w:p>
        </w:tc>
        <w:tc>
          <w:tcPr>
            <w:tcW w:w="1070" w:type="dxa"/>
            <w:tcBorders>
              <w:top w:val="nil"/>
              <w:left w:val="nil"/>
              <w:bottom w:val="nil"/>
              <w:right w:val="nil"/>
            </w:tcBorders>
            <w:shd w:val="clear" w:color="auto" w:fill="auto"/>
            <w:noWrap/>
            <w:vAlign w:val="bottom"/>
            <w:hideMark/>
          </w:tcPr>
          <w:p w14:paraId="50AD8DC7"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992"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2D24DCD1" w14:textId="77777777" w:rsidR="007B65E2" w:rsidRPr="003F6084" w:rsidRDefault="007B65E2" w:rsidP="007B65E2">
            <w:pPr>
              <w:spacing w:after="0" w:line="240" w:lineRule="auto"/>
              <w:jc w:val="center"/>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Adults and elderly people who are socially excluded</w:t>
            </w:r>
          </w:p>
        </w:tc>
        <w:tc>
          <w:tcPr>
            <w:tcW w:w="992" w:type="dxa"/>
            <w:tcBorders>
              <w:top w:val="nil"/>
              <w:left w:val="nil"/>
              <w:bottom w:val="nil"/>
              <w:right w:val="nil"/>
            </w:tcBorders>
            <w:shd w:val="clear" w:color="auto" w:fill="auto"/>
            <w:noWrap/>
            <w:vAlign w:val="bottom"/>
            <w:hideMark/>
          </w:tcPr>
          <w:p w14:paraId="7A380960" w14:textId="77777777" w:rsidR="007B65E2" w:rsidRPr="003F6084" w:rsidRDefault="007B65E2" w:rsidP="007B65E2">
            <w:pPr>
              <w:spacing w:after="0" w:line="240" w:lineRule="auto"/>
              <w:jc w:val="center"/>
              <w:rPr>
                <w:rFonts w:ascii="Calibri" w:eastAsia="Times New Roman" w:hAnsi="Calibri" w:cs="Calibri"/>
                <w:b/>
                <w:color w:val="000000"/>
                <w:sz w:val="16"/>
                <w:lang w:eastAsia="zh-CN"/>
              </w:rPr>
            </w:pPr>
          </w:p>
        </w:tc>
        <w:tc>
          <w:tcPr>
            <w:tcW w:w="894" w:type="dxa"/>
            <w:tcBorders>
              <w:top w:val="nil"/>
              <w:left w:val="nil"/>
              <w:bottom w:val="nil"/>
              <w:right w:val="nil"/>
            </w:tcBorders>
            <w:shd w:val="clear" w:color="auto" w:fill="auto"/>
            <w:noWrap/>
            <w:vAlign w:val="bottom"/>
            <w:hideMark/>
          </w:tcPr>
          <w:p w14:paraId="52CCA4B4"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930" w:type="dxa"/>
            <w:tcBorders>
              <w:top w:val="single" w:sz="4" w:space="0" w:color="auto"/>
              <w:left w:val="single" w:sz="4" w:space="0" w:color="auto"/>
              <w:bottom w:val="single" w:sz="4" w:space="0" w:color="auto"/>
              <w:right w:val="single" w:sz="4" w:space="0" w:color="auto"/>
            </w:tcBorders>
            <w:shd w:val="clear" w:color="000000" w:fill="FFFF00"/>
            <w:vAlign w:val="center"/>
            <w:hideMark/>
          </w:tcPr>
          <w:p w14:paraId="0FD77EE9" w14:textId="77777777" w:rsidR="007B65E2" w:rsidRPr="003F6084" w:rsidRDefault="007B65E2" w:rsidP="007B65E2">
            <w:pPr>
              <w:spacing w:after="0" w:line="240" w:lineRule="auto"/>
              <w:jc w:val="center"/>
              <w:rPr>
                <w:rFonts w:ascii="Calibri" w:eastAsia="Times New Roman" w:hAnsi="Calibri" w:cs="Calibri"/>
                <w:b/>
                <w:sz w:val="16"/>
                <w:lang w:eastAsia="zh-CN"/>
              </w:rPr>
            </w:pPr>
            <w:r w:rsidRPr="003F6084">
              <w:rPr>
                <w:rFonts w:ascii="Calibri" w:eastAsia="Times New Roman" w:hAnsi="Calibri" w:cs="Calibri"/>
                <w:b/>
                <w:sz w:val="16"/>
                <w:lang w:eastAsia="zh-CN"/>
              </w:rPr>
              <w:t>Subjects unknown to the system</w:t>
            </w:r>
          </w:p>
        </w:tc>
        <w:tc>
          <w:tcPr>
            <w:tcW w:w="922" w:type="dxa"/>
            <w:tcBorders>
              <w:top w:val="nil"/>
              <w:left w:val="nil"/>
              <w:bottom w:val="nil"/>
              <w:right w:val="nil"/>
            </w:tcBorders>
            <w:shd w:val="clear" w:color="auto" w:fill="auto"/>
            <w:noWrap/>
            <w:vAlign w:val="center"/>
            <w:hideMark/>
          </w:tcPr>
          <w:p w14:paraId="592C6B3D" w14:textId="77777777" w:rsidR="007B65E2" w:rsidRPr="003F6084" w:rsidRDefault="007B65E2" w:rsidP="007B65E2">
            <w:pPr>
              <w:spacing w:after="0" w:line="240" w:lineRule="auto"/>
              <w:jc w:val="center"/>
              <w:rPr>
                <w:rFonts w:ascii="Calibri" w:eastAsia="Times New Roman" w:hAnsi="Calibri" w:cs="Calibri"/>
                <w:b/>
                <w:sz w:val="16"/>
                <w:lang w:eastAsia="zh-CN"/>
              </w:rPr>
            </w:pPr>
          </w:p>
        </w:tc>
        <w:tc>
          <w:tcPr>
            <w:tcW w:w="922" w:type="dxa"/>
            <w:tcBorders>
              <w:top w:val="nil"/>
              <w:left w:val="nil"/>
              <w:bottom w:val="nil"/>
              <w:right w:val="nil"/>
            </w:tcBorders>
            <w:shd w:val="clear" w:color="auto" w:fill="auto"/>
            <w:noWrap/>
            <w:vAlign w:val="center"/>
            <w:hideMark/>
          </w:tcPr>
          <w:p w14:paraId="181ADEA6"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930" w:type="dxa"/>
            <w:tcBorders>
              <w:top w:val="nil"/>
              <w:left w:val="nil"/>
              <w:bottom w:val="nil"/>
              <w:right w:val="nil"/>
            </w:tcBorders>
            <w:shd w:val="clear" w:color="auto" w:fill="auto"/>
            <w:noWrap/>
            <w:vAlign w:val="center"/>
            <w:hideMark/>
          </w:tcPr>
          <w:p w14:paraId="59DC57D3"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1072" w:type="dxa"/>
            <w:tcBorders>
              <w:top w:val="nil"/>
              <w:left w:val="nil"/>
              <w:bottom w:val="nil"/>
              <w:right w:val="nil"/>
            </w:tcBorders>
            <w:shd w:val="clear" w:color="auto" w:fill="auto"/>
            <w:noWrap/>
            <w:vAlign w:val="center"/>
            <w:hideMark/>
          </w:tcPr>
          <w:p w14:paraId="75222B77"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992" w:type="dxa"/>
            <w:tcBorders>
              <w:top w:val="nil"/>
              <w:left w:val="nil"/>
              <w:bottom w:val="nil"/>
              <w:right w:val="nil"/>
            </w:tcBorders>
            <w:shd w:val="clear" w:color="auto" w:fill="auto"/>
            <w:noWrap/>
            <w:vAlign w:val="center"/>
            <w:hideMark/>
          </w:tcPr>
          <w:p w14:paraId="3AEA7110"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742" w:type="dxa"/>
            <w:tcBorders>
              <w:top w:val="nil"/>
              <w:left w:val="nil"/>
              <w:bottom w:val="nil"/>
              <w:right w:val="nil"/>
            </w:tcBorders>
            <w:shd w:val="clear" w:color="auto" w:fill="auto"/>
            <w:noWrap/>
            <w:vAlign w:val="bottom"/>
            <w:hideMark/>
          </w:tcPr>
          <w:p w14:paraId="4F003DF7" w14:textId="77777777" w:rsidR="007B65E2" w:rsidRPr="003F6084" w:rsidRDefault="007B65E2" w:rsidP="007B65E2">
            <w:pPr>
              <w:spacing w:after="0" w:line="240" w:lineRule="auto"/>
              <w:jc w:val="center"/>
              <w:rPr>
                <w:rFonts w:ascii="Times New Roman" w:eastAsia="Times New Roman" w:hAnsi="Times New Roman" w:cs="Times New Roman"/>
                <w:b/>
                <w:sz w:val="16"/>
                <w:szCs w:val="20"/>
                <w:lang w:eastAsia="zh-CN"/>
              </w:rPr>
            </w:pPr>
          </w:p>
        </w:tc>
        <w:tc>
          <w:tcPr>
            <w:tcW w:w="906" w:type="dxa"/>
            <w:tcBorders>
              <w:top w:val="nil"/>
              <w:left w:val="nil"/>
              <w:bottom w:val="nil"/>
              <w:right w:val="nil"/>
            </w:tcBorders>
            <w:shd w:val="clear" w:color="auto" w:fill="auto"/>
            <w:noWrap/>
            <w:vAlign w:val="bottom"/>
            <w:hideMark/>
          </w:tcPr>
          <w:p w14:paraId="57560DB0"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908" w:type="dxa"/>
            <w:tcBorders>
              <w:top w:val="nil"/>
              <w:left w:val="nil"/>
              <w:bottom w:val="nil"/>
              <w:right w:val="nil"/>
            </w:tcBorders>
            <w:shd w:val="clear" w:color="auto" w:fill="auto"/>
            <w:noWrap/>
            <w:vAlign w:val="bottom"/>
            <w:hideMark/>
          </w:tcPr>
          <w:p w14:paraId="1B57F46D" w14:textId="77777777" w:rsidR="007B65E2" w:rsidRPr="003F6084" w:rsidRDefault="007B65E2" w:rsidP="007B65E2">
            <w:pPr>
              <w:spacing w:after="0" w:line="240" w:lineRule="auto"/>
              <w:rPr>
                <w:rFonts w:ascii="Times New Roman" w:eastAsia="Times New Roman" w:hAnsi="Times New Roman" w:cs="Times New Roman"/>
                <w:b/>
                <w:sz w:val="16"/>
                <w:szCs w:val="20"/>
                <w:lang w:eastAsia="zh-CN"/>
              </w:rPr>
            </w:pPr>
          </w:p>
        </w:tc>
        <w:tc>
          <w:tcPr>
            <w:tcW w:w="930" w:type="dxa"/>
            <w:tcBorders>
              <w:top w:val="nil"/>
              <w:left w:val="nil"/>
              <w:bottom w:val="nil"/>
              <w:right w:val="single" w:sz="4" w:space="0" w:color="auto"/>
            </w:tcBorders>
            <w:shd w:val="clear" w:color="auto" w:fill="auto"/>
            <w:noWrap/>
            <w:vAlign w:val="bottom"/>
            <w:hideMark/>
          </w:tcPr>
          <w:p w14:paraId="1848CB1F" w14:textId="77777777" w:rsidR="007B65E2" w:rsidRPr="003F6084" w:rsidRDefault="007B65E2" w:rsidP="007B65E2">
            <w:pPr>
              <w:spacing w:after="0" w:line="240" w:lineRule="auto"/>
              <w:rPr>
                <w:rFonts w:ascii="Calibri" w:eastAsia="Times New Roman" w:hAnsi="Calibri" w:cs="Calibri"/>
                <w:b/>
                <w:color w:val="000000"/>
                <w:sz w:val="16"/>
                <w:lang w:eastAsia="zh-CN"/>
              </w:rPr>
            </w:pPr>
            <w:r w:rsidRPr="003F6084">
              <w:rPr>
                <w:rFonts w:ascii="Calibri" w:eastAsia="Times New Roman" w:hAnsi="Calibri" w:cs="Calibri"/>
                <w:b/>
                <w:color w:val="000000"/>
                <w:sz w:val="16"/>
                <w:lang w:eastAsia="zh-CN"/>
              </w:rPr>
              <w:t> </w:t>
            </w:r>
          </w:p>
        </w:tc>
      </w:tr>
      <w:tr w:rsidR="003F6084" w:rsidRPr="003F6084" w14:paraId="5A0E2D1F" w14:textId="77777777" w:rsidTr="009B58D9">
        <w:trPr>
          <w:trHeight w:val="290"/>
        </w:trPr>
        <w:tc>
          <w:tcPr>
            <w:tcW w:w="931" w:type="dxa"/>
            <w:vMerge/>
            <w:tcBorders>
              <w:top w:val="nil"/>
              <w:left w:val="single" w:sz="4" w:space="0" w:color="auto"/>
              <w:bottom w:val="single" w:sz="4" w:space="0" w:color="auto"/>
              <w:right w:val="single" w:sz="4" w:space="0" w:color="auto"/>
            </w:tcBorders>
            <w:vAlign w:val="center"/>
            <w:hideMark/>
          </w:tcPr>
          <w:p w14:paraId="4B2455F3" w14:textId="77777777" w:rsidR="007B65E2" w:rsidRPr="003F6084" w:rsidRDefault="007B65E2" w:rsidP="007B65E2">
            <w:pPr>
              <w:spacing w:after="0" w:line="240" w:lineRule="auto"/>
              <w:rPr>
                <w:rFonts w:ascii="Calibri" w:eastAsia="Times New Roman" w:hAnsi="Calibri" w:cs="Calibri"/>
                <w:b/>
                <w:bCs/>
                <w:color w:val="000000"/>
                <w:sz w:val="10"/>
                <w:lang w:eastAsia="zh-CN"/>
              </w:rPr>
            </w:pPr>
          </w:p>
        </w:tc>
        <w:tc>
          <w:tcPr>
            <w:tcW w:w="1260" w:type="dxa"/>
            <w:tcBorders>
              <w:top w:val="nil"/>
              <w:left w:val="nil"/>
              <w:bottom w:val="single" w:sz="4" w:space="0" w:color="auto"/>
              <w:right w:val="nil"/>
            </w:tcBorders>
            <w:shd w:val="clear" w:color="auto" w:fill="auto"/>
            <w:noWrap/>
            <w:vAlign w:val="bottom"/>
            <w:hideMark/>
          </w:tcPr>
          <w:p w14:paraId="4C021648" w14:textId="77777777" w:rsidR="007B65E2" w:rsidRPr="003F6084" w:rsidRDefault="007B65E2" w:rsidP="007B65E2">
            <w:pPr>
              <w:spacing w:after="0" w:line="240" w:lineRule="auto"/>
              <w:rPr>
                <w:rFonts w:ascii="Calibri" w:eastAsia="Times New Roman" w:hAnsi="Calibri" w:cs="Calibri"/>
                <w:color w:val="000000"/>
                <w:sz w:val="10"/>
                <w:lang w:eastAsia="zh-CN"/>
              </w:rPr>
            </w:pPr>
            <w:r w:rsidRPr="003F6084">
              <w:rPr>
                <w:rFonts w:ascii="Calibri" w:eastAsia="Times New Roman" w:hAnsi="Calibri" w:cs="Calibri"/>
                <w:color w:val="000000"/>
                <w:sz w:val="10"/>
                <w:lang w:eastAsia="zh-CN"/>
              </w:rPr>
              <w:t> </w:t>
            </w:r>
          </w:p>
        </w:tc>
        <w:tc>
          <w:tcPr>
            <w:tcW w:w="1070" w:type="dxa"/>
            <w:tcBorders>
              <w:top w:val="nil"/>
              <w:left w:val="nil"/>
              <w:bottom w:val="single" w:sz="4" w:space="0" w:color="auto"/>
              <w:right w:val="nil"/>
            </w:tcBorders>
            <w:shd w:val="clear" w:color="auto" w:fill="auto"/>
            <w:noWrap/>
            <w:vAlign w:val="bottom"/>
            <w:hideMark/>
          </w:tcPr>
          <w:p w14:paraId="071D9B2E" w14:textId="77777777" w:rsidR="007B65E2" w:rsidRPr="003F6084" w:rsidRDefault="007B65E2" w:rsidP="007B65E2">
            <w:pPr>
              <w:spacing w:after="0" w:line="240" w:lineRule="auto"/>
              <w:rPr>
                <w:rFonts w:ascii="Calibri" w:eastAsia="Times New Roman" w:hAnsi="Calibri" w:cs="Calibri"/>
                <w:color w:val="000000"/>
                <w:sz w:val="10"/>
                <w:lang w:eastAsia="zh-CN"/>
              </w:rPr>
            </w:pPr>
            <w:r w:rsidRPr="003F6084">
              <w:rPr>
                <w:rFonts w:ascii="Calibri" w:eastAsia="Times New Roman" w:hAnsi="Calibri" w:cs="Calibri"/>
                <w:color w:val="000000"/>
                <w:sz w:val="10"/>
                <w:lang w:eastAsia="zh-CN"/>
              </w:rPr>
              <w:t> </w:t>
            </w:r>
          </w:p>
        </w:tc>
        <w:tc>
          <w:tcPr>
            <w:tcW w:w="992" w:type="dxa"/>
            <w:tcBorders>
              <w:top w:val="nil"/>
              <w:left w:val="nil"/>
              <w:bottom w:val="single" w:sz="4" w:space="0" w:color="auto"/>
              <w:right w:val="nil"/>
            </w:tcBorders>
            <w:shd w:val="clear" w:color="auto" w:fill="auto"/>
            <w:noWrap/>
            <w:vAlign w:val="bottom"/>
            <w:hideMark/>
          </w:tcPr>
          <w:p w14:paraId="15D6F115" w14:textId="77777777" w:rsidR="007B65E2" w:rsidRPr="003F6084" w:rsidRDefault="007B65E2" w:rsidP="007B65E2">
            <w:pPr>
              <w:spacing w:after="0" w:line="240" w:lineRule="auto"/>
              <w:rPr>
                <w:rFonts w:ascii="Calibri" w:eastAsia="Times New Roman" w:hAnsi="Calibri" w:cs="Calibri"/>
                <w:color w:val="000000"/>
                <w:sz w:val="10"/>
                <w:lang w:eastAsia="zh-CN"/>
              </w:rPr>
            </w:pPr>
            <w:r w:rsidRPr="003F6084">
              <w:rPr>
                <w:rFonts w:ascii="Calibri" w:eastAsia="Times New Roman" w:hAnsi="Calibri" w:cs="Calibri"/>
                <w:color w:val="000000"/>
                <w:sz w:val="10"/>
                <w:lang w:eastAsia="zh-CN"/>
              </w:rPr>
              <w:t> </w:t>
            </w:r>
          </w:p>
        </w:tc>
        <w:tc>
          <w:tcPr>
            <w:tcW w:w="992" w:type="dxa"/>
            <w:tcBorders>
              <w:top w:val="nil"/>
              <w:left w:val="nil"/>
              <w:bottom w:val="single" w:sz="4" w:space="0" w:color="auto"/>
              <w:right w:val="nil"/>
            </w:tcBorders>
            <w:shd w:val="clear" w:color="auto" w:fill="auto"/>
            <w:noWrap/>
            <w:vAlign w:val="bottom"/>
            <w:hideMark/>
          </w:tcPr>
          <w:p w14:paraId="71EB5D09" w14:textId="77777777" w:rsidR="007B65E2" w:rsidRPr="003F6084" w:rsidRDefault="007B65E2" w:rsidP="007B65E2">
            <w:pPr>
              <w:spacing w:after="0" w:line="240" w:lineRule="auto"/>
              <w:rPr>
                <w:rFonts w:ascii="Calibri" w:eastAsia="Times New Roman" w:hAnsi="Calibri" w:cs="Calibri"/>
                <w:color w:val="000000"/>
                <w:sz w:val="10"/>
                <w:lang w:eastAsia="zh-CN"/>
              </w:rPr>
            </w:pPr>
            <w:r w:rsidRPr="003F6084">
              <w:rPr>
                <w:rFonts w:ascii="Calibri" w:eastAsia="Times New Roman" w:hAnsi="Calibri" w:cs="Calibri"/>
                <w:color w:val="000000"/>
                <w:sz w:val="10"/>
                <w:lang w:eastAsia="zh-CN"/>
              </w:rPr>
              <w:t> </w:t>
            </w:r>
          </w:p>
        </w:tc>
        <w:tc>
          <w:tcPr>
            <w:tcW w:w="894" w:type="dxa"/>
            <w:tcBorders>
              <w:top w:val="nil"/>
              <w:left w:val="nil"/>
              <w:bottom w:val="single" w:sz="4" w:space="0" w:color="auto"/>
              <w:right w:val="nil"/>
            </w:tcBorders>
            <w:shd w:val="clear" w:color="auto" w:fill="auto"/>
            <w:noWrap/>
            <w:vAlign w:val="bottom"/>
            <w:hideMark/>
          </w:tcPr>
          <w:p w14:paraId="6D5D1B20" w14:textId="77777777" w:rsidR="007B65E2" w:rsidRPr="003F6084" w:rsidRDefault="007B65E2" w:rsidP="007B65E2">
            <w:pPr>
              <w:spacing w:after="0" w:line="240" w:lineRule="auto"/>
              <w:rPr>
                <w:rFonts w:ascii="Calibri" w:eastAsia="Times New Roman" w:hAnsi="Calibri" w:cs="Calibri"/>
                <w:color w:val="000000"/>
                <w:sz w:val="10"/>
                <w:lang w:eastAsia="zh-CN"/>
              </w:rPr>
            </w:pPr>
            <w:r w:rsidRPr="003F6084">
              <w:rPr>
                <w:rFonts w:ascii="Calibri" w:eastAsia="Times New Roman" w:hAnsi="Calibri" w:cs="Calibri"/>
                <w:color w:val="000000"/>
                <w:sz w:val="10"/>
                <w:lang w:eastAsia="zh-CN"/>
              </w:rPr>
              <w:t> </w:t>
            </w:r>
          </w:p>
        </w:tc>
        <w:tc>
          <w:tcPr>
            <w:tcW w:w="930" w:type="dxa"/>
            <w:tcBorders>
              <w:top w:val="nil"/>
              <w:left w:val="nil"/>
              <w:bottom w:val="single" w:sz="4" w:space="0" w:color="auto"/>
              <w:right w:val="nil"/>
            </w:tcBorders>
            <w:shd w:val="clear" w:color="auto" w:fill="auto"/>
            <w:noWrap/>
            <w:vAlign w:val="bottom"/>
            <w:hideMark/>
          </w:tcPr>
          <w:p w14:paraId="27E69A61" w14:textId="77777777" w:rsidR="007B65E2" w:rsidRPr="003F6084" w:rsidRDefault="007B65E2" w:rsidP="007B65E2">
            <w:pPr>
              <w:spacing w:after="0" w:line="240" w:lineRule="auto"/>
              <w:rPr>
                <w:rFonts w:ascii="Calibri" w:eastAsia="Times New Roman" w:hAnsi="Calibri" w:cs="Calibri"/>
                <w:color w:val="000000"/>
                <w:sz w:val="10"/>
                <w:lang w:eastAsia="zh-CN"/>
              </w:rPr>
            </w:pPr>
            <w:r w:rsidRPr="003F6084">
              <w:rPr>
                <w:rFonts w:ascii="Calibri" w:eastAsia="Times New Roman" w:hAnsi="Calibri" w:cs="Calibri"/>
                <w:color w:val="000000"/>
                <w:sz w:val="10"/>
                <w:lang w:eastAsia="zh-CN"/>
              </w:rPr>
              <w:t> </w:t>
            </w:r>
          </w:p>
        </w:tc>
        <w:tc>
          <w:tcPr>
            <w:tcW w:w="922" w:type="dxa"/>
            <w:tcBorders>
              <w:top w:val="nil"/>
              <w:left w:val="nil"/>
              <w:bottom w:val="single" w:sz="4" w:space="0" w:color="auto"/>
              <w:right w:val="nil"/>
            </w:tcBorders>
            <w:shd w:val="clear" w:color="auto" w:fill="auto"/>
            <w:noWrap/>
            <w:vAlign w:val="bottom"/>
            <w:hideMark/>
          </w:tcPr>
          <w:p w14:paraId="54BD498A" w14:textId="77777777" w:rsidR="007B65E2" w:rsidRPr="003F6084" w:rsidRDefault="007B65E2" w:rsidP="007B65E2">
            <w:pPr>
              <w:spacing w:after="0" w:line="240" w:lineRule="auto"/>
              <w:rPr>
                <w:rFonts w:ascii="Calibri" w:eastAsia="Times New Roman" w:hAnsi="Calibri" w:cs="Calibri"/>
                <w:color w:val="000000"/>
                <w:sz w:val="10"/>
                <w:lang w:eastAsia="zh-CN"/>
              </w:rPr>
            </w:pPr>
            <w:r w:rsidRPr="003F6084">
              <w:rPr>
                <w:rFonts w:ascii="Calibri" w:eastAsia="Times New Roman" w:hAnsi="Calibri" w:cs="Calibri"/>
                <w:color w:val="000000"/>
                <w:sz w:val="10"/>
                <w:lang w:eastAsia="zh-CN"/>
              </w:rPr>
              <w:t> </w:t>
            </w:r>
          </w:p>
        </w:tc>
        <w:tc>
          <w:tcPr>
            <w:tcW w:w="922" w:type="dxa"/>
            <w:tcBorders>
              <w:top w:val="nil"/>
              <w:left w:val="nil"/>
              <w:bottom w:val="single" w:sz="4" w:space="0" w:color="auto"/>
              <w:right w:val="nil"/>
            </w:tcBorders>
            <w:shd w:val="clear" w:color="auto" w:fill="auto"/>
            <w:noWrap/>
            <w:vAlign w:val="bottom"/>
            <w:hideMark/>
          </w:tcPr>
          <w:p w14:paraId="7CBB05DA" w14:textId="77777777" w:rsidR="007B65E2" w:rsidRPr="003F6084" w:rsidRDefault="007B65E2" w:rsidP="007B65E2">
            <w:pPr>
              <w:spacing w:after="0" w:line="240" w:lineRule="auto"/>
              <w:rPr>
                <w:rFonts w:ascii="Calibri" w:eastAsia="Times New Roman" w:hAnsi="Calibri" w:cs="Calibri"/>
                <w:color w:val="000000"/>
                <w:sz w:val="10"/>
                <w:lang w:eastAsia="zh-CN"/>
              </w:rPr>
            </w:pPr>
            <w:r w:rsidRPr="003F6084">
              <w:rPr>
                <w:rFonts w:ascii="Calibri" w:eastAsia="Times New Roman" w:hAnsi="Calibri" w:cs="Calibri"/>
                <w:color w:val="000000"/>
                <w:sz w:val="10"/>
                <w:lang w:eastAsia="zh-CN"/>
              </w:rPr>
              <w:t> </w:t>
            </w:r>
          </w:p>
        </w:tc>
        <w:tc>
          <w:tcPr>
            <w:tcW w:w="930" w:type="dxa"/>
            <w:tcBorders>
              <w:top w:val="nil"/>
              <w:left w:val="nil"/>
              <w:bottom w:val="single" w:sz="4" w:space="0" w:color="auto"/>
              <w:right w:val="nil"/>
            </w:tcBorders>
            <w:shd w:val="clear" w:color="auto" w:fill="auto"/>
            <w:noWrap/>
            <w:vAlign w:val="bottom"/>
            <w:hideMark/>
          </w:tcPr>
          <w:p w14:paraId="2DDC6A6B" w14:textId="77777777" w:rsidR="007B65E2" w:rsidRPr="003F6084" w:rsidRDefault="007B65E2" w:rsidP="007B65E2">
            <w:pPr>
              <w:spacing w:after="0" w:line="240" w:lineRule="auto"/>
              <w:rPr>
                <w:rFonts w:ascii="Calibri" w:eastAsia="Times New Roman" w:hAnsi="Calibri" w:cs="Calibri"/>
                <w:color w:val="000000"/>
                <w:sz w:val="10"/>
                <w:lang w:eastAsia="zh-CN"/>
              </w:rPr>
            </w:pPr>
            <w:r w:rsidRPr="003F6084">
              <w:rPr>
                <w:rFonts w:ascii="Calibri" w:eastAsia="Times New Roman" w:hAnsi="Calibri" w:cs="Calibri"/>
                <w:color w:val="000000"/>
                <w:sz w:val="10"/>
                <w:lang w:eastAsia="zh-CN"/>
              </w:rPr>
              <w:t> </w:t>
            </w:r>
          </w:p>
        </w:tc>
        <w:tc>
          <w:tcPr>
            <w:tcW w:w="1072" w:type="dxa"/>
            <w:tcBorders>
              <w:top w:val="nil"/>
              <w:left w:val="nil"/>
              <w:bottom w:val="single" w:sz="4" w:space="0" w:color="auto"/>
              <w:right w:val="nil"/>
            </w:tcBorders>
            <w:shd w:val="clear" w:color="auto" w:fill="auto"/>
            <w:noWrap/>
            <w:vAlign w:val="bottom"/>
            <w:hideMark/>
          </w:tcPr>
          <w:p w14:paraId="7BEB45D6" w14:textId="77777777" w:rsidR="007B65E2" w:rsidRPr="003F6084" w:rsidRDefault="007B65E2" w:rsidP="007B65E2">
            <w:pPr>
              <w:spacing w:after="0" w:line="240" w:lineRule="auto"/>
              <w:rPr>
                <w:rFonts w:ascii="Calibri" w:eastAsia="Times New Roman" w:hAnsi="Calibri" w:cs="Calibri"/>
                <w:color w:val="000000"/>
                <w:sz w:val="10"/>
                <w:lang w:eastAsia="zh-CN"/>
              </w:rPr>
            </w:pPr>
            <w:r w:rsidRPr="003F6084">
              <w:rPr>
                <w:rFonts w:ascii="Calibri" w:eastAsia="Times New Roman" w:hAnsi="Calibri" w:cs="Calibri"/>
                <w:color w:val="000000"/>
                <w:sz w:val="10"/>
                <w:lang w:eastAsia="zh-CN"/>
              </w:rPr>
              <w:t> </w:t>
            </w:r>
          </w:p>
        </w:tc>
        <w:tc>
          <w:tcPr>
            <w:tcW w:w="992" w:type="dxa"/>
            <w:tcBorders>
              <w:top w:val="nil"/>
              <w:left w:val="nil"/>
              <w:bottom w:val="single" w:sz="4" w:space="0" w:color="auto"/>
              <w:right w:val="nil"/>
            </w:tcBorders>
            <w:shd w:val="clear" w:color="auto" w:fill="auto"/>
            <w:noWrap/>
            <w:vAlign w:val="bottom"/>
            <w:hideMark/>
          </w:tcPr>
          <w:p w14:paraId="0BE32113" w14:textId="77777777" w:rsidR="007B65E2" w:rsidRPr="003F6084" w:rsidRDefault="007B65E2" w:rsidP="007B65E2">
            <w:pPr>
              <w:spacing w:after="0" w:line="240" w:lineRule="auto"/>
              <w:rPr>
                <w:rFonts w:ascii="Calibri" w:eastAsia="Times New Roman" w:hAnsi="Calibri" w:cs="Calibri"/>
                <w:color w:val="000000"/>
                <w:sz w:val="10"/>
                <w:lang w:eastAsia="zh-CN"/>
              </w:rPr>
            </w:pPr>
            <w:r w:rsidRPr="003F6084">
              <w:rPr>
                <w:rFonts w:ascii="Calibri" w:eastAsia="Times New Roman" w:hAnsi="Calibri" w:cs="Calibri"/>
                <w:color w:val="000000"/>
                <w:sz w:val="10"/>
                <w:lang w:eastAsia="zh-CN"/>
              </w:rPr>
              <w:t> </w:t>
            </w:r>
          </w:p>
        </w:tc>
        <w:tc>
          <w:tcPr>
            <w:tcW w:w="742" w:type="dxa"/>
            <w:tcBorders>
              <w:top w:val="nil"/>
              <w:left w:val="nil"/>
              <w:bottom w:val="single" w:sz="4" w:space="0" w:color="auto"/>
              <w:right w:val="nil"/>
            </w:tcBorders>
            <w:shd w:val="clear" w:color="auto" w:fill="auto"/>
            <w:noWrap/>
            <w:vAlign w:val="bottom"/>
            <w:hideMark/>
          </w:tcPr>
          <w:p w14:paraId="237892F9" w14:textId="77777777" w:rsidR="007B65E2" w:rsidRPr="003F6084" w:rsidRDefault="007B65E2" w:rsidP="007B65E2">
            <w:pPr>
              <w:spacing w:after="0" w:line="240" w:lineRule="auto"/>
              <w:rPr>
                <w:rFonts w:ascii="Calibri" w:eastAsia="Times New Roman" w:hAnsi="Calibri" w:cs="Calibri"/>
                <w:color w:val="000000"/>
                <w:sz w:val="10"/>
                <w:lang w:eastAsia="zh-CN"/>
              </w:rPr>
            </w:pPr>
            <w:r w:rsidRPr="003F6084">
              <w:rPr>
                <w:rFonts w:ascii="Calibri" w:eastAsia="Times New Roman" w:hAnsi="Calibri" w:cs="Calibri"/>
                <w:color w:val="000000"/>
                <w:sz w:val="10"/>
                <w:lang w:eastAsia="zh-CN"/>
              </w:rPr>
              <w:t> </w:t>
            </w:r>
          </w:p>
        </w:tc>
        <w:tc>
          <w:tcPr>
            <w:tcW w:w="906" w:type="dxa"/>
            <w:tcBorders>
              <w:top w:val="nil"/>
              <w:left w:val="nil"/>
              <w:bottom w:val="single" w:sz="4" w:space="0" w:color="auto"/>
              <w:right w:val="nil"/>
            </w:tcBorders>
            <w:shd w:val="clear" w:color="auto" w:fill="auto"/>
            <w:noWrap/>
            <w:vAlign w:val="bottom"/>
            <w:hideMark/>
          </w:tcPr>
          <w:p w14:paraId="63AB0F5B" w14:textId="77777777" w:rsidR="007B65E2" w:rsidRPr="003F6084" w:rsidRDefault="007B65E2" w:rsidP="007B65E2">
            <w:pPr>
              <w:spacing w:after="0" w:line="240" w:lineRule="auto"/>
              <w:rPr>
                <w:rFonts w:ascii="Calibri" w:eastAsia="Times New Roman" w:hAnsi="Calibri" w:cs="Calibri"/>
                <w:color w:val="000000"/>
                <w:sz w:val="10"/>
                <w:lang w:eastAsia="zh-CN"/>
              </w:rPr>
            </w:pPr>
            <w:r w:rsidRPr="003F6084">
              <w:rPr>
                <w:rFonts w:ascii="Calibri" w:eastAsia="Times New Roman" w:hAnsi="Calibri" w:cs="Calibri"/>
                <w:color w:val="000000"/>
                <w:sz w:val="10"/>
                <w:lang w:eastAsia="zh-CN"/>
              </w:rPr>
              <w:t> </w:t>
            </w:r>
          </w:p>
        </w:tc>
        <w:tc>
          <w:tcPr>
            <w:tcW w:w="908" w:type="dxa"/>
            <w:tcBorders>
              <w:top w:val="nil"/>
              <w:left w:val="nil"/>
              <w:bottom w:val="single" w:sz="4" w:space="0" w:color="auto"/>
              <w:right w:val="nil"/>
            </w:tcBorders>
            <w:shd w:val="clear" w:color="auto" w:fill="auto"/>
            <w:noWrap/>
            <w:vAlign w:val="bottom"/>
            <w:hideMark/>
          </w:tcPr>
          <w:p w14:paraId="3478F90A" w14:textId="77777777" w:rsidR="007B65E2" w:rsidRPr="003F6084" w:rsidRDefault="007B65E2" w:rsidP="007B65E2">
            <w:pPr>
              <w:spacing w:after="0" w:line="240" w:lineRule="auto"/>
              <w:rPr>
                <w:rFonts w:ascii="Calibri" w:eastAsia="Times New Roman" w:hAnsi="Calibri" w:cs="Calibri"/>
                <w:color w:val="000000"/>
                <w:sz w:val="10"/>
                <w:lang w:eastAsia="zh-CN"/>
              </w:rPr>
            </w:pPr>
            <w:r w:rsidRPr="003F6084">
              <w:rPr>
                <w:rFonts w:ascii="Calibri" w:eastAsia="Times New Roman" w:hAnsi="Calibri" w:cs="Calibri"/>
                <w:color w:val="000000"/>
                <w:sz w:val="10"/>
                <w:lang w:eastAsia="zh-CN"/>
              </w:rPr>
              <w:t> </w:t>
            </w:r>
          </w:p>
        </w:tc>
        <w:tc>
          <w:tcPr>
            <w:tcW w:w="930" w:type="dxa"/>
            <w:tcBorders>
              <w:top w:val="nil"/>
              <w:left w:val="nil"/>
              <w:bottom w:val="single" w:sz="4" w:space="0" w:color="auto"/>
              <w:right w:val="single" w:sz="4" w:space="0" w:color="auto"/>
            </w:tcBorders>
            <w:shd w:val="clear" w:color="auto" w:fill="auto"/>
            <w:noWrap/>
            <w:vAlign w:val="bottom"/>
            <w:hideMark/>
          </w:tcPr>
          <w:p w14:paraId="1FF6CC73" w14:textId="77777777" w:rsidR="007B65E2" w:rsidRPr="003F6084" w:rsidRDefault="007B65E2" w:rsidP="007B65E2">
            <w:pPr>
              <w:spacing w:after="0" w:line="240" w:lineRule="auto"/>
              <w:rPr>
                <w:rFonts w:ascii="Calibri" w:eastAsia="Times New Roman" w:hAnsi="Calibri" w:cs="Calibri"/>
                <w:color w:val="000000"/>
                <w:sz w:val="10"/>
                <w:lang w:eastAsia="zh-CN"/>
              </w:rPr>
            </w:pPr>
            <w:r w:rsidRPr="003F6084">
              <w:rPr>
                <w:rFonts w:ascii="Calibri" w:eastAsia="Times New Roman" w:hAnsi="Calibri" w:cs="Calibri"/>
                <w:color w:val="000000"/>
                <w:sz w:val="10"/>
                <w:lang w:eastAsia="zh-CN"/>
              </w:rPr>
              <w:t> </w:t>
            </w:r>
          </w:p>
        </w:tc>
      </w:tr>
      <w:tr w:rsidR="009B58D9" w:rsidRPr="009B58D9" w14:paraId="5544A011" w14:textId="77777777" w:rsidTr="009B58D9">
        <w:trPr>
          <w:trHeight w:val="290"/>
        </w:trPr>
        <w:tc>
          <w:tcPr>
            <w:tcW w:w="931" w:type="dxa"/>
            <w:tcBorders>
              <w:top w:val="single" w:sz="4" w:space="0" w:color="auto"/>
              <w:left w:val="single" w:sz="4" w:space="0" w:color="auto"/>
              <w:bottom w:val="single" w:sz="4" w:space="0" w:color="auto"/>
              <w:right w:val="single" w:sz="4" w:space="0" w:color="auto"/>
            </w:tcBorders>
            <w:vAlign w:val="center"/>
          </w:tcPr>
          <w:p w14:paraId="059C453D" w14:textId="30485550" w:rsidR="009B58D9" w:rsidRPr="009B58D9" w:rsidRDefault="009B58D9" w:rsidP="009B58D9">
            <w:pPr>
              <w:spacing w:after="0" w:line="240" w:lineRule="auto"/>
              <w:jc w:val="center"/>
              <w:rPr>
                <w:rFonts w:ascii="Calibri" w:eastAsia="Times New Roman" w:hAnsi="Calibri" w:cs="Calibri"/>
                <w:b/>
                <w:bCs/>
                <w:color w:val="000000"/>
                <w:sz w:val="18"/>
                <w:lang w:eastAsia="zh-CN"/>
              </w:rPr>
            </w:pPr>
            <w:r w:rsidRPr="009B58D9">
              <w:rPr>
                <w:rFonts w:ascii="Calibri" w:eastAsia="Times New Roman" w:hAnsi="Calibri" w:cs="Calibri"/>
                <w:b/>
                <w:bCs/>
                <w:color w:val="000000"/>
                <w:sz w:val="18"/>
                <w:lang w:eastAsia="zh-CN"/>
              </w:rPr>
              <w:t xml:space="preserve">Number of </w:t>
            </w:r>
            <w:r>
              <w:rPr>
                <w:rFonts w:ascii="Calibri" w:eastAsia="Times New Roman" w:hAnsi="Calibri" w:cs="Calibri"/>
                <w:b/>
                <w:bCs/>
                <w:color w:val="000000"/>
                <w:sz w:val="18"/>
                <w:lang w:eastAsia="zh-CN"/>
              </w:rPr>
              <w:t xml:space="preserve">segment </w:t>
            </w:r>
            <w:r w:rsidRPr="009B58D9">
              <w:rPr>
                <w:rFonts w:ascii="Calibri" w:eastAsia="Times New Roman" w:hAnsi="Calibri" w:cs="Calibri"/>
                <w:b/>
                <w:bCs/>
                <w:color w:val="000000"/>
                <w:sz w:val="18"/>
                <w:lang w:eastAsia="zh-CN"/>
              </w:rPr>
              <w:t>themes</w:t>
            </w:r>
          </w:p>
        </w:tc>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18F260" w14:textId="61FDB4C1" w:rsidR="009B58D9" w:rsidRPr="009B58D9" w:rsidRDefault="009B58D9" w:rsidP="009B58D9">
            <w:pPr>
              <w:spacing w:after="0" w:line="240" w:lineRule="auto"/>
              <w:jc w:val="center"/>
              <w:rPr>
                <w:rFonts w:ascii="Calibri" w:eastAsia="Times New Roman" w:hAnsi="Calibri" w:cs="Calibri"/>
                <w:color w:val="000000"/>
                <w:sz w:val="32"/>
                <w:lang w:eastAsia="zh-CN"/>
              </w:rPr>
            </w:pPr>
            <w:r w:rsidRPr="009B58D9">
              <w:rPr>
                <w:rFonts w:ascii="Calibri" w:eastAsia="Times New Roman" w:hAnsi="Calibri" w:cs="Calibri"/>
                <w:color w:val="000000"/>
                <w:sz w:val="32"/>
                <w:lang w:eastAsia="zh-CN"/>
              </w:rPr>
              <w:t>4</w:t>
            </w:r>
          </w:p>
        </w:tc>
        <w:tc>
          <w:tcPr>
            <w:tcW w:w="107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173612" w14:textId="5D0C3005" w:rsidR="009B58D9" w:rsidRPr="009B58D9" w:rsidRDefault="009B58D9" w:rsidP="009B58D9">
            <w:pPr>
              <w:spacing w:after="0" w:line="240" w:lineRule="auto"/>
              <w:jc w:val="center"/>
              <w:rPr>
                <w:rFonts w:ascii="Calibri" w:eastAsia="Times New Roman" w:hAnsi="Calibri" w:cs="Calibri"/>
                <w:color w:val="000000"/>
                <w:sz w:val="32"/>
                <w:lang w:eastAsia="zh-CN"/>
              </w:rPr>
            </w:pPr>
            <w:r>
              <w:rPr>
                <w:rFonts w:ascii="Calibri" w:eastAsia="Times New Roman" w:hAnsi="Calibri" w:cs="Calibri"/>
                <w:color w:val="000000"/>
                <w:sz w:val="32"/>
                <w:lang w:eastAsia="zh-CN"/>
              </w:rPr>
              <w:t>10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8251A4" w14:textId="379B1CD7" w:rsidR="009B58D9" w:rsidRPr="009B58D9" w:rsidRDefault="009B58D9" w:rsidP="009B58D9">
            <w:pPr>
              <w:spacing w:after="0" w:line="240" w:lineRule="auto"/>
              <w:jc w:val="center"/>
              <w:rPr>
                <w:rFonts w:ascii="Calibri" w:eastAsia="Times New Roman" w:hAnsi="Calibri" w:cs="Calibri"/>
                <w:color w:val="000000"/>
                <w:sz w:val="32"/>
                <w:lang w:eastAsia="zh-CN"/>
              </w:rPr>
            </w:pPr>
            <w:r>
              <w:rPr>
                <w:rFonts w:ascii="Calibri" w:eastAsia="Times New Roman" w:hAnsi="Calibri" w:cs="Calibri"/>
                <w:color w:val="000000"/>
                <w:sz w:val="32"/>
                <w:lang w:eastAsia="zh-CN"/>
              </w:rPr>
              <w:t>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82D939" w14:textId="54AE2298" w:rsidR="009B58D9" w:rsidRPr="009B58D9" w:rsidRDefault="009B58D9" w:rsidP="009B58D9">
            <w:pPr>
              <w:spacing w:after="0" w:line="240" w:lineRule="auto"/>
              <w:jc w:val="center"/>
              <w:rPr>
                <w:rFonts w:ascii="Calibri" w:eastAsia="Times New Roman" w:hAnsi="Calibri" w:cs="Calibri"/>
                <w:color w:val="000000"/>
                <w:sz w:val="32"/>
                <w:lang w:eastAsia="zh-CN"/>
              </w:rPr>
            </w:pPr>
            <w:r>
              <w:rPr>
                <w:rFonts w:ascii="Calibri" w:eastAsia="Times New Roman" w:hAnsi="Calibri" w:cs="Calibri"/>
                <w:color w:val="000000"/>
                <w:sz w:val="32"/>
                <w:lang w:eastAsia="zh-CN"/>
              </w:rPr>
              <w:t>6</w:t>
            </w:r>
          </w:p>
        </w:tc>
        <w:tc>
          <w:tcPr>
            <w:tcW w:w="89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D40E9D" w14:textId="37720DCA" w:rsidR="009B58D9" w:rsidRPr="009B58D9" w:rsidRDefault="009B58D9" w:rsidP="009B58D9">
            <w:pPr>
              <w:spacing w:after="0" w:line="240" w:lineRule="auto"/>
              <w:jc w:val="center"/>
              <w:rPr>
                <w:rFonts w:ascii="Calibri" w:eastAsia="Times New Roman" w:hAnsi="Calibri" w:cs="Calibri"/>
                <w:color w:val="000000"/>
                <w:sz w:val="32"/>
                <w:lang w:eastAsia="zh-CN"/>
              </w:rPr>
            </w:pPr>
            <w:r>
              <w:rPr>
                <w:rFonts w:ascii="Calibri" w:eastAsia="Times New Roman" w:hAnsi="Calibri" w:cs="Calibri"/>
                <w:color w:val="000000"/>
                <w:sz w:val="32"/>
                <w:lang w:eastAsia="zh-CN"/>
              </w:rPr>
              <w:t>8</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416BA2" w14:textId="2D87DFCB" w:rsidR="009B58D9" w:rsidRPr="009B58D9" w:rsidRDefault="009B58D9" w:rsidP="009B58D9">
            <w:pPr>
              <w:spacing w:after="0" w:line="240" w:lineRule="auto"/>
              <w:jc w:val="center"/>
              <w:rPr>
                <w:rFonts w:ascii="Calibri" w:eastAsia="Times New Roman" w:hAnsi="Calibri" w:cs="Calibri"/>
                <w:color w:val="000000"/>
                <w:sz w:val="32"/>
                <w:lang w:eastAsia="zh-CN"/>
              </w:rPr>
            </w:pPr>
            <w:r>
              <w:rPr>
                <w:rFonts w:ascii="Calibri" w:eastAsia="Times New Roman" w:hAnsi="Calibri" w:cs="Calibri"/>
                <w:color w:val="000000"/>
                <w:sz w:val="32"/>
                <w:lang w:eastAsia="zh-CN"/>
              </w:rPr>
              <w:t>7</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CB1472" w14:textId="50A12751" w:rsidR="009B58D9" w:rsidRPr="009B58D9" w:rsidRDefault="009B58D9" w:rsidP="009B58D9">
            <w:pPr>
              <w:spacing w:after="0" w:line="240" w:lineRule="auto"/>
              <w:jc w:val="center"/>
              <w:rPr>
                <w:rFonts w:ascii="Calibri" w:eastAsia="Times New Roman" w:hAnsi="Calibri" w:cs="Calibri"/>
                <w:color w:val="000000"/>
                <w:sz w:val="32"/>
                <w:lang w:eastAsia="zh-CN"/>
              </w:rPr>
            </w:pPr>
            <w:r>
              <w:rPr>
                <w:rFonts w:ascii="Calibri" w:eastAsia="Times New Roman" w:hAnsi="Calibri" w:cs="Calibri"/>
                <w:color w:val="000000"/>
                <w:sz w:val="32"/>
                <w:lang w:eastAsia="zh-CN"/>
              </w:rPr>
              <w:t>7</w:t>
            </w:r>
          </w:p>
        </w:tc>
        <w:tc>
          <w:tcPr>
            <w:tcW w:w="92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DC3726" w14:textId="516E2D95" w:rsidR="009B58D9" w:rsidRPr="009B58D9" w:rsidRDefault="009B58D9" w:rsidP="009B58D9">
            <w:pPr>
              <w:spacing w:after="0" w:line="240" w:lineRule="auto"/>
              <w:jc w:val="center"/>
              <w:rPr>
                <w:rFonts w:ascii="Calibri" w:eastAsia="Times New Roman" w:hAnsi="Calibri" w:cs="Calibri"/>
                <w:color w:val="000000"/>
                <w:sz w:val="32"/>
                <w:lang w:eastAsia="zh-CN"/>
              </w:rPr>
            </w:pPr>
            <w:r>
              <w:rPr>
                <w:rFonts w:ascii="Calibri" w:eastAsia="Times New Roman" w:hAnsi="Calibri" w:cs="Calibri"/>
                <w:color w:val="000000"/>
                <w:sz w:val="32"/>
                <w:lang w:eastAsia="zh-CN"/>
              </w:rPr>
              <w:t>5</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3C8F8F" w14:textId="0AD7A132" w:rsidR="009B58D9" w:rsidRPr="009B58D9" w:rsidRDefault="009B58D9" w:rsidP="009B58D9">
            <w:pPr>
              <w:spacing w:after="0" w:line="240" w:lineRule="auto"/>
              <w:jc w:val="center"/>
              <w:rPr>
                <w:rFonts w:ascii="Calibri" w:eastAsia="Times New Roman" w:hAnsi="Calibri" w:cs="Calibri"/>
                <w:color w:val="000000"/>
                <w:sz w:val="32"/>
                <w:lang w:eastAsia="zh-CN"/>
              </w:rPr>
            </w:pPr>
            <w:r>
              <w:rPr>
                <w:rFonts w:ascii="Calibri" w:eastAsia="Times New Roman" w:hAnsi="Calibri" w:cs="Calibri"/>
                <w:color w:val="000000"/>
                <w:sz w:val="32"/>
                <w:lang w:eastAsia="zh-CN"/>
              </w:rPr>
              <w:t>6</w:t>
            </w:r>
          </w:p>
        </w:tc>
        <w:tc>
          <w:tcPr>
            <w:tcW w:w="107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5C4A38" w14:textId="0D4FBC81" w:rsidR="009B58D9" w:rsidRPr="009B58D9" w:rsidRDefault="009B58D9" w:rsidP="009B58D9">
            <w:pPr>
              <w:spacing w:after="0" w:line="240" w:lineRule="auto"/>
              <w:jc w:val="center"/>
              <w:rPr>
                <w:rFonts w:ascii="Calibri" w:eastAsia="Times New Roman" w:hAnsi="Calibri" w:cs="Calibri"/>
                <w:color w:val="000000"/>
                <w:sz w:val="32"/>
                <w:lang w:eastAsia="zh-CN"/>
              </w:rPr>
            </w:pPr>
            <w:r>
              <w:rPr>
                <w:rFonts w:ascii="Calibri" w:eastAsia="Times New Roman" w:hAnsi="Calibri" w:cs="Calibri"/>
                <w:color w:val="000000"/>
                <w:sz w:val="32"/>
                <w:lang w:eastAsia="zh-CN"/>
              </w:rPr>
              <w:t>4</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3984E7E" w14:textId="46FF6353" w:rsidR="009B58D9" w:rsidRPr="009B58D9" w:rsidRDefault="009B58D9" w:rsidP="009B58D9">
            <w:pPr>
              <w:spacing w:after="0" w:line="240" w:lineRule="auto"/>
              <w:jc w:val="center"/>
              <w:rPr>
                <w:rFonts w:ascii="Calibri" w:eastAsia="Times New Roman" w:hAnsi="Calibri" w:cs="Calibri"/>
                <w:color w:val="000000"/>
                <w:sz w:val="32"/>
                <w:lang w:eastAsia="zh-CN"/>
              </w:rPr>
            </w:pPr>
            <w:r>
              <w:rPr>
                <w:rFonts w:ascii="Calibri" w:eastAsia="Times New Roman" w:hAnsi="Calibri" w:cs="Calibri"/>
                <w:color w:val="000000"/>
                <w:sz w:val="32"/>
                <w:lang w:eastAsia="zh-CN"/>
              </w:rPr>
              <w:t>5</w:t>
            </w:r>
          </w:p>
        </w:tc>
        <w:tc>
          <w:tcPr>
            <w:tcW w:w="7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07ECE6" w14:textId="4E924569" w:rsidR="009B58D9" w:rsidRPr="009B58D9" w:rsidRDefault="009B58D9" w:rsidP="009B58D9">
            <w:pPr>
              <w:spacing w:after="0" w:line="240" w:lineRule="auto"/>
              <w:jc w:val="center"/>
              <w:rPr>
                <w:rFonts w:ascii="Calibri" w:eastAsia="Times New Roman" w:hAnsi="Calibri" w:cs="Calibri"/>
                <w:color w:val="000000"/>
                <w:sz w:val="32"/>
                <w:lang w:eastAsia="zh-CN"/>
              </w:rPr>
            </w:pPr>
            <w:r>
              <w:rPr>
                <w:rFonts w:ascii="Calibri" w:eastAsia="Times New Roman" w:hAnsi="Calibri" w:cs="Calibri"/>
                <w:color w:val="000000"/>
                <w:sz w:val="32"/>
                <w:lang w:eastAsia="zh-CN"/>
              </w:rPr>
              <w:t>4</w:t>
            </w:r>
          </w:p>
        </w:tc>
        <w:tc>
          <w:tcPr>
            <w:tcW w:w="90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180514" w14:textId="5C7DBA50" w:rsidR="009B58D9" w:rsidRPr="009B58D9" w:rsidRDefault="009B58D9" w:rsidP="009B58D9">
            <w:pPr>
              <w:spacing w:after="0" w:line="240" w:lineRule="auto"/>
              <w:jc w:val="center"/>
              <w:rPr>
                <w:rFonts w:ascii="Calibri" w:eastAsia="Times New Roman" w:hAnsi="Calibri" w:cs="Calibri"/>
                <w:color w:val="000000"/>
                <w:sz w:val="32"/>
                <w:lang w:eastAsia="zh-CN"/>
              </w:rPr>
            </w:pPr>
            <w:r>
              <w:rPr>
                <w:rFonts w:ascii="Calibri" w:eastAsia="Times New Roman" w:hAnsi="Calibri" w:cs="Calibri"/>
                <w:color w:val="000000"/>
                <w:sz w:val="32"/>
                <w:lang w:eastAsia="zh-CN"/>
              </w:rPr>
              <w:t>4</w:t>
            </w:r>
          </w:p>
        </w:tc>
        <w:tc>
          <w:tcPr>
            <w:tcW w:w="9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879BB8" w14:textId="5E6181DA" w:rsidR="009B58D9" w:rsidRPr="009B58D9" w:rsidRDefault="009B58D9" w:rsidP="009B58D9">
            <w:pPr>
              <w:spacing w:after="0" w:line="240" w:lineRule="auto"/>
              <w:jc w:val="center"/>
              <w:rPr>
                <w:rFonts w:ascii="Calibri" w:eastAsia="Times New Roman" w:hAnsi="Calibri" w:cs="Calibri"/>
                <w:color w:val="000000"/>
                <w:sz w:val="32"/>
                <w:lang w:eastAsia="zh-CN"/>
              </w:rPr>
            </w:pPr>
            <w:r>
              <w:rPr>
                <w:rFonts w:ascii="Calibri" w:eastAsia="Times New Roman" w:hAnsi="Calibri" w:cs="Calibri"/>
                <w:color w:val="000000"/>
                <w:sz w:val="32"/>
                <w:lang w:eastAsia="zh-CN"/>
              </w:rPr>
              <w:t>4</w:t>
            </w:r>
          </w:p>
        </w:tc>
        <w:tc>
          <w:tcPr>
            <w:tcW w:w="93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6DB84F" w14:textId="5DBF6C86" w:rsidR="009B58D9" w:rsidRPr="009B58D9" w:rsidRDefault="009B58D9" w:rsidP="009B58D9">
            <w:pPr>
              <w:spacing w:after="0" w:line="240" w:lineRule="auto"/>
              <w:jc w:val="center"/>
              <w:rPr>
                <w:rFonts w:ascii="Calibri" w:eastAsia="Times New Roman" w:hAnsi="Calibri" w:cs="Calibri"/>
                <w:color w:val="000000"/>
                <w:sz w:val="32"/>
                <w:lang w:eastAsia="zh-CN"/>
              </w:rPr>
            </w:pPr>
            <w:r>
              <w:rPr>
                <w:rFonts w:ascii="Calibri" w:eastAsia="Times New Roman" w:hAnsi="Calibri" w:cs="Calibri"/>
                <w:color w:val="000000"/>
                <w:sz w:val="32"/>
                <w:lang w:eastAsia="zh-CN"/>
              </w:rPr>
              <w:t>4</w:t>
            </w:r>
          </w:p>
        </w:tc>
      </w:tr>
    </w:tbl>
    <w:p w14:paraId="36C4B97D" w14:textId="03DBEB99" w:rsidR="007B65E2" w:rsidRDefault="007B65E2" w:rsidP="007B65E2">
      <w:pPr>
        <w:rPr>
          <w:sz w:val="18"/>
        </w:rPr>
      </w:pPr>
    </w:p>
    <w:p w14:paraId="1EC6BF39" w14:textId="329FCFE4" w:rsidR="003F6084" w:rsidRPr="00390719" w:rsidRDefault="003F6084" w:rsidP="003F6084">
      <w:pPr>
        <w:rPr>
          <w:rFonts w:ascii="Times New Roman" w:hAnsi="Times New Roman" w:cs="Times New Roman"/>
          <w:sz w:val="24"/>
          <w:szCs w:val="20"/>
        </w:rPr>
      </w:pPr>
      <w:r w:rsidRPr="00390719">
        <w:rPr>
          <w:rFonts w:ascii="Times New Roman" w:hAnsi="Times New Roman" w:cs="Times New Roman"/>
          <w:sz w:val="24"/>
          <w:szCs w:val="20"/>
        </w:rPr>
        <w:t>Comment: Segments were grouped together according to conceptually similar underlying healthcare needs</w:t>
      </w:r>
      <w:r w:rsidR="004637A9">
        <w:rPr>
          <w:rFonts w:ascii="Times New Roman" w:hAnsi="Times New Roman" w:cs="Times New Roman"/>
          <w:sz w:val="24"/>
          <w:szCs w:val="20"/>
        </w:rPr>
        <w:t xml:space="preserve">. The Johns Hopkins ACG System population segmentation scheme is described separately in its technical reference guide </w:t>
      </w:r>
      <w:r w:rsidR="004637A9">
        <w:rPr>
          <w:rFonts w:ascii="Times New Roman" w:hAnsi="Times New Roman" w:cs="Times New Roman"/>
          <w:sz w:val="24"/>
          <w:szCs w:val="20"/>
        </w:rPr>
        <w:fldChar w:fldCharType="begin"/>
      </w:r>
      <w:r w:rsidR="004637A9">
        <w:rPr>
          <w:rFonts w:ascii="Times New Roman" w:hAnsi="Times New Roman" w:cs="Times New Roman"/>
          <w:sz w:val="24"/>
          <w:szCs w:val="20"/>
        </w:rPr>
        <w:instrText xml:space="preserve"> ADDIN EN.CITE &lt;EndNote&gt;&lt;Cite&gt;&lt;Author&gt;Department_of_Health_Policy_and_Management&lt;/Author&gt;&lt;Year&gt;2015&lt;/Year&gt;&lt;RecNum&gt;159&lt;/RecNum&gt;&lt;DisplayText&gt;(2)&lt;/DisplayText&gt;&lt;record&gt;&lt;rec-number&gt;159&lt;/rec-number&gt;&lt;foreign-keys&gt;&lt;key app="EN" db-id="ee9erwffmxvtrdev0wovsv2zesvwxvrxdppv" timestamp="1531052858"&gt;159&lt;/key&gt;&lt;/foreign-keys&gt;&lt;ref-type name="Electronic Article"&gt;43&lt;/ref-type&gt;&lt;contributors&gt;&lt;authors&gt;&lt;author&gt;Department_of_Health_Policy_and_Management&lt;/author&gt;&lt;/authors&gt;&lt;/contributors&gt;&lt;titles&gt;&lt;title&gt;The Johns Hopkins ACG System Version 11 Technical Reference Guide&lt;/title&gt;&lt;/titles&gt;&lt;dates&gt;&lt;year&gt;2015&lt;/year&gt;&lt;pub-dates&gt;&lt;date&gt;8th July 2018&lt;/date&gt;&lt;/pub-dates&gt;&lt;/dates&gt;&lt;urls&gt;&lt;related-urls&gt;&lt;url&gt;https://www.healthpartners.com/ucm/groups/public/@hp/@public/documents/documents/cntrb_035024.pdf&lt;/url&gt;&lt;/related-urls&gt;&lt;/urls&gt;&lt;/record&gt;&lt;/Cite&gt;&lt;/EndNote&gt;</w:instrText>
      </w:r>
      <w:r w:rsidR="004637A9">
        <w:rPr>
          <w:rFonts w:ascii="Times New Roman" w:hAnsi="Times New Roman" w:cs="Times New Roman"/>
          <w:sz w:val="24"/>
          <w:szCs w:val="20"/>
        </w:rPr>
        <w:fldChar w:fldCharType="separate"/>
      </w:r>
      <w:r w:rsidR="004637A9">
        <w:rPr>
          <w:rFonts w:ascii="Times New Roman" w:hAnsi="Times New Roman" w:cs="Times New Roman"/>
          <w:noProof/>
          <w:sz w:val="24"/>
          <w:szCs w:val="20"/>
        </w:rPr>
        <w:t>(2)</w:t>
      </w:r>
      <w:r w:rsidR="004637A9">
        <w:rPr>
          <w:rFonts w:ascii="Times New Roman" w:hAnsi="Times New Roman" w:cs="Times New Roman"/>
          <w:sz w:val="24"/>
          <w:szCs w:val="20"/>
        </w:rPr>
        <w:fldChar w:fldCharType="end"/>
      </w:r>
      <w:r w:rsidR="004637A9">
        <w:rPr>
          <w:rFonts w:ascii="Times New Roman" w:hAnsi="Times New Roman" w:cs="Times New Roman"/>
          <w:sz w:val="24"/>
          <w:szCs w:val="20"/>
        </w:rPr>
        <w:t>.</w:t>
      </w:r>
      <w:r w:rsidR="003B328D">
        <w:rPr>
          <w:rFonts w:ascii="Times New Roman" w:hAnsi="Times New Roman" w:cs="Times New Roman"/>
          <w:sz w:val="24"/>
          <w:szCs w:val="20"/>
        </w:rPr>
        <w:t xml:space="preserve"> </w:t>
      </w:r>
      <w:r w:rsidR="00511F25">
        <w:rPr>
          <w:rFonts w:ascii="Times New Roman" w:hAnsi="Times New Roman" w:cs="Times New Roman"/>
          <w:sz w:val="24"/>
          <w:szCs w:val="20"/>
        </w:rPr>
        <w:t>There are 8 s</w:t>
      </w:r>
      <w:r w:rsidR="003B328D">
        <w:rPr>
          <w:rFonts w:ascii="Times New Roman" w:hAnsi="Times New Roman" w:cs="Times New Roman"/>
          <w:sz w:val="24"/>
          <w:szCs w:val="20"/>
        </w:rPr>
        <w:t xml:space="preserve">egment themes included by the ACG </w:t>
      </w:r>
      <w:r w:rsidR="00511F25">
        <w:rPr>
          <w:rFonts w:ascii="Times New Roman" w:hAnsi="Times New Roman" w:cs="Times New Roman"/>
          <w:sz w:val="24"/>
          <w:szCs w:val="20"/>
        </w:rPr>
        <w:t>namely: h</w:t>
      </w:r>
      <w:r w:rsidR="003B328D">
        <w:rPr>
          <w:rFonts w:ascii="Times New Roman" w:hAnsi="Times New Roman" w:cs="Times New Roman"/>
          <w:sz w:val="24"/>
          <w:szCs w:val="20"/>
        </w:rPr>
        <w:t xml:space="preserve">ealthy, acute illness, maternal and infant health, minor chronic disease, moderate chronic disease, major chronic disease, mental illness, </w:t>
      </w:r>
      <w:r w:rsidR="00511F25">
        <w:rPr>
          <w:rFonts w:ascii="Times New Roman" w:hAnsi="Times New Roman" w:cs="Times New Roman"/>
          <w:sz w:val="24"/>
          <w:szCs w:val="20"/>
        </w:rPr>
        <w:t>and excluded subjects.</w:t>
      </w:r>
      <w:r w:rsidR="004637A9">
        <w:rPr>
          <w:rFonts w:ascii="Times New Roman" w:hAnsi="Times New Roman" w:cs="Times New Roman"/>
          <w:sz w:val="24"/>
          <w:szCs w:val="20"/>
        </w:rPr>
        <w:t xml:space="preserve"> </w:t>
      </w:r>
      <w:r w:rsidR="00C81442">
        <w:rPr>
          <w:rFonts w:ascii="Times New Roman" w:hAnsi="Times New Roman" w:cs="Times New Roman"/>
          <w:sz w:val="24"/>
          <w:szCs w:val="20"/>
        </w:rPr>
        <w:t>Segmentation tools with a larger number of segment themes may potentially have a higher ‘</w:t>
      </w:r>
      <w:r w:rsidR="000A7B80">
        <w:rPr>
          <w:rFonts w:ascii="Times New Roman" w:hAnsi="Times New Roman" w:cs="Times New Roman"/>
          <w:sz w:val="24"/>
          <w:szCs w:val="20"/>
        </w:rPr>
        <w:t>actionability</w:t>
      </w:r>
      <w:r w:rsidR="00C81442">
        <w:rPr>
          <w:rFonts w:ascii="Times New Roman" w:hAnsi="Times New Roman" w:cs="Times New Roman"/>
          <w:sz w:val="24"/>
          <w:szCs w:val="20"/>
        </w:rPr>
        <w:t xml:space="preserve">’ potential. </w:t>
      </w:r>
    </w:p>
    <w:p w14:paraId="4B078D8D" w14:textId="0D2F61F8" w:rsidR="00703D87" w:rsidRPr="00390719" w:rsidRDefault="00703D87" w:rsidP="00703D87">
      <w:pPr>
        <w:rPr>
          <w:rFonts w:ascii="Times New Roman" w:hAnsi="Times New Roman" w:cs="Times New Roman"/>
          <w:b/>
          <w:sz w:val="20"/>
          <w:szCs w:val="20"/>
        </w:rPr>
      </w:pPr>
    </w:p>
    <w:p w14:paraId="2A293B7A" w14:textId="77777777" w:rsidR="00703D87" w:rsidRPr="00390719" w:rsidRDefault="00703D87" w:rsidP="00703D87">
      <w:pPr>
        <w:pStyle w:val="Heading2"/>
        <w:rPr>
          <w:rFonts w:ascii="Times New Roman" w:hAnsi="Times New Roman" w:cs="Times New Roman"/>
          <w:sz w:val="20"/>
          <w:szCs w:val="20"/>
        </w:rPr>
      </w:pPr>
      <w:r w:rsidRPr="00390719">
        <w:rPr>
          <w:rFonts w:ascii="Times New Roman" w:hAnsi="Times New Roman" w:cs="Times New Roman"/>
          <w:sz w:val="32"/>
        </w:rPr>
        <w:br w:type="page"/>
      </w:r>
      <w:r w:rsidRPr="00390719">
        <w:rPr>
          <w:rFonts w:ascii="Times New Roman" w:hAnsi="Times New Roman" w:cs="Times New Roman"/>
          <w:b/>
          <w:color w:val="auto"/>
          <w:sz w:val="24"/>
          <w:szCs w:val="20"/>
        </w:rPr>
        <w:lastRenderedPageBreak/>
        <w:t>Appendix D</w:t>
      </w:r>
    </w:p>
    <w:p w14:paraId="0ADB7EE1" w14:textId="77777777" w:rsidR="00703D87" w:rsidRPr="00390719" w:rsidRDefault="00703D87" w:rsidP="00703D87">
      <w:pPr>
        <w:rPr>
          <w:rFonts w:ascii="Times New Roman" w:hAnsi="Times New Roman" w:cs="Times New Roman"/>
        </w:rPr>
      </w:pPr>
    </w:p>
    <w:tbl>
      <w:tblPr>
        <w:tblStyle w:val="ListTable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1227"/>
        <w:gridCol w:w="1525"/>
        <w:gridCol w:w="1590"/>
        <w:gridCol w:w="1487"/>
        <w:gridCol w:w="1973"/>
        <w:gridCol w:w="1272"/>
        <w:gridCol w:w="1276"/>
        <w:gridCol w:w="1137"/>
        <w:gridCol w:w="2774"/>
      </w:tblGrid>
      <w:tr w:rsidR="00921FA7" w:rsidRPr="00390719" w14:paraId="50C53083" w14:textId="77777777" w:rsidTr="00731C83">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100" w:firstRow="0" w:lastRow="0" w:firstColumn="1" w:lastColumn="0" w:oddVBand="0" w:evenVBand="0" w:oddHBand="0" w:evenHBand="0" w:firstRowFirstColumn="1" w:firstRowLastColumn="0" w:lastRowFirstColumn="0" w:lastRowLastColumn="0"/>
            <w:tcW w:w="1127" w:type="dxa"/>
            <w:noWrap/>
            <w:vAlign w:val="center"/>
            <w:hideMark/>
          </w:tcPr>
          <w:p w14:paraId="219F4320" w14:textId="77777777" w:rsidR="00921FA7" w:rsidRPr="00921FA7" w:rsidRDefault="00921FA7" w:rsidP="00921FA7">
            <w:pPr>
              <w:jc w:val="center"/>
              <w:rPr>
                <w:rFonts w:ascii="Times New Roman" w:eastAsia="Times New Roman" w:hAnsi="Times New Roman" w:cs="Times New Roman"/>
                <w:b w:val="0"/>
                <w:bCs w:val="0"/>
                <w:color w:val="FFFFFF"/>
                <w:sz w:val="20"/>
                <w:szCs w:val="24"/>
                <w:lang w:eastAsia="en-SG"/>
              </w:rPr>
            </w:pPr>
            <w:r w:rsidRPr="00921FA7">
              <w:rPr>
                <w:rFonts w:ascii="Times New Roman" w:eastAsia="Times New Roman" w:hAnsi="Times New Roman" w:cs="Times New Roman"/>
                <w:b w:val="0"/>
                <w:bCs w:val="0"/>
                <w:color w:val="FFFFFF"/>
                <w:sz w:val="20"/>
                <w:szCs w:val="24"/>
                <w:lang w:eastAsia="en-SG"/>
              </w:rPr>
              <w:t>Reference</w:t>
            </w:r>
          </w:p>
        </w:tc>
        <w:tc>
          <w:tcPr>
            <w:tcW w:w="1227" w:type="dxa"/>
            <w:vAlign w:val="center"/>
          </w:tcPr>
          <w:p w14:paraId="75DEDDBE" w14:textId="77777777" w:rsidR="00921FA7" w:rsidRPr="00921FA7" w:rsidRDefault="00921FA7" w:rsidP="00921F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20"/>
                <w:szCs w:val="24"/>
                <w:lang w:eastAsia="en-SG"/>
              </w:rPr>
            </w:pPr>
            <w:r w:rsidRPr="00921FA7">
              <w:rPr>
                <w:rFonts w:ascii="Times New Roman" w:eastAsia="Times New Roman" w:hAnsi="Times New Roman" w:cs="Times New Roman"/>
                <w:b w:val="0"/>
                <w:bCs w:val="0"/>
                <w:color w:val="FFFFFF"/>
                <w:sz w:val="20"/>
                <w:szCs w:val="24"/>
                <w:lang w:eastAsia="en-SG"/>
              </w:rPr>
              <w:t>Author(s), year</w:t>
            </w:r>
          </w:p>
        </w:tc>
        <w:tc>
          <w:tcPr>
            <w:tcW w:w="1525" w:type="dxa"/>
            <w:noWrap/>
            <w:vAlign w:val="center"/>
            <w:hideMark/>
          </w:tcPr>
          <w:p w14:paraId="01EDA7EE" w14:textId="77777777" w:rsidR="00921FA7" w:rsidRPr="00921FA7" w:rsidRDefault="00921FA7" w:rsidP="00921F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20"/>
                <w:szCs w:val="24"/>
                <w:lang w:eastAsia="en-SG"/>
              </w:rPr>
            </w:pPr>
            <w:r w:rsidRPr="00921FA7">
              <w:rPr>
                <w:rFonts w:ascii="Times New Roman" w:eastAsia="Times New Roman" w:hAnsi="Times New Roman" w:cs="Times New Roman"/>
                <w:b w:val="0"/>
                <w:bCs w:val="0"/>
                <w:color w:val="FFFFFF"/>
                <w:sz w:val="20"/>
                <w:szCs w:val="24"/>
                <w:lang w:eastAsia="en-SG"/>
              </w:rPr>
              <w:t>Segmentation Tool</w:t>
            </w:r>
          </w:p>
        </w:tc>
        <w:tc>
          <w:tcPr>
            <w:tcW w:w="1590" w:type="dxa"/>
            <w:noWrap/>
            <w:vAlign w:val="center"/>
            <w:hideMark/>
          </w:tcPr>
          <w:p w14:paraId="15500A23" w14:textId="77777777" w:rsidR="00921FA7" w:rsidRPr="00921FA7" w:rsidRDefault="00921FA7" w:rsidP="00921F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20"/>
                <w:szCs w:val="24"/>
                <w:lang w:eastAsia="en-SG"/>
              </w:rPr>
            </w:pPr>
            <w:r w:rsidRPr="00921FA7">
              <w:rPr>
                <w:rFonts w:ascii="Times New Roman" w:eastAsia="Times New Roman" w:hAnsi="Times New Roman" w:cs="Times New Roman"/>
                <w:b w:val="0"/>
                <w:bCs w:val="0"/>
                <w:color w:val="FFFFFF"/>
                <w:sz w:val="20"/>
                <w:szCs w:val="24"/>
                <w:lang w:eastAsia="en-SG"/>
              </w:rPr>
              <w:t>District / County; Country</w:t>
            </w:r>
          </w:p>
        </w:tc>
        <w:tc>
          <w:tcPr>
            <w:tcW w:w="1487" w:type="dxa"/>
            <w:noWrap/>
            <w:vAlign w:val="center"/>
            <w:hideMark/>
          </w:tcPr>
          <w:p w14:paraId="3AA1AECB" w14:textId="77777777" w:rsidR="00921FA7" w:rsidRPr="00921FA7" w:rsidRDefault="00921FA7" w:rsidP="00921F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20"/>
                <w:szCs w:val="24"/>
                <w:lang w:eastAsia="en-SG"/>
              </w:rPr>
            </w:pPr>
            <w:r w:rsidRPr="00921FA7">
              <w:rPr>
                <w:rFonts w:ascii="Times New Roman" w:eastAsia="Times New Roman" w:hAnsi="Times New Roman" w:cs="Times New Roman"/>
                <w:b w:val="0"/>
                <w:bCs w:val="0"/>
                <w:color w:val="FFFFFF"/>
                <w:sz w:val="20"/>
                <w:szCs w:val="24"/>
                <w:lang w:eastAsia="en-SG"/>
              </w:rPr>
              <w:t>Target population</w:t>
            </w:r>
          </w:p>
        </w:tc>
        <w:tc>
          <w:tcPr>
            <w:tcW w:w="1973" w:type="dxa"/>
            <w:noWrap/>
            <w:vAlign w:val="center"/>
            <w:hideMark/>
          </w:tcPr>
          <w:p w14:paraId="67BB7690" w14:textId="77777777" w:rsidR="00921FA7" w:rsidRPr="00921FA7" w:rsidRDefault="00921FA7" w:rsidP="00921F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20"/>
                <w:szCs w:val="24"/>
                <w:lang w:eastAsia="en-SG"/>
              </w:rPr>
            </w:pPr>
            <w:r w:rsidRPr="00921FA7">
              <w:rPr>
                <w:rFonts w:ascii="Times New Roman" w:eastAsia="Times New Roman" w:hAnsi="Times New Roman" w:cs="Times New Roman"/>
                <w:b w:val="0"/>
                <w:bCs w:val="0"/>
                <w:color w:val="FFFFFF"/>
                <w:sz w:val="20"/>
                <w:szCs w:val="24"/>
                <w:lang w:eastAsia="en-SG"/>
              </w:rPr>
              <w:t>Data Source</w:t>
            </w:r>
          </w:p>
        </w:tc>
        <w:tc>
          <w:tcPr>
            <w:tcW w:w="1272" w:type="dxa"/>
            <w:noWrap/>
            <w:vAlign w:val="center"/>
            <w:hideMark/>
          </w:tcPr>
          <w:p w14:paraId="1DC063D5" w14:textId="77777777" w:rsidR="00921FA7" w:rsidRPr="00921FA7" w:rsidRDefault="00921FA7" w:rsidP="00921F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20"/>
                <w:szCs w:val="24"/>
                <w:lang w:eastAsia="en-SG"/>
              </w:rPr>
            </w:pPr>
            <w:r w:rsidRPr="00921FA7">
              <w:rPr>
                <w:rFonts w:ascii="Times New Roman" w:eastAsia="Times New Roman" w:hAnsi="Times New Roman" w:cs="Times New Roman"/>
                <w:b w:val="0"/>
                <w:bCs w:val="0"/>
                <w:color w:val="FFFFFF"/>
                <w:sz w:val="20"/>
                <w:szCs w:val="24"/>
                <w:lang w:eastAsia="en-SG"/>
              </w:rPr>
              <w:t>Statistical Model validation</w:t>
            </w:r>
          </w:p>
        </w:tc>
        <w:tc>
          <w:tcPr>
            <w:tcW w:w="1276" w:type="dxa"/>
            <w:noWrap/>
            <w:vAlign w:val="center"/>
            <w:hideMark/>
          </w:tcPr>
          <w:p w14:paraId="78C29CF8" w14:textId="77777777" w:rsidR="00921FA7" w:rsidRPr="00921FA7" w:rsidRDefault="00921FA7" w:rsidP="00921F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20"/>
                <w:szCs w:val="24"/>
                <w:lang w:eastAsia="en-SG"/>
              </w:rPr>
            </w:pPr>
            <w:r w:rsidRPr="00921FA7">
              <w:rPr>
                <w:rFonts w:ascii="Times New Roman" w:eastAsia="Times New Roman" w:hAnsi="Times New Roman" w:cs="Times New Roman"/>
                <w:b w:val="0"/>
                <w:bCs w:val="0"/>
                <w:color w:val="FFFFFF"/>
                <w:sz w:val="20"/>
                <w:szCs w:val="24"/>
                <w:lang w:eastAsia="en-SG"/>
              </w:rPr>
              <w:t>Sample Size</w:t>
            </w:r>
          </w:p>
        </w:tc>
        <w:tc>
          <w:tcPr>
            <w:tcW w:w="1137" w:type="dxa"/>
            <w:vAlign w:val="center"/>
          </w:tcPr>
          <w:p w14:paraId="6FE76DA6" w14:textId="62188BBA" w:rsidR="00921FA7" w:rsidRPr="00921FA7" w:rsidRDefault="00921FA7" w:rsidP="00921F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20"/>
                <w:szCs w:val="24"/>
                <w:lang w:eastAsia="en-SG"/>
              </w:rPr>
            </w:pPr>
            <w:r w:rsidRPr="00921FA7">
              <w:rPr>
                <w:rFonts w:ascii="Times New Roman" w:eastAsia="Times New Roman" w:hAnsi="Times New Roman" w:cs="Times New Roman"/>
                <w:b w:val="0"/>
                <w:bCs w:val="0"/>
                <w:color w:val="FFFFFF"/>
                <w:sz w:val="20"/>
                <w:szCs w:val="24"/>
                <w:lang w:eastAsia="en-SG"/>
              </w:rPr>
              <w:t xml:space="preserve">QUIPS </w:t>
            </w:r>
            <w:r w:rsidR="00731C83">
              <w:rPr>
                <w:rFonts w:ascii="Times New Roman" w:eastAsia="Times New Roman" w:hAnsi="Times New Roman" w:cs="Times New Roman"/>
                <w:b w:val="0"/>
                <w:bCs w:val="0"/>
                <w:color w:val="FFFFFF"/>
                <w:sz w:val="20"/>
                <w:szCs w:val="24"/>
                <w:lang w:eastAsia="en-SG"/>
              </w:rPr>
              <w:t>overall risk of bias</w:t>
            </w:r>
          </w:p>
        </w:tc>
        <w:tc>
          <w:tcPr>
            <w:tcW w:w="2774" w:type="dxa"/>
            <w:noWrap/>
            <w:vAlign w:val="center"/>
            <w:hideMark/>
          </w:tcPr>
          <w:p w14:paraId="5D0CD7F1" w14:textId="4C15804A" w:rsidR="00921FA7" w:rsidRPr="00921FA7" w:rsidRDefault="00921FA7" w:rsidP="00921FA7">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FFFFFF"/>
                <w:sz w:val="20"/>
                <w:szCs w:val="24"/>
                <w:lang w:eastAsia="en-SG"/>
              </w:rPr>
            </w:pPr>
            <w:r w:rsidRPr="00921FA7">
              <w:rPr>
                <w:rFonts w:ascii="Times New Roman" w:eastAsia="Times New Roman" w:hAnsi="Times New Roman" w:cs="Times New Roman"/>
                <w:b w:val="0"/>
                <w:bCs w:val="0"/>
                <w:color w:val="FFFFFF"/>
                <w:sz w:val="20"/>
                <w:szCs w:val="24"/>
                <w:lang w:eastAsia="en-SG"/>
              </w:rPr>
              <w:t>Commentary</w:t>
            </w:r>
          </w:p>
        </w:tc>
      </w:tr>
      <w:tr w:rsidR="00731C83" w:rsidRPr="00390719" w14:paraId="073AD687" w14:textId="77777777" w:rsidTr="00731C83">
        <w:trPr>
          <w:cnfStyle w:val="000000100000" w:firstRow="0" w:lastRow="0" w:firstColumn="0" w:lastColumn="0" w:oddVBand="0" w:evenVBand="0" w:oddHBand="1" w:evenHBand="0" w:firstRowFirstColumn="0" w:firstRowLastColumn="0" w:lastRowFirstColumn="0" w:lastRowLastColumn="0"/>
          <w:trHeight w:val="1848"/>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37E2E403" w14:textId="45B3239D"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&lt;EndNote&gt;&lt;Cite&gt;&lt;Author&gt;Starfield&lt;/Author&gt;&lt;Year&gt;1991&lt;/Year&gt;&lt;RecNum&gt;41&lt;/RecNum&gt;&lt;DisplayText&gt;(3)&lt;/DisplayText&gt;&lt;record&gt;&lt;rec-number&gt;41&lt;/rec-number&gt;&lt;foreign-keys&gt;&lt;key app="EN" db-id="ee9erwffmxvtrdev0wovsv2zesvwxvrxdppv" timestamp="1475973307"&gt;41&lt;/key&gt;&lt;/foreign-keys&gt;&lt;ref-type name="Journal Article"&gt;17&lt;/ref-type&gt;&lt;contributors&gt;&lt;authors&gt;&lt;author&gt;Starfield, Barbara&lt;/author&gt;&lt;author&gt;Mumford, Laura &lt;/author&gt;&lt;/authors&gt;&lt;/contributors&gt;&lt;titles&gt;&lt;title&gt;Ambulatory Care Groups: A Categorization of Diagnoses for Research and Management&lt;/title&gt;&lt;secondary-title&gt;Health Services Research&lt;/secondary-title&gt;&lt;/titles&gt;&lt;periodical&gt;&lt;full-title&gt;Health Services Research&lt;/full-title&gt;&lt;/periodical&gt;&lt;pages&gt;53-74&lt;/pages&gt;&lt;volume&gt;26&lt;/volume&gt;&lt;number&gt;1&lt;/number&gt;&lt;dates&gt;&lt;year&gt;1991&lt;/year&gt;&lt;/dates&gt;&lt;urls&gt;&lt;/urls&gt;&lt;/record&gt;&lt;/Cite&gt;&lt;/EndNote&gt;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(3)</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16521970"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Starfield and Mumford, 1991</w:t>
            </w:r>
          </w:p>
        </w:tc>
        <w:tc>
          <w:tcPr>
            <w:tcW w:w="1525" w:type="dxa"/>
            <w:vAlign w:val="center"/>
            <w:hideMark/>
          </w:tcPr>
          <w:p w14:paraId="66A6A910"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w:t>
            </w:r>
          </w:p>
        </w:tc>
        <w:tc>
          <w:tcPr>
            <w:tcW w:w="1590" w:type="dxa"/>
            <w:vAlign w:val="center"/>
            <w:hideMark/>
          </w:tcPr>
          <w:p w14:paraId="22B0C0AD"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USA</w:t>
            </w:r>
          </w:p>
        </w:tc>
        <w:tc>
          <w:tcPr>
            <w:tcW w:w="1487" w:type="dxa"/>
            <w:vAlign w:val="center"/>
            <w:hideMark/>
          </w:tcPr>
          <w:p w14:paraId="71DC7BF8"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Health maintenance organization and Medicaid </w:t>
            </w:r>
            <w:proofErr w:type="spellStart"/>
            <w:r w:rsidRPr="00390719">
              <w:rPr>
                <w:rFonts w:ascii="Times New Roman" w:eastAsia="Times New Roman" w:hAnsi="Times New Roman" w:cs="Times New Roman"/>
                <w:color w:val="000000"/>
                <w:sz w:val="24"/>
                <w:szCs w:val="24"/>
                <w:lang w:eastAsia="en-SG"/>
              </w:rPr>
              <w:t>enrollee</w:t>
            </w:r>
            <w:proofErr w:type="spellEnd"/>
          </w:p>
        </w:tc>
        <w:tc>
          <w:tcPr>
            <w:tcW w:w="1973" w:type="dxa"/>
            <w:vAlign w:val="center"/>
            <w:hideMark/>
          </w:tcPr>
          <w:p w14:paraId="328CD21B"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Secondary data: Four different HMOs and a large Medicaid population: Columbia Medical Plan, </w:t>
            </w:r>
            <w:proofErr w:type="spellStart"/>
            <w:r w:rsidRPr="00390719">
              <w:rPr>
                <w:rFonts w:ascii="Times New Roman" w:eastAsia="Times New Roman" w:hAnsi="Times New Roman" w:cs="Times New Roman"/>
                <w:color w:val="000000"/>
                <w:sz w:val="24"/>
                <w:szCs w:val="24"/>
                <w:lang w:eastAsia="en-SG"/>
              </w:rPr>
              <w:t>Maxicare</w:t>
            </w:r>
            <w:proofErr w:type="spellEnd"/>
            <w:r w:rsidRPr="00390719">
              <w:rPr>
                <w:rFonts w:ascii="Times New Roman" w:eastAsia="Times New Roman" w:hAnsi="Times New Roman" w:cs="Times New Roman"/>
                <w:color w:val="000000"/>
                <w:sz w:val="24"/>
                <w:szCs w:val="24"/>
                <w:lang w:eastAsia="en-SG"/>
              </w:rPr>
              <w:t xml:space="preserve">, </w:t>
            </w:r>
            <w:proofErr w:type="spellStart"/>
            <w:r w:rsidRPr="00390719">
              <w:rPr>
                <w:rFonts w:ascii="Times New Roman" w:eastAsia="Times New Roman" w:hAnsi="Times New Roman" w:cs="Times New Roman"/>
                <w:color w:val="000000"/>
                <w:sz w:val="24"/>
                <w:szCs w:val="24"/>
                <w:lang w:eastAsia="en-SG"/>
              </w:rPr>
              <w:t>MedCenters</w:t>
            </w:r>
            <w:proofErr w:type="spellEnd"/>
            <w:r w:rsidRPr="00390719">
              <w:rPr>
                <w:rFonts w:ascii="Times New Roman" w:eastAsia="Times New Roman" w:hAnsi="Times New Roman" w:cs="Times New Roman"/>
                <w:color w:val="000000"/>
                <w:sz w:val="24"/>
                <w:szCs w:val="24"/>
                <w:lang w:eastAsia="en-SG"/>
              </w:rPr>
              <w:t xml:space="preserve"> Health Plan, Harvard Community Health Plan, and claims for over 30,000 continuously eligible Medicaid recipients in Baltimore, Maryland</w:t>
            </w:r>
          </w:p>
        </w:tc>
        <w:tc>
          <w:tcPr>
            <w:tcW w:w="1272" w:type="dxa"/>
            <w:vAlign w:val="center"/>
            <w:hideMark/>
          </w:tcPr>
          <w:p w14:paraId="5F6516C5"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w:t>
            </w:r>
          </w:p>
        </w:tc>
        <w:tc>
          <w:tcPr>
            <w:tcW w:w="1276" w:type="dxa"/>
            <w:vAlign w:val="center"/>
            <w:hideMark/>
          </w:tcPr>
          <w:p w14:paraId="44276FEA"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160,000</w:t>
            </w:r>
          </w:p>
        </w:tc>
        <w:tc>
          <w:tcPr>
            <w:tcW w:w="1137" w:type="dxa"/>
            <w:vAlign w:val="center"/>
          </w:tcPr>
          <w:p w14:paraId="1E84ADB0" w14:textId="00ED3A95" w:rsidR="00731C83" w:rsidRP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 xml:space="preserve">Low </w:t>
            </w:r>
          </w:p>
        </w:tc>
        <w:tc>
          <w:tcPr>
            <w:tcW w:w="2774" w:type="dxa"/>
            <w:vAlign w:val="center"/>
            <w:hideMark/>
          </w:tcPr>
          <w:p w14:paraId="37FD3083" w14:textId="1C66602F"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Regression on ambulatory visits and charges for a model consisting of 51 ACG variables found the adjusted R2 to range from 0.34 to 0.50 for same year visits and 0.18-0.20 for subsequent year visits. This is superior to a model which consists only of age and gender for which adjusted R2 ranged from 0.03 to 0.06 for both years.</w:t>
            </w:r>
          </w:p>
        </w:tc>
      </w:tr>
      <w:tr w:rsidR="00731C83" w:rsidRPr="00390719" w14:paraId="10617575" w14:textId="77777777" w:rsidTr="00731C83">
        <w:trPr>
          <w:trHeight w:val="145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7744B0B6" w14:textId="2952BBCB"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&lt;EndNote&gt;&lt;Cite&gt;&lt;Author&gt;Juncosa&lt;/Author&gt;&lt;Year&gt;1999&lt;/Year&gt;&lt;RecNum&gt;42&lt;/RecNum&gt;&lt;DisplayText&gt;(4)&lt;/DisplayText&gt;&lt;record&gt;&lt;rec-number&gt;42&lt;/rec-number&gt;&lt;foreign-keys&gt;&lt;key app="EN" db-id="ee9erwffmxvtrdev0wovsv2zesvwxvrxdppv" timestamp="1475973307"&gt;42&lt;/key&gt;&lt;/foreign-keys&gt;&lt;ref-type name="Journal Article"&gt;17&lt;/ref-type&gt;&lt;contributors&gt;&lt;authors&gt;&lt;author&gt;Juncosa, Sebastian&lt;/author&gt;&lt;author&gt;Bolibar, Bona Ventura&lt;/author&gt;&lt;author&gt;Roset, Montserrat&lt;/author&gt;&lt;author&gt;Tomas, Rosa&lt;/author&gt;&lt;/authors&gt;&lt;/contributors&gt;&lt;titles&gt;&lt;title&gt;Performance of an ambulatory casemix measurement system in primary care in Spain&lt;/title&gt;&lt;secondary-title&gt;European Journal of Public Health&lt;/secondary-title&gt;&lt;/titles&gt;&lt;periodical&gt;&lt;full-title&gt;European Journal of Public Health&lt;/full-title&gt;&lt;/periodical&gt;&lt;pages&gt;27-35&lt;/pages&gt;&lt;volume&gt;9&lt;/volume&gt;&lt;dates&gt;&lt;year&gt;1999&lt;/year&gt;&lt;/dates&gt;&lt;urls&gt;&lt;/urls&gt;&lt;/record&gt;&lt;/Cite&gt;&lt;/EndNote&gt;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(4)</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213C34C0"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proofErr w:type="spellStart"/>
            <w:r w:rsidRPr="00390719">
              <w:rPr>
                <w:rFonts w:ascii="Times New Roman" w:eastAsia="Times New Roman" w:hAnsi="Times New Roman" w:cs="Times New Roman"/>
                <w:color w:val="000000"/>
                <w:sz w:val="24"/>
                <w:szCs w:val="24"/>
                <w:lang w:eastAsia="en-SG"/>
              </w:rPr>
              <w:t>Juncosa</w:t>
            </w:r>
            <w:proofErr w:type="spellEnd"/>
            <w:r w:rsidRPr="00390719">
              <w:rPr>
                <w:rFonts w:ascii="Times New Roman" w:eastAsia="Times New Roman" w:hAnsi="Times New Roman" w:cs="Times New Roman"/>
                <w:color w:val="000000"/>
                <w:sz w:val="24"/>
                <w:szCs w:val="24"/>
                <w:lang w:eastAsia="en-SG"/>
              </w:rPr>
              <w:t xml:space="preserve"> et al, 1999</w:t>
            </w:r>
          </w:p>
        </w:tc>
        <w:tc>
          <w:tcPr>
            <w:tcW w:w="1525" w:type="dxa"/>
            <w:vAlign w:val="center"/>
            <w:hideMark/>
          </w:tcPr>
          <w:p w14:paraId="1DC05C54"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w:t>
            </w:r>
          </w:p>
        </w:tc>
        <w:tc>
          <w:tcPr>
            <w:tcW w:w="1590" w:type="dxa"/>
            <w:vAlign w:val="center"/>
            <w:hideMark/>
          </w:tcPr>
          <w:p w14:paraId="77A2CD4A"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Barcelona, Spain</w:t>
            </w:r>
          </w:p>
        </w:tc>
        <w:tc>
          <w:tcPr>
            <w:tcW w:w="1487" w:type="dxa"/>
            <w:vAlign w:val="center"/>
            <w:hideMark/>
          </w:tcPr>
          <w:p w14:paraId="3BAA9ABA"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Patients under doctors who voluntarily participated</w:t>
            </w:r>
          </w:p>
        </w:tc>
        <w:tc>
          <w:tcPr>
            <w:tcW w:w="1973" w:type="dxa"/>
            <w:vAlign w:val="center"/>
            <w:hideMark/>
          </w:tcPr>
          <w:p w14:paraId="1AFE9B61"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Primary data collection</w:t>
            </w:r>
          </w:p>
        </w:tc>
        <w:tc>
          <w:tcPr>
            <w:tcW w:w="1272" w:type="dxa"/>
            <w:vAlign w:val="center"/>
            <w:hideMark/>
          </w:tcPr>
          <w:p w14:paraId="349B887E"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w:t>
            </w:r>
          </w:p>
        </w:tc>
        <w:tc>
          <w:tcPr>
            <w:tcW w:w="1276" w:type="dxa"/>
            <w:vAlign w:val="center"/>
            <w:hideMark/>
          </w:tcPr>
          <w:p w14:paraId="4DD022B6"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2,467</w:t>
            </w:r>
          </w:p>
        </w:tc>
        <w:tc>
          <w:tcPr>
            <w:tcW w:w="1137" w:type="dxa"/>
            <w:vAlign w:val="center"/>
          </w:tcPr>
          <w:p w14:paraId="44C5B07F" w14:textId="4E359E65" w:rsidR="00731C83" w:rsidRP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Low</w:t>
            </w:r>
          </w:p>
        </w:tc>
        <w:tc>
          <w:tcPr>
            <w:tcW w:w="2774" w:type="dxa"/>
            <w:vAlign w:val="center"/>
            <w:hideMark/>
          </w:tcPr>
          <w:p w14:paraId="44D09142" w14:textId="6307FEC5"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Using ordinary least square regressions and log-transformed dependent variables, ACGs explained 64% variance (R2) for the number of episodes per patient, 44% for visits per patient, 41% for primary care costs and 31% for </w:t>
            </w:r>
            <w:r w:rsidRPr="00390719">
              <w:rPr>
                <w:rFonts w:ascii="Times New Roman" w:eastAsia="Times New Roman" w:hAnsi="Times New Roman" w:cs="Times New Roman"/>
                <w:color w:val="000000"/>
                <w:sz w:val="24"/>
                <w:szCs w:val="24"/>
                <w:lang w:eastAsia="en-SG"/>
              </w:rPr>
              <w:lastRenderedPageBreak/>
              <w:t>total costs. (</w:t>
            </w:r>
            <w:proofErr w:type="gramStart"/>
            <w:r w:rsidRPr="00390719">
              <w:rPr>
                <w:rFonts w:ascii="Times New Roman" w:eastAsia="Times New Roman" w:hAnsi="Times New Roman" w:cs="Times New Roman"/>
                <w:color w:val="000000"/>
                <w:sz w:val="24"/>
                <w:szCs w:val="24"/>
                <w:lang w:eastAsia="en-SG"/>
              </w:rPr>
              <w:t>Table 2,</w:t>
            </w:r>
            <w:proofErr w:type="gramEnd"/>
            <w:r w:rsidRPr="00390719">
              <w:rPr>
                <w:rFonts w:ascii="Times New Roman" w:eastAsia="Times New Roman" w:hAnsi="Times New Roman" w:cs="Times New Roman"/>
                <w:color w:val="000000"/>
                <w:sz w:val="24"/>
                <w:szCs w:val="24"/>
                <w:lang w:eastAsia="en-SG"/>
              </w:rPr>
              <w:t xml:space="preserve"> compared with ADG and demographic)</w:t>
            </w:r>
          </w:p>
        </w:tc>
      </w:tr>
      <w:tr w:rsidR="00731C83" w:rsidRPr="00390719" w14:paraId="66F61F56" w14:textId="77777777" w:rsidTr="00731C83">
        <w:trPr>
          <w:cnfStyle w:val="000000100000" w:firstRow="0" w:lastRow="0" w:firstColumn="0" w:lastColumn="0" w:oddVBand="0" w:evenVBand="0" w:oddHBand="1" w:evenHBand="0" w:firstRowFirstColumn="0" w:firstRowLastColumn="0" w:lastRowFirstColumn="0" w:lastRowLastColumn="0"/>
          <w:trHeight w:val="145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05E3D33D" w14:textId="10BDD77C"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lastRenderedPageBreak/>
              <w:fldChar w:fldCharType="begin"/>
            </w:r>
            <w:r>
              <w:rPr>
                <w:rFonts w:ascii="Times New Roman" w:eastAsia="Times New Roman" w:hAnsi="Times New Roman" w:cs="Times New Roman"/>
                <w:color w:val="000000"/>
                <w:sz w:val="24"/>
                <w:szCs w:val="24"/>
                <w:lang w:eastAsia="en-SG"/>
              </w:rPr>
              <w:instrText xml:space="preserve"> ADDIN EN.CITE &lt;EndNote&gt;&lt;Cite&gt;&lt;Author&gt;Reid&lt;/Author&gt;&lt;Year&gt;2001&lt;/Year&gt;&lt;RecNum&gt;27&lt;/RecNum&gt;&lt;DisplayText&gt;(5)&lt;/DisplayText&gt;&lt;record&gt;&lt;rec-number&gt;27&lt;/rec-number&gt;&lt;foreign-keys&gt;&lt;key app="EN" db-id="ee9erwffmxvtrdev0wovsv2zesvwxvrxdppv" timestamp="1475973305"&gt;27&lt;/key&gt;&lt;/foreign-keys&gt;&lt;ref-type name="Journal Article"&gt;17&lt;/ref-type&gt;&lt;contributors&gt;&lt;authors&gt;&lt;author&gt;Reid, R. J.&lt;/author&gt;&lt;author&gt;MacWilliam, L.&lt;/author&gt;&lt;author&gt;Verhulst, L.&lt;/author&gt;&lt;author&gt;Roos, N.&lt;/author&gt;&lt;author&gt;Atkinson, M.&lt;/author&gt;&lt;/authors&gt;&lt;/contributors&gt;&lt;titles&gt;&lt;title&gt;Performance of the ACG case-mix system in two Canadian provinces&lt;/title&gt;&lt;secondary-title&gt;Med Care&lt;/secondary-title&gt;&lt;/titles&gt;&lt;periodical&gt;&lt;full-title&gt;Med Care&lt;/full-title&gt;&lt;/periodical&gt;&lt;pages&gt;86-99&lt;/pages&gt;&lt;volume&gt;39&lt;/volume&gt;&lt;number&gt;1&lt;/number&gt;&lt;dates&gt;&lt;year&gt;2001&lt;/year&gt;&lt;/dates&gt;&lt;accession-num&gt;11176546&lt;/accession-num&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(5)</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102B7473"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Reid et al, 2001</w:t>
            </w:r>
          </w:p>
        </w:tc>
        <w:tc>
          <w:tcPr>
            <w:tcW w:w="1525" w:type="dxa"/>
            <w:vAlign w:val="center"/>
            <w:hideMark/>
          </w:tcPr>
          <w:p w14:paraId="6E1F1679"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w:t>
            </w:r>
          </w:p>
        </w:tc>
        <w:tc>
          <w:tcPr>
            <w:tcW w:w="1590" w:type="dxa"/>
            <w:vAlign w:val="center"/>
            <w:hideMark/>
          </w:tcPr>
          <w:p w14:paraId="39AE10BA"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Manitoba &amp; British Columbia, Canada</w:t>
            </w:r>
          </w:p>
        </w:tc>
        <w:tc>
          <w:tcPr>
            <w:tcW w:w="1487" w:type="dxa"/>
            <w:vAlign w:val="center"/>
            <w:hideMark/>
          </w:tcPr>
          <w:p w14:paraId="65C47148"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All residents who were continuously enrolled in the provincial health plans from April 1, 1995, </w:t>
            </w:r>
            <w:proofErr w:type="gramStart"/>
            <w:r w:rsidRPr="00390719">
              <w:rPr>
                <w:rFonts w:ascii="Times New Roman" w:eastAsia="Times New Roman" w:hAnsi="Times New Roman" w:cs="Times New Roman"/>
                <w:color w:val="000000"/>
                <w:sz w:val="24"/>
                <w:szCs w:val="24"/>
                <w:lang w:eastAsia="en-SG"/>
              </w:rPr>
              <w:t>to  March</w:t>
            </w:r>
            <w:proofErr w:type="gramEnd"/>
            <w:r w:rsidRPr="00390719">
              <w:rPr>
                <w:rFonts w:ascii="Times New Roman" w:eastAsia="Times New Roman" w:hAnsi="Times New Roman" w:cs="Times New Roman"/>
                <w:color w:val="000000"/>
                <w:sz w:val="24"/>
                <w:szCs w:val="24"/>
                <w:lang w:eastAsia="en-SG"/>
              </w:rPr>
              <w:t xml:space="preserve"> 31, 1997.</w:t>
            </w:r>
          </w:p>
        </w:tc>
        <w:tc>
          <w:tcPr>
            <w:tcW w:w="1973" w:type="dxa"/>
            <w:vAlign w:val="center"/>
            <w:hideMark/>
          </w:tcPr>
          <w:p w14:paraId="3C3ABC76"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Secondary data: databases of universal health care insurance programs</w:t>
            </w:r>
          </w:p>
        </w:tc>
        <w:tc>
          <w:tcPr>
            <w:tcW w:w="1272" w:type="dxa"/>
            <w:vAlign w:val="center"/>
            <w:hideMark/>
          </w:tcPr>
          <w:p w14:paraId="345CC486"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Yes</w:t>
            </w:r>
          </w:p>
        </w:tc>
        <w:tc>
          <w:tcPr>
            <w:tcW w:w="1276" w:type="dxa"/>
            <w:vAlign w:val="center"/>
            <w:hideMark/>
          </w:tcPr>
          <w:p w14:paraId="65EC115C"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454,7397</w:t>
            </w:r>
          </w:p>
        </w:tc>
        <w:tc>
          <w:tcPr>
            <w:tcW w:w="1137" w:type="dxa"/>
            <w:vAlign w:val="center"/>
          </w:tcPr>
          <w:p w14:paraId="716E6B58" w14:textId="1F58443B" w:rsidR="00731C83" w:rsidRP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Low</w:t>
            </w:r>
          </w:p>
        </w:tc>
        <w:tc>
          <w:tcPr>
            <w:tcW w:w="2774" w:type="dxa"/>
            <w:vAlign w:val="center"/>
            <w:hideMark/>
          </w:tcPr>
          <w:p w14:paraId="2C62D79B" w14:textId="6F10C54F"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In linear regressions, ACGs explained 31-47% and 8-23% of the variation (R2) in concurrent year and prospective year truncated physician costs, respectively; 15-37% and 3-11% of same-year and next-year total costs respectively; depending on target age group. (</w:t>
            </w:r>
            <w:proofErr w:type="gramStart"/>
            <w:r w:rsidRPr="00390719">
              <w:rPr>
                <w:rFonts w:ascii="Times New Roman" w:eastAsia="Times New Roman" w:hAnsi="Times New Roman" w:cs="Times New Roman"/>
                <w:color w:val="000000"/>
                <w:sz w:val="24"/>
                <w:szCs w:val="24"/>
                <w:lang w:eastAsia="en-SG"/>
              </w:rPr>
              <w:t>Table 1,</w:t>
            </w:r>
            <w:proofErr w:type="gramEnd"/>
            <w:r w:rsidRPr="00390719">
              <w:rPr>
                <w:rFonts w:ascii="Times New Roman" w:eastAsia="Times New Roman" w:hAnsi="Times New Roman" w:cs="Times New Roman"/>
                <w:color w:val="000000"/>
                <w:sz w:val="24"/>
                <w:szCs w:val="24"/>
                <w:lang w:eastAsia="en-SG"/>
              </w:rPr>
              <w:t xml:space="preserve"> compared to ADG and demographic)</w:t>
            </w:r>
          </w:p>
        </w:tc>
      </w:tr>
      <w:tr w:rsidR="00731C83" w:rsidRPr="00390719" w14:paraId="216EDFC8" w14:textId="77777777" w:rsidTr="00731C83">
        <w:trPr>
          <w:trHeight w:val="5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0B1D11C5" w14:textId="588CFB03"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&lt;EndNote&gt;&lt;Cite&gt;&lt;Author&gt;Sicras-Mainar&lt;/Author&gt;&lt;Year&gt;2008&lt;/Year&gt;&lt;RecNum&gt;28&lt;/RecNum&gt;&lt;DisplayText&gt;(6)&lt;/DisplayText&gt;&lt;record&gt;&lt;rec-number&gt;28&lt;/rec-number&gt;&lt;foreign-keys&gt;&lt;key app="EN" db-id="ee9erwffmxvtrdev0wovsv2zesvwxvrxdppv" timestamp="1475973305"&gt;28&lt;/key&gt;&lt;/foreign-keys&gt;&lt;ref-type name="Journal Article"&gt;17&lt;/ref-type&gt;&lt;contributors&gt;&lt;authors&gt;&lt;author&gt;Sicras-Mainar, Antoni&lt;/author&gt;&lt;/authors&gt;&lt;/contributors&gt;&lt;titles&gt;&lt;title&gt;Validating the ACG Casemix System in a Spanish population setting: a crosssectional study&lt;/title&gt;&lt;/titles&gt;&lt;dates&gt;&lt;year&gt;2008&lt;/year&gt;&lt;/dates&gt;&lt;urls&gt;&lt;/urls&gt;&lt;/record&gt;&lt;/Cite&gt;&lt;/EndNote&gt;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(6)</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753F58C7"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proofErr w:type="spellStart"/>
            <w:r w:rsidRPr="00390719">
              <w:rPr>
                <w:rFonts w:ascii="Times New Roman" w:eastAsia="Times New Roman" w:hAnsi="Times New Roman" w:cs="Times New Roman"/>
                <w:color w:val="000000"/>
                <w:sz w:val="24"/>
                <w:szCs w:val="24"/>
                <w:lang w:eastAsia="en-SG"/>
              </w:rPr>
              <w:t>Sicras-Mainar</w:t>
            </w:r>
            <w:proofErr w:type="spellEnd"/>
            <w:r w:rsidRPr="00390719">
              <w:rPr>
                <w:rFonts w:ascii="Times New Roman" w:eastAsia="Times New Roman" w:hAnsi="Times New Roman" w:cs="Times New Roman"/>
                <w:color w:val="000000"/>
                <w:sz w:val="24"/>
                <w:szCs w:val="24"/>
                <w:lang w:eastAsia="en-SG"/>
              </w:rPr>
              <w:t>, 2008</w:t>
            </w:r>
          </w:p>
        </w:tc>
        <w:tc>
          <w:tcPr>
            <w:tcW w:w="1525" w:type="dxa"/>
            <w:vAlign w:val="center"/>
            <w:hideMark/>
          </w:tcPr>
          <w:p w14:paraId="1A3DBC90"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w:t>
            </w:r>
          </w:p>
        </w:tc>
        <w:tc>
          <w:tcPr>
            <w:tcW w:w="1590" w:type="dxa"/>
            <w:vAlign w:val="center"/>
            <w:hideMark/>
          </w:tcPr>
          <w:p w14:paraId="4D7793F0"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Catalonia, Spain</w:t>
            </w:r>
          </w:p>
        </w:tc>
        <w:tc>
          <w:tcPr>
            <w:tcW w:w="1487" w:type="dxa"/>
            <w:vAlign w:val="center"/>
            <w:hideMark/>
          </w:tcPr>
          <w:p w14:paraId="7F733DCB"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Patients under five primary care teams (PCT) and two hospitals during the period of one year (2005).</w:t>
            </w:r>
          </w:p>
        </w:tc>
        <w:tc>
          <w:tcPr>
            <w:tcW w:w="1973" w:type="dxa"/>
            <w:vAlign w:val="center"/>
            <w:hideMark/>
          </w:tcPr>
          <w:p w14:paraId="03168C43"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Secondary data: clinical records</w:t>
            </w:r>
          </w:p>
        </w:tc>
        <w:tc>
          <w:tcPr>
            <w:tcW w:w="1272" w:type="dxa"/>
            <w:vAlign w:val="center"/>
            <w:hideMark/>
          </w:tcPr>
          <w:p w14:paraId="130F8F07"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w:t>
            </w:r>
          </w:p>
        </w:tc>
        <w:tc>
          <w:tcPr>
            <w:tcW w:w="1276" w:type="dxa"/>
            <w:vAlign w:val="center"/>
            <w:hideMark/>
          </w:tcPr>
          <w:p w14:paraId="56EECB39"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81,873</w:t>
            </w:r>
          </w:p>
        </w:tc>
        <w:tc>
          <w:tcPr>
            <w:tcW w:w="1137" w:type="dxa"/>
            <w:vAlign w:val="center"/>
          </w:tcPr>
          <w:p w14:paraId="413C9329" w14:textId="183E3E03" w:rsidR="00731C83" w:rsidRP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Low</w:t>
            </w:r>
          </w:p>
        </w:tc>
        <w:tc>
          <w:tcPr>
            <w:tcW w:w="2774" w:type="dxa"/>
            <w:vAlign w:val="center"/>
            <w:hideMark/>
          </w:tcPr>
          <w:p w14:paraId="21F725B9" w14:textId="341914B8"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 classification explained (R2) 73.1% variance (75.5% log-transformed) of episodes, 43.2% (54.0% log-transformed) of visits, 19.6% (54.8% log-transformed) of primary care costs, and 22.7% (48.3% log-transformed) of total costs, p=0,000. (from text, no table)</w:t>
            </w:r>
          </w:p>
        </w:tc>
      </w:tr>
      <w:tr w:rsidR="00731C83" w:rsidRPr="00390719" w14:paraId="520F10EF" w14:textId="77777777" w:rsidTr="00731C83">
        <w:trPr>
          <w:cnfStyle w:val="000000100000" w:firstRow="0" w:lastRow="0" w:firstColumn="0" w:lastColumn="0" w:oddVBand="0" w:evenVBand="0" w:oddHBand="1" w:evenHBand="0" w:firstRowFirstColumn="0" w:firstRowLastColumn="0" w:lastRowFirstColumn="0" w:lastRowLastColumn="0"/>
          <w:trHeight w:val="145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358BD0A0" w14:textId="45150953"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lastRenderedPageBreak/>
              <w:fldChar w:fldCharType="begin"/>
            </w:r>
            <w:r>
              <w:rPr>
                <w:rFonts w:ascii="Times New Roman" w:eastAsia="Times New Roman" w:hAnsi="Times New Roman" w:cs="Times New Roman"/>
                <w:color w:val="000000"/>
                <w:sz w:val="24"/>
                <w:szCs w:val="24"/>
                <w:lang w:eastAsia="en-SG"/>
              </w:rPr>
              <w:instrText xml:space="preserve"> ADDIN EN.CITE &lt;EndNote&gt;&lt;Cite&gt;&lt;Author&gt;Zielinski&lt;/Author&gt;&lt;Year&gt;2009&lt;/Year&gt;&lt;RecNum&gt;43&lt;/RecNum&gt;&lt;DisplayText&gt;(7)&lt;/DisplayText&gt;&lt;record&gt;&lt;rec-number&gt;43&lt;/rec-number&gt;&lt;foreign-keys&gt;&lt;key app="EN" db-id="ee9erwffmxvtrdev0wovsv2zesvwxvrxdppv" timestamp="1475973307"&gt;43&lt;/key&gt;&lt;/foreign-keys&gt;&lt;ref-type name="Journal Article"&gt;17&lt;/ref-type&gt;&lt;contributors&gt;&lt;authors&gt;&lt;author&gt;Zielinski, Andrzej &lt;/author&gt;&lt;author&gt;Kronogård, Maria  &lt;/author&gt;&lt;author&gt;Lenhoff, Håkan &lt;/author&gt;&lt;author&gt;Halling, Anders &lt;/author&gt;&lt;/authors&gt;&lt;/contributors&gt;&lt;titles&gt;&lt;title&gt;Validation of ACG Case-mix for equitable resource allocation in Swedish primary health care&lt;/title&gt;&lt;secondary-title&gt;BMC Public Health&lt;/secondary-title&gt;&lt;/titles&gt;&lt;periodical&gt;&lt;full-title&gt;BMC Public Health&lt;/full-title&gt;&lt;/periodical&gt;&lt;pages&gt;1-8&lt;/pages&gt;&lt;volume&gt;9&lt;/volume&gt;&lt;number&gt;347&lt;/number&gt;&lt;dates&gt;&lt;year&gt;2009&lt;/year&gt;&lt;/dates&gt;&lt;urls&gt;&lt;/urls&gt;&lt;/record&gt;&lt;/Cite&gt;&lt;/EndNote&gt;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(7)</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4FCF6337"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Zielinski et al, 2009</w:t>
            </w:r>
          </w:p>
        </w:tc>
        <w:tc>
          <w:tcPr>
            <w:tcW w:w="1525" w:type="dxa"/>
            <w:vAlign w:val="center"/>
            <w:hideMark/>
          </w:tcPr>
          <w:p w14:paraId="621E0DB2"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w:t>
            </w:r>
          </w:p>
        </w:tc>
        <w:tc>
          <w:tcPr>
            <w:tcW w:w="1590" w:type="dxa"/>
            <w:vAlign w:val="center"/>
            <w:hideMark/>
          </w:tcPr>
          <w:p w14:paraId="360041E7"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Blekinge county, Sweden</w:t>
            </w:r>
          </w:p>
        </w:tc>
        <w:tc>
          <w:tcPr>
            <w:tcW w:w="1487" w:type="dxa"/>
            <w:vAlign w:val="center"/>
            <w:hideMark/>
          </w:tcPr>
          <w:p w14:paraId="42ED0566"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non-private patients</w:t>
            </w:r>
          </w:p>
        </w:tc>
        <w:tc>
          <w:tcPr>
            <w:tcW w:w="1973" w:type="dxa"/>
            <w:vAlign w:val="center"/>
            <w:hideMark/>
          </w:tcPr>
          <w:p w14:paraId="19F4E2AA"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Secondary data: Electronic Primary health care records of inhabitants in Blekinge County</w:t>
            </w:r>
          </w:p>
        </w:tc>
        <w:tc>
          <w:tcPr>
            <w:tcW w:w="1272" w:type="dxa"/>
            <w:vAlign w:val="center"/>
            <w:hideMark/>
          </w:tcPr>
          <w:p w14:paraId="62A8479B"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w:t>
            </w:r>
          </w:p>
        </w:tc>
        <w:tc>
          <w:tcPr>
            <w:tcW w:w="1276" w:type="dxa"/>
            <w:vAlign w:val="center"/>
            <w:hideMark/>
          </w:tcPr>
          <w:p w14:paraId="6CCFF9D2"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120,000</w:t>
            </w:r>
          </w:p>
        </w:tc>
        <w:tc>
          <w:tcPr>
            <w:tcW w:w="1137" w:type="dxa"/>
            <w:vAlign w:val="center"/>
          </w:tcPr>
          <w:p w14:paraId="621E805A" w14:textId="26DDC3DF" w:rsidR="00731C83" w:rsidRP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Low</w:t>
            </w:r>
          </w:p>
        </w:tc>
        <w:tc>
          <w:tcPr>
            <w:tcW w:w="2774" w:type="dxa"/>
            <w:vAlign w:val="center"/>
            <w:hideMark/>
          </w:tcPr>
          <w:p w14:paraId="01AFD871" w14:textId="4BE66E33"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Linear regression models on cost which originally included only age, gender and listing with </w:t>
            </w:r>
            <w:proofErr w:type="spellStart"/>
            <w:r w:rsidRPr="00390719">
              <w:rPr>
                <w:rFonts w:ascii="Times New Roman" w:eastAsia="Times New Roman" w:hAnsi="Times New Roman" w:cs="Times New Roman"/>
                <w:color w:val="000000"/>
                <w:sz w:val="24"/>
                <w:szCs w:val="24"/>
                <w:lang w:eastAsia="en-SG"/>
              </w:rPr>
              <w:t>specifc</w:t>
            </w:r>
            <w:proofErr w:type="spellEnd"/>
            <w:r w:rsidRPr="00390719">
              <w:rPr>
                <w:rFonts w:ascii="Times New Roman" w:eastAsia="Times New Roman" w:hAnsi="Times New Roman" w:cs="Times New Roman"/>
                <w:color w:val="000000"/>
                <w:sz w:val="24"/>
                <w:szCs w:val="24"/>
                <w:lang w:eastAsia="en-SG"/>
              </w:rPr>
              <w:t xml:space="preserve"> primary healthcare provider demonstrated an adjusted R2 increase from approximately 0.14 to 0.60 when information on level of co-morbidity as measured by ACG was added.</w:t>
            </w:r>
          </w:p>
        </w:tc>
      </w:tr>
      <w:tr w:rsidR="00731C83" w:rsidRPr="00390719" w14:paraId="39EC2419" w14:textId="77777777" w:rsidTr="00731C83">
        <w:trPr>
          <w:trHeight w:val="236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27098F46" w14:textId="0032CF87"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&lt;EndNote&gt;&lt;Cite&gt;&lt;Author&gt;Haas&lt;/Author&gt;&lt;Year&gt;2013&lt;/Year&gt;&lt;RecNum&gt;20&lt;/RecNum&gt;&lt;DisplayText&gt;(8)&lt;/DisplayText&gt;&lt;record&gt;&lt;rec-number&gt;20&lt;/rec-number&gt;&lt;foreign-keys&gt;&lt;key app="EN" db-id="ee9erwffmxvtrdev0wovsv2zesvwxvrxdppv" timestamp="1475973304"&gt;20&lt;/key&gt;&lt;/foreign-keys&gt;&lt;ref-type name="Journal Article"&gt;17&lt;/ref-type&gt;&lt;contributors&gt;&lt;authors&gt;&lt;author&gt;Haas, L. R.&lt;/author&gt;&lt;author&gt;Takahashi, P. Y.&lt;/author&gt;&lt;author&gt;Shah, N. D.&lt;/author&gt;&lt;author&gt;Stroebel, R. J.&lt;/author&gt;&lt;author&gt;Bernard, M. E.&lt;/author&gt;&lt;author&gt;Finnie, D. M.&lt;/author&gt;&lt;author&gt;Naessens, J. M.&lt;/author&gt;&lt;/authors&gt;&lt;/contributors&gt;&lt;titles&gt;&lt;title&gt;Risk-stratification methods for identifying patients for care coordination&lt;/title&gt;&lt;secondary-title&gt;The American journal of managed care&lt;/secondary-title&gt;&lt;/titles&gt;&lt;periodical&gt;&lt;full-title&gt;The American journal of managed care&lt;/full-title&gt;&lt;/periodical&gt;&lt;pages&gt;725-32&lt;/pages&gt;&lt;volume&gt;19&lt;/volume&gt;&lt;number&gt;9&lt;/number&gt;&lt;dates&gt;&lt;year&gt;2013&lt;/year&gt;&lt;/dates&gt;&lt;urls&gt;&lt;related-urls&gt;&lt;url&gt;&amp;lt;Go to ISI&amp;gt;://WOS:000326420200003&lt;/url&gt;&lt;/related-urls&gt;&lt;/urls&gt;&lt;/record&gt;&lt;/Cite&gt;&lt;/EndNote&gt;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(8)</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34CA30DE"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Haas et al, 2013</w:t>
            </w:r>
          </w:p>
        </w:tc>
        <w:tc>
          <w:tcPr>
            <w:tcW w:w="1525" w:type="dxa"/>
            <w:vAlign w:val="center"/>
            <w:hideMark/>
          </w:tcPr>
          <w:p w14:paraId="4BC19694"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w:t>
            </w:r>
          </w:p>
        </w:tc>
        <w:tc>
          <w:tcPr>
            <w:tcW w:w="1590" w:type="dxa"/>
            <w:vAlign w:val="center"/>
            <w:hideMark/>
          </w:tcPr>
          <w:p w14:paraId="5CBA951D"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Rochester, Minnesota, US</w:t>
            </w:r>
          </w:p>
        </w:tc>
        <w:tc>
          <w:tcPr>
            <w:tcW w:w="1487" w:type="dxa"/>
            <w:vAlign w:val="center"/>
            <w:hideMark/>
          </w:tcPr>
          <w:p w14:paraId="7CF76235"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All primary care patients 18 years or older </w:t>
            </w:r>
            <w:proofErr w:type="spellStart"/>
            <w:r w:rsidRPr="00390719">
              <w:rPr>
                <w:rFonts w:ascii="Times New Roman" w:eastAsia="Times New Roman" w:hAnsi="Times New Roman" w:cs="Times New Roman"/>
                <w:color w:val="000000"/>
                <w:sz w:val="24"/>
                <w:szCs w:val="24"/>
                <w:lang w:eastAsia="en-SG"/>
              </w:rPr>
              <w:t>empaneled</w:t>
            </w:r>
            <w:proofErr w:type="spellEnd"/>
            <w:r w:rsidRPr="00390719">
              <w:rPr>
                <w:rFonts w:ascii="Times New Roman" w:eastAsia="Times New Roman" w:hAnsi="Times New Roman" w:cs="Times New Roman"/>
                <w:color w:val="000000"/>
                <w:sz w:val="24"/>
                <w:szCs w:val="24"/>
                <w:lang w:eastAsia="en-SG"/>
              </w:rPr>
              <w:t xml:space="preserve"> to the Employee and Community Health (ECH) practice (family medicine, primary care internal medicine, and community </w:t>
            </w:r>
            <w:proofErr w:type="spellStart"/>
            <w:r w:rsidRPr="00390719">
              <w:rPr>
                <w:rFonts w:ascii="Times New Roman" w:eastAsia="Times New Roman" w:hAnsi="Times New Roman" w:cs="Times New Roman"/>
                <w:color w:val="000000"/>
                <w:sz w:val="24"/>
                <w:szCs w:val="24"/>
                <w:lang w:eastAsia="en-SG"/>
              </w:rPr>
              <w:t>pediatric</w:t>
            </w:r>
            <w:proofErr w:type="spellEnd"/>
            <w:r w:rsidRPr="00390719">
              <w:rPr>
                <w:rFonts w:ascii="Times New Roman" w:eastAsia="Times New Roman" w:hAnsi="Times New Roman" w:cs="Times New Roman"/>
                <w:color w:val="000000"/>
                <w:sz w:val="24"/>
                <w:szCs w:val="24"/>
                <w:lang w:eastAsia="en-SG"/>
              </w:rPr>
              <w:t xml:space="preserve"> and adolescent medicine)</w:t>
            </w:r>
          </w:p>
        </w:tc>
        <w:tc>
          <w:tcPr>
            <w:tcW w:w="1973" w:type="dxa"/>
            <w:vAlign w:val="center"/>
            <w:hideMark/>
          </w:tcPr>
          <w:p w14:paraId="397F81F1"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Secondary data: electronic medical record and administrative databases within</w:t>
            </w:r>
            <w:r w:rsidRPr="00390719">
              <w:rPr>
                <w:rFonts w:ascii="Times New Roman" w:eastAsia="Times New Roman" w:hAnsi="Times New Roman" w:cs="Times New Roman"/>
                <w:color w:val="000000"/>
                <w:sz w:val="24"/>
                <w:szCs w:val="24"/>
                <w:lang w:eastAsia="en-SG"/>
              </w:rPr>
              <w:br/>
              <w:t>Mayo Clinic’s health records system</w:t>
            </w:r>
          </w:p>
        </w:tc>
        <w:tc>
          <w:tcPr>
            <w:tcW w:w="1272" w:type="dxa"/>
            <w:vAlign w:val="center"/>
            <w:hideMark/>
          </w:tcPr>
          <w:p w14:paraId="6BA8C999"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w:t>
            </w:r>
          </w:p>
        </w:tc>
        <w:tc>
          <w:tcPr>
            <w:tcW w:w="1276" w:type="dxa"/>
            <w:vAlign w:val="center"/>
            <w:hideMark/>
          </w:tcPr>
          <w:p w14:paraId="454AE49F"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83,187</w:t>
            </w:r>
          </w:p>
        </w:tc>
        <w:tc>
          <w:tcPr>
            <w:tcW w:w="1137" w:type="dxa"/>
            <w:vAlign w:val="center"/>
          </w:tcPr>
          <w:p w14:paraId="6FCB7F2F" w14:textId="24B00021" w:rsidR="00731C83" w:rsidRP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Low</w:t>
            </w:r>
          </w:p>
        </w:tc>
        <w:tc>
          <w:tcPr>
            <w:tcW w:w="2774" w:type="dxa"/>
            <w:vAlign w:val="center"/>
            <w:hideMark/>
          </w:tcPr>
          <w:p w14:paraId="65319348" w14:textId="472EF721"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The authors used logistic regressions to compare ACGs with 5 other risk-adjustment measures in predicting hospitalizations, ED visits and top 10% highest cost users. ACG outperformed 5 other risk-adjustment measures for all dependent variables (c-statistic 0.73 for hospitalization, 0.67 for ED visits, 0.81 for readmission and 0.76 for top 10% highest cost users.) (Table 2)</w:t>
            </w:r>
          </w:p>
        </w:tc>
      </w:tr>
      <w:tr w:rsidR="00731C83" w:rsidRPr="00390719" w14:paraId="497D6A7D" w14:textId="77777777" w:rsidTr="00731C83">
        <w:trPr>
          <w:cnfStyle w:val="000000100000" w:firstRow="0" w:lastRow="0" w:firstColumn="0" w:lastColumn="0" w:oddVBand="0" w:evenVBand="0" w:oddHBand="1" w:evenHBand="0" w:firstRowFirstColumn="0" w:firstRowLastColumn="0" w:lastRowFirstColumn="0" w:lastRowLastColumn="0"/>
          <w:trHeight w:val="174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33319EFC" w14:textId="0FE45DA4"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lastRenderedPageBreak/>
              <w:fldChar w:fldCharType="begin"/>
            </w:r>
            <w:r>
              <w:rPr>
                <w:rFonts w:ascii="Times New Roman" w:eastAsia="Times New Roman" w:hAnsi="Times New Roman" w:cs="Times New Roman"/>
                <w:color w:val="000000"/>
                <w:sz w:val="24"/>
                <w:szCs w:val="24"/>
                <w:lang w:eastAsia="en-SG"/>
              </w:rPr>
              <w:instrText xml:space="preserve"> ADDIN EN.CITE &lt;EndNote&gt;&lt;Cite&gt;&lt;Author&gt;Lemke&lt;/Author&gt;&lt;Year&gt;2012&lt;/Year&gt;&lt;RecNum&gt;44&lt;/RecNum&gt;&lt;DisplayText&gt;(9)&lt;/DisplayText&gt;&lt;record&gt;&lt;rec-number&gt;44&lt;/rec-number&gt;&lt;foreign-keys&gt;&lt;key app="EN" db-id="ee9erwffmxvtrdev0wovsv2zesvwxvrxdppv" timestamp="1475973307"&gt;44&lt;/key&gt;&lt;/foreign-keys&gt;&lt;ref-type name="Journal Article"&gt;17&lt;/ref-type&gt;&lt;contributors&gt;&lt;authors&gt;&lt;author&gt;Lemke, Klaus W.&lt;/author&gt;&lt;author&gt;Weiner, Jonathan P.&lt;/author&gt;&lt;author&gt;Clark, Jeanne M. Clark&lt;/author&gt;&lt;/authors&gt;&lt;/contributors&gt;&lt;titles&gt;&lt;title&gt;Development and Validation of a Model for Predicting Inpatient Hospitalization&lt;/title&gt;&lt;secondary-title&gt;Medical Care&lt;/secondary-title&gt;&lt;/titles&gt;&lt;periodical&gt;&lt;full-title&gt;Medical Care&lt;/full-title&gt;&lt;/periodical&gt;&lt;pages&gt;131-139&lt;/pages&gt;&lt;volume&gt;50&lt;/volume&gt;&lt;number&gt;2&lt;/number&gt;&lt;dates&gt;&lt;year&gt;2012&lt;/year&gt;&lt;/dates&gt;&lt;urls&gt;&lt;/urls&gt;&lt;/record&gt;&lt;/Cite&gt;&lt;/EndNote&gt;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(9)</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11AD0377"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Lemke, Weiner, and Clark, 2012</w:t>
            </w:r>
          </w:p>
        </w:tc>
        <w:tc>
          <w:tcPr>
            <w:tcW w:w="1525" w:type="dxa"/>
            <w:vAlign w:val="center"/>
            <w:hideMark/>
          </w:tcPr>
          <w:p w14:paraId="356A9E82"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w:t>
            </w:r>
          </w:p>
        </w:tc>
        <w:tc>
          <w:tcPr>
            <w:tcW w:w="1590" w:type="dxa"/>
            <w:vAlign w:val="center"/>
            <w:hideMark/>
          </w:tcPr>
          <w:p w14:paraId="564FB67E"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USA</w:t>
            </w:r>
          </w:p>
        </w:tc>
        <w:tc>
          <w:tcPr>
            <w:tcW w:w="1487" w:type="dxa"/>
            <w:vAlign w:val="center"/>
            <w:hideMark/>
          </w:tcPr>
          <w:p w14:paraId="4B18F4BC"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Individuals &lt;65 years old in employer-sponsored or private health plans, individuals ≥ 65 years old Medicare beneficiaries in managed care plans.</w:t>
            </w:r>
          </w:p>
        </w:tc>
        <w:tc>
          <w:tcPr>
            <w:tcW w:w="1973" w:type="dxa"/>
            <w:vAlign w:val="center"/>
            <w:hideMark/>
          </w:tcPr>
          <w:p w14:paraId="1771BEE5"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Secondary data: IMS Health Plan Claims Database which includes private health plans contracted with employers, private individuals, Medicaid and Medicare.</w:t>
            </w:r>
          </w:p>
        </w:tc>
        <w:tc>
          <w:tcPr>
            <w:tcW w:w="1272" w:type="dxa"/>
            <w:vAlign w:val="center"/>
            <w:hideMark/>
          </w:tcPr>
          <w:p w14:paraId="01B50E91"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Yes</w:t>
            </w:r>
          </w:p>
        </w:tc>
        <w:tc>
          <w:tcPr>
            <w:tcW w:w="1276" w:type="dxa"/>
            <w:vAlign w:val="center"/>
            <w:hideMark/>
          </w:tcPr>
          <w:p w14:paraId="19FC8D12"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9,339,227</w:t>
            </w:r>
          </w:p>
        </w:tc>
        <w:tc>
          <w:tcPr>
            <w:tcW w:w="1137" w:type="dxa"/>
            <w:vAlign w:val="center"/>
          </w:tcPr>
          <w:p w14:paraId="2B49BC7B" w14:textId="0F01BBB9" w:rsidR="00731C83" w:rsidRP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Low</w:t>
            </w:r>
          </w:p>
        </w:tc>
        <w:tc>
          <w:tcPr>
            <w:tcW w:w="2774" w:type="dxa"/>
            <w:vAlign w:val="center"/>
            <w:hideMark/>
          </w:tcPr>
          <w:p w14:paraId="08BCAE75" w14:textId="6CDB11E0"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Multivariable logistic regression on hospitalization outcomes demonstrated superior performance of an ACG hospitalization model (AUC = 0.8) compared to a non-ACG hospitalization model (AUC=0.75) and </w:t>
            </w:r>
            <w:proofErr w:type="spellStart"/>
            <w:r w:rsidRPr="00390719">
              <w:rPr>
                <w:rFonts w:ascii="Times New Roman" w:eastAsia="Times New Roman" w:hAnsi="Times New Roman" w:cs="Times New Roman"/>
                <w:color w:val="000000"/>
                <w:sz w:val="24"/>
                <w:szCs w:val="24"/>
                <w:lang w:eastAsia="en-SG"/>
              </w:rPr>
              <w:t>Charlson</w:t>
            </w:r>
            <w:proofErr w:type="spellEnd"/>
            <w:r w:rsidRPr="00390719">
              <w:rPr>
                <w:rFonts w:ascii="Times New Roman" w:eastAsia="Times New Roman" w:hAnsi="Times New Roman" w:cs="Times New Roman"/>
                <w:color w:val="000000"/>
                <w:sz w:val="24"/>
                <w:szCs w:val="24"/>
                <w:lang w:eastAsia="en-SG"/>
              </w:rPr>
              <w:t xml:space="preserve"> comorbidity hospitalization model (AUC = 0.78)</w:t>
            </w:r>
          </w:p>
        </w:tc>
      </w:tr>
      <w:tr w:rsidR="00731C83" w:rsidRPr="00390719" w14:paraId="179A7DDC" w14:textId="77777777" w:rsidTr="00731C83">
        <w:trPr>
          <w:trHeight w:val="116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6B6B08C9" w14:textId="7D4A9A42"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&lt;EndNote&gt;&lt;Cite&gt;&lt;Author&gt;Bolaños-Carmona&lt;/Author&gt;&lt;Year&gt;2002&lt;/Year&gt;&lt;RecNum&gt;45&lt;/RecNum&gt;&lt;DisplayText&gt;(10)&lt;/DisplayText&gt;&lt;record&gt;&lt;rec-number&gt;45&lt;/rec-number&gt;&lt;foreign-keys&gt;&lt;key app="EN" db-id="ee9erwffmxvtrdev0wovsv2zesvwxvrxdppv" timestamp="1475973307"&gt;45&lt;/key&gt;&lt;/foreign-keys&gt;&lt;ref-type name="Journal Article"&gt;17&lt;/ref-type&gt;&lt;contributors&gt;&lt;authors&gt;&lt;author&gt;Bolaños-Carmona, Victoria &lt;/author&gt;&lt;author&gt;Ocana-Riola, Ricardo&lt;/author&gt;&lt;author&gt;Prados-Torres, Alexandra&lt;/author&gt;&lt;author&gt;Gutierrez-Cuadra&lt;/author&gt;&lt;/authors&gt;&lt;/contributors&gt;&lt;titles&gt;&lt;title&gt;Variations in health services utilization by primary care patients&lt;/title&gt;&lt;secondary-title&gt;Health Services Management Research&lt;/secondary-title&gt;&lt;/titles&gt;&lt;periodical&gt;&lt;full-title&gt;Health Services Management Research&lt;/full-title&gt;&lt;/periodical&gt;&lt;pages&gt;116-125&lt;/pages&gt;&lt;volume&gt;15&lt;/volume&gt;&lt;dates&gt;&lt;year&gt;2002&lt;/year&gt;&lt;/dates&gt;&lt;urls&gt;&lt;/urls&gt;&lt;/record&gt;&lt;/Cite&gt;&lt;/EndNote&gt;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(10)</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043CFCE3"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Bolanos-Carmona et al, 2002</w:t>
            </w:r>
          </w:p>
        </w:tc>
        <w:tc>
          <w:tcPr>
            <w:tcW w:w="1525" w:type="dxa"/>
            <w:vAlign w:val="center"/>
            <w:hideMark/>
          </w:tcPr>
          <w:p w14:paraId="32BE394D"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 4</w:t>
            </w:r>
          </w:p>
        </w:tc>
        <w:tc>
          <w:tcPr>
            <w:tcW w:w="1590" w:type="dxa"/>
            <w:vAlign w:val="center"/>
            <w:hideMark/>
          </w:tcPr>
          <w:p w14:paraId="46A91896"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Spain</w:t>
            </w:r>
          </w:p>
        </w:tc>
        <w:tc>
          <w:tcPr>
            <w:tcW w:w="1487" w:type="dxa"/>
            <w:vAlign w:val="center"/>
            <w:hideMark/>
          </w:tcPr>
          <w:p w14:paraId="6021159F"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Patients under 38 primary care physicians working in 21 health centres</w:t>
            </w:r>
          </w:p>
        </w:tc>
        <w:tc>
          <w:tcPr>
            <w:tcW w:w="1973" w:type="dxa"/>
            <w:vAlign w:val="center"/>
            <w:hideMark/>
          </w:tcPr>
          <w:p w14:paraId="70475A83"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Primary data collection</w:t>
            </w:r>
          </w:p>
        </w:tc>
        <w:tc>
          <w:tcPr>
            <w:tcW w:w="1272" w:type="dxa"/>
            <w:vAlign w:val="center"/>
            <w:hideMark/>
          </w:tcPr>
          <w:p w14:paraId="7C68470D"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w:t>
            </w:r>
          </w:p>
        </w:tc>
        <w:tc>
          <w:tcPr>
            <w:tcW w:w="1276" w:type="dxa"/>
            <w:vAlign w:val="center"/>
            <w:hideMark/>
          </w:tcPr>
          <w:p w14:paraId="477ABA7A"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52,152</w:t>
            </w:r>
          </w:p>
        </w:tc>
        <w:tc>
          <w:tcPr>
            <w:tcW w:w="1137" w:type="dxa"/>
            <w:vAlign w:val="center"/>
          </w:tcPr>
          <w:p w14:paraId="4929BE02" w14:textId="508B517E" w:rsidR="00731C83" w:rsidRP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Low</w:t>
            </w:r>
          </w:p>
        </w:tc>
        <w:tc>
          <w:tcPr>
            <w:tcW w:w="2774" w:type="dxa"/>
            <w:vAlign w:val="center"/>
            <w:hideMark/>
          </w:tcPr>
          <w:p w14:paraId="4A50C4CB" w14:textId="46D08922"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In multilevel regression, ACGs explained 49% variability (adjusted R2) of number of physician visits, 14% variability of referrals to specialists, 16% variability of number of diagnostic tests. (ACG only)</w:t>
            </w:r>
          </w:p>
        </w:tc>
      </w:tr>
      <w:tr w:rsidR="00731C83" w:rsidRPr="00390719" w14:paraId="71214AEF" w14:textId="77777777" w:rsidTr="00731C83">
        <w:trPr>
          <w:cnfStyle w:val="000000100000" w:firstRow="0" w:lastRow="0" w:firstColumn="0" w:lastColumn="0" w:oddVBand="0" w:evenVBand="0" w:oddHBand="1" w:evenHBand="0" w:firstRowFirstColumn="0" w:firstRowLastColumn="0" w:lastRowFirstColumn="0" w:lastRowLastColumn="0"/>
          <w:trHeight w:val="290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1CDB19CC" w14:textId="0A460C4A"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&lt;EndNote&gt;&lt;Cite&gt;&lt;Author&gt;Wahls&lt;/Author&gt;&lt;Year&gt;2004&lt;/Year&gt;&lt;RecNum&gt;46&lt;/RecNum&gt;&lt;DisplayText&gt;(11)&lt;/DisplayText&gt;&lt;record&gt;&lt;rec-number&gt;46&lt;/rec-number&gt;&lt;foreign-keys&gt;&lt;key app="EN" db-id="ee9erwffmxvtrdev0wovsv2zesvwxvrxdppv" timestamp="1475973307"&gt;46&lt;/key&gt;&lt;/foreign-keys&gt;&lt;ref-type name="Journal Article"&gt;17&lt;/ref-type&gt;&lt;contributors&gt;&lt;authors&gt;&lt;author&gt;Wahls, Terry L.  &lt;/author&gt;&lt;author&gt;Barnett, Mitchell J.  &lt;/author&gt;&lt;author&gt;Rosenthal, Gary E.  &lt;/author&gt;&lt;/authors&gt;&lt;/contributors&gt;&lt;titles&gt;&lt;title&gt;Predicting Resource Utilization in a Veterans Health Administration Primary Care Population Comparison of Methods Based on Diagnoses and Medications&lt;/title&gt;&lt;secondary-title&gt;Medical Care&lt;/secondary-title&gt;&lt;/titles&gt;&lt;periodical&gt;&lt;full-title&gt;Medical Care&lt;/full-title&gt;&lt;/periodical&gt;&lt;pages&gt;123-128&lt;/pages&gt;&lt;volume&gt;42&lt;/volume&gt;&lt;number&gt;2&lt;/number&gt;&lt;dates&gt;&lt;year&gt;2004&lt;/year&gt;&lt;/dates&gt;&lt;urls&gt;&lt;/urls&gt;&lt;/record&gt;&lt;/Cite&gt;&lt;/EndNote&gt;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(11)</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1C79556B"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Wahls, Barnett, and Rosenthal, 2004</w:t>
            </w:r>
          </w:p>
        </w:tc>
        <w:tc>
          <w:tcPr>
            <w:tcW w:w="1525" w:type="dxa"/>
            <w:vAlign w:val="center"/>
            <w:hideMark/>
          </w:tcPr>
          <w:p w14:paraId="75CEA716"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 4.5</w:t>
            </w:r>
          </w:p>
        </w:tc>
        <w:tc>
          <w:tcPr>
            <w:tcW w:w="1590" w:type="dxa"/>
            <w:vAlign w:val="center"/>
            <w:hideMark/>
          </w:tcPr>
          <w:p w14:paraId="13ECE032"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Iowa &amp; Nebraska, US</w:t>
            </w:r>
          </w:p>
        </w:tc>
        <w:tc>
          <w:tcPr>
            <w:tcW w:w="1487" w:type="dxa"/>
            <w:vAlign w:val="center"/>
            <w:hideMark/>
          </w:tcPr>
          <w:p w14:paraId="0161928B"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Patients who had one or more primary care visits at 4 hospital and 19 community-based VA facilities and received one or more prescriptions </w:t>
            </w:r>
            <w:r w:rsidRPr="00390719">
              <w:rPr>
                <w:rFonts w:ascii="Times New Roman" w:eastAsia="Times New Roman" w:hAnsi="Times New Roman" w:cs="Times New Roman"/>
                <w:color w:val="000000"/>
                <w:sz w:val="24"/>
                <w:szCs w:val="24"/>
                <w:lang w:eastAsia="en-SG"/>
              </w:rPr>
              <w:lastRenderedPageBreak/>
              <w:t>in fiscal year 1999 (October 1999 through September 2000).</w:t>
            </w:r>
          </w:p>
        </w:tc>
        <w:tc>
          <w:tcPr>
            <w:tcW w:w="1973" w:type="dxa"/>
            <w:vAlign w:val="center"/>
            <w:hideMark/>
          </w:tcPr>
          <w:p w14:paraId="173F90B3"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lastRenderedPageBreak/>
              <w:t>Secondary data: VA Pharmacy Benefits Management database (PBM), the Patient Treatment File (PTF), and the Outpatient Care File (OPC)</w:t>
            </w:r>
          </w:p>
        </w:tc>
        <w:tc>
          <w:tcPr>
            <w:tcW w:w="1272" w:type="dxa"/>
            <w:vAlign w:val="center"/>
            <w:hideMark/>
          </w:tcPr>
          <w:p w14:paraId="7C9EF153"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w:t>
            </w:r>
          </w:p>
        </w:tc>
        <w:tc>
          <w:tcPr>
            <w:tcW w:w="1276" w:type="dxa"/>
            <w:vAlign w:val="center"/>
            <w:hideMark/>
          </w:tcPr>
          <w:p w14:paraId="789D01BC"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31,212</w:t>
            </w:r>
          </w:p>
        </w:tc>
        <w:tc>
          <w:tcPr>
            <w:tcW w:w="1137" w:type="dxa"/>
            <w:vAlign w:val="center"/>
          </w:tcPr>
          <w:p w14:paraId="696B3365" w14:textId="0BC22BD6" w:rsidR="00731C83" w:rsidRP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Low</w:t>
            </w:r>
          </w:p>
        </w:tc>
        <w:tc>
          <w:tcPr>
            <w:tcW w:w="2774" w:type="dxa"/>
            <w:vAlign w:val="center"/>
            <w:hideMark/>
          </w:tcPr>
          <w:p w14:paraId="3A588634" w14:textId="616B38B4"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ACGs (adjusted for age and gender) were predictive of total outpatient visits, hospitalization and total hospital days. In ordinary least square regression, ACGs explained 30.2% variance (adjusted R2) of total outpatient visits in the same year and 16.3% variance in the subsequent year. C-statistics were </w:t>
            </w:r>
            <w:r w:rsidRPr="00390719">
              <w:rPr>
                <w:rFonts w:ascii="Times New Roman" w:eastAsia="Times New Roman" w:hAnsi="Times New Roman" w:cs="Times New Roman"/>
                <w:color w:val="000000"/>
                <w:sz w:val="24"/>
                <w:szCs w:val="24"/>
                <w:lang w:eastAsia="en-SG"/>
              </w:rPr>
              <w:lastRenderedPageBreak/>
              <w:t xml:space="preserve">0.86 and 0.84 for same-year </w:t>
            </w:r>
            <w:proofErr w:type="spellStart"/>
            <w:r w:rsidRPr="00390719">
              <w:rPr>
                <w:rFonts w:ascii="Times New Roman" w:eastAsia="Times New Roman" w:hAnsi="Times New Roman" w:cs="Times New Roman"/>
                <w:color w:val="000000"/>
                <w:sz w:val="24"/>
                <w:szCs w:val="24"/>
                <w:lang w:eastAsia="en-SG"/>
              </w:rPr>
              <w:t>hopitalizations</w:t>
            </w:r>
            <w:proofErr w:type="spellEnd"/>
            <w:r w:rsidRPr="00390719">
              <w:rPr>
                <w:rFonts w:ascii="Times New Roman" w:eastAsia="Times New Roman" w:hAnsi="Times New Roman" w:cs="Times New Roman"/>
                <w:color w:val="000000"/>
                <w:sz w:val="24"/>
                <w:szCs w:val="24"/>
                <w:lang w:eastAsia="en-SG"/>
              </w:rPr>
              <w:t xml:space="preserve"> and same year total hospital days; 0.72 and 0.71 for subsequent year </w:t>
            </w:r>
            <w:proofErr w:type="spellStart"/>
            <w:r w:rsidRPr="00390719">
              <w:rPr>
                <w:rFonts w:ascii="Times New Roman" w:eastAsia="Times New Roman" w:hAnsi="Times New Roman" w:cs="Times New Roman"/>
                <w:color w:val="000000"/>
                <w:sz w:val="24"/>
                <w:szCs w:val="24"/>
                <w:lang w:eastAsia="en-SG"/>
              </w:rPr>
              <w:t>hopitalization</w:t>
            </w:r>
            <w:proofErr w:type="spellEnd"/>
            <w:r w:rsidRPr="00390719">
              <w:rPr>
                <w:rFonts w:ascii="Times New Roman" w:eastAsia="Times New Roman" w:hAnsi="Times New Roman" w:cs="Times New Roman"/>
                <w:color w:val="000000"/>
                <w:sz w:val="24"/>
                <w:szCs w:val="24"/>
                <w:lang w:eastAsia="en-SG"/>
              </w:rPr>
              <w:t xml:space="preserve"> and total hospital days. (</w:t>
            </w:r>
            <w:proofErr w:type="gramStart"/>
            <w:r w:rsidRPr="00390719">
              <w:rPr>
                <w:rFonts w:ascii="Times New Roman" w:eastAsia="Times New Roman" w:hAnsi="Times New Roman" w:cs="Times New Roman"/>
                <w:color w:val="000000"/>
                <w:sz w:val="24"/>
                <w:szCs w:val="24"/>
                <w:lang w:eastAsia="en-SG"/>
              </w:rPr>
              <w:t>Table 2 &amp; 3,</w:t>
            </w:r>
            <w:proofErr w:type="gramEnd"/>
            <w:r w:rsidRPr="00390719">
              <w:rPr>
                <w:rFonts w:ascii="Times New Roman" w:eastAsia="Times New Roman" w:hAnsi="Times New Roman" w:cs="Times New Roman"/>
                <w:color w:val="000000"/>
                <w:sz w:val="24"/>
                <w:szCs w:val="24"/>
                <w:lang w:eastAsia="en-SG"/>
              </w:rPr>
              <w:t xml:space="preserve"> compared with CDI and abridged ACG)</w:t>
            </w:r>
          </w:p>
        </w:tc>
      </w:tr>
      <w:tr w:rsidR="00731C83" w:rsidRPr="00390719" w14:paraId="74BB5D7D" w14:textId="77777777" w:rsidTr="00731C83">
        <w:trPr>
          <w:trHeight w:val="145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2544AF0F" w14:textId="72494718"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lastRenderedPageBreak/>
              <w:fldChar w:fldCharType="begin"/>
            </w:r>
            <w:r>
              <w:rPr>
                <w:rFonts w:ascii="Times New Roman" w:eastAsia="Times New Roman" w:hAnsi="Times New Roman" w:cs="Times New Roman"/>
                <w:color w:val="000000"/>
                <w:sz w:val="24"/>
                <w:szCs w:val="24"/>
                <w:lang w:eastAsia="en-SG"/>
              </w:rPr>
              <w:instrText xml:space="preserve"> ADDIN EN.CITE &lt;EndNote&gt;&lt;Cite&gt;&lt;Author&gt;Pietz&lt;/Author&gt;&lt;Year&gt;2004&lt;/Year&gt;&lt;RecNum&gt;47&lt;/RecNum&gt;&lt;DisplayText&gt;(12)&lt;/DisplayText&gt;&lt;record&gt;&lt;rec-number&gt;47&lt;/rec-number&gt;&lt;foreign-keys&gt;&lt;key app="EN" db-id="ee9erwffmxvtrdev0wovsv2zesvwxvrxdppv" timestamp="1475973307"&gt;47&lt;/key&gt;&lt;/foreign-keys&gt;&lt;ref-type name="Journal Article"&gt;17&lt;/ref-type&gt;&lt;contributors&gt;&lt;authors&gt;&lt;author&gt;Pietz, Kenneth  &lt;/author&gt;&lt;author&gt;Ashton, Carol M.  &lt;/author&gt;&lt;author&gt;McDonell, Mary  &lt;/author&gt;&lt;author&gt;Wray, Nelda P.  &lt;/author&gt;&lt;/authors&gt;&lt;/contributors&gt;&lt;titles&gt;&lt;title&gt;Predicting Healthcare Costs in a Population of Veterans Affairs Beneficiaries Using Diagnosis-Based Risk Adjustment and Self-Reported Health Status&lt;/title&gt;&lt;secondary-title&gt;Medical Care&lt;/secondary-title&gt;&lt;/titles&gt;&lt;periodical&gt;&lt;full-title&gt;Medical Care&lt;/full-title&gt;&lt;/periodical&gt;&lt;volume&gt;42&lt;/volume&gt;&lt;number&gt;1027-1035&lt;/number&gt;&lt;dates&gt;&lt;year&gt;2004&lt;/year&gt;&lt;/dates&gt;&lt;urls&gt;&lt;/urls&gt;&lt;/record&gt;&lt;/Cite&gt;&lt;/EndNote&gt;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(12)</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56FC8C38"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proofErr w:type="spellStart"/>
            <w:r w:rsidRPr="00390719">
              <w:rPr>
                <w:rFonts w:ascii="Times New Roman" w:eastAsia="Times New Roman" w:hAnsi="Times New Roman" w:cs="Times New Roman"/>
                <w:color w:val="000000"/>
                <w:sz w:val="24"/>
                <w:szCs w:val="24"/>
                <w:lang w:eastAsia="en-SG"/>
              </w:rPr>
              <w:t>Pietz</w:t>
            </w:r>
            <w:proofErr w:type="spellEnd"/>
            <w:r w:rsidRPr="00390719">
              <w:rPr>
                <w:rFonts w:ascii="Times New Roman" w:eastAsia="Times New Roman" w:hAnsi="Times New Roman" w:cs="Times New Roman"/>
                <w:color w:val="000000"/>
                <w:sz w:val="24"/>
                <w:szCs w:val="24"/>
                <w:lang w:eastAsia="en-SG"/>
              </w:rPr>
              <w:t xml:space="preserve"> et al, 2004</w:t>
            </w:r>
          </w:p>
        </w:tc>
        <w:tc>
          <w:tcPr>
            <w:tcW w:w="1525" w:type="dxa"/>
            <w:vAlign w:val="center"/>
            <w:hideMark/>
          </w:tcPr>
          <w:p w14:paraId="319C1BE8"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 5</w:t>
            </w:r>
          </w:p>
        </w:tc>
        <w:tc>
          <w:tcPr>
            <w:tcW w:w="1590" w:type="dxa"/>
            <w:vAlign w:val="center"/>
            <w:hideMark/>
          </w:tcPr>
          <w:p w14:paraId="4CE76BC5"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US</w:t>
            </w:r>
          </w:p>
        </w:tc>
        <w:tc>
          <w:tcPr>
            <w:tcW w:w="1487" w:type="dxa"/>
            <w:vAlign w:val="center"/>
            <w:hideMark/>
          </w:tcPr>
          <w:p w14:paraId="651E5242"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Primary care patients in a network of 8 VA hospitals and their associated clinics in the Pacific Northwest</w:t>
            </w:r>
          </w:p>
        </w:tc>
        <w:tc>
          <w:tcPr>
            <w:tcW w:w="1973" w:type="dxa"/>
            <w:vAlign w:val="center"/>
            <w:hideMark/>
          </w:tcPr>
          <w:p w14:paraId="5746AB2E"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Secondary data: electronic medical database</w:t>
            </w:r>
          </w:p>
        </w:tc>
        <w:tc>
          <w:tcPr>
            <w:tcW w:w="1272" w:type="dxa"/>
            <w:vAlign w:val="center"/>
            <w:hideMark/>
          </w:tcPr>
          <w:p w14:paraId="4D21F18E"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Yes</w:t>
            </w:r>
          </w:p>
        </w:tc>
        <w:tc>
          <w:tcPr>
            <w:tcW w:w="1276" w:type="dxa"/>
            <w:vAlign w:val="center"/>
            <w:hideMark/>
          </w:tcPr>
          <w:p w14:paraId="2A3CB95E"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78,344</w:t>
            </w:r>
          </w:p>
        </w:tc>
        <w:tc>
          <w:tcPr>
            <w:tcW w:w="1137" w:type="dxa"/>
            <w:vAlign w:val="center"/>
          </w:tcPr>
          <w:p w14:paraId="15E42349" w14:textId="33187B26" w:rsidR="00731C83" w:rsidRP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Low</w:t>
            </w:r>
          </w:p>
        </w:tc>
        <w:tc>
          <w:tcPr>
            <w:tcW w:w="2774" w:type="dxa"/>
            <w:vAlign w:val="center"/>
            <w:hideMark/>
          </w:tcPr>
          <w:p w14:paraId="76A00A63" w14:textId="509F9A02"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Using weighted least square regressions, ACGs explained 25.3% variance (adjusted R2) of current year costs in training dataset and 27.7% in testing dataset; 8.7% prospective year costs in training dataset and 7% in testing dataset. (compared to ADGs and demographics)</w:t>
            </w:r>
          </w:p>
        </w:tc>
      </w:tr>
      <w:tr w:rsidR="00731C83" w:rsidRPr="00390719" w14:paraId="48579477" w14:textId="77777777" w:rsidTr="00731C83">
        <w:trPr>
          <w:cnfStyle w:val="000000100000" w:firstRow="0" w:lastRow="0" w:firstColumn="0" w:lastColumn="0" w:oddVBand="0" w:evenVBand="0" w:oddHBand="1" w:evenHBand="0" w:firstRowFirstColumn="0" w:firstRowLastColumn="0" w:lastRowFirstColumn="0" w:lastRowLastColumn="0"/>
          <w:trHeight w:val="174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52FE8968" w14:textId="12A8EDB1"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&lt;EndNote&gt;&lt;Cite&gt;&lt;Author&gt;Orueta&lt;/Author&gt;&lt;Year&gt;2006&lt;/Year&gt;&lt;RecNum&gt;24&lt;/RecNum&gt;&lt;DisplayText&gt;(13)&lt;/DisplayText&gt;&lt;record&gt;&lt;rec-number&gt;24&lt;/rec-number&gt;&lt;foreign-keys&gt;&lt;key app="EN" db-id="ee9erwffmxvtrdev0wovsv2zesvwxvrxdppv" timestamp="1475973305"&gt;24&lt;/key&gt;&lt;/foreign-keys&gt;&lt;ref-type name="Journal Article"&gt;17&lt;/ref-type&gt;&lt;contributors&gt;&lt;authors&gt;&lt;author&gt;Orueta, Juan-Francisco&lt;/author&gt;&lt;author&gt;Urraca, Javier&lt;/author&gt;&lt;author&gt;Berraondo, Inaki&lt;/author&gt;&lt;author&gt;Darpon, Jon&lt;/author&gt;&lt;author&gt;Aurrekoetxea, Juan-Jose&lt;/author&gt;&lt;/authors&gt;&lt;/contributors&gt;&lt;titles&gt;&lt;title&gt;Adjusted Clinical Groups (ACGs) explain the utilization of primary care in Spain based on information registered in the medical records: A cross-sectional study&lt;/title&gt;&lt;secondary-title&gt;Health Policy  &lt;/secondary-title&gt;&lt;/titles&gt;&lt;periodical&gt;&lt;full-title&gt;Health Policy&lt;/full-title&gt;&lt;/periodical&gt;&lt;pages&gt;38-48&lt;/pages&gt;&lt;volume&gt;76&lt;/volume&gt;&lt;dates&gt;&lt;year&gt;2006&lt;/year&gt;&lt;/dates&gt;&lt;urls&gt;&lt;/urls&gt;&lt;/record&gt;&lt;/Cite&gt;&lt;/EndNote&gt;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(13)</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09EA4482"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proofErr w:type="spellStart"/>
            <w:r w:rsidRPr="00390719">
              <w:rPr>
                <w:rFonts w:ascii="Times New Roman" w:eastAsia="Times New Roman" w:hAnsi="Times New Roman" w:cs="Times New Roman"/>
                <w:color w:val="000000"/>
                <w:sz w:val="24"/>
                <w:szCs w:val="24"/>
                <w:lang w:eastAsia="en-SG"/>
              </w:rPr>
              <w:t>Orueta</w:t>
            </w:r>
            <w:proofErr w:type="spellEnd"/>
            <w:r w:rsidRPr="00390719">
              <w:rPr>
                <w:rFonts w:ascii="Times New Roman" w:eastAsia="Times New Roman" w:hAnsi="Times New Roman" w:cs="Times New Roman"/>
                <w:color w:val="000000"/>
                <w:sz w:val="24"/>
                <w:szCs w:val="24"/>
                <w:lang w:eastAsia="en-SG"/>
              </w:rPr>
              <w:t xml:space="preserve"> et al, 2006</w:t>
            </w:r>
          </w:p>
        </w:tc>
        <w:tc>
          <w:tcPr>
            <w:tcW w:w="1525" w:type="dxa"/>
            <w:vAlign w:val="center"/>
            <w:hideMark/>
          </w:tcPr>
          <w:p w14:paraId="7B52EE03"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 5</w:t>
            </w:r>
          </w:p>
        </w:tc>
        <w:tc>
          <w:tcPr>
            <w:tcW w:w="1590" w:type="dxa"/>
            <w:vAlign w:val="center"/>
            <w:hideMark/>
          </w:tcPr>
          <w:p w14:paraId="3781F189"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Spain</w:t>
            </w:r>
          </w:p>
        </w:tc>
        <w:tc>
          <w:tcPr>
            <w:tcW w:w="1487" w:type="dxa"/>
            <w:vAlign w:val="center"/>
            <w:hideMark/>
          </w:tcPr>
          <w:p w14:paraId="0F1BE5C5"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All patients under 46 general practitioners and 10 </w:t>
            </w:r>
            <w:proofErr w:type="spellStart"/>
            <w:r w:rsidRPr="00390719">
              <w:rPr>
                <w:rFonts w:ascii="Times New Roman" w:eastAsia="Times New Roman" w:hAnsi="Times New Roman" w:cs="Times New Roman"/>
                <w:color w:val="000000"/>
                <w:sz w:val="24"/>
                <w:szCs w:val="24"/>
                <w:lang w:eastAsia="en-SG"/>
              </w:rPr>
              <w:t>pediatricians</w:t>
            </w:r>
            <w:proofErr w:type="spellEnd"/>
            <w:r w:rsidRPr="00390719">
              <w:rPr>
                <w:rFonts w:ascii="Times New Roman" w:eastAsia="Times New Roman" w:hAnsi="Times New Roman" w:cs="Times New Roman"/>
                <w:color w:val="000000"/>
                <w:sz w:val="24"/>
                <w:szCs w:val="24"/>
                <w:lang w:eastAsia="en-SG"/>
              </w:rPr>
              <w:t xml:space="preserve"> from primary health care </w:t>
            </w:r>
            <w:proofErr w:type="spellStart"/>
            <w:r w:rsidRPr="00390719">
              <w:rPr>
                <w:rFonts w:ascii="Times New Roman" w:eastAsia="Times New Roman" w:hAnsi="Times New Roman" w:cs="Times New Roman"/>
                <w:color w:val="000000"/>
                <w:sz w:val="24"/>
                <w:szCs w:val="24"/>
                <w:lang w:eastAsia="en-SG"/>
              </w:rPr>
              <w:t>centers</w:t>
            </w:r>
            <w:proofErr w:type="spellEnd"/>
            <w:r w:rsidRPr="00390719">
              <w:rPr>
                <w:rFonts w:ascii="Times New Roman" w:eastAsia="Times New Roman" w:hAnsi="Times New Roman" w:cs="Times New Roman"/>
                <w:color w:val="000000"/>
                <w:sz w:val="24"/>
                <w:szCs w:val="24"/>
                <w:lang w:eastAsia="en-SG"/>
              </w:rPr>
              <w:t xml:space="preserve"> of the </w:t>
            </w:r>
            <w:proofErr w:type="spellStart"/>
            <w:r w:rsidRPr="00390719">
              <w:rPr>
                <w:rFonts w:ascii="Times New Roman" w:eastAsia="Times New Roman" w:hAnsi="Times New Roman" w:cs="Times New Roman"/>
                <w:color w:val="000000"/>
                <w:sz w:val="24"/>
                <w:szCs w:val="24"/>
                <w:lang w:eastAsia="en-SG"/>
              </w:rPr>
              <w:t>Osakidetza</w:t>
            </w:r>
            <w:proofErr w:type="spellEnd"/>
            <w:r w:rsidRPr="00390719">
              <w:rPr>
                <w:rFonts w:ascii="Times New Roman" w:eastAsia="Times New Roman" w:hAnsi="Times New Roman" w:cs="Times New Roman"/>
                <w:color w:val="000000"/>
                <w:sz w:val="24"/>
                <w:szCs w:val="24"/>
                <w:lang w:eastAsia="en-SG"/>
              </w:rPr>
              <w:t xml:space="preserve"> / Basque </w:t>
            </w:r>
            <w:r w:rsidRPr="00390719">
              <w:rPr>
                <w:rFonts w:ascii="Times New Roman" w:eastAsia="Times New Roman" w:hAnsi="Times New Roman" w:cs="Times New Roman"/>
                <w:color w:val="000000"/>
                <w:sz w:val="24"/>
                <w:szCs w:val="24"/>
                <w:lang w:eastAsia="en-SG"/>
              </w:rPr>
              <w:lastRenderedPageBreak/>
              <w:t>Health Service.</w:t>
            </w:r>
          </w:p>
        </w:tc>
        <w:tc>
          <w:tcPr>
            <w:tcW w:w="1973" w:type="dxa"/>
            <w:vAlign w:val="center"/>
            <w:hideMark/>
          </w:tcPr>
          <w:p w14:paraId="3C4A779B"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lastRenderedPageBreak/>
              <w:t xml:space="preserve">Secondary data: medical record form for primary care of the </w:t>
            </w:r>
            <w:proofErr w:type="spellStart"/>
            <w:r w:rsidRPr="00390719">
              <w:rPr>
                <w:rFonts w:ascii="Times New Roman" w:eastAsia="Times New Roman" w:hAnsi="Times New Roman" w:cs="Times New Roman"/>
                <w:color w:val="000000"/>
                <w:sz w:val="24"/>
                <w:szCs w:val="24"/>
                <w:lang w:eastAsia="en-SG"/>
              </w:rPr>
              <w:t>Osakidetza</w:t>
            </w:r>
            <w:proofErr w:type="spellEnd"/>
            <w:r w:rsidRPr="00390719">
              <w:rPr>
                <w:rFonts w:ascii="Times New Roman" w:eastAsia="Times New Roman" w:hAnsi="Times New Roman" w:cs="Times New Roman"/>
                <w:color w:val="000000"/>
                <w:sz w:val="24"/>
                <w:szCs w:val="24"/>
                <w:lang w:eastAsia="en-SG"/>
              </w:rPr>
              <w:t xml:space="preserve"> / Basque Health Service</w:t>
            </w:r>
          </w:p>
        </w:tc>
        <w:tc>
          <w:tcPr>
            <w:tcW w:w="1272" w:type="dxa"/>
            <w:vAlign w:val="center"/>
            <w:hideMark/>
          </w:tcPr>
          <w:p w14:paraId="0FDB4243"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w:t>
            </w:r>
          </w:p>
        </w:tc>
        <w:tc>
          <w:tcPr>
            <w:tcW w:w="1276" w:type="dxa"/>
            <w:vAlign w:val="center"/>
            <w:hideMark/>
          </w:tcPr>
          <w:p w14:paraId="6989CCB8"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84,136</w:t>
            </w:r>
          </w:p>
        </w:tc>
        <w:tc>
          <w:tcPr>
            <w:tcW w:w="1137" w:type="dxa"/>
            <w:vAlign w:val="center"/>
          </w:tcPr>
          <w:p w14:paraId="2E930A16" w14:textId="4D392271" w:rsidR="00731C83" w:rsidRP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Low</w:t>
            </w:r>
          </w:p>
        </w:tc>
        <w:tc>
          <w:tcPr>
            <w:tcW w:w="2774" w:type="dxa"/>
            <w:vAlign w:val="center"/>
            <w:hideMark/>
          </w:tcPr>
          <w:p w14:paraId="667F9A84" w14:textId="6C2A51DA"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In multiple linear regressions, the ACGs system explained (adjusted R2) 53% of the variance in physician visits, 31-32% of prescriptions, 24% of referrals, 25-26% requests of laboratory tests, and 14% of radiographs. (</w:t>
            </w:r>
            <w:proofErr w:type="gramStart"/>
            <w:r w:rsidRPr="00390719">
              <w:rPr>
                <w:rFonts w:ascii="Times New Roman" w:eastAsia="Times New Roman" w:hAnsi="Times New Roman" w:cs="Times New Roman"/>
                <w:color w:val="000000"/>
                <w:sz w:val="24"/>
                <w:szCs w:val="24"/>
                <w:lang w:eastAsia="en-SG"/>
              </w:rPr>
              <w:t>Table 5,</w:t>
            </w:r>
            <w:proofErr w:type="gramEnd"/>
            <w:r w:rsidRPr="00390719">
              <w:rPr>
                <w:rFonts w:ascii="Times New Roman" w:eastAsia="Times New Roman" w:hAnsi="Times New Roman" w:cs="Times New Roman"/>
                <w:color w:val="000000"/>
                <w:sz w:val="24"/>
                <w:szCs w:val="24"/>
                <w:lang w:eastAsia="en-SG"/>
              </w:rPr>
              <w:t xml:space="preserve"> compared to ADGs and demographics)</w:t>
            </w:r>
          </w:p>
        </w:tc>
      </w:tr>
      <w:tr w:rsidR="00731C83" w:rsidRPr="00390719" w14:paraId="682EBB27" w14:textId="77777777" w:rsidTr="00731C83">
        <w:trPr>
          <w:trHeight w:val="699"/>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62E78341" w14:textId="59F2C96D"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&lt;EndNote&gt;&lt;Cite&gt;&lt;Author&gt;Hanley&lt;/Author&gt;&lt;Year&gt;2010&lt;/Year&gt;&lt;RecNum&gt;22&lt;/RecNum&gt;&lt;DisplayText&gt;(14)&lt;/DisplayText&gt;&lt;record&gt;&lt;rec-number&gt;22&lt;/rec-number&gt;&lt;foreign-keys&gt;&lt;key app="EN" db-id="ee9erwffmxvtrdev0wovsv2zesvwxvrxdppv" timestamp="1475973304"&gt;22&lt;/key&gt;&lt;/foreign-keys&gt;&lt;ref-type name="Journal Article"&gt;17&lt;/ref-type&gt;&lt;contributors&gt;&lt;authors&gt;&lt;author&gt;Hanley, G. E.&lt;/author&gt;&lt;author&gt;Morgan, S.&lt;/author&gt;&lt;author&gt;Reid, R. J.&lt;/author&gt;&lt;/authors&gt;&lt;/contributors&gt;&lt;titles&gt;&lt;title&gt;Explaining prescription drug use and expenditures using the adjusted clinical groups case-mix system in the population of British Columbia, Canada&lt;/title&gt;&lt;secondary-title&gt;Medical Care&lt;/secondary-title&gt;&lt;/titles&gt;&lt;periodical&gt;&lt;full-title&gt;Medical Care&lt;/full-title&gt;&lt;/periodical&gt;&lt;pages&gt;402-408&lt;/pages&gt;&lt;volume&gt;48&lt;/volume&gt;&lt;number&gt;5&lt;/number&gt;&lt;dates&gt;&lt;year&gt;2010&lt;/year&gt;&lt;/dates&gt;&lt;accession-num&gt;2010248486&lt;/accession-num&gt;&lt;urls&gt;&lt;/urls&gt;&lt;electronic-resource-num&gt;http://dx.doi.org/10.1097/MLR.0b013e3181ca3d5d&lt;/electronic-resource-num&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(14)</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66A32F46"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Hanley, Morgan and Reid, 2010</w:t>
            </w:r>
          </w:p>
        </w:tc>
        <w:tc>
          <w:tcPr>
            <w:tcW w:w="1525" w:type="dxa"/>
            <w:vAlign w:val="center"/>
            <w:hideMark/>
          </w:tcPr>
          <w:p w14:paraId="1D598864"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 7</w:t>
            </w:r>
          </w:p>
        </w:tc>
        <w:tc>
          <w:tcPr>
            <w:tcW w:w="1590" w:type="dxa"/>
            <w:vAlign w:val="center"/>
            <w:hideMark/>
          </w:tcPr>
          <w:p w14:paraId="0ED236C1"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British Columbia, Canada</w:t>
            </w:r>
          </w:p>
        </w:tc>
        <w:tc>
          <w:tcPr>
            <w:tcW w:w="1487" w:type="dxa"/>
            <w:vAlign w:val="center"/>
            <w:hideMark/>
          </w:tcPr>
          <w:p w14:paraId="318B3619"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Residents who were registered for the universal health care plan for </w:t>
            </w:r>
            <w:proofErr w:type="gramStart"/>
            <w:r w:rsidRPr="00390719">
              <w:rPr>
                <w:rFonts w:ascii="Times New Roman" w:eastAsia="Times New Roman" w:hAnsi="Times New Roman" w:cs="Times New Roman"/>
                <w:color w:val="000000"/>
                <w:sz w:val="24"/>
                <w:szCs w:val="24"/>
                <w:lang w:eastAsia="en-SG"/>
              </w:rPr>
              <w:t>275  days</w:t>
            </w:r>
            <w:proofErr w:type="gramEnd"/>
            <w:r w:rsidRPr="00390719">
              <w:rPr>
                <w:rFonts w:ascii="Times New Roman" w:eastAsia="Times New Roman" w:hAnsi="Times New Roman" w:cs="Times New Roman"/>
                <w:color w:val="000000"/>
                <w:sz w:val="24"/>
                <w:szCs w:val="24"/>
                <w:lang w:eastAsia="en-SG"/>
              </w:rPr>
              <w:t xml:space="preserve"> in the calendar years 2004 and 2005.</w:t>
            </w:r>
          </w:p>
        </w:tc>
        <w:tc>
          <w:tcPr>
            <w:tcW w:w="1973" w:type="dxa"/>
            <w:vAlign w:val="center"/>
            <w:hideMark/>
          </w:tcPr>
          <w:p w14:paraId="44A72876"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Secondary data: For every resident in our cohort, we obtained demographic information including age, sex, and the geographic locale of residence (Local Health Area) from the Medical Services Plan registration files. We obtained diagnostic codes, (ICD-9-CM and ICD-10 codes) for the study population from administrative records of hospital separations and physician paid claims records during the calendar year 2004.</w:t>
            </w:r>
          </w:p>
        </w:tc>
        <w:tc>
          <w:tcPr>
            <w:tcW w:w="1272" w:type="dxa"/>
            <w:vAlign w:val="center"/>
            <w:hideMark/>
          </w:tcPr>
          <w:p w14:paraId="5BC8065D"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Yes</w:t>
            </w:r>
          </w:p>
        </w:tc>
        <w:tc>
          <w:tcPr>
            <w:tcW w:w="1276" w:type="dxa"/>
            <w:vAlign w:val="center"/>
            <w:hideMark/>
          </w:tcPr>
          <w:p w14:paraId="23A91346"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3,908,533</w:t>
            </w:r>
          </w:p>
        </w:tc>
        <w:tc>
          <w:tcPr>
            <w:tcW w:w="1137" w:type="dxa"/>
            <w:vAlign w:val="center"/>
          </w:tcPr>
          <w:p w14:paraId="6BE701D7" w14:textId="23EB2763" w:rsidR="00731C83" w:rsidRP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Low</w:t>
            </w:r>
          </w:p>
        </w:tc>
        <w:tc>
          <w:tcPr>
            <w:tcW w:w="2774" w:type="dxa"/>
            <w:vAlign w:val="center"/>
            <w:hideMark/>
          </w:tcPr>
          <w:p w14:paraId="28553714" w14:textId="59F6CB6D"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The C-statistics from logistic models explaining pharmaceutical use for concurrent (2004 diagnoses predicting 2004 use)/ prospective (2004 diagnoses predicting 2005 use) models were 0.87/0.82 for the ACG model compared with 0.78/0.76 for the </w:t>
            </w:r>
            <w:proofErr w:type="spellStart"/>
            <w:r w:rsidRPr="00390719">
              <w:rPr>
                <w:rFonts w:ascii="Times New Roman" w:eastAsia="Times New Roman" w:hAnsi="Times New Roman" w:cs="Times New Roman"/>
                <w:color w:val="000000"/>
                <w:sz w:val="24"/>
                <w:szCs w:val="24"/>
                <w:lang w:eastAsia="en-SG"/>
              </w:rPr>
              <w:t>Charlson</w:t>
            </w:r>
            <w:proofErr w:type="spellEnd"/>
            <w:r w:rsidRPr="00390719">
              <w:rPr>
                <w:rFonts w:ascii="Times New Roman" w:eastAsia="Times New Roman" w:hAnsi="Times New Roman" w:cs="Times New Roman"/>
                <w:color w:val="000000"/>
                <w:sz w:val="24"/>
                <w:szCs w:val="24"/>
                <w:lang w:eastAsia="en-SG"/>
              </w:rPr>
              <w:t xml:space="preserve"> index model, and 0.75/0.75 for the age and sex model.</w:t>
            </w:r>
          </w:p>
        </w:tc>
      </w:tr>
      <w:tr w:rsidR="00731C83" w:rsidRPr="00390719" w14:paraId="72E916CA" w14:textId="77777777" w:rsidTr="00731C83">
        <w:trPr>
          <w:cnfStyle w:val="000000100000" w:firstRow="0" w:lastRow="0" w:firstColumn="0" w:lastColumn="0" w:oddVBand="0" w:evenVBand="0" w:oddHBand="1" w:evenHBand="0" w:firstRowFirstColumn="0" w:firstRowLastColumn="0" w:lastRowFirstColumn="0" w:lastRowLastColumn="0"/>
          <w:trHeight w:val="203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63CEAC8B" w14:textId="77777777" w:rsidR="00731C83" w:rsidRPr="00390719" w:rsidRDefault="00731C83" w:rsidP="00731C83">
            <w:pPr>
              <w:jc w:val="center"/>
              <w:rPr>
                <w:rFonts w:ascii="Times New Roman" w:eastAsia="Times New Roman" w:hAnsi="Times New Roman" w:cs="Times New Roman"/>
                <w:color w:val="000000"/>
                <w:sz w:val="24"/>
                <w:szCs w:val="24"/>
                <w:lang w:eastAsia="en-SG"/>
              </w:rPr>
            </w:pPr>
          </w:p>
          <w:p w14:paraId="0ABE477C" w14:textId="2AEF2AF1"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&lt;EndNote&gt;&lt;Cite&gt;&lt;Author&gt;Aguado&lt;/Author&gt;&lt;Year&gt;2008&lt;/Year&gt;&lt;RecNum&gt;48&lt;/RecNum&gt;&lt;DisplayText&gt;(15)&lt;/DisplayText&gt;&lt;record&gt;&lt;rec-number&gt;48&lt;/rec-number&gt;&lt;foreign-keys&gt;&lt;key app="EN" db-id="ee9erwffmxvtrdev0wovsv2zesvwxvrxdppv" timestamp="1475973307"&gt;48&lt;/key&gt;&lt;/foreign-keys&gt;&lt;ref-type name="Journal Article"&gt;17&lt;/ref-type&gt;&lt;contributors&gt;&lt;authors&gt;&lt;author&gt;Aguado, Alba  &lt;/author&gt;&lt;author&gt;Guinó, Elisabet  &lt;/author&gt;&lt;author&gt;Mukherjee, Bhramar  &lt;/author&gt;&lt;author&gt;Sicras, Antoni &lt;/author&gt;&lt;author&gt;Serrat, Josep  &lt;/author&gt;&lt;author&gt;Acedo, Mateo  &lt;/author&gt;&lt;author&gt;Ferro, Juan Jose  &lt;/author&gt;&lt;author&gt;Moreno, Victor &lt;/author&gt;&lt;/authors&gt;&lt;/contributors&gt;&lt;titles&gt;&lt;title&gt;Variability in prescription drug expenditures explained by adjusted clinical groups (ACG) case-mix: A cross-sectional study of patient electronic records in primary care&lt;/title&gt;&lt;secondary-title&gt;BMC Health Services Research&lt;/secondary-title&gt;&lt;/titles&gt;&lt;periodical&gt;&lt;full-title&gt;BMC Health Services Research&lt;/full-title&gt;&lt;/periodical&gt;&lt;pages&gt;1-11&lt;/pages&gt;&lt;volume&gt;8&lt;/volume&gt;&lt;number&gt;53&lt;/number&gt;&lt;dates&gt;&lt;year&gt;2008&lt;/year&gt;&lt;/dates&gt;&lt;urls&gt;&lt;/urls&gt;&lt;/record&gt;&lt;/Cite&gt;&lt;/EndNote&gt;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(15)</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40C9249B"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proofErr w:type="spellStart"/>
            <w:r w:rsidRPr="00390719">
              <w:rPr>
                <w:rFonts w:ascii="Times New Roman" w:eastAsia="Times New Roman" w:hAnsi="Times New Roman" w:cs="Times New Roman"/>
                <w:color w:val="000000"/>
                <w:sz w:val="24"/>
                <w:szCs w:val="24"/>
                <w:lang w:eastAsia="en-SG"/>
              </w:rPr>
              <w:t>Aguado</w:t>
            </w:r>
            <w:proofErr w:type="spellEnd"/>
            <w:r w:rsidRPr="00390719">
              <w:rPr>
                <w:rFonts w:ascii="Times New Roman" w:eastAsia="Times New Roman" w:hAnsi="Times New Roman" w:cs="Times New Roman"/>
                <w:color w:val="000000"/>
                <w:sz w:val="24"/>
                <w:szCs w:val="24"/>
                <w:lang w:eastAsia="en-SG"/>
              </w:rPr>
              <w:t xml:space="preserve"> et al, 2008</w:t>
            </w:r>
          </w:p>
        </w:tc>
        <w:tc>
          <w:tcPr>
            <w:tcW w:w="1525" w:type="dxa"/>
            <w:vAlign w:val="center"/>
            <w:hideMark/>
          </w:tcPr>
          <w:p w14:paraId="7F8E2FDD"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 7.1</w:t>
            </w:r>
          </w:p>
        </w:tc>
        <w:tc>
          <w:tcPr>
            <w:tcW w:w="1590" w:type="dxa"/>
            <w:vAlign w:val="center"/>
            <w:hideMark/>
          </w:tcPr>
          <w:p w14:paraId="0CCF1E29"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Spain</w:t>
            </w:r>
          </w:p>
        </w:tc>
        <w:tc>
          <w:tcPr>
            <w:tcW w:w="1487" w:type="dxa"/>
            <w:vAlign w:val="center"/>
            <w:hideMark/>
          </w:tcPr>
          <w:p w14:paraId="00C4BB87"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Adult &amp; </w:t>
            </w:r>
            <w:proofErr w:type="spellStart"/>
            <w:r w:rsidRPr="00390719">
              <w:rPr>
                <w:rFonts w:ascii="Times New Roman" w:eastAsia="Times New Roman" w:hAnsi="Times New Roman" w:cs="Times New Roman"/>
                <w:color w:val="000000"/>
                <w:sz w:val="24"/>
                <w:szCs w:val="24"/>
                <w:lang w:eastAsia="en-SG"/>
              </w:rPr>
              <w:t>pediatric</w:t>
            </w:r>
            <w:proofErr w:type="spellEnd"/>
            <w:r w:rsidRPr="00390719">
              <w:rPr>
                <w:rFonts w:ascii="Times New Roman" w:eastAsia="Times New Roman" w:hAnsi="Times New Roman" w:cs="Times New Roman"/>
                <w:color w:val="000000"/>
                <w:sz w:val="24"/>
                <w:szCs w:val="24"/>
                <w:lang w:eastAsia="en-SG"/>
              </w:rPr>
              <w:t xml:space="preserve"> patients</w:t>
            </w:r>
          </w:p>
        </w:tc>
        <w:tc>
          <w:tcPr>
            <w:tcW w:w="1973" w:type="dxa"/>
            <w:vAlign w:val="center"/>
            <w:hideMark/>
          </w:tcPr>
          <w:p w14:paraId="165AD91A"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Secondary data: electronic records of five primary care </w:t>
            </w:r>
            <w:proofErr w:type="spellStart"/>
            <w:r w:rsidRPr="00390719">
              <w:rPr>
                <w:rFonts w:ascii="Times New Roman" w:eastAsia="Times New Roman" w:hAnsi="Times New Roman" w:cs="Times New Roman"/>
                <w:color w:val="000000"/>
                <w:sz w:val="24"/>
                <w:szCs w:val="24"/>
                <w:lang w:eastAsia="en-SG"/>
              </w:rPr>
              <w:t>centers</w:t>
            </w:r>
            <w:proofErr w:type="spellEnd"/>
            <w:r w:rsidRPr="00390719">
              <w:rPr>
                <w:rFonts w:ascii="Times New Roman" w:eastAsia="Times New Roman" w:hAnsi="Times New Roman" w:cs="Times New Roman"/>
                <w:color w:val="000000"/>
                <w:sz w:val="24"/>
                <w:szCs w:val="24"/>
                <w:lang w:eastAsia="en-SG"/>
              </w:rPr>
              <w:t xml:space="preserve"> in Spain</w:t>
            </w:r>
          </w:p>
        </w:tc>
        <w:tc>
          <w:tcPr>
            <w:tcW w:w="1272" w:type="dxa"/>
            <w:vAlign w:val="center"/>
            <w:hideMark/>
          </w:tcPr>
          <w:p w14:paraId="3647709F"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w:t>
            </w:r>
          </w:p>
        </w:tc>
        <w:tc>
          <w:tcPr>
            <w:tcW w:w="1276" w:type="dxa"/>
            <w:vAlign w:val="center"/>
            <w:hideMark/>
          </w:tcPr>
          <w:p w14:paraId="6DB84F40"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65,630</w:t>
            </w:r>
          </w:p>
        </w:tc>
        <w:tc>
          <w:tcPr>
            <w:tcW w:w="1137" w:type="dxa"/>
            <w:vAlign w:val="center"/>
          </w:tcPr>
          <w:p w14:paraId="32FB9492" w14:textId="60B241E3" w:rsidR="00731C83" w:rsidRP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Moderate</w:t>
            </w:r>
          </w:p>
        </w:tc>
        <w:tc>
          <w:tcPr>
            <w:tcW w:w="2774" w:type="dxa"/>
            <w:vAlign w:val="center"/>
            <w:hideMark/>
          </w:tcPr>
          <w:p w14:paraId="52C53758" w14:textId="183E8EDE"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Authors </w:t>
            </w:r>
            <w:proofErr w:type="spellStart"/>
            <w:r w:rsidRPr="00390719">
              <w:rPr>
                <w:rFonts w:ascii="Times New Roman" w:eastAsia="Times New Roman" w:hAnsi="Times New Roman" w:cs="Times New Roman"/>
                <w:color w:val="000000"/>
                <w:sz w:val="24"/>
                <w:szCs w:val="24"/>
                <w:lang w:eastAsia="en-SG"/>
              </w:rPr>
              <w:t>modeled</w:t>
            </w:r>
            <w:proofErr w:type="spellEnd"/>
            <w:r w:rsidRPr="00390719">
              <w:rPr>
                <w:rFonts w:ascii="Times New Roman" w:eastAsia="Times New Roman" w:hAnsi="Times New Roman" w:cs="Times New Roman"/>
                <w:color w:val="000000"/>
                <w:sz w:val="24"/>
                <w:szCs w:val="24"/>
                <w:lang w:eastAsia="en-SG"/>
              </w:rPr>
              <w:t xml:space="preserve"> pharmaceutical expenditures using two-part model (logistic regression and linear mixed model), adjusting for age. In the adult population, ACG explained 28.8% variance of incurrence of pharmaceutical expenditure and 35.4% of </w:t>
            </w:r>
            <w:proofErr w:type="spellStart"/>
            <w:r w:rsidRPr="00390719">
              <w:rPr>
                <w:rFonts w:ascii="Times New Roman" w:eastAsia="Times New Roman" w:hAnsi="Times New Roman" w:cs="Times New Roman"/>
                <w:color w:val="000000"/>
                <w:sz w:val="24"/>
                <w:szCs w:val="24"/>
                <w:lang w:eastAsia="en-SG"/>
              </w:rPr>
              <w:t>expediture</w:t>
            </w:r>
            <w:proofErr w:type="spellEnd"/>
            <w:r w:rsidRPr="00390719">
              <w:rPr>
                <w:rFonts w:ascii="Times New Roman" w:eastAsia="Times New Roman" w:hAnsi="Times New Roman" w:cs="Times New Roman"/>
                <w:color w:val="000000"/>
                <w:sz w:val="24"/>
                <w:szCs w:val="24"/>
                <w:lang w:eastAsia="en-SG"/>
              </w:rPr>
              <w:t xml:space="preserve"> level whereas in the </w:t>
            </w:r>
            <w:proofErr w:type="spellStart"/>
            <w:r w:rsidRPr="00390719">
              <w:rPr>
                <w:rFonts w:ascii="Times New Roman" w:eastAsia="Times New Roman" w:hAnsi="Times New Roman" w:cs="Times New Roman"/>
                <w:color w:val="000000"/>
                <w:sz w:val="24"/>
                <w:szCs w:val="24"/>
                <w:lang w:eastAsia="en-SG"/>
              </w:rPr>
              <w:t>pediatric</w:t>
            </w:r>
            <w:proofErr w:type="spellEnd"/>
            <w:r w:rsidRPr="00390719">
              <w:rPr>
                <w:rFonts w:ascii="Times New Roman" w:eastAsia="Times New Roman" w:hAnsi="Times New Roman" w:cs="Times New Roman"/>
                <w:color w:val="000000"/>
                <w:sz w:val="24"/>
                <w:szCs w:val="24"/>
                <w:lang w:eastAsia="en-SG"/>
              </w:rPr>
              <w:t xml:space="preserve"> population, ACG explained 20.6% variance of incurrence of expenditure and 22.4% variance of level of expenditure. (Table 4)</w:t>
            </w:r>
          </w:p>
        </w:tc>
      </w:tr>
      <w:tr w:rsidR="00731C83" w:rsidRPr="00390719" w14:paraId="3D9BAABB" w14:textId="77777777" w:rsidTr="00731C83">
        <w:trPr>
          <w:trHeight w:val="1953"/>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731C2BD4" w14:textId="45722A66"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&lt;EndNote&gt;&lt;Cite&gt;&lt;Author&gt;Chang&lt;/Author&gt;&lt;Year&gt;2010&lt;/Year&gt;&lt;RecNum&gt;49&lt;/RecNum&gt;&lt;DisplayText&gt;(16)&lt;/DisplayText&gt;&lt;record&gt;&lt;rec-number&gt;49&lt;/rec-number&gt;&lt;foreign-keys&gt;&lt;key app="EN" db-id="ee9erwffmxvtrdev0wovsv2zesvwxvrxdppv" timestamp="1475973308"&gt;49&lt;/key&gt;&lt;/foreign-keys&gt;&lt;ref-type name="Journal Article"&gt;17&lt;/ref-type&gt;&lt;contributors&gt;&lt;authors&gt;&lt;author&gt;Chang, Hsien-Yen&lt;/author&gt;&lt;author&gt;Weiner, Jonathan P.&lt;/author&gt;&lt;/authors&gt;&lt;/contributors&gt;&lt;titles&gt;&lt;title&gt;An in-depth assessment of a diagnosis-based risk adjustment model based on national health insurance claims: the application of the Johns Hopkins Adjusted Clinical Group case-mix system in Taiwan&lt;/title&gt;&lt;secondary-title&gt;BMC Medicine&lt;/secondary-title&gt;&lt;/titles&gt;&lt;periodical&gt;&lt;full-title&gt;BMC Medicine&lt;/full-title&gt;&lt;/periodical&gt;&lt;pages&gt;1-13&lt;/pages&gt;&lt;volume&gt;8&lt;/volume&gt;&lt;number&gt;7&lt;/number&gt;&lt;dates&gt;&lt;year&gt;2010&lt;/year&gt;&lt;/dates&gt;&lt;urls&gt;&lt;/urls&gt;&lt;/record&gt;&lt;/Cite&gt;&lt;/EndNote&gt;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(16)</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1ACA6C50"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Chang and Weiner, 2010</w:t>
            </w:r>
          </w:p>
        </w:tc>
        <w:tc>
          <w:tcPr>
            <w:tcW w:w="1525" w:type="dxa"/>
            <w:vAlign w:val="center"/>
            <w:hideMark/>
          </w:tcPr>
          <w:p w14:paraId="62A9FC1F"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 7.1</w:t>
            </w:r>
          </w:p>
        </w:tc>
        <w:tc>
          <w:tcPr>
            <w:tcW w:w="1590" w:type="dxa"/>
            <w:vAlign w:val="center"/>
            <w:hideMark/>
          </w:tcPr>
          <w:p w14:paraId="2E3A20E8"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Taiwan</w:t>
            </w:r>
          </w:p>
        </w:tc>
        <w:tc>
          <w:tcPr>
            <w:tcW w:w="1487" w:type="dxa"/>
            <w:vAlign w:val="center"/>
            <w:hideMark/>
          </w:tcPr>
          <w:p w14:paraId="070D307D"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Taiwanese National Health Insurance </w:t>
            </w:r>
            <w:proofErr w:type="spellStart"/>
            <w:r w:rsidRPr="00390719">
              <w:rPr>
                <w:rFonts w:ascii="Times New Roman" w:eastAsia="Times New Roman" w:hAnsi="Times New Roman" w:cs="Times New Roman"/>
                <w:color w:val="000000"/>
                <w:sz w:val="24"/>
                <w:szCs w:val="24"/>
                <w:lang w:eastAsia="en-SG"/>
              </w:rPr>
              <w:t>enrollee</w:t>
            </w:r>
            <w:proofErr w:type="spellEnd"/>
          </w:p>
        </w:tc>
        <w:tc>
          <w:tcPr>
            <w:tcW w:w="1973" w:type="dxa"/>
            <w:vAlign w:val="center"/>
            <w:hideMark/>
          </w:tcPr>
          <w:p w14:paraId="2009D479"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Secondary data: Longitudinal dataset prepared by Taiwan’s BNHI; A random sample (1% of Taiwan's population) of Taiwanese National Health Insurance (NHI) </w:t>
            </w:r>
            <w:proofErr w:type="spellStart"/>
            <w:r w:rsidRPr="00390719">
              <w:rPr>
                <w:rFonts w:ascii="Times New Roman" w:eastAsia="Times New Roman" w:hAnsi="Times New Roman" w:cs="Times New Roman"/>
                <w:color w:val="000000"/>
                <w:sz w:val="24"/>
                <w:szCs w:val="24"/>
                <w:lang w:eastAsia="en-SG"/>
              </w:rPr>
              <w:t>enrollees</w:t>
            </w:r>
            <w:proofErr w:type="spellEnd"/>
            <w:r w:rsidRPr="00390719">
              <w:rPr>
                <w:rFonts w:ascii="Times New Roman" w:eastAsia="Times New Roman" w:hAnsi="Times New Roman" w:cs="Times New Roman"/>
                <w:color w:val="000000"/>
                <w:sz w:val="24"/>
                <w:szCs w:val="24"/>
                <w:lang w:eastAsia="en-SG"/>
              </w:rPr>
              <w:t xml:space="preserve"> was selected. Those continuously enrolled in 2002 </w:t>
            </w:r>
            <w:r w:rsidRPr="00390719">
              <w:rPr>
                <w:rFonts w:ascii="Times New Roman" w:eastAsia="Times New Roman" w:hAnsi="Times New Roman" w:cs="Times New Roman"/>
                <w:color w:val="000000"/>
                <w:sz w:val="24"/>
                <w:szCs w:val="24"/>
                <w:lang w:eastAsia="en-SG"/>
              </w:rPr>
              <w:lastRenderedPageBreak/>
              <w:t>were included for concurrent analyses (n = 173,234), while those in both 2002 and 2003 were included for prospective analyses (n = 164,562).</w:t>
            </w:r>
          </w:p>
        </w:tc>
        <w:tc>
          <w:tcPr>
            <w:tcW w:w="1272" w:type="dxa"/>
            <w:vAlign w:val="center"/>
            <w:hideMark/>
          </w:tcPr>
          <w:p w14:paraId="3428EE1D"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lastRenderedPageBreak/>
              <w:t>Yes</w:t>
            </w:r>
          </w:p>
        </w:tc>
        <w:tc>
          <w:tcPr>
            <w:tcW w:w="1276" w:type="dxa"/>
            <w:vAlign w:val="center"/>
            <w:hideMark/>
          </w:tcPr>
          <w:p w14:paraId="2143A54E"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337,796</w:t>
            </w:r>
          </w:p>
        </w:tc>
        <w:tc>
          <w:tcPr>
            <w:tcW w:w="1137" w:type="dxa"/>
            <w:vAlign w:val="center"/>
          </w:tcPr>
          <w:p w14:paraId="4ACC5698" w14:textId="319681E6" w:rsidR="00731C83" w:rsidRP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Low</w:t>
            </w:r>
          </w:p>
        </w:tc>
        <w:tc>
          <w:tcPr>
            <w:tcW w:w="2774" w:type="dxa"/>
            <w:vAlign w:val="center"/>
            <w:hideMark/>
          </w:tcPr>
          <w:p w14:paraId="3B2961DA" w14:textId="787F682C"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The adjusted R2 of total healthcare expenditure in concurrent/prospective multivariate linear regression analyses were 0.04/0.04 in the demographic model compared with 0.15/0.09 in the ACG only model.</w:t>
            </w:r>
          </w:p>
        </w:tc>
      </w:tr>
      <w:tr w:rsidR="00731C83" w:rsidRPr="00390719" w14:paraId="0643EB07" w14:textId="77777777" w:rsidTr="00731C83">
        <w:trPr>
          <w:cnfStyle w:val="000000100000" w:firstRow="0" w:lastRow="0" w:firstColumn="0" w:lastColumn="0" w:oddVBand="0" w:evenVBand="0" w:oddHBand="1" w:evenHBand="0" w:firstRowFirstColumn="0" w:firstRowLastColumn="0" w:lastRowFirstColumn="0" w:lastRowLastColumn="0"/>
          <w:trHeight w:val="1953"/>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17F1AD2A" w14:textId="4E966354"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&lt;EndNote&gt;&lt;Cite&gt;&lt;Author&gt;Sicras-Mainar&lt;/Author&gt;&lt;Year&gt;2012&lt;/Year&gt;&lt;RecNum&gt;29&lt;/RecNum&gt;&lt;DisplayText&gt;(17)&lt;/DisplayText&gt;&lt;record&gt;&lt;rec-number&gt;29&lt;/rec-number&gt;&lt;foreign-keys&gt;&lt;key app="EN" db-id="ee9erwffmxvtrdev0wovsv2zesvwxvrxdppv" timestamp="1475973305"&gt;29&lt;/key&gt;&lt;/foreign-keys&gt;&lt;ref-type name="Journal Article"&gt;17&lt;/ref-type&gt;&lt;contributors&gt;&lt;authors&gt;&lt;author&gt;Sicras-Mainar, Antoni &lt;/author&gt;&lt;/authors&gt;&lt;/contributors&gt;&lt;titles&gt;&lt;title&gt;Adaptive capacity of the Adjusted Clinical Groups Case-Mix System to the cost of primary healthcare in Catalonia (Spain): a observational study&lt;/title&gt;&lt;/titles&gt;&lt;dates&gt;&lt;year&gt;2012&lt;/year&gt;&lt;/dates&gt;&lt;urls&gt;&lt;/urls&gt;&lt;/record&gt;&lt;/Cite&gt;&lt;/EndNote&gt;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(17)</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2D8CE6F2"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proofErr w:type="spellStart"/>
            <w:r w:rsidRPr="00390719">
              <w:rPr>
                <w:rFonts w:ascii="Times New Roman" w:eastAsia="Times New Roman" w:hAnsi="Times New Roman" w:cs="Times New Roman"/>
                <w:color w:val="000000"/>
                <w:sz w:val="24"/>
                <w:szCs w:val="24"/>
                <w:lang w:eastAsia="en-SG"/>
              </w:rPr>
              <w:t>Sicras-Mainar</w:t>
            </w:r>
            <w:proofErr w:type="spellEnd"/>
            <w:r w:rsidRPr="00390719">
              <w:rPr>
                <w:rFonts w:ascii="Times New Roman" w:eastAsia="Times New Roman" w:hAnsi="Times New Roman" w:cs="Times New Roman"/>
                <w:color w:val="000000"/>
                <w:sz w:val="24"/>
                <w:szCs w:val="24"/>
                <w:lang w:eastAsia="en-SG"/>
              </w:rPr>
              <w:t>, 2012</w:t>
            </w:r>
          </w:p>
        </w:tc>
        <w:tc>
          <w:tcPr>
            <w:tcW w:w="1525" w:type="dxa"/>
            <w:vAlign w:val="center"/>
            <w:hideMark/>
          </w:tcPr>
          <w:p w14:paraId="11849EB8"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 8.2</w:t>
            </w:r>
          </w:p>
        </w:tc>
        <w:tc>
          <w:tcPr>
            <w:tcW w:w="1590" w:type="dxa"/>
            <w:vAlign w:val="center"/>
            <w:hideMark/>
          </w:tcPr>
          <w:p w14:paraId="27C9B34A"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Catalonia, Spain</w:t>
            </w:r>
          </w:p>
        </w:tc>
        <w:tc>
          <w:tcPr>
            <w:tcW w:w="1487" w:type="dxa"/>
            <w:vAlign w:val="center"/>
            <w:hideMark/>
          </w:tcPr>
          <w:p w14:paraId="7FEFEB6E"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Patients registered in study centres in 2008</w:t>
            </w:r>
          </w:p>
        </w:tc>
        <w:tc>
          <w:tcPr>
            <w:tcW w:w="1973" w:type="dxa"/>
            <w:vAlign w:val="center"/>
            <w:hideMark/>
          </w:tcPr>
          <w:p w14:paraId="3227DB17"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Secondary data: All patients registered in the study centres who required care between 1 January and 31 December 2008</w:t>
            </w:r>
          </w:p>
        </w:tc>
        <w:tc>
          <w:tcPr>
            <w:tcW w:w="1272" w:type="dxa"/>
            <w:vAlign w:val="center"/>
            <w:hideMark/>
          </w:tcPr>
          <w:p w14:paraId="3E0CCC36"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w:t>
            </w:r>
          </w:p>
        </w:tc>
        <w:tc>
          <w:tcPr>
            <w:tcW w:w="1276" w:type="dxa"/>
            <w:vAlign w:val="center"/>
            <w:hideMark/>
          </w:tcPr>
          <w:p w14:paraId="0C02F8B4"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227,235</w:t>
            </w:r>
          </w:p>
        </w:tc>
        <w:tc>
          <w:tcPr>
            <w:tcW w:w="1137" w:type="dxa"/>
            <w:vAlign w:val="center"/>
          </w:tcPr>
          <w:p w14:paraId="03ED706E" w14:textId="0E2B6199" w:rsidR="00731C83" w:rsidRP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Moderate</w:t>
            </w:r>
          </w:p>
        </w:tc>
        <w:tc>
          <w:tcPr>
            <w:tcW w:w="2774" w:type="dxa"/>
            <w:vAlign w:val="center"/>
            <w:hideMark/>
          </w:tcPr>
          <w:p w14:paraId="690BD6FF" w14:textId="1C22F3BE"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The adjusted R2 of the ACG model for cost per patient treated during the study period was 0.37 (0.57 without outliers).</w:t>
            </w:r>
          </w:p>
        </w:tc>
      </w:tr>
      <w:tr w:rsidR="00731C83" w:rsidRPr="00390719" w14:paraId="076B9A24" w14:textId="77777777" w:rsidTr="00731C83">
        <w:trPr>
          <w:trHeight w:val="1975"/>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769C1EB7" w14:textId="37F2D8A7"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&lt;EndNote&gt;&lt;Cite&gt;&lt;Author&gt;Brilleman&lt;/Author&gt;&lt;Year&gt;2014&lt;/Year&gt;&lt;RecNum&gt;50&lt;/RecNum&gt;&lt;DisplayText&gt;(18)&lt;/DisplayText&gt;&lt;record&gt;&lt;rec-number&gt;50&lt;/rec-number&gt;&lt;foreign-keys&gt;&lt;key app="EN" db-id="ee9erwffmxvtrdev0wovsv2zesvwxvrxdppv" timestamp="1475973308"&gt;50&lt;/key&gt;&lt;/foreign-keys&gt;&lt;ref-type name="Journal Article"&gt;17&lt;/ref-type&gt;&lt;contributors&gt;&lt;authors&gt;&lt;author&gt;Brilleman, Samuel L. &lt;/author&gt;&lt;author&gt;Gravelle, Hugh&lt;/author&gt;&lt;author&gt;Hollinghurst, Sandra&lt;/author&gt;&lt;author&gt;Purdy, Sarah&lt;/author&gt;&lt;author&gt;Salisbury, Chris&lt;/author&gt;&lt;author&gt;Windmeijer, Frank&lt;/author&gt;&lt;/authors&gt;&lt;/contributors&gt;&lt;titles&gt;&lt;title&gt;Keep it simple? Predicting primary health care costs with clinical morbidity measures&lt;/title&gt;&lt;secondary-title&gt;Journal of Health Economics&lt;/secondary-title&gt;&lt;/titles&gt;&lt;periodical&gt;&lt;full-title&gt;Journal of Health Economics&lt;/full-title&gt;&lt;/periodical&gt;&lt;pages&gt;109-122&lt;/pages&gt;&lt;volume&gt;35&lt;/volume&gt;&lt;number&gt;100&lt;/number&gt;&lt;dates&gt;&lt;year&gt;2014&lt;/year&gt;&lt;/dates&gt;&lt;urls&gt;&lt;/urls&gt;&lt;/record&gt;&lt;/Cite&gt;&lt;/EndNote&gt;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(18)</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5E535501"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proofErr w:type="spellStart"/>
            <w:r w:rsidRPr="00390719">
              <w:rPr>
                <w:rFonts w:ascii="Times New Roman" w:eastAsia="Times New Roman" w:hAnsi="Times New Roman" w:cs="Times New Roman"/>
                <w:color w:val="000000"/>
                <w:sz w:val="24"/>
                <w:szCs w:val="24"/>
                <w:lang w:eastAsia="en-SG"/>
              </w:rPr>
              <w:t>Brilleman</w:t>
            </w:r>
            <w:proofErr w:type="spellEnd"/>
            <w:r w:rsidRPr="00390719">
              <w:rPr>
                <w:rFonts w:ascii="Times New Roman" w:eastAsia="Times New Roman" w:hAnsi="Times New Roman" w:cs="Times New Roman"/>
                <w:color w:val="000000"/>
                <w:sz w:val="24"/>
                <w:szCs w:val="24"/>
                <w:lang w:eastAsia="en-SG"/>
              </w:rPr>
              <w:t xml:space="preserve"> et al, 2014</w:t>
            </w:r>
          </w:p>
        </w:tc>
        <w:tc>
          <w:tcPr>
            <w:tcW w:w="1525" w:type="dxa"/>
            <w:vAlign w:val="center"/>
            <w:hideMark/>
          </w:tcPr>
          <w:p w14:paraId="3DF0F163"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 8.2</w:t>
            </w:r>
          </w:p>
        </w:tc>
        <w:tc>
          <w:tcPr>
            <w:tcW w:w="1590" w:type="dxa"/>
            <w:vAlign w:val="center"/>
            <w:hideMark/>
          </w:tcPr>
          <w:p w14:paraId="5F693DA0"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England</w:t>
            </w:r>
          </w:p>
        </w:tc>
        <w:tc>
          <w:tcPr>
            <w:tcW w:w="1487" w:type="dxa"/>
            <w:vAlign w:val="center"/>
            <w:hideMark/>
          </w:tcPr>
          <w:p w14:paraId="636E1B15"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Patients ≥20 years old in 174 practices</w:t>
            </w:r>
          </w:p>
        </w:tc>
        <w:tc>
          <w:tcPr>
            <w:tcW w:w="1973" w:type="dxa"/>
            <w:vAlign w:val="center"/>
            <w:hideMark/>
          </w:tcPr>
          <w:p w14:paraId="1211ED6B"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Secondary data: General Practice Research Database which is broadly representative of the general UK population</w:t>
            </w:r>
          </w:p>
        </w:tc>
        <w:tc>
          <w:tcPr>
            <w:tcW w:w="1272" w:type="dxa"/>
            <w:vAlign w:val="center"/>
            <w:hideMark/>
          </w:tcPr>
          <w:p w14:paraId="54CDCDDA"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w:t>
            </w:r>
          </w:p>
        </w:tc>
        <w:tc>
          <w:tcPr>
            <w:tcW w:w="1276" w:type="dxa"/>
            <w:vAlign w:val="center"/>
            <w:hideMark/>
          </w:tcPr>
          <w:p w14:paraId="765F15EF"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85,946</w:t>
            </w:r>
          </w:p>
        </w:tc>
        <w:tc>
          <w:tcPr>
            <w:tcW w:w="1137" w:type="dxa"/>
            <w:vAlign w:val="center"/>
          </w:tcPr>
          <w:p w14:paraId="3CC2C6DB" w14:textId="314BE3C1" w:rsidR="00731C83" w:rsidRP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Low</w:t>
            </w:r>
          </w:p>
        </w:tc>
        <w:tc>
          <w:tcPr>
            <w:tcW w:w="2774" w:type="dxa"/>
            <w:vAlign w:val="center"/>
            <w:hideMark/>
          </w:tcPr>
          <w:p w14:paraId="38D967B0" w14:textId="46FEEC79"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Both linear and exponential models were more predictive for total healthcare cost when AGC variables were included on a model which included age, gender, deprivation and practice. The log model R2_D was 0.41 vs 0.23 while R2_COR was 0.27 vs 0.14. Meanwhile for the linear model, R</w:t>
            </w:r>
            <w:proofErr w:type="gramStart"/>
            <w:r w:rsidRPr="00390719">
              <w:rPr>
                <w:rFonts w:ascii="Times New Roman" w:eastAsia="Times New Roman" w:hAnsi="Times New Roman" w:cs="Times New Roman"/>
                <w:color w:val="000000"/>
                <w:sz w:val="24"/>
                <w:szCs w:val="24"/>
                <w:lang w:eastAsia="en-SG"/>
              </w:rPr>
              <w:t>2  was</w:t>
            </w:r>
            <w:proofErr w:type="gramEnd"/>
            <w:r w:rsidRPr="00390719">
              <w:rPr>
                <w:rFonts w:ascii="Times New Roman" w:eastAsia="Times New Roman" w:hAnsi="Times New Roman" w:cs="Times New Roman"/>
                <w:color w:val="000000"/>
                <w:sz w:val="24"/>
                <w:szCs w:val="24"/>
                <w:lang w:eastAsia="en-SG"/>
              </w:rPr>
              <w:t xml:space="preserve"> 0.27 vs 0.14.</w:t>
            </w:r>
          </w:p>
        </w:tc>
      </w:tr>
      <w:tr w:rsidR="00731C83" w:rsidRPr="00390719" w14:paraId="6DDF6695" w14:textId="77777777" w:rsidTr="00731C83">
        <w:trPr>
          <w:cnfStyle w:val="000000100000" w:firstRow="0" w:lastRow="0" w:firstColumn="0" w:lastColumn="0" w:oddVBand="0" w:evenVBand="0" w:oddHBand="1" w:evenHBand="0" w:firstRowFirstColumn="0" w:firstRowLastColumn="0" w:lastRowFirstColumn="0" w:lastRowLastColumn="0"/>
          <w:trHeight w:val="1509"/>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46050A54" w14:textId="508A6D15"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lastRenderedPageBreak/>
              <w:fldChar w:fldCharType="begin"/>
            </w:r>
            <w:r>
              <w:rPr>
                <w:rFonts w:ascii="Times New Roman" w:eastAsia="Times New Roman" w:hAnsi="Times New Roman" w:cs="Times New Roman"/>
                <w:color w:val="000000"/>
                <w:sz w:val="24"/>
                <w:szCs w:val="24"/>
                <w:lang w:eastAsia="en-SG"/>
              </w:rPr>
              <w:instrText xml:space="preserve"> ADDIN EN.CITE &lt;EndNote&gt;&lt;Cite&gt;&lt;Author&gt;Orueta&lt;/Author&gt;&lt;Year&gt;2013&lt;/Year&gt;&lt;RecNum&gt;34&lt;/RecNum&gt;&lt;DisplayText&gt;(1)&lt;/DisplayText&gt;&lt;record&gt;&lt;rec-number&gt;34&lt;/rec-number&gt;&lt;foreign-keys&gt;&lt;key app="EN" db-id="ee9erwffmxvtrdev0wovsv2zesvwxvrxdppv" timestamp="1475973306"&gt;34&lt;/key&gt;&lt;/foreign-keys&gt;&lt;ref-type name="Journal Article"&gt;17&lt;/ref-type&gt;&lt;contributors&gt;&lt;authors&gt;&lt;author&gt;Orueta, J. F.&lt;/author&gt;&lt;author&gt;Nuno-Solinis, R.&lt;/author&gt;&lt;author&gt;Mateos, M.&lt;/author&gt;&lt;author&gt;Vergara, I.&lt;/author&gt;&lt;author&gt;Grandes, G.&lt;/author&gt;&lt;author&gt;Esnaola, S.&lt;/author&gt;&lt;/authors&gt;&lt;/contributors&gt;&lt;titles&gt;&lt;title&gt;Predictive risk modelling in the Spanish population: a cross-sectional study&lt;/title&gt;&lt;secondary-title&gt;BMC Health Serv Res&lt;/secondary-title&gt;&lt;/titles&gt;&lt;periodical&gt;&lt;full-title&gt;BMC Health Serv Res&lt;/full-title&gt;&lt;/periodical&gt;&lt;pages&gt;269&lt;/pages&gt;&lt;volume&gt;13&lt;/volume&gt;&lt;dates&gt;&lt;year&gt;2013&lt;/year&gt;&lt;/dates&gt;&lt;accession-num&gt;23837560&lt;/accession-num&gt;&lt;urls&gt;&lt;related-urls&gt;&lt;url&gt;&amp;lt;Go to ISI&amp;gt;://WOS:000322884100001&lt;/url&gt;&lt;url&gt;http://www.ncbi.nlm.nih.gov/pmc/articles/PMC3750562/pdf/1472-6963-13-269.pdf&lt;/url&gt;&lt;/related-urls&gt;&lt;/urls&gt;&lt;electronic-resource-num&gt;10.1186/1472-6963-13-269&lt;/electronic-resource-num&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(1)</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4A6A1BA5"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proofErr w:type="spellStart"/>
            <w:r w:rsidRPr="00390719">
              <w:rPr>
                <w:rFonts w:ascii="Times New Roman" w:eastAsia="Times New Roman" w:hAnsi="Times New Roman" w:cs="Times New Roman"/>
                <w:color w:val="000000"/>
                <w:sz w:val="24"/>
                <w:szCs w:val="24"/>
                <w:lang w:eastAsia="en-SG"/>
              </w:rPr>
              <w:t>Orueta</w:t>
            </w:r>
            <w:proofErr w:type="spellEnd"/>
            <w:r w:rsidRPr="00390719">
              <w:rPr>
                <w:rFonts w:ascii="Times New Roman" w:eastAsia="Times New Roman" w:hAnsi="Times New Roman" w:cs="Times New Roman"/>
                <w:color w:val="000000"/>
                <w:sz w:val="24"/>
                <w:szCs w:val="24"/>
                <w:lang w:eastAsia="en-SG"/>
              </w:rPr>
              <w:t xml:space="preserve"> et al, 2013</w:t>
            </w:r>
          </w:p>
        </w:tc>
        <w:tc>
          <w:tcPr>
            <w:tcW w:w="1525" w:type="dxa"/>
            <w:vAlign w:val="center"/>
            <w:hideMark/>
          </w:tcPr>
          <w:p w14:paraId="63B36EB1"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ACG 9</w:t>
            </w:r>
          </w:p>
        </w:tc>
        <w:tc>
          <w:tcPr>
            <w:tcW w:w="1590" w:type="dxa"/>
            <w:vAlign w:val="center"/>
            <w:hideMark/>
          </w:tcPr>
          <w:p w14:paraId="75AA6FC3"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Basque Country, Spain</w:t>
            </w:r>
          </w:p>
        </w:tc>
        <w:tc>
          <w:tcPr>
            <w:tcW w:w="1487" w:type="dxa"/>
            <w:vAlign w:val="center"/>
            <w:hideMark/>
          </w:tcPr>
          <w:p w14:paraId="268E8886"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Citizens over 14 years of age</w:t>
            </w:r>
          </w:p>
        </w:tc>
        <w:tc>
          <w:tcPr>
            <w:tcW w:w="1973" w:type="dxa"/>
            <w:vAlign w:val="center"/>
            <w:hideMark/>
          </w:tcPr>
          <w:p w14:paraId="451839BF"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Secondary data: </w:t>
            </w:r>
            <w:proofErr w:type="spellStart"/>
            <w:r w:rsidRPr="00390719">
              <w:rPr>
                <w:rFonts w:ascii="Times New Roman" w:eastAsia="Times New Roman" w:hAnsi="Times New Roman" w:cs="Times New Roman"/>
                <w:color w:val="000000"/>
                <w:sz w:val="24"/>
                <w:szCs w:val="24"/>
                <w:lang w:eastAsia="en-SG"/>
              </w:rPr>
              <w:t>Osakidetza</w:t>
            </w:r>
            <w:proofErr w:type="spellEnd"/>
            <w:r w:rsidRPr="00390719">
              <w:rPr>
                <w:rFonts w:ascii="Times New Roman" w:eastAsia="Times New Roman" w:hAnsi="Times New Roman" w:cs="Times New Roman"/>
                <w:color w:val="000000"/>
                <w:sz w:val="24"/>
                <w:szCs w:val="24"/>
                <w:lang w:eastAsia="en-SG"/>
              </w:rPr>
              <w:t>. The study period corresponds to two consecutive 12-month intervals. Data from the first year were used to develop the explanatory variables and those from the second year for the response variables.</w:t>
            </w:r>
          </w:p>
        </w:tc>
        <w:tc>
          <w:tcPr>
            <w:tcW w:w="1272" w:type="dxa"/>
            <w:vAlign w:val="center"/>
            <w:hideMark/>
          </w:tcPr>
          <w:p w14:paraId="4D6C2FA6"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Yes</w:t>
            </w:r>
          </w:p>
        </w:tc>
        <w:tc>
          <w:tcPr>
            <w:tcW w:w="1276" w:type="dxa"/>
            <w:vAlign w:val="center"/>
            <w:hideMark/>
          </w:tcPr>
          <w:p w14:paraId="4A6CD649"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1,964,337</w:t>
            </w:r>
          </w:p>
        </w:tc>
        <w:tc>
          <w:tcPr>
            <w:tcW w:w="1137" w:type="dxa"/>
            <w:vAlign w:val="center"/>
          </w:tcPr>
          <w:p w14:paraId="7EE59C11" w14:textId="476D2D4B" w:rsidR="00731C83" w:rsidRP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Low</w:t>
            </w:r>
          </w:p>
        </w:tc>
        <w:tc>
          <w:tcPr>
            <w:tcW w:w="2774" w:type="dxa"/>
            <w:vAlign w:val="center"/>
            <w:hideMark/>
          </w:tcPr>
          <w:p w14:paraId="4C658656" w14:textId="1753A4CA"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Logistic regression models to identify patients located above the 95th percentile of health spending found the ACG (diagnosis), age, gender model (AUC = 0.85) superior to a model with only age and gender (AUC = 0.77)</w:t>
            </w:r>
          </w:p>
        </w:tc>
      </w:tr>
      <w:tr w:rsidR="00731C83" w:rsidRPr="00390719" w14:paraId="7811E6EA" w14:textId="77777777" w:rsidTr="00731C83">
        <w:trPr>
          <w:trHeight w:val="203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2E6F5E10" w14:textId="0CC359A0"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&lt;EndNote&gt;&lt;Cite&gt;&lt;Author&gt;Hughes&lt;/Author&gt;&lt;Year&gt;2004&lt;/Year&gt;&lt;RecNum&gt;32&lt;/RecNum&gt;&lt;DisplayText&gt;(19)&lt;/DisplayText&gt;&lt;record&gt;&lt;rec-number&gt;32&lt;/rec-number&gt;&lt;foreign-keys&gt;&lt;key app="EN" db-id="ee9erwffmxvtrdev0wovsv2zesvwxvrxdppv" timestamp="1475973306"&gt;32&lt;/key&gt;&lt;/foreign-keys&gt;&lt;ref-type name="Journal Article"&gt;17&lt;/ref-type&gt;&lt;contributors&gt;&lt;authors&gt;&lt;author&gt;Hughes, J. S.&lt;/author&gt;&lt;author&gt;Averill, R. F.&lt;/author&gt;&lt;author&gt;Eisenhandler, J.&lt;/author&gt;&lt;author&gt;Goldfield, N. I.&lt;/author&gt;&lt;author&gt;Muldoon, J.&lt;/author&gt;&lt;author&gt;Neff, J. M.&lt;/author&gt;&lt;author&gt;Gay, J. C.&lt;/author&gt;&lt;/authors&gt;&lt;/contributors&gt;&lt;titles&gt;&lt;title&gt;Clinical Risk Groups (CRGs): a classification system for risk-adjusted capitation-based payment and health care management&lt;/title&gt;&lt;secondary-title&gt;Med Care&lt;/secondary-title&gt;&lt;/titles&gt;&lt;periodical&gt;&lt;full-title&gt;Med Care&lt;/full-title&gt;&lt;/periodical&gt;&lt;pages&gt;81-90&lt;/pages&gt;&lt;volume&gt;42&lt;/volume&gt;&lt;number&gt;1&lt;/number&gt;&lt;dates&gt;&lt;year&gt;2004&lt;/year&gt;&lt;/dates&gt;&lt;accession-num&gt;14713742&lt;/accession-num&gt;&lt;urls&gt;&lt;/urls&gt;&lt;electronic-resource-num&gt;10.1097/01.mlr.0000102367.93252.70&lt;/electronic-resource-num&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(19)</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01785014"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Hughes et al, 2004</w:t>
            </w:r>
          </w:p>
        </w:tc>
        <w:tc>
          <w:tcPr>
            <w:tcW w:w="1525" w:type="dxa"/>
            <w:vAlign w:val="center"/>
            <w:hideMark/>
          </w:tcPr>
          <w:p w14:paraId="7FA4AE95"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CRG</w:t>
            </w:r>
          </w:p>
        </w:tc>
        <w:tc>
          <w:tcPr>
            <w:tcW w:w="1590" w:type="dxa"/>
            <w:vAlign w:val="center"/>
            <w:hideMark/>
          </w:tcPr>
          <w:p w14:paraId="6BCA877C"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USA</w:t>
            </w:r>
          </w:p>
        </w:tc>
        <w:tc>
          <w:tcPr>
            <w:tcW w:w="1487" w:type="dxa"/>
            <w:vAlign w:val="center"/>
            <w:hideMark/>
          </w:tcPr>
          <w:p w14:paraId="53BC8114"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Medicare, Medicaid and Private Insurance </w:t>
            </w:r>
            <w:proofErr w:type="spellStart"/>
            <w:r w:rsidRPr="00390719">
              <w:rPr>
                <w:rFonts w:ascii="Times New Roman" w:eastAsia="Times New Roman" w:hAnsi="Times New Roman" w:cs="Times New Roman"/>
                <w:color w:val="000000"/>
                <w:sz w:val="24"/>
                <w:szCs w:val="24"/>
                <w:lang w:eastAsia="en-SG"/>
              </w:rPr>
              <w:t>enrollee</w:t>
            </w:r>
            <w:proofErr w:type="spellEnd"/>
          </w:p>
        </w:tc>
        <w:tc>
          <w:tcPr>
            <w:tcW w:w="1973" w:type="dxa"/>
            <w:vAlign w:val="center"/>
            <w:hideMark/>
          </w:tcPr>
          <w:p w14:paraId="01B0BECD"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Secondary data: A 5% sample of Medicare </w:t>
            </w:r>
            <w:proofErr w:type="spellStart"/>
            <w:r w:rsidRPr="00390719">
              <w:rPr>
                <w:rFonts w:ascii="Times New Roman" w:eastAsia="Times New Roman" w:hAnsi="Times New Roman" w:cs="Times New Roman"/>
                <w:color w:val="000000"/>
                <w:sz w:val="24"/>
                <w:szCs w:val="24"/>
                <w:lang w:eastAsia="en-SG"/>
              </w:rPr>
              <w:t>enrollees</w:t>
            </w:r>
            <w:proofErr w:type="spellEnd"/>
            <w:r w:rsidRPr="00390719">
              <w:rPr>
                <w:rFonts w:ascii="Times New Roman" w:eastAsia="Times New Roman" w:hAnsi="Times New Roman" w:cs="Times New Roman"/>
                <w:color w:val="000000"/>
                <w:sz w:val="24"/>
                <w:szCs w:val="24"/>
                <w:lang w:eastAsia="en-SG"/>
              </w:rPr>
              <w:t xml:space="preserve"> for years 1991-</w:t>
            </w:r>
            <w:proofErr w:type="gramStart"/>
            <w:r w:rsidRPr="00390719">
              <w:rPr>
                <w:rFonts w:ascii="Times New Roman" w:eastAsia="Times New Roman" w:hAnsi="Times New Roman" w:cs="Times New Roman"/>
                <w:color w:val="000000"/>
                <w:sz w:val="24"/>
                <w:szCs w:val="24"/>
                <w:lang w:eastAsia="en-SG"/>
              </w:rPr>
              <w:t>1994,a</w:t>
            </w:r>
            <w:proofErr w:type="gramEnd"/>
            <w:r w:rsidRPr="00390719">
              <w:rPr>
                <w:rFonts w:ascii="Times New Roman" w:eastAsia="Times New Roman" w:hAnsi="Times New Roman" w:cs="Times New Roman"/>
                <w:color w:val="000000"/>
                <w:sz w:val="24"/>
                <w:szCs w:val="24"/>
                <w:lang w:eastAsia="en-SG"/>
              </w:rPr>
              <w:t xml:space="preserve"> privately insured population enrolled during the same time period, and a Medicaid population with 2 years of data.</w:t>
            </w:r>
          </w:p>
        </w:tc>
        <w:tc>
          <w:tcPr>
            <w:tcW w:w="1272" w:type="dxa"/>
            <w:vAlign w:val="center"/>
            <w:hideMark/>
          </w:tcPr>
          <w:p w14:paraId="74946C7A"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Yes</w:t>
            </w:r>
          </w:p>
        </w:tc>
        <w:tc>
          <w:tcPr>
            <w:tcW w:w="1276" w:type="dxa"/>
            <w:vAlign w:val="center"/>
            <w:hideMark/>
          </w:tcPr>
          <w:p w14:paraId="7D127264"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1,286,574</w:t>
            </w:r>
          </w:p>
        </w:tc>
        <w:tc>
          <w:tcPr>
            <w:tcW w:w="1137" w:type="dxa"/>
            <w:vAlign w:val="center"/>
          </w:tcPr>
          <w:p w14:paraId="4708897D" w14:textId="426F6957" w:rsidR="00731C83" w:rsidRP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Low</w:t>
            </w:r>
          </w:p>
        </w:tc>
        <w:tc>
          <w:tcPr>
            <w:tcW w:w="2774" w:type="dxa"/>
            <w:vAlign w:val="center"/>
            <w:hideMark/>
          </w:tcPr>
          <w:p w14:paraId="47BB50A7" w14:textId="49A12B5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Regression models to predict medical expenditure in the prospective Medicare validation dataset demonstrated a R2 value of 0.12 without adjusting predicted payments for persons who died in the prediction year. A concurrent analysis, using diagnostic information from the same year as expenditure, yielded an R2 of 0.43.</w:t>
            </w:r>
          </w:p>
        </w:tc>
      </w:tr>
      <w:tr w:rsidR="00731C83" w:rsidRPr="00390719" w14:paraId="14C18F1F" w14:textId="77777777" w:rsidTr="00731C83">
        <w:trPr>
          <w:cnfStyle w:val="000000100000" w:firstRow="0" w:lastRow="0" w:firstColumn="0" w:lastColumn="0" w:oddVBand="0" w:evenVBand="0" w:oddHBand="1" w:evenHBand="0" w:firstRowFirstColumn="0" w:firstRowLastColumn="0" w:lastRowFirstColumn="0" w:lastRowLastColumn="0"/>
          <w:trHeight w:val="261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61D48D73" w14:textId="2537F4DD"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lastRenderedPageBreak/>
              <w:fldChar w:fldCharType="begin"/>
            </w:r>
            <w:r>
              <w:rPr>
                <w:rFonts w:ascii="Times New Roman" w:eastAsia="Times New Roman" w:hAnsi="Times New Roman" w:cs="Times New Roman"/>
                <w:color w:val="000000"/>
                <w:sz w:val="24"/>
                <w:szCs w:val="24"/>
                <w:lang w:eastAsia="en-SG"/>
              </w:rPr>
              <w:instrText xml:space="preserve"> ADDIN EN.CITE &lt;EndNote&gt;&lt;Cite&gt;&lt;Author&gt;García-Goñi&lt;/Author&gt;&lt;Year&gt;2006&lt;/Year&gt;&lt;RecNum&gt;51&lt;/RecNum&gt;&lt;DisplayText&gt;(20)&lt;/DisplayText&gt;&lt;record&gt;&lt;rec-number&gt;51&lt;/rec-number&gt;&lt;foreign-keys&gt;&lt;key app="EN" db-id="ee9erwffmxvtrdev0wovsv2zesvwxvrxdppv" timestamp="1475973308"&gt;51&lt;/key&gt;&lt;/foreign-keys&gt;&lt;ref-type name="Journal Article"&gt;17&lt;/ref-type&gt;&lt;contributors&gt;&lt;authors&gt;&lt;author&gt;García-Goñi, Manuel &lt;/author&gt;&lt;author&gt;Ibern, Pere&lt;/author&gt;&lt;/authors&gt;&lt;/contributors&gt;&lt;titles&gt;&lt;title&gt;Predictability of drug expenditures: an application using morbidity data&lt;/title&gt;&lt;secondary-title&gt;Health Economics &lt;/secondary-title&gt;&lt;/titles&gt;&lt;periodical&gt;&lt;full-title&gt;Health Economics&lt;/full-title&gt;&lt;/periodical&gt;&lt;pages&gt;119-126&lt;/pages&gt;&lt;volume&gt;17&lt;/volume&gt;&lt;dates&gt;&lt;year&gt;2006&lt;/year&gt;&lt;/dates&gt;&lt;urls&gt;&lt;/urls&gt;&lt;/record&gt;&lt;/Cite&gt;&lt;/EndNote&gt;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(20)</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32436B17"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Garcia-</w:t>
            </w:r>
            <w:proofErr w:type="spellStart"/>
            <w:r w:rsidRPr="00390719">
              <w:rPr>
                <w:rFonts w:ascii="Times New Roman" w:eastAsia="Times New Roman" w:hAnsi="Times New Roman" w:cs="Times New Roman"/>
                <w:color w:val="000000"/>
                <w:sz w:val="24"/>
                <w:szCs w:val="24"/>
                <w:lang w:eastAsia="en-SG"/>
              </w:rPr>
              <w:t>Goni</w:t>
            </w:r>
            <w:proofErr w:type="spellEnd"/>
            <w:r w:rsidRPr="00390719">
              <w:rPr>
                <w:rFonts w:ascii="Times New Roman" w:eastAsia="Times New Roman" w:hAnsi="Times New Roman" w:cs="Times New Roman"/>
                <w:color w:val="000000"/>
                <w:sz w:val="24"/>
                <w:szCs w:val="24"/>
                <w:lang w:eastAsia="en-SG"/>
              </w:rPr>
              <w:t xml:space="preserve"> and </w:t>
            </w:r>
            <w:proofErr w:type="spellStart"/>
            <w:r w:rsidRPr="00390719">
              <w:rPr>
                <w:rFonts w:ascii="Times New Roman" w:eastAsia="Times New Roman" w:hAnsi="Times New Roman" w:cs="Times New Roman"/>
                <w:color w:val="000000"/>
                <w:sz w:val="24"/>
                <w:szCs w:val="24"/>
                <w:lang w:eastAsia="en-SG"/>
              </w:rPr>
              <w:t>Ibern</w:t>
            </w:r>
            <w:proofErr w:type="spellEnd"/>
            <w:r w:rsidRPr="00390719">
              <w:rPr>
                <w:rFonts w:ascii="Times New Roman" w:eastAsia="Times New Roman" w:hAnsi="Times New Roman" w:cs="Times New Roman"/>
                <w:color w:val="000000"/>
                <w:sz w:val="24"/>
                <w:szCs w:val="24"/>
                <w:lang w:eastAsia="en-SG"/>
              </w:rPr>
              <w:t>, 2006</w:t>
            </w:r>
          </w:p>
        </w:tc>
        <w:tc>
          <w:tcPr>
            <w:tcW w:w="1525" w:type="dxa"/>
            <w:vAlign w:val="center"/>
            <w:hideMark/>
          </w:tcPr>
          <w:p w14:paraId="5F7023ED"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CRG</w:t>
            </w:r>
          </w:p>
        </w:tc>
        <w:tc>
          <w:tcPr>
            <w:tcW w:w="1590" w:type="dxa"/>
            <w:vAlign w:val="center"/>
            <w:hideMark/>
          </w:tcPr>
          <w:p w14:paraId="6C1F1B61"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Catalonia, Spain</w:t>
            </w:r>
          </w:p>
        </w:tc>
        <w:tc>
          <w:tcPr>
            <w:tcW w:w="1487" w:type="dxa"/>
            <w:vAlign w:val="center"/>
            <w:hideMark/>
          </w:tcPr>
          <w:p w14:paraId="006A41BE"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For inpatient services, population covered by the integrated delivery system can use the only hospital in the county – </w:t>
            </w:r>
            <w:proofErr w:type="spellStart"/>
            <w:r w:rsidRPr="00390719">
              <w:rPr>
                <w:rFonts w:ascii="Times New Roman" w:eastAsia="Times New Roman" w:hAnsi="Times New Roman" w:cs="Times New Roman"/>
                <w:color w:val="000000"/>
                <w:sz w:val="24"/>
                <w:szCs w:val="24"/>
                <w:lang w:eastAsia="en-SG"/>
              </w:rPr>
              <w:t>Palamós</w:t>
            </w:r>
            <w:proofErr w:type="spellEnd"/>
            <w:r w:rsidRPr="00390719">
              <w:rPr>
                <w:rFonts w:ascii="Times New Roman" w:eastAsia="Times New Roman" w:hAnsi="Times New Roman" w:cs="Times New Roman"/>
                <w:color w:val="000000"/>
                <w:sz w:val="24"/>
                <w:szCs w:val="24"/>
                <w:lang w:eastAsia="en-SG"/>
              </w:rPr>
              <w:t xml:space="preserve"> Hospital, while for outpatient services there are five different primary care areas.</w:t>
            </w:r>
          </w:p>
        </w:tc>
        <w:tc>
          <w:tcPr>
            <w:tcW w:w="1973" w:type="dxa"/>
            <w:vAlign w:val="center"/>
            <w:hideMark/>
          </w:tcPr>
          <w:p w14:paraId="0768BFEA"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Secondary data: Electronic database</w:t>
            </w:r>
          </w:p>
        </w:tc>
        <w:tc>
          <w:tcPr>
            <w:tcW w:w="1272" w:type="dxa"/>
            <w:vAlign w:val="center"/>
            <w:hideMark/>
          </w:tcPr>
          <w:p w14:paraId="589715BA"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w:t>
            </w:r>
          </w:p>
        </w:tc>
        <w:tc>
          <w:tcPr>
            <w:tcW w:w="1276" w:type="dxa"/>
            <w:vAlign w:val="center"/>
            <w:hideMark/>
          </w:tcPr>
          <w:p w14:paraId="37295BDF"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87,691</w:t>
            </w:r>
          </w:p>
        </w:tc>
        <w:tc>
          <w:tcPr>
            <w:tcW w:w="1137" w:type="dxa"/>
            <w:vAlign w:val="center"/>
          </w:tcPr>
          <w:p w14:paraId="6EBA041A" w14:textId="4729194E" w:rsidR="00731C83" w:rsidRP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Low</w:t>
            </w:r>
          </w:p>
        </w:tc>
        <w:tc>
          <w:tcPr>
            <w:tcW w:w="2774" w:type="dxa"/>
            <w:vAlign w:val="center"/>
            <w:hideMark/>
          </w:tcPr>
          <w:p w14:paraId="48B64D55" w14:textId="2D8F54EE"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CRGs alone explained 23% variance (adjusted R2) current-year total costs and 19% variance of next-year total costs. When demographic information was added, total variance explained ranged from 18 - 25% for current-year total and 16 - 22% for next-year total costs in different model types.</w:t>
            </w:r>
          </w:p>
        </w:tc>
      </w:tr>
      <w:tr w:rsidR="00731C83" w:rsidRPr="00390719" w14:paraId="077E602B" w14:textId="77777777" w:rsidTr="00731C83">
        <w:trPr>
          <w:trHeight w:val="699"/>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609C588C" w14:textId="7FDD156F"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&lt;EndNote&gt;&lt;Cite&gt;&lt;Author&gt;Orueta&lt;/Author&gt;&lt;Year&gt;2013&lt;/Year&gt;&lt;RecNum&gt;34&lt;/RecNum&gt;&lt;DisplayText&gt;(1)&lt;/DisplayText&gt;&lt;record&gt;&lt;rec-number&gt;34&lt;/rec-number&gt;&lt;foreign-keys&gt;&lt;key app="EN" db-id="ee9erwffmxvtrdev0wovsv2zesvwxvrxdppv" timestamp="1475973306"&gt;34&lt;/key&gt;&lt;/foreign-keys&gt;&lt;ref-type name="Journal Article"&gt;17&lt;/ref-type&gt;&lt;contributors&gt;&lt;authors&gt;&lt;author&gt;Orueta, J. F.&lt;/author&gt;&lt;author&gt;Nuno-Solinis, R.&lt;/author&gt;&lt;author&gt;Mateos, M.&lt;/author&gt;&lt;author&gt;Vergara, I.&lt;/author&gt;&lt;author&gt;Grandes, G.&lt;/author&gt;&lt;author&gt;Esnaola, S.&lt;/author&gt;&lt;/authors&gt;&lt;/contributors&gt;&lt;titles&gt;&lt;title&gt;Predictive risk modelling in the Spanish population: a cross-sectional study&lt;/title&gt;&lt;secondary-title&gt;BMC Health Serv Res&lt;/secondary-title&gt;&lt;/titles&gt;&lt;periodical&gt;&lt;full-title&gt;BMC Health Serv Res&lt;/full-title&gt;&lt;/periodical&gt;&lt;pages&gt;269&lt;/pages&gt;&lt;volume&gt;13&lt;/volume&gt;&lt;dates&gt;&lt;year&gt;2013&lt;/year&gt;&lt;/dates&gt;&lt;accession-num&gt;23837560&lt;/accession-num&gt;&lt;urls&gt;&lt;related-urls&gt;&lt;url&gt;&amp;lt;Go to ISI&amp;gt;://WOS:000322884100001&lt;/url&gt;&lt;url&gt;http://www.ncbi.nlm.nih.gov/pmc/articles/PMC3750562/pdf/1472-6963-13-269.pdf&lt;/url&gt;&lt;/related-urls&gt;&lt;/urls&gt;&lt;electronic-resource-num&gt;10.1186/1472-6963-13-269&lt;/electronic-resource-num&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(1)</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68FDED37"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proofErr w:type="spellStart"/>
            <w:r w:rsidRPr="00390719">
              <w:rPr>
                <w:rFonts w:ascii="Times New Roman" w:eastAsia="Times New Roman" w:hAnsi="Times New Roman" w:cs="Times New Roman"/>
                <w:color w:val="000000"/>
                <w:sz w:val="24"/>
                <w:szCs w:val="24"/>
                <w:lang w:eastAsia="en-SG"/>
              </w:rPr>
              <w:t>Orueta</w:t>
            </w:r>
            <w:proofErr w:type="spellEnd"/>
            <w:r w:rsidRPr="00390719">
              <w:rPr>
                <w:rFonts w:ascii="Times New Roman" w:eastAsia="Times New Roman" w:hAnsi="Times New Roman" w:cs="Times New Roman"/>
                <w:color w:val="000000"/>
                <w:sz w:val="24"/>
                <w:szCs w:val="24"/>
                <w:lang w:eastAsia="en-SG"/>
              </w:rPr>
              <w:t xml:space="preserve"> et al, 2013</w:t>
            </w:r>
          </w:p>
        </w:tc>
        <w:tc>
          <w:tcPr>
            <w:tcW w:w="1525" w:type="dxa"/>
            <w:vAlign w:val="center"/>
            <w:hideMark/>
          </w:tcPr>
          <w:p w14:paraId="70824892"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CRG</w:t>
            </w:r>
          </w:p>
        </w:tc>
        <w:tc>
          <w:tcPr>
            <w:tcW w:w="1590" w:type="dxa"/>
            <w:vAlign w:val="center"/>
            <w:hideMark/>
          </w:tcPr>
          <w:p w14:paraId="5126F0F7"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Basque Country, Spain</w:t>
            </w:r>
          </w:p>
        </w:tc>
        <w:tc>
          <w:tcPr>
            <w:tcW w:w="1487" w:type="dxa"/>
            <w:vAlign w:val="center"/>
            <w:hideMark/>
          </w:tcPr>
          <w:p w14:paraId="5DF70B2C"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Citizens &gt; 14 years old</w:t>
            </w:r>
          </w:p>
        </w:tc>
        <w:tc>
          <w:tcPr>
            <w:tcW w:w="1973" w:type="dxa"/>
            <w:vAlign w:val="center"/>
            <w:hideMark/>
          </w:tcPr>
          <w:p w14:paraId="69746FD9"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Secondary data: </w:t>
            </w:r>
            <w:proofErr w:type="spellStart"/>
            <w:r w:rsidRPr="00390719">
              <w:rPr>
                <w:rFonts w:ascii="Times New Roman" w:eastAsia="Times New Roman" w:hAnsi="Times New Roman" w:cs="Times New Roman"/>
                <w:color w:val="000000"/>
                <w:sz w:val="24"/>
                <w:szCs w:val="24"/>
                <w:lang w:eastAsia="en-SG"/>
              </w:rPr>
              <w:t>Osakidetza</w:t>
            </w:r>
            <w:proofErr w:type="spellEnd"/>
            <w:r w:rsidRPr="00390719">
              <w:rPr>
                <w:rFonts w:ascii="Times New Roman" w:eastAsia="Times New Roman" w:hAnsi="Times New Roman" w:cs="Times New Roman"/>
                <w:color w:val="000000"/>
                <w:sz w:val="24"/>
                <w:szCs w:val="24"/>
                <w:lang w:eastAsia="en-SG"/>
              </w:rPr>
              <w:t xml:space="preserve">. The study period corresponds to two consecutive 12-month intervals. Data from the first year were used to develop the explanatory variables and those from the second year for </w:t>
            </w:r>
            <w:r w:rsidRPr="00390719">
              <w:rPr>
                <w:rFonts w:ascii="Times New Roman" w:eastAsia="Times New Roman" w:hAnsi="Times New Roman" w:cs="Times New Roman"/>
                <w:color w:val="000000"/>
                <w:sz w:val="24"/>
                <w:szCs w:val="24"/>
                <w:lang w:eastAsia="en-SG"/>
              </w:rPr>
              <w:lastRenderedPageBreak/>
              <w:t>the response variables.</w:t>
            </w:r>
          </w:p>
        </w:tc>
        <w:tc>
          <w:tcPr>
            <w:tcW w:w="1272" w:type="dxa"/>
            <w:vAlign w:val="center"/>
            <w:hideMark/>
          </w:tcPr>
          <w:p w14:paraId="32F3C202"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lastRenderedPageBreak/>
              <w:t>Yes</w:t>
            </w:r>
          </w:p>
        </w:tc>
        <w:tc>
          <w:tcPr>
            <w:tcW w:w="1276" w:type="dxa"/>
            <w:vAlign w:val="center"/>
            <w:hideMark/>
          </w:tcPr>
          <w:p w14:paraId="4C6688F6"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1,964,337</w:t>
            </w:r>
          </w:p>
        </w:tc>
        <w:tc>
          <w:tcPr>
            <w:tcW w:w="1137" w:type="dxa"/>
            <w:vAlign w:val="center"/>
          </w:tcPr>
          <w:p w14:paraId="3111C09B" w14:textId="0EBC91FE" w:rsidR="00731C83" w:rsidRP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Low</w:t>
            </w:r>
          </w:p>
        </w:tc>
        <w:tc>
          <w:tcPr>
            <w:tcW w:w="2774" w:type="dxa"/>
            <w:vAlign w:val="center"/>
            <w:hideMark/>
          </w:tcPr>
          <w:p w14:paraId="14A13517" w14:textId="713C4AE2"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Logistic regression models to identify patients located above the 95th percentile of health spending found the CRG (diagnosis), age, gender model (AUC = 0.8) superior to a model with only age and gender (AUC = 0.77)</w:t>
            </w:r>
          </w:p>
        </w:tc>
      </w:tr>
      <w:tr w:rsidR="00731C83" w:rsidRPr="00390719" w14:paraId="09FC1F8C" w14:textId="77777777" w:rsidTr="00731C83">
        <w:trPr>
          <w:cnfStyle w:val="000000100000" w:firstRow="0" w:lastRow="0" w:firstColumn="0" w:lastColumn="0" w:oddVBand="0" w:evenVBand="0" w:oddHBand="1" w:evenHBand="0" w:firstRowFirstColumn="0" w:firstRowLastColumn="0" w:lastRowFirstColumn="0" w:lastRowLastColumn="0"/>
          <w:trHeight w:val="2393"/>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163BF690" w14:textId="55DCBA00"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&lt;EndNote&gt;&lt;Cite&gt;&lt;Author&gt;Vivas-Consuelo&lt;/Author&gt;&lt;Year&gt;2014&lt;/Year&gt;&lt;RecNum&gt;52&lt;/RecNum&gt;&lt;DisplayText&gt;(21)&lt;/DisplayText&gt;&lt;record&gt;&lt;rec-number&gt;52&lt;/rec-number&gt;&lt;foreign-keys&gt;&lt;key app="EN" db-id="ee9erwffmxvtrdev0wovsv2zesvwxvrxdppv" timestamp="1475973308"&gt;52&lt;/key&gt;&lt;/foreign-keys&gt;&lt;ref-type name="Journal Article"&gt;17&lt;/ref-type&gt;&lt;contributors&gt;&lt;authors&gt;&lt;author&gt;Vivas-Consuelo, David  &lt;/author&gt;&lt;author&gt;Usó-Talamantes, Ruth  &lt;/author&gt;&lt;author&gt;Guadalajara-Olmeda, Natividad  &lt;/author&gt;&lt;author&gt;Trillo-Mata, José-Luis &lt;/author&gt;&lt;author&gt;Sancho-Mestre, Carla  &lt;/author&gt;&lt;author&gt;Buigues-Pastor, Laia &lt;/author&gt;&lt;/authors&gt;&lt;/contributors&gt;&lt;titles&gt;&lt;title&gt;Pharmaceutical cost management in an ambulatory setting using a risk adjustment tool&lt;/title&gt;&lt;secondary-title&gt;BMC Health Services Research&lt;/secondary-title&gt;&lt;/titles&gt;&lt;periodical&gt;&lt;full-title&gt;BMC Health Services Research&lt;/full-title&gt;&lt;/periodical&gt;&lt;pages&gt;1-11&lt;/pages&gt;&lt;volume&gt;14&lt;/volume&gt;&lt;number&gt;462&lt;/number&gt;&lt;dates&gt;&lt;year&gt;2014&lt;/year&gt;&lt;/dates&gt;&lt;urls&gt;&lt;/urls&gt;&lt;/record&gt;&lt;/Cite&gt;&lt;/EndNote&gt;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(21)</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156EBAD9"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proofErr w:type="spellStart"/>
            <w:r w:rsidRPr="00390719">
              <w:rPr>
                <w:rFonts w:ascii="Times New Roman" w:eastAsia="Times New Roman" w:hAnsi="Times New Roman" w:cs="Times New Roman"/>
                <w:color w:val="000000"/>
                <w:sz w:val="24"/>
                <w:szCs w:val="24"/>
                <w:lang w:eastAsia="en-SG"/>
              </w:rPr>
              <w:t>Vivas</w:t>
            </w:r>
            <w:proofErr w:type="spellEnd"/>
            <w:r w:rsidRPr="00390719">
              <w:rPr>
                <w:rFonts w:ascii="Times New Roman" w:eastAsia="Times New Roman" w:hAnsi="Times New Roman" w:cs="Times New Roman"/>
                <w:color w:val="000000"/>
                <w:sz w:val="24"/>
                <w:szCs w:val="24"/>
                <w:lang w:eastAsia="en-SG"/>
              </w:rPr>
              <w:t>-Consuelo et al, 2014</w:t>
            </w:r>
          </w:p>
        </w:tc>
        <w:tc>
          <w:tcPr>
            <w:tcW w:w="1525" w:type="dxa"/>
            <w:vAlign w:val="center"/>
            <w:hideMark/>
          </w:tcPr>
          <w:p w14:paraId="5402C3B7"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CRG</w:t>
            </w:r>
          </w:p>
        </w:tc>
        <w:tc>
          <w:tcPr>
            <w:tcW w:w="1590" w:type="dxa"/>
            <w:vAlign w:val="center"/>
            <w:hideMark/>
          </w:tcPr>
          <w:p w14:paraId="091B15C1"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Valencia Community, Spain</w:t>
            </w:r>
          </w:p>
        </w:tc>
        <w:tc>
          <w:tcPr>
            <w:tcW w:w="1487" w:type="dxa"/>
            <w:vAlign w:val="center"/>
            <w:hideMark/>
          </w:tcPr>
          <w:p w14:paraId="6F1E5185"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Population in one health district of an Eastern region of Spain</w:t>
            </w:r>
          </w:p>
        </w:tc>
        <w:tc>
          <w:tcPr>
            <w:tcW w:w="1973" w:type="dxa"/>
            <w:vAlign w:val="center"/>
            <w:hideMark/>
          </w:tcPr>
          <w:p w14:paraId="792A554C"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Secondary data: Population Information System’s (PIS) database. Data for the study was obtained from the electronic health record for primary health care (SIA) and the Minimum Data Set (MDS) of hospitals. Data for primary health care pharmaceutical expenditure was obtained from the prescription module of the Pharmaceutical Provision Manager, GAIA.</w:t>
            </w:r>
          </w:p>
        </w:tc>
        <w:tc>
          <w:tcPr>
            <w:tcW w:w="1272" w:type="dxa"/>
            <w:vAlign w:val="center"/>
            <w:hideMark/>
          </w:tcPr>
          <w:p w14:paraId="681739B8"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w:t>
            </w:r>
          </w:p>
        </w:tc>
        <w:tc>
          <w:tcPr>
            <w:tcW w:w="1276" w:type="dxa"/>
            <w:vAlign w:val="center"/>
            <w:hideMark/>
          </w:tcPr>
          <w:p w14:paraId="5E0E4473"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4,700,000</w:t>
            </w:r>
          </w:p>
        </w:tc>
        <w:tc>
          <w:tcPr>
            <w:tcW w:w="1137" w:type="dxa"/>
            <w:vAlign w:val="center"/>
          </w:tcPr>
          <w:p w14:paraId="310CA78D" w14:textId="31C6F595" w:rsidR="00731C83" w:rsidRP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Moderate</w:t>
            </w:r>
          </w:p>
        </w:tc>
        <w:tc>
          <w:tcPr>
            <w:tcW w:w="2774" w:type="dxa"/>
            <w:vAlign w:val="center"/>
            <w:hideMark/>
          </w:tcPr>
          <w:p w14:paraId="6464CC3D" w14:textId="1116C192"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The CRG core health </w:t>
            </w:r>
            <w:proofErr w:type="gramStart"/>
            <w:r w:rsidRPr="00390719">
              <w:rPr>
                <w:rFonts w:ascii="Times New Roman" w:eastAsia="Times New Roman" w:hAnsi="Times New Roman" w:cs="Times New Roman"/>
                <w:color w:val="000000"/>
                <w:sz w:val="24"/>
                <w:szCs w:val="24"/>
                <w:lang w:eastAsia="en-SG"/>
              </w:rPr>
              <w:t>status based</w:t>
            </w:r>
            <w:proofErr w:type="gramEnd"/>
            <w:r w:rsidRPr="00390719">
              <w:rPr>
                <w:rFonts w:ascii="Times New Roman" w:eastAsia="Times New Roman" w:hAnsi="Times New Roman" w:cs="Times New Roman"/>
                <w:color w:val="000000"/>
                <w:sz w:val="24"/>
                <w:szCs w:val="24"/>
                <w:lang w:eastAsia="en-SG"/>
              </w:rPr>
              <w:t xml:space="preserve"> regression model (R2 = 0.55) is superior to a model based only on age and gender (R2 = 0.28) for explaining pharmaceutical expenditure. Significant differences were observed between the predictive budget using the model developed and real spending in some health districts.</w:t>
            </w:r>
          </w:p>
        </w:tc>
      </w:tr>
      <w:tr w:rsidR="00731C83" w:rsidRPr="00390719" w14:paraId="068FAF4C" w14:textId="77777777" w:rsidTr="00731C83">
        <w:trPr>
          <w:trHeight w:val="2102"/>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2852FA1A" w14:textId="040ECC5A"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&lt;EndNote&gt;&lt;Cite&gt;&lt;Author&gt;Vivas-Consueloa&lt;/Author&gt;&lt;Year&gt;2014&lt;/Year&gt;&lt;RecNum&gt;53&lt;/RecNum&gt;&lt;DisplayText&gt;(22)&lt;/DisplayText&gt;&lt;record&gt;&lt;rec-number&gt;53&lt;/rec-number&gt;&lt;foreign-keys&gt;&lt;key app="EN" db-id="ee9erwffmxvtrdev0wovsv2zesvwxvrxdppv" timestamp="1475973308"&gt;53&lt;/key&gt;&lt;/foreign-keys&gt;&lt;ref-type name="Journal Article"&gt;17&lt;/ref-type&gt;&lt;contributors&gt;&lt;authors&gt;&lt;author&gt;Vivas-Consueloa, David  &lt;/author&gt;&lt;author&gt;Usó-Talamantesb, Ruth  &lt;/author&gt;&lt;author&gt;Trillo-Matab, José Luis &lt;/author&gt;&lt;author&gt;Caballer-Tarazonac, Maria  &lt;/author&gt;&lt;author&gt;Barrachina-Martíneza, Isabel  &lt;/author&gt;&lt;author&gt;Buigues-Pastora, Laia &lt;/author&gt;&lt;/authors&gt;&lt;/contributors&gt;&lt;titles&gt;&lt;title&gt;Predictability of pharmaceutical spending in primary health services using Clinical Risk Groups&lt;/title&gt;&lt;secondary-title&gt;Health Policy  &lt;/secondary-title&gt;&lt;/titles&gt;&lt;periodical&gt;&lt;full-title&gt;Health Policy&lt;/full-title&gt;&lt;/periodical&gt;&lt;pages&gt;188-195&lt;/pages&gt;&lt;volume&gt;116&lt;/volume&gt;&lt;dates&gt;&lt;year&gt;2014&lt;/year&gt;&lt;/dates&gt;&lt;urls&gt;&lt;/urls&gt;&lt;/record&gt;&lt;/Cite&gt;&lt;/EndNote&gt;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(22)</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125192C9"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proofErr w:type="spellStart"/>
            <w:r w:rsidRPr="00390719">
              <w:rPr>
                <w:rFonts w:ascii="Times New Roman" w:eastAsia="Times New Roman" w:hAnsi="Times New Roman" w:cs="Times New Roman"/>
                <w:color w:val="000000"/>
                <w:sz w:val="24"/>
                <w:szCs w:val="24"/>
                <w:lang w:eastAsia="en-SG"/>
              </w:rPr>
              <w:t>Vivas</w:t>
            </w:r>
            <w:proofErr w:type="spellEnd"/>
            <w:r w:rsidRPr="00390719">
              <w:rPr>
                <w:rFonts w:ascii="Times New Roman" w:eastAsia="Times New Roman" w:hAnsi="Times New Roman" w:cs="Times New Roman"/>
                <w:color w:val="000000"/>
                <w:sz w:val="24"/>
                <w:szCs w:val="24"/>
                <w:lang w:eastAsia="en-SG"/>
              </w:rPr>
              <w:t>-Consuelo et al, 2014</w:t>
            </w:r>
          </w:p>
        </w:tc>
        <w:tc>
          <w:tcPr>
            <w:tcW w:w="1525" w:type="dxa"/>
            <w:vAlign w:val="center"/>
            <w:hideMark/>
          </w:tcPr>
          <w:p w14:paraId="5E78EC9A"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CRG</w:t>
            </w:r>
          </w:p>
        </w:tc>
        <w:tc>
          <w:tcPr>
            <w:tcW w:w="1590" w:type="dxa"/>
            <w:vAlign w:val="center"/>
            <w:hideMark/>
          </w:tcPr>
          <w:p w14:paraId="6019CA00"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Valencia Community, Spain</w:t>
            </w:r>
          </w:p>
        </w:tc>
        <w:tc>
          <w:tcPr>
            <w:tcW w:w="1487" w:type="dxa"/>
            <w:vAlign w:val="center"/>
            <w:hideMark/>
          </w:tcPr>
          <w:p w14:paraId="58675E15"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Population in one health district of an Eastern region of Spain</w:t>
            </w:r>
          </w:p>
        </w:tc>
        <w:tc>
          <w:tcPr>
            <w:tcW w:w="1973" w:type="dxa"/>
            <w:vAlign w:val="center"/>
            <w:hideMark/>
          </w:tcPr>
          <w:p w14:paraId="10911DAE"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Secondary data: Data for each patient included in the study was obtained from the Ambulatory Information System which was integrated in </w:t>
            </w:r>
            <w:r w:rsidRPr="00390719">
              <w:rPr>
                <w:rFonts w:ascii="Times New Roman" w:eastAsia="Times New Roman" w:hAnsi="Times New Roman" w:cs="Times New Roman"/>
                <w:color w:val="000000"/>
                <w:sz w:val="24"/>
                <w:szCs w:val="24"/>
                <w:lang w:eastAsia="en-SG"/>
              </w:rPr>
              <w:lastRenderedPageBreak/>
              <w:t xml:space="preserve">the EHR of the Valencia Health Agency of the </w:t>
            </w:r>
            <w:proofErr w:type="spellStart"/>
            <w:r w:rsidRPr="00390719">
              <w:rPr>
                <w:rFonts w:ascii="Times New Roman" w:eastAsia="Times New Roman" w:hAnsi="Times New Roman" w:cs="Times New Roman"/>
                <w:color w:val="000000"/>
                <w:sz w:val="24"/>
                <w:szCs w:val="24"/>
                <w:lang w:eastAsia="en-SG"/>
              </w:rPr>
              <w:t>Generalitat</w:t>
            </w:r>
            <w:proofErr w:type="spellEnd"/>
            <w:r w:rsidRPr="00390719">
              <w:rPr>
                <w:rFonts w:ascii="Times New Roman" w:eastAsia="Times New Roman" w:hAnsi="Times New Roman" w:cs="Times New Roman"/>
                <w:color w:val="000000"/>
                <w:sz w:val="24"/>
                <w:szCs w:val="24"/>
                <w:lang w:eastAsia="en-SG"/>
              </w:rPr>
              <w:t xml:space="preserve"> </w:t>
            </w:r>
            <w:proofErr w:type="spellStart"/>
            <w:r w:rsidRPr="00390719">
              <w:rPr>
                <w:rFonts w:ascii="Times New Roman" w:eastAsia="Times New Roman" w:hAnsi="Times New Roman" w:cs="Times New Roman"/>
                <w:color w:val="000000"/>
                <w:sz w:val="24"/>
                <w:szCs w:val="24"/>
                <w:lang w:eastAsia="en-SG"/>
              </w:rPr>
              <w:t>Valenciana</w:t>
            </w:r>
            <w:proofErr w:type="spellEnd"/>
            <w:r w:rsidRPr="00390719">
              <w:rPr>
                <w:rFonts w:ascii="Times New Roman" w:eastAsia="Times New Roman" w:hAnsi="Times New Roman" w:cs="Times New Roman"/>
                <w:color w:val="000000"/>
                <w:sz w:val="24"/>
                <w:szCs w:val="24"/>
                <w:lang w:eastAsia="en-SG"/>
              </w:rPr>
              <w:t xml:space="preserve"> (Autonomous Health Department). The Population Information System (PIS) from the Valencia Health Agency provided demographic information.</w:t>
            </w:r>
          </w:p>
        </w:tc>
        <w:tc>
          <w:tcPr>
            <w:tcW w:w="1272" w:type="dxa"/>
            <w:vAlign w:val="center"/>
            <w:hideMark/>
          </w:tcPr>
          <w:p w14:paraId="2A2C4BB8"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lastRenderedPageBreak/>
              <w:t>No</w:t>
            </w:r>
          </w:p>
        </w:tc>
        <w:tc>
          <w:tcPr>
            <w:tcW w:w="1276" w:type="dxa"/>
            <w:vAlign w:val="center"/>
            <w:hideMark/>
          </w:tcPr>
          <w:p w14:paraId="00618B78"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261,054</w:t>
            </w:r>
          </w:p>
        </w:tc>
        <w:tc>
          <w:tcPr>
            <w:tcW w:w="1137" w:type="dxa"/>
            <w:vAlign w:val="center"/>
          </w:tcPr>
          <w:p w14:paraId="72C15E0E" w14:textId="11CD1B18" w:rsidR="00731C83" w:rsidRP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Moderate</w:t>
            </w:r>
          </w:p>
        </w:tc>
        <w:tc>
          <w:tcPr>
            <w:tcW w:w="2774" w:type="dxa"/>
            <w:vAlign w:val="center"/>
            <w:hideMark/>
          </w:tcPr>
          <w:p w14:paraId="393021DB" w14:textId="4D8497D3"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The R2 of the WHO-ATC regression model was 0.53 while that of the CRG regression model was 0.48 when utilized to predict pharmaceutical spending thus suggesting that both have similar predictive validity.</w:t>
            </w:r>
          </w:p>
        </w:tc>
      </w:tr>
      <w:tr w:rsidR="00731C83" w:rsidRPr="00390719" w14:paraId="59873541" w14:textId="77777777" w:rsidTr="00731C83">
        <w:trPr>
          <w:cnfStyle w:val="000000100000" w:firstRow="0" w:lastRow="0" w:firstColumn="0" w:lastColumn="0" w:oddVBand="0" w:evenVBand="0" w:oddHBand="1" w:evenHBand="0" w:firstRowFirstColumn="0" w:firstRowLastColumn="0" w:lastRowFirstColumn="0" w:lastRowLastColumn="0"/>
          <w:trHeight w:val="145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5144A537" w14:textId="724F5587"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&lt;EndNote&gt;&lt;Cite&gt;&lt;Author&gt;Fuller&lt;/Author&gt;&lt;Year&gt;2016&lt;/Year&gt;&lt;RecNum&gt;21&lt;/RecNum&gt;&lt;DisplayText&gt;(23)&lt;/DisplayText&gt;&lt;record&gt;&lt;rec-number&gt;21&lt;/rec-number&gt;&lt;foreign-keys&gt;&lt;key app="EN" db-id="pfvtdxzrierp9cesazb5sx0t0wp0szp05ffv" timestamp="1479192209"&gt;21&lt;/key&gt;&lt;/foreign-keys&gt;&lt;ref-type name="Journal Article"&gt;17&lt;/ref-type&gt;&lt;contributors&gt;&lt;authors&gt;&lt;author&gt;Fuller, R. L.&lt;/author&gt;&lt;author&gt;Hughes, J. S.&lt;/author&gt;&lt;author&gt;Goldfield, N. I.&lt;/author&gt;&lt;/authors&gt;&lt;/contributors&gt;&lt;titles&gt;&lt;title&gt;Adjusting Population Risk for Functional Health Status&lt;/title&gt;&lt;secondary-title&gt;Population health management&lt;/secondary-title&gt;&lt;/titles&gt;&lt;periodical&gt;&lt;full-title&gt;Population health management&lt;/full-title&gt;&lt;/periodical&gt;&lt;dates&gt;&lt;year&gt;2016&lt;/year&gt;&lt;/dates&gt;&lt;urls&gt;&lt;related-urls&gt;&lt;url&gt;http://online.liebertpub.com/doi/10.1089/pop.2015.0043&lt;/url&gt;&lt;/related-urls&gt;&lt;/urls&gt;&lt;electronic-resource-num&gt;10.1089/pop.2015.0043&lt;/electronic-resource-num&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(23)</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51830812"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Fuller, Hughes and Goldfield, 2016</w:t>
            </w:r>
          </w:p>
        </w:tc>
        <w:tc>
          <w:tcPr>
            <w:tcW w:w="1525" w:type="dxa"/>
            <w:vAlign w:val="center"/>
            <w:hideMark/>
          </w:tcPr>
          <w:p w14:paraId="2AD97341"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CRG</w:t>
            </w:r>
          </w:p>
        </w:tc>
        <w:tc>
          <w:tcPr>
            <w:tcW w:w="1590" w:type="dxa"/>
            <w:vAlign w:val="center"/>
            <w:hideMark/>
          </w:tcPr>
          <w:p w14:paraId="732760D9"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US</w:t>
            </w:r>
          </w:p>
        </w:tc>
        <w:tc>
          <w:tcPr>
            <w:tcW w:w="1487" w:type="dxa"/>
            <w:vAlign w:val="center"/>
            <w:hideMark/>
          </w:tcPr>
          <w:p w14:paraId="48BB55AD"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proofErr w:type="spellStart"/>
            <w:r w:rsidRPr="00390719">
              <w:rPr>
                <w:rFonts w:ascii="Times New Roman" w:eastAsia="Times New Roman" w:hAnsi="Times New Roman" w:cs="Times New Roman"/>
                <w:color w:val="000000"/>
                <w:sz w:val="24"/>
                <w:szCs w:val="24"/>
                <w:lang w:eastAsia="en-SG"/>
              </w:rPr>
              <w:t>Enrollee</w:t>
            </w:r>
            <w:proofErr w:type="spellEnd"/>
            <w:r w:rsidRPr="00390719">
              <w:rPr>
                <w:rFonts w:ascii="Times New Roman" w:eastAsia="Times New Roman" w:hAnsi="Times New Roman" w:cs="Times New Roman"/>
                <w:color w:val="000000"/>
                <w:sz w:val="24"/>
                <w:szCs w:val="24"/>
                <w:lang w:eastAsia="en-SG"/>
              </w:rPr>
              <w:t xml:space="preserve"> 2006 to 2007 for training; </w:t>
            </w:r>
            <w:proofErr w:type="spellStart"/>
            <w:r w:rsidRPr="00390719">
              <w:rPr>
                <w:rFonts w:ascii="Times New Roman" w:eastAsia="Times New Roman" w:hAnsi="Times New Roman" w:cs="Times New Roman"/>
                <w:color w:val="000000"/>
                <w:sz w:val="24"/>
                <w:szCs w:val="24"/>
                <w:lang w:eastAsia="en-SG"/>
              </w:rPr>
              <w:t>enrollee</w:t>
            </w:r>
            <w:proofErr w:type="spellEnd"/>
            <w:r w:rsidRPr="00390719">
              <w:rPr>
                <w:rFonts w:ascii="Times New Roman" w:eastAsia="Times New Roman" w:hAnsi="Times New Roman" w:cs="Times New Roman"/>
                <w:color w:val="000000"/>
                <w:sz w:val="24"/>
                <w:szCs w:val="24"/>
                <w:lang w:eastAsia="en-SG"/>
              </w:rPr>
              <w:t xml:space="preserve"> 2010 to 2011 for validation</w:t>
            </w:r>
          </w:p>
        </w:tc>
        <w:tc>
          <w:tcPr>
            <w:tcW w:w="1973" w:type="dxa"/>
            <w:vAlign w:val="center"/>
            <w:hideMark/>
          </w:tcPr>
          <w:p w14:paraId="55D2969A"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Secondary data: Medicare claims processing data</w:t>
            </w:r>
          </w:p>
        </w:tc>
        <w:tc>
          <w:tcPr>
            <w:tcW w:w="1272" w:type="dxa"/>
            <w:vAlign w:val="center"/>
            <w:hideMark/>
          </w:tcPr>
          <w:p w14:paraId="0AE87A19"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w:t>
            </w:r>
          </w:p>
        </w:tc>
        <w:tc>
          <w:tcPr>
            <w:tcW w:w="1276" w:type="dxa"/>
            <w:vAlign w:val="center"/>
            <w:hideMark/>
          </w:tcPr>
          <w:p w14:paraId="13A0D6FE"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28,883,443</w:t>
            </w:r>
          </w:p>
        </w:tc>
        <w:tc>
          <w:tcPr>
            <w:tcW w:w="1137" w:type="dxa"/>
            <w:vAlign w:val="center"/>
          </w:tcPr>
          <w:p w14:paraId="280D7377" w14:textId="26B9DE83" w:rsidR="00731C83" w:rsidRP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Moderate</w:t>
            </w:r>
          </w:p>
        </w:tc>
        <w:tc>
          <w:tcPr>
            <w:tcW w:w="2774" w:type="dxa"/>
            <w:vAlign w:val="center"/>
            <w:hideMark/>
          </w:tcPr>
          <w:p w14:paraId="1C6493CF" w14:textId="7F422835"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Using multivariate regression, CRGs alone explained 25% variance (R2) natural logged claims payment and 27% when including adjustments for functional groups. Limiting the analysis only to those with functional groups yielded R2 of 14% (CRG alone) and 15% (CRG with adjustments).</w:t>
            </w:r>
          </w:p>
        </w:tc>
      </w:tr>
      <w:tr w:rsidR="00731C83" w:rsidRPr="00390719" w14:paraId="6B9CA18F" w14:textId="77777777" w:rsidTr="00731C83">
        <w:trPr>
          <w:trHeight w:val="174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3312DC46" w14:textId="10B5C4F3"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&lt;EndNote&gt;&lt;Cite&gt;&lt;Author&gt;Eissens van der Laan&lt;/Author&gt;&lt;Year&gt;2014&lt;/Year&gt;&lt;RecNum&gt;36&lt;/RecNum&gt;&lt;DisplayText&gt;(24)&lt;/DisplayText&gt;&lt;record&gt;&lt;rec-number&gt;36&lt;/rec-number&gt;&lt;foreign-keys&gt;&lt;key app="EN" db-id="ee9erwffmxvtrdev0wovsv2zesvwxvrxdppv" timestamp="1475973306"&gt;36&lt;/key&gt;&lt;/foreign-keys&gt;&lt;ref-type name="Journal Article"&gt;17&lt;/ref-type&gt;&lt;contributors&gt;&lt;authors&gt;&lt;author&gt;Eissens van der Laan, M. R.&lt;/author&gt;&lt;author&gt;van Offenbeek, M. A. G.&lt;/author&gt;&lt;author&gt;Broekhuis, H.&lt;/author&gt;&lt;author&gt;Slaets, J. P. J.&lt;/author&gt;&lt;/authors&gt;&lt;/contributors&gt;&lt;titles&gt;&lt;title&gt;A person-centred segmentation study in elderly care: Towards efficient demand-driven care&lt;/title&gt;&lt;secondary-title&gt;Social Science and Medicine&lt;/secondary-title&gt;&lt;/titles&gt;&lt;periodical&gt;&lt;full-title&gt;Social Science and Medicine&lt;/full-title&gt;&lt;/periodical&gt;&lt;pages&gt;68-76&lt;/pages&gt;&lt;volume&gt;113&lt;/volume&gt;&lt;dates&gt;&lt;year&gt;2014&lt;/year&gt;&lt;/dates&gt;&lt;accession-num&gt;2014388060&lt;/accession-num&gt;&lt;urls&gt;&lt;related-urls&gt;&lt;url&gt;http://www.sciencedirect.com/science/article/pii/S0277953614003062&lt;/url&gt;&lt;/related-urls&gt;&lt;/urls&gt;&lt;electronic-resource-num&gt;http://dx.doi.org/10.1016/j.socscimed.2014.05.012&lt;/electronic-resource-num&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(24)</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75994537"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proofErr w:type="spellStart"/>
            <w:r w:rsidRPr="00390719">
              <w:rPr>
                <w:rFonts w:ascii="Times New Roman" w:eastAsia="Times New Roman" w:hAnsi="Times New Roman" w:cs="Times New Roman"/>
                <w:color w:val="000000"/>
                <w:sz w:val="24"/>
                <w:szCs w:val="24"/>
                <w:lang w:eastAsia="en-SG"/>
              </w:rPr>
              <w:t>Eissens</w:t>
            </w:r>
            <w:proofErr w:type="spellEnd"/>
            <w:r w:rsidRPr="00390719">
              <w:rPr>
                <w:rFonts w:ascii="Times New Roman" w:eastAsia="Times New Roman" w:hAnsi="Times New Roman" w:cs="Times New Roman"/>
                <w:color w:val="000000"/>
                <w:sz w:val="24"/>
                <w:szCs w:val="24"/>
                <w:lang w:eastAsia="en-SG"/>
              </w:rPr>
              <w:t xml:space="preserve"> van der </w:t>
            </w:r>
            <w:proofErr w:type="spellStart"/>
            <w:r w:rsidRPr="00390719">
              <w:rPr>
                <w:rFonts w:ascii="Times New Roman" w:eastAsia="Times New Roman" w:hAnsi="Times New Roman" w:cs="Times New Roman"/>
                <w:color w:val="000000"/>
                <w:sz w:val="24"/>
                <w:szCs w:val="24"/>
                <w:lang w:eastAsia="en-SG"/>
              </w:rPr>
              <w:t>Laan</w:t>
            </w:r>
            <w:proofErr w:type="spellEnd"/>
            <w:r w:rsidRPr="00390719">
              <w:rPr>
                <w:rFonts w:ascii="Times New Roman" w:eastAsia="Times New Roman" w:hAnsi="Times New Roman" w:cs="Times New Roman"/>
                <w:color w:val="000000"/>
                <w:sz w:val="24"/>
                <w:szCs w:val="24"/>
                <w:lang w:eastAsia="en-SG"/>
              </w:rPr>
              <w:t xml:space="preserve"> et al, 2014</w:t>
            </w:r>
          </w:p>
        </w:tc>
        <w:tc>
          <w:tcPr>
            <w:tcW w:w="1525" w:type="dxa"/>
            <w:vAlign w:val="center"/>
            <w:hideMark/>
          </w:tcPr>
          <w:p w14:paraId="14013C61"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Demand-driven care model</w:t>
            </w:r>
          </w:p>
        </w:tc>
        <w:tc>
          <w:tcPr>
            <w:tcW w:w="1590" w:type="dxa"/>
            <w:vAlign w:val="center"/>
            <w:hideMark/>
          </w:tcPr>
          <w:p w14:paraId="0E761036"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Netherlands</w:t>
            </w:r>
          </w:p>
        </w:tc>
        <w:tc>
          <w:tcPr>
            <w:tcW w:w="1487" w:type="dxa"/>
            <w:vAlign w:val="center"/>
            <w:hideMark/>
          </w:tcPr>
          <w:p w14:paraId="62589938"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Adults 65 - 101 years old</w:t>
            </w:r>
          </w:p>
        </w:tc>
        <w:tc>
          <w:tcPr>
            <w:tcW w:w="1973" w:type="dxa"/>
            <w:vAlign w:val="center"/>
            <w:hideMark/>
          </w:tcPr>
          <w:p w14:paraId="7BFADC9F"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Primary data collection</w:t>
            </w:r>
          </w:p>
        </w:tc>
        <w:tc>
          <w:tcPr>
            <w:tcW w:w="1272" w:type="dxa"/>
            <w:vAlign w:val="center"/>
            <w:hideMark/>
          </w:tcPr>
          <w:p w14:paraId="61EEB373"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w:t>
            </w:r>
          </w:p>
        </w:tc>
        <w:tc>
          <w:tcPr>
            <w:tcW w:w="1276" w:type="dxa"/>
            <w:vAlign w:val="center"/>
            <w:hideMark/>
          </w:tcPr>
          <w:p w14:paraId="1D672E01"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2,019</w:t>
            </w:r>
          </w:p>
        </w:tc>
        <w:tc>
          <w:tcPr>
            <w:tcW w:w="1137" w:type="dxa"/>
            <w:vAlign w:val="center"/>
          </w:tcPr>
          <w:p w14:paraId="2C61135B" w14:textId="31AD11E7" w:rsidR="00731C83" w:rsidRP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High</w:t>
            </w:r>
          </w:p>
        </w:tc>
        <w:tc>
          <w:tcPr>
            <w:tcW w:w="2774" w:type="dxa"/>
            <w:vAlign w:val="center"/>
            <w:hideMark/>
          </w:tcPr>
          <w:p w14:paraId="1A5C8D12" w14:textId="27135999"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Authors attempted to validate their data-driven segments by illustrating the increase in the number of care providers (general practitioners, medical </w:t>
            </w:r>
            <w:r w:rsidRPr="00390719">
              <w:rPr>
                <w:rFonts w:ascii="Times New Roman" w:eastAsia="Times New Roman" w:hAnsi="Times New Roman" w:cs="Times New Roman"/>
                <w:color w:val="000000"/>
                <w:sz w:val="24"/>
                <w:szCs w:val="24"/>
                <w:lang w:eastAsia="en-SG"/>
              </w:rPr>
              <w:lastRenderedPageBreak/>
              <w:t>specialists, physiotherapists, dieticians, psychosocial care provider, nursing home doctors, help in retirement / nursing homes) as the intensity of the experienced difficulties increases.</w:t>
            </w:r>
          </w:p>
        </w:tc>
      </w:tr>
      <w:tr w:rsidR="00731C83" w:rsidRPr="00390719" w14:paraId="01DF546D" w14:textId="77777777" w:rsidTr="00731C83">
        <w:trPr>
          <w:cnfStyle w:val="000000100000" w:firstRow="0" w:lastRow="0" w:firstColumn="0" w:lastColumn="0" w:oddVBand="0" w:evenVBand="0" w:oddHBand="1" w:evenHBand="0" w:firstRowFirstColumn="0" w:firstRowLastColumn="0" w:lastRowFirstColumn="0" w:lastRowLastColumn="0"/>
          <w:trHeight w:val="319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72EEE9BA" w14:textId="617ED4F0"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lastRenderedPageBreak/>
              <w:fldChar w:fldCharType="begin"/>
            </w:r>
            <w:r>
              <w:rPr>
                <w:rFonts w:ascii="Times New Roman" w:eastAsia="Times New Roman" w:hAnsi="Times New Roman" w:cs="Times New Roman"/>
                <w:color w:val="000000"/>
                <w:sz w:val="24"/>
                <w:szCs w:val="24"/>
                <w:lang w:eastAsia="en-SG"/>
              </w:rPr>
              <w:instrText xml:space="preserve"> ADDIN EN.CITE &lt;EndNote&gt;&lt;Cite&gt;&lt;Author&gt;Liu&lt;/Author&gt;&lt;Year&gt;2012&lt;/Year&gt;&lt;RecNum&gt;37&lt;/RecNum&gt;&lt;DisplayText&gt;(25)&lt;/DisplayText&gt;&lt;record&gt;&lt;rec-number&gt;37&lt;/rec-number&gt;&lt;foreign-keys&gt;&lt;key app="EN" db-id="ee9erwffmxvtrdev0wovsv2zesvwxvrxdppv" timestamp="1475973306"&gt;37&lt;/key&gt;&lt;/foreign-keys&gt;&lt;ref-type name="Journal Article"&gt;17&lt;/ref-type&gt;&lt;contributors&gt;&lt;authors&gt;&lt;author&gt;Liu, Li-Fan&lt;/author&gt;&lt;/authors&gt;&lt;/contributors&gt;&lt;titles&gt;&lt;title&gt;Utilization of health care services by elderly people with National Health Insurance in Taiwan: The heterogeneous health profile approach&lt;/title&gt;&lt;/titles&gt;&lt;dates&gt;&lt;year&gt;2012&lt;/year&gt;&lt;/dates&gt;&lt;urls&gt;&lt;/urls&gt;&lt;/record&gt;&lt;/Cite&gt;&lt;/EndNote&gt;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(25)</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52896B4C"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Liu, 2012</w:t>
            </w:r>
          </w:p>
        </w:tc>
        <w:tc>
          <w:tcPr>
            <w:tcW w:w="1525" w:type="dxa"/>
            <w:vAlign w:val="center"/>
            <w:hideMark/>
          </w:tcPr>
          <w:p w14:paraId="7CE61DA5"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LCA of NHIS Taiwan</w:t>
            </w:r>
          </w:p>
        </w:tc>
        <w:tc>
          <w:tcPr>
            <w:tcW w:w="1590" w:type="dxa"/>
            <w:vAlign w:val="center"/>
            <w:hideMark/>
          </w:tcPr>
          <w:p w14:paraId="230C3762"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Taiwan</w:t>
            </w:r>
          </w:p>
        </w:tc>
        <w:tc>
          <w:tcPr>
            <w:tcW w:w="1487" w:type="dxa"/>
            <w:vAlign w:val="center"/>
            <w:hideMark/>
          </w:tcPr>
          <w:p w14:paraId="26B56892"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65 years old and older</w:t>
            </w:r>
          </w:p>
        </w:tc>
        <w:tc>
          <w:tcPr>
            <w:tcW w:w="1973" w:type="dxa"/>
            <w:vAlign w:val="center"/>
            <w:hideMark/>
          </w:tcPr>
          <w:p w14:paraId="187964D6"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Secondary data: Taiwan National Health Interview Survey (NHIS) 2005; National Health Insurance Research Database (NHIRD) 2004 - 2007</w:t>
            </w:r>
          </w:p>
        </w:tc>
        <w:tc>
          <w:tcPr>
            <w:tcW w:w="1272" w:type="dxa"/>
            <w:vAlign w:val="center"/>
            <w:hideMark/>
          </w:tcPr>
          <w:p w14:paraId="041E1746"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Yes</w:t>
            </w:r>
          </w:p>
        </w:tc>
        <w:tc>
          <w:tcPr>
            <w:tcW w:w="1276" w:type="dxa"/>
            <w:vAlign w:val="center"/>
            <w:hideMark/>
          </w:tcPr>
          <w:p w14:paraId="116F8E62"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3,940</w:t>
            </w:r>
          </w:p>
        </w:tc>
        <w:tc>
          <w:tcPr>
            <w:tcW w:w="1137" w:type="dxa"/>
            <w:vAlign w:val="center"/>
          </w:tcPr>
          <w:p w14:paraId="115B8CE7" w14:textId="0892FAE2" w:rsidR="00731C83" w:rsidRP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Moderate</w:t>
            </w:r>
          </w:p>
        </w:tc>
        <w:tc>
          <w:tcPr>
            <w:tcW w:w="2774" w:type="dxa"/>
            <w:vAlign w:val="center"/>
            <w:hideMark/>
          </w:tcPr>
          <w:p w14:paraId="7FB5F0AF" w14:textId="23305C8F"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Authors used logistic regression to validate their data-driven segments by examining their associations with being heavy user of ambulatory care and inpatient care. For instance, “High Comorbidity” segment had a greater effect (OR = 3.342, p &lt; 0.001) on the likelihood of heavy utilization of ambulatory care services (beyond 15 visits annually) than did the other health segments. In addition, authors also ran ordinary least square regressions on log-transformed costs and found that being in "high comorbidity", "frail", "functional impairment" segments were significantly associated with higher costs </w:t>
            </w:r>
            <w:r w:rsidRPr="00390719">
              <w:rPr>
                <w:rFonts w:ascii="Times New Roman" w:eastAsia="Times New Roman" w:hAnsi="Times New Roman" w:cs="Times New Roman"/>
                <w:color w:val="000000"/>
                <w:sz w:val="24"/>
                <w:szCs w:val="24"/>
                <w:lang w:eastAsia="en-SG"/>
              </w:rPr>
              <w:lastRenderedPageBreak/>
              <w:t>compared to "relatively healthy" segment. No model fitting test was reported.</w:t>
            </w:r>
          </w:p>
        </w:tc>
      </w:tr>
      <w:tr w:rsidR="00731C83" w:rsidRPr="00390719" w14:paraId="176CCC47" w14:textId="77777777" w:rsidTr="00731C83">
        <w:trPr>
          <w:trHeight w:val="116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6FB68DF8" w14:textId="385BCB50"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lastRenderedPageBreak/>
              <w:fldChar w:fldCharType="begin"/>
            </w:r>
            <w:r>
              <w:rPr>
                <w:rFonts w:ascii="Times New Roman" w:eastAsia="Times New Roman" w:hAnsi="Times New Roman" w:cs="Times New Roman"/>
                <w:color w:val="000000"/>
                <w:sz w:val="24"/>
                <w:szCs w:val="24"/>
                <w:lang w:eastAsia="en-SG"/>
              </w:rPr>
              <w:instrText xml:space="preserve"> ADDIN EN.CITE &lt;EndNote&gt;&lt;Cite&gt;&lt;Author&gt;Lafortune&lt;/Author&gt;&lt;Year&gt;2009&lt;/Year&gt;&lt;RecNum&gt;39&lt;/RecNum&gt;&lt;DisplayText&gt;(26)&lt;/DisplayText&gt;&lt;record&gt;&lt;rec-number&gt;39&lt;/rec-number&gt;&lt;foreign-keys&gt;&lt;key app="EN" db-id="ee9erwffmxvtrdev0wovsv2zesvwxvrxdppv" timestamp="1475973306"&gt;39&lt;/key&gt;&lt;/foreign-keys&gt;&lt;ref-type name="Journal Article"&gt;17&lt;/ref-type&gt;&lt;contributors&gt;&lt;authors&gt;&lt;author&gt;Lafortune, L.&lt;/author&gt;&lt;author&gt;Beland, F.&lt;/author&gt;&lt;author&gt;Bergman, H.&lt;/author&gt;&lt;author&gt;Ankri, J.&lt;/author&gt;&lt;/authors&gt;&lt;/contributors&gt;&lt;titles&gt;&lt;title&gt;Health state profiles and service utilization in community-living elderly&lt;/title&gt;&lt;secondary-title&gt;Medical care&lt;/secondary-title&gt;&lt;/titles&gt;&lt;periodical&gt;&lt;full-title&gt;Medical Care&lt;/full-title&gt;&lt;/periodical&gt;&lt;pages&gt;286-294&lt;/pages&gt;&lt;volume&gt;47&lt;/volume&gt;&lt;number&gt;3&lt;/number&gt;&lt;dates&gt;&lt;year&gt;2009&lt;/year&gt;&lt;/dates&gt;&lt;pub-location&gt;United States&lt;/pub-location&gt;&lt;publisher&gt;Lippincott Williams and Wilkins (530 Walnut Street,P O Box 327, Philadelphia PA 19106-3621, United States)&lt;/publisher&gt;&lt;urls&gt;&lt;related-urls&gt;&lt;url&gt;http://libproxy1.nus.edu.sg/login?url=http://search.ebscohost.com/login.aspx?direct=true&amp;amp;db=rzh&amp;amp;AN=105462894&amp;amp;site=ehost-live&lt;/url&gt;&lt;/related-urls&gt;&lt;/urls&gt;&lt;electronic-resource-num&gt;http://dx.doi.org/10.1097/MLR.0b013e3181894293&lt;/electronic-resource-num&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(26)</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49716206"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proofErr w:type="spellStart"/>
            <w:r w:rsidRPr="00390719">
              <w:rPr>
                <w:rFonts w:ascii="Times New Roman" w:eastAsia="Times New Roman" w:hAnsi="Times New Roman" w:cs="Times New Roman"/>
                <w:color w:val="000000"/>
                <w:sz w:val="24"/>
                <w:szCs w:val="24"/>
                <w:lang w:eastAsia="en-SG"/>
              </w:rPr>
              <w:t>Lafortune</w:t>
            </w:r>
            <w:proofErr w:type="spellEnd"/>
            <w:r w:rsidRPr="00390719">
              <w:rPr>
                <w:rFonts w:ascii="Times New Roman" w:eastAsia="Times New Roman" w:hAnsi="Times New Roman" w:cs="Times New Roman"/>
                <w:color w:val="000000"/>
                <w:sz w:val="24"/>
                <w:szCs w:val="24"/>
                <w:lang w:eastAsia="en-SG"/>
              </w:rPr>
              <w:t xml:space="preserve"> et al, 2009</w:t>
            </w:r>
          </w:p>
        </w:tc>
        <w:tc>
          <w:tcPr>
            <w:tcW w:w="1525" w:type="dxa"/>
            <w:vAlign w:val="center"/>
            <w:hideMark/>
          </w:tcPr>
          <w:p w14:paraId="1DCA658F"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LCA of SIPA</w:t>
            </w:r>
          </w:p>
        </w:tc>
        <w:tc>
          <w:tcPr>
            <w:tcW w:w="1590" w:type="dxa"/>
            <w:vAlign w:val="center"/>
            <w:hideMark/>
          </w:tcPr>
          <w:p w14:paraId="78A6EF92"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Canada</w:t>
            </w:r>
          </w:p>
        </w:tc>
        <w:tc>
          <w:tcPr>
            <w:tcW w:w="1487" w:type="dxa"/>
            <w:vAlign w:val="center"/>
            <w:hideMark/>
          </w:tcPr>
          <w:p w14:paraId="37419EF6"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Elderly 64 years old and older</w:t>
            </w:r>
          </w:p>
        </w:tc>
        <w:tc>
          <w:tcPr>
            <w:tcW w:w="1973" w:type="dxa"/>
            <w:vAlign w:val="center"/>
            <w:hideMark/>
          </w:tcPr>
          <w:p w14:paraId="6B7C24FF"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Secondary data: Canada System of Integrated Care for the frail elderly (SIPA) 1999-2001</w:t>
            </w:r>
          </w:p>
        </w:tc>
        <w:tc>
          <w:tcPr>
            <w:tcW w:w="1272" w:type="dxa"/>
            <w:vAlign w:val="center"/>
            <w:hideMark/>
          </w:tcPr>
          <w:p w14:paraId="14A43E7B"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w:t>
            </w:r>
          </w:p>
        </w:tc>
        <w:tc>
          <w:tcPr>
            <w:tcW w:w="1276" w:type="dxa"/>
            <w:vAlign w:val="center"/>
            <w:hideMark/>
          </w:tcPr>
          <w:p w14:paraId="7BFDA143" w14:textId="7777777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1,164</w:t>
            </w:r>
          </w:p>
        </w:tc>
        <w:tc>
          <w:tcPr>
            <w:tcW w:w="1137" w:type="dxa"/>
            <w:vAlign w:val="center"/>
          </w:tcPr>
          <w:p w14:paraId="2F862B39" w14:textId="34D9B351" w:rsidR="00731C83" w:rsidRP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Moderate</w:t>
            </w:r>
          </w:p>
        </w:tc>
        <w:tc>
          <w:tcPr>
            <w:tcW w:w="2774" w:type="dxa"/>
            <w:vAlign w:val="center"/>
            <w:hideMark/>
          </w:tcPr>
          <w:p w14:paraId="4C208A77" w14:textId="0039412E"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Authors used two-part model and utilization costs of health and social services (e.g. nursing homes, acute hospital, medical visits, etc) to validate its data-driven segments. R2 ranged from 3% to 14%.</w:t>
            </w:r>
          </w:p>
        </w:tc>
      </w:tr>
      <w:tr w:rsidR="00731C83" w:rsidRPr="00390719" w14:paraId="7692EC4A" w14:textId="77777777" w:rsidTr="00731C83">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1127" w:type="dxa"/>
            <w:vAlign w:val="center"/>
            <w:hideMark/>
          </w:tcPr>
          <w:p w14:paraId="43E5797D" w14:textId="4D7C6CB4" w:rsidR="00731C83" w:rsidRPr="00390719" w:rsidRDefault="00731C83" w:rsidP="00731C83">
            <w:pPr>
              <w:jc w:val="center"/>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&lt;EndNote&gt;&lt;Cite&gt;&lt;Author&gt;Zhou&lt;/Author&gt;&lt;Year&gt;2014&lt;/Year&gt;&lt;RecNum&gt;14&lt;/RecNum&gt;&lt;DisplayText&gt;(27)&lt;/DisplayText&gt;&lt;record&gt;&lt;rec-number&gt;14&lt;/rec-number&gt;&lt;foreign-keys&gt;&lt;key app="EN" db-id="ee9erwffmxvtrdev0wovsv2zesvwxvrxdppv" timestamp="1475973303"&gt;14&lt;/key&gt;&lt;/foreign-keys&gt;&lt;ref-type name="Journal Article"&gt;17&lt;/ref-type&gt;&lt;contributors&gt;&lt;authors&gt;&lt;author&gt;Zhou, Y. Y.&lt;/author&gt;&lt;author&gt;Wong, W.&lt;/author&gt;&lt;author&gt;Li, H.&lt;/author&gt;&lt;/authors&gt;&lt;/contributors&gt;&lt;titles&gt;&lt;title&gt;Improving care for older adults: a model to segment the senior population&lt;/title&gt;&lt;secondary-title&gt;The Permanente journal&lt;/secondary-title&gt;&lt;/titles&gt;&lt;periodical&gt;&lt;full-title&gt;The Permanente journal&lt;/full-title&gt;&lt;/periodical&gt;&lt;pages&gt;18-21&lt;/pages&gt;&lt;volume&gt;18&lt;/volume&gt;&lt;number&gt;3&lt;/number&gt;&lt;dates&gt;&lt;year&gt;2014&lt;/year&gt;&lt;/dates&gt;&lt;urls&gt;&lt;related-urls&gt;&lt;url&gt;http://www.ncbi.nlm.nih.gov/pmc/articles/PMC4116260/pdf/permj18_3p0018.pdf&lt;/url&gt;&lt;/related-urls&gt;&lt;/urls&gt;&lt;electronic-resource-num&gt;10.7812/TPP/14-005&lt;/electronic-resource-num&gt;&lt;/record&gt;&lt;/Cite&gt;&lt;/EndNote&gt;</w:instrText>
            </w:r>
            <w:r w:rsidRPr="00390719">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(27)</w:t>
            </w:r>
            <w:r w:rsidRPr="00390719">
              <w:rPr>
                <w:rFonts w:ascii="Times New Roman" w:eastAsia="Times New Roman" w:hAnsi="Times New Roman" w:cs="Times New Roman"/>
                <w:color w:val="000000"/>
                <w:sz w:val="24"/>
                <w:szCs w:val="24"/>
                <w:lang w:eastAsia="en-SG"/>
              </w:rPr>
              <w:fldChar w:fldCharType="end"/>
            </w:r>
          </w:p>
        </w:tc>
        <w:tc>
          <w:tcPr>
            <w:tcW w:w="1227" w:type="dxa"/>
            <w:vAlign w:val="center"/>
          </w:tcPr>
          <w:p w14:paraId="55728501"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Zhou, Wong, and Li, 2014</w:t>
            </w:r>
          </w:p>
        </w:tc>
        <w:tc>
          <w:tcPr>
            <w:tcW w:w="1525" w:type="dxa"/>
            <w:vAlign w:val="center"/>
            <w:hideMark/>
          </w:tcPr>
          <w:p w14:paraId="256553FA"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Senior Segmentation Algorithm</w:t>
            </w:r>
          </w:p>
        </w:tc>
        <w:tc>
          <w:tcPr>
            <w:tcW w:w="1590" w:type="dxa"/>
            <w:vAlign w:val="center"/>
            <w:hideMark/>
          </w:tcPr>
          <w:p w14:paraId="3B5364C7"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USA</w:t>
            </w:r>
          </w:p>
        </w:tc>
        <w:tc>
          <w:tcPr>
            <w:tcW w:w="1487" w:type="dxa"/>
            <w:vAlign w:val="center"/>
            <w:hideMark/>
          </w:tcPr>
          <w:p w14:paraId="094E00A9"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Kaiser Permanente managed care </w:t>
            </w:r>
            <w:proofErr w:type="spellStart"/>
            <w:r w:rsidRPr="00390719">
              <w:rPr>
                <w:rFonts w:ascii="Times New Roman" w:eastAsia="Times New Roman" w:hAnsi="Times New Roman" w:cs="Times New Roman"/>
                <w:color w:val="000000"/>
                <w:sz w:val="24"/>
                <w:szCs w:val="24"/>
                <w:lang w:eastAsia="en-SG"/>
              </w:rPr>
              <w:t>enrollee</w:t>
            </w:r>
            <w:proofErr w:type="spellEnd"/>
            <w:r w:rsidRPr="00390719">
              <w:rPr>
                <w:rFonts w:ascii="Times New Roman" w:eastAsia="Times New Roman" w:hAnsi="Times New Roman" w:cs="Times New Roman"/>
                <w:color w:val="000000"/>
                <w:sz w:val="24"/>
                <w:szCs w:val="24"/>
                <w:lang w:eastAsia="en-SG"/>
              </w:rPr>
              <w:t xml:space="preserve"> ≥65 years old</w:t>
            </w:r>
          </w:p>
        </w:tc>
        <w:tc>
          <w:tcPr>
            <w:tcW w:w="1973" w:type="dxa"/>
            <w:vAlign w:val="center"/>
            <w:hideMark/>
          </w:tcPr>
          <w:p w14:paraId="107C091F"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Secondary data: Kaiser Permanente Northwest and Hawaii Databases;</w:t>
            </w:r>
          </w:p>
        </w:tc>
        <w:tc>
          <w:tcPr>
            <w:tcW w:w="1272" w:type="dxa"/>
            <w:vAlign w:val="center"/>
            <w:hideMark/>
          </w:tcPr>
          <w:p w14:paraId="0176A6CF"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No</w:t>
            </w:r>
          </w:p>
        </w:tc>
        <w:tc>
          <w:tcPr>
            <w:tcW w:w="1276" w:type="dxa"/>
            <w:vAlign w:val="center"/>
            <w:hideMark/>
          </w:tcPr>
          <w:p w14:paraId="3FE9FDAF" w14:textId="77777777"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91,113</w:t>
            </w:r>
          </w:p>
        </w:tc>
        <w:tc>
          <w:tcPr>
            <w:tcW w:w="1137" w:type="dxa"/>
            <w:vAlign w:val="center"/>
          </w:tcPr>
          <w:p w14:paraId="0FB3CA7E" w14:textId="19BE8466" w:rsidR="00731C83" w:rsidRP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High</w:t>
            </w:r>
          </w:p>
        </w:tc>
        <w:tc>
          <w:tcPr>
            <w:tcW w:w="2774" w:type="dxa"/>
            <w:vAlign w:val="center"/>
            <w:hideMark/>
          </w:tcPr>
          <w:p w14:paraId="3257286A" w14:textId="4934F550" w:rsid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sidRPr="00390719">
              <w:rPr>
                <w:rFonts w:ascii="Times New Roman" w:eastAsia="Times New Roman" w:hAnsi="Times New Roman" w:cs="Times New Roman"/>
                <w:color w:val="000000"/>
                <w:sz w:val="24"/>
                <w:szCs w:val="24"/>
                <w:lang w:eastAsia="en-SG"/>
              </w:rPr>
              <w:t xml:space="preserve">Concordance of the algorithm with physician assessed segmentation of 1615 Medicare recipients was 85%. After 1 year, approximately 85% of 86,140 surviving seniors remained in the same care group; 3.9% moved to a lower need group; and 11% moved to a higher need group. Six-month and 12-month mortality rates varied substantially across care groups. The </w:t>
            </w:r>
            <w:r w:rsidRPr="00390719">
              <w:rPr>
                <w:rFonts w:ascii="Times New Roman" w:eastAsia="Times New Roman" w:hAnsi="Times New Roman" w:cs="Times New Roman"/>
                <w:color w:val="000000"/>
                <w:sz w:val="24"/>
                <w:szCs w:val="24"/>
                <w:lang w:eastAsia="en-SG"/>
              </w:rPr>
              <w:lastRenderedPageBreak/>
              <w:t>algorithm performed similarly to the likelihood of hospitalization score in predicting hospitalization and readmissions.</w:t>
            </w:r>
          </w:p>
          <w:p w14:paraId="0EB5FC0B" w14:textId="715DB0DE" w:rsidR="00731C83" w:rsidRPr="00390719"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p>
        </w:tc>
      </w:tr>
      <w:tr w:rsidR="00731C83" w:rsidRPr="00390719" w14:paraId="63EE71C6" w14:textId="77777777" w:rsidTr="00731C83">
        <w:trPr>
          <w:trHeight w:val="50"/>
          <w:jc w:val="center"/>
        </w:trPr>
        <w:tc>
          <w:tcPr>
            <w:cnfStyle w:val="001000000000" w:firstRow="0" w:lastRow="0" w:firstColumn="1" w:lastColumn="0" w:oddVBand="0" w:evenVBand="0" w:oddHBand="0" w:evenHBand="0" w:firstRowFirstColumn="0" w:firstRowLastColumn="0" w:lastRowFirstColumn="0" w:lastRowLastColumn="0"/>
            <w:tcW w:w="1127" w:type="dxa"/>
            <w:vAlign w:val="center"/>
          </w:tcPr>
          <w:p w14:paraId="49B4A98E" w14:textId="7F458F3C" w:rsidR="00731C83" w:rsidRPr="00390719" w:rsidRDefault="00731C83" w:rsidP="00731C83">
            <w:pPr>
              <w:jc w:val="center"/>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lastRenderedPageBreak/>
              <w:fldChar w:fldCharType="begin">
                <w:fldData xml:space="preserve">PEVuZE5vdGU+PENpdGU+PEF1dGhvcj5Kb3ludDwvQXV0aG9yPjxZZWFyPjIwMTc8L1llYXI+PFJl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</w:fldData>
              </w:fldChar>
            </w:r>
            <w:r>
              <w:rPr>
                <w:rFonts w:ascii="Times New Roman" w:eastAsia="Times New Roman" w:hAnsi="Times New Roman" w:cs="Times New Roman"/>
                <w:color w:val="000000"/>
                <w:sz w:val="24"/>
                <w:szCs w:val="24"/>
                <w:lang w:eastAsia="en-SG"/>
              </w:rPr>
              <w:instrText xml:space="preserve"> ADDIN EN.CITE </w:instrText>
            </w:r>
            <w:r>
              <w:rPr>
                <w:rFonts w:ascii="Times New Roman" w:eastAsia="Times New Roman" w:hAnsi="Times New Roman" w:cs="Times New Roman"/>
                <w:color w:val="000000"/>
                <w:sz w:val="24"/>
                <w:szCs w:val="24"/>
                <w:lang w:eastAsia="en-SG"/>
              </w:rPr>
              <w:fldChar w:fldCharType="begin">
                <w:fldData xml:space="preserve">PEVuZE5vdGU+PENpdGU+PEF1dGhvcj5Kb3ludDwvQXV0aG9yPjxZZWFyPjIwMTc8L1llYXI+PFJl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</w:fldData>
              </w:fldChar>
            </w:r>
            <w:r>
              <w:rPr>
                <w:rFonts w:ascii="Times New Roman" w:eastAsia="Times New Roman" w:hAnsi="Times New Roman" w:cs="Times New Roman"/>
                <w:color w:val="000000"/>
                <w:sz w:val="24"/>
                <w:szCs w:val="24"/>
                <w:lang w:eastAsia="en-SG"/>
              </w:rPr>
              <w:instrText xml:space="preserve"> ADDIN EN.CITE.DATA </w:instrText>
            </w:r>
            <w:r>
              <w:rPr>
                <w:rFonts w:ascii="Times New Roman" w:eastAsia="Times New Roman" w:hAnsi="Times New Roman" w:cs="Times New Roman"/>
                <w:color w:val="000000"/>
                <w:sz w:val="24"/>
                <w:szCs w:val="24"/>
                <w:lang w:eastAsia="en-SG"/>
              </w:rPr>
            </w:r>
            <w:r>
              <w:rPr>
                <w:rFonts w:ascii="Times New Roman" w:eastAsia="Times New Roman" w:hAnsi="Times New Roman" w:cs="Times New Roman"/>
                <w:color w:val="000000"/>
                <w:sz w:val="24"/>
                <w:szCs w:val="24"/>
                <w:lang w:eastAsia="en-SG"/>
              </w:rPr>
              <w:fldChar w:fldCharType="end"/>
            </w:r>
            <w:r>
              <w:rPr>
                <w:rFonts w:ascii="Times New Roman" w:eastAsia="Times New Roman" w:hAnsi="Times New Roman" w:cs="Times New Roman"/>
                <w:color w:val="000000"/>
                <w:sz w:val="24"/>
                <w:szCs w:val="24"/>
                <w:lang w:eastAsia="en-SG"/>
              </w:rPr>
            </w:r>
            <w:r>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(28)</w:t>
            </w:r>
            <w:r>
              <w:rPr>
                <w:rFonts w:ascii="Times New Roman" w:eastAsia="Times New Roman" w:hAnsi="Times New Roman" w:cs="Times New Roman"/>
                <w:color w:val="000000"/>
                <w:sz w:val="24"/>
                <w:szCs w:val="24"/>
                <w:lang w:eastAsia="en-SG"/>
              </w:rPr>
              <w:fldChar w:fldCharType="end"/>
            </w:r>
          </w:p>
        </w:tc>
        <w:tc>
          <w:tcPr>
            <w:tcW w:w="1227" w:type="dxa"/>
            <w:vAlign w:val="center"/>
          </w:tcPr>
          <w:p w14:paraId="32D99437" w14:textId="7F26A836"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Joynt et al, 2017</w:t>
            </w:r>
          </w:p>
        </w:tc>
        <w:tc>
          <w:tcPr>
            <w:tcW w:w="1525" w:type="dxa"/>
            <w:vAlign w:val="center"/>
          </w:tcPr>
          <w:p w14:paraId="6017BD79" w14:textId="117E4C79"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 xml:space="preserve">Joynt et </w:t>
            </w:r>
            <w:proofErr w:type="spellStart"/>
            <w:r>
              <w:rPr>
                <w:rFonts w:ascii="Times New Roman" w:eastAsia="Times New Roman" w:hAnsi="Times New Roman" w:cs="Times New Roman"/>
                <w:color w:val="000000"/>
                <w:sz w:val="24"/>
                <w:szCs w:val="24"/>
                <w:lang w:eastAsia="en-SG"/>
              </w:rPr>
              <w:t>al’s</w:t>
            </w:r>
            <w:proofErr w:type="spellEnd"/>
            <w:r>
              <w:rPr>
                <w:rFonts w:ascii="Times New Roman" w:eastAsia="Times New Roman" w:hAnsi="Times New Roman" w:cs="Times New Roman"/>
                <w:color w:val="000000"/>
                <w:sz w:val="24"/>
                <w:szCs w:val="24"/>
                <w:lang w:eastAsia="en-SG"/>
              </w:rPr>
              <w:t xml:space="preserve"> Medicare </w:t>
            </w:r>
            <w:proofErr w:type="gramStart"/>
            <w:r>
              <w:rPr>
                <w:rFonts w:ascii="Times New Roman" w:eastAsia="Times New Roman" w:hAnsi="Times New Roman" w:cs="Times New Roman"/>
                <w:color w:val="000000"/>
                <w:sz w:val="24"/>
                <w:szCs w:val="24"/>
                <w:lang w:eastAsia="en-SG"/>
              </w:rPr>
              <w:t>claims based</w:t>
            </w:r>
            <w:proofErr w:type="gramEnd"/>
            <w:r>
              <w:rPr>
                <w:rFonts w:ascii="Times New Roman" w:eastAsia="Times New Roman" w:hAnsi="Times New Roman" w:cs="Times New Roman"/>
                <w:color w:val="000000"/>
                <w:sz w:val="24"/>
                <w:szCs w:val="24"/>
                <w:lang w:eastAsia="en-SG"/>
              </w:rPr>
              <w:t xml:space="preserve"> segmentation</w:t>
            </w:r>
          </w:p>
        </w:tc>
        <w:tc>
          <w:tcPr>
            <w:tcW w:w="1590" w:type="dxa"/>
            <w:vAlign w:val="center"/>
          </w:tcPr>
          <w:p w14:paraId="09CCAD57" w14:textId="4594B5F1"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USA</w:t>
            </w:r>
          </w:p>
        </w:tc>
        <w:tc>
          <w:tcPr>
            <w:tcW w:w="1487" w:type="dxa"/>
            <w:vAlign w:val="center"/>
          </w:tcPr>
          <w:p w14:paraId="0C22A90B" w14:textId="72FEEED7"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Medicare beneficiaries</w:t>
            </w:r>
          </w:p>
        </w:tc>
        <w:tc>
          <w:tcPr>
            <w:tcW w:w="1973" w:type="dxa"/>
            <w:vAlign w:val="center"/>
          </w:tcPr>
          <w:p w14:paraId="28BBB495" w14:textId="555CA7DB"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 xml:space="preserve">Secondary data: 2011-2012 Medicare Beneficiary Denominator and </w:t>
            </w:r>
            <w:proofErr w:type="spellStart"/>
            <w:r>
              <w:rPr>
                <w:rFonts w:ascii="Times New Roman" w:eastAsia="Times New Roman" w:hAnsi="Times New Roman" w:cs="Times New Roman"/>
                <w:color w:val="000000"/>
                <w:sz w:val="24"/>
                <w:szCs w:val="24"/>
                <w:lang w:eastAsia="en-SG"/>
              </w:rPr>
              <w:t>Enrollment</w:t>
            </w:r>
            <w:proofErr w:type="spellEnd"/>
            <w:r>
              <w:rPr>
                <w:rFonts w:ascii="Times New Roman" w:eastAsia="Times New Roman" w:hAnsi="Times New Roman" w:cs="Times New Roman"/>
                <w:color w:val="000000"/>
                <w:sz w:val="24"/>
                <w:szCs w:val="24"/>
                <w:lang w:eastAsia="en-SG"/>
              </w:rPr>
              <w:t xml:space="preserve"> Database, Carrier File, Inpatient File, Outpatient File, Skilled Nursing, Home Health and Hospice, and Durable Medical Equipment Files, Part D File, and Impact File</w:t>
            </w:r>
          </w:p>
        </w:tc>
        <w:tc>
          <w:tcPr>
            <w:tcW w:w="1272" w:type="dxa"/>
            <w:vAlign w:val="center"/>
          </w:tcPr>
          <w:p w14:paraId="440B8AB3" w14:textId="61627BEB"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No</w:t>
            </w:r>
          </w:p>
        </w:tc>
        <w:tc>
          <w:tcPr>
            <w:tcW w:w="1276" w:type="dxa"/>
            <w:vAlign w:val="center"/>
          </w:tcPr>
          <w:p w14:paraId="09D4D550" w14:textId="3E537843"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6,112,450</w:t>
            </w:r>
          </w:p>
        </w:tc>
        <w:tc>
          <w:tcPr>
            <w:tcW w:w="1137" w:type="dxa"/>
            <w:vAlign w:val="center"/>
          </w:tcPr>
          <w:p w14:paraId="6D8B91D0" w14:textId="7B3EBF6B" w:rsidR="00731C83" w:rsidRP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High</w:t>
            </w:r>
          </w:p>
        </w:tc>
        <w:tc>
          <w:tcPr>
            <w:tcW w:w="2774" w:type="dxa"/>
            <w:vAlign w:val="center"/>
          </w:tcPr>
          <w:p w14:paraId="6182337B" w14:textId="7F6C01BC" w:rsid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Authors assigned high-cost patients and non-high-cost patients to the population segments before computing the segment specific risk of being designated a high-cost beneficiary. Within each segment, the risk of being designated a high-cost beneficiary varied markedly, with frail patient being the most likely (46.2%) followed by the under-65 disabled population (14.3%).</w:t>
            </w:r>
          </w:p>
          <w:p w14:paraId="45082133" w14:textId="3A2611B6" w:rsidR="00731C83" w:rsidRPr="00390719"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p>
        </w:tc>
      </w:tr>
      <w:tr w:rsidR="00731C83" w:rsidRPr="00390719" w14:paraId="35D72572" w14:textId="77777777" w:rsidTr="00731C83">
        <w:trPr>
          <w:cnfStyle w:val="000000100000" w:firstRow="0" w:lastRow="0" w:firstColumn="0" w:lastColumn="0" w:oddVBand="0" w:evenVBand="0" w:oddHBand="1" w:evenHBand="0" w:firstRowFirstColumn="0" w:firstRowLastColumn="0" w:lastRowFirstColumn="0" w:lastRowLastColumn="0"/>
          <w:trHeight w:val="50"/>
          <w:jc w:val="center"/>
        </w:trPr>
        <w:tc>
          <w:tcPr>
            <w:cnfStyle w:val="001000000000" w:firstRow="0" w:lastRow="0" w:firstColumn="1" w:lastColumn="0" w:oddVBand="0" w:evenVBand="0" w:oddHBand="0" w:evenHBand="0" w:firstRowFirstColumn="0" w:firstRowLastColumn="0" w:lastRowFirstColumn="0" w:lastRowLastColumn="0"/>
            <w:tcW w:w="1127" w:type="dxa"/>
            <w:vAlign w:val="center"/>
          </w:tcPr>
          <w:p w14:paraId="26FEDB0F" w14:textId="55D6114E" w:rsidR="00731C83" w:rsidRPr="00390719" w:rsidRDefault="00731C83" w:rsidP="00731C83">
            <w:pPr>
              <w:jc w:val="center"/>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fldChar w:fldCharType="begin"/>
            </w:r>
            <w:r>
              <w:rPr>
                <w:rFonts w:ascii="Times New Roman" w:eastAsia="Times New Roman" w:hAnsi="Times New Roman" w:cs="Times New Roman"/>
                <w:color w:val="000000"/>
                <w:sz w:val="24"/>
                <w:szCs w:val="24"/>
                <w:lang w:eastAsia="en-SG"/>
              </w:rPr>
              <w:instrText xml:space="preserve"> ADDIN EN.CITE &lt;EndNote&gt;&lt;Cite&gt;&lt;Author&gt;Low&lt;/Author&gt;&lt;Year&gt;2018&lt;/Year&gt;&lt;RecNum&gt;157&lt;/RecNum&gt;&lt;DisplayText&gt;(29)&lt;/DisplayText&gt;&lt;record&gt;&lt;rec-number&gt;157&lt;/rec-number&gt;&lt;foreign-keys&gt;&lt;key app="EN" db-id="ee9erwffmxvtrdev0wovsv2zesvwxvrxdppv" timestamp="1531042997"&gt;157&lt;/key&gt;&lt;/foreign-keys&gt;&lt;ref-type name="Journal Article"&gt;17&lt;/ref-type&gt;&lt;contributors&gt;&lt;authors&gt;&lt;author&gt;Low, L. L.&lt;/author&gt;&lt;author&gt;Yan, S.&lt;/author&gt;&lt;author&gt;Kwan, Y. H.&lt;/author&gt;&lt;author&gt;Tan, C. S.&lt;/author&gt;&lt;author&gt;Thumboo, J.&lt;/author&gt;&lt;/authors&gt;&lt;/contributors&gt;&lt;auth-address&gt;Department of Family Medicine &amp;amp; Continuing Care, Singapore General Hospital, Singapore, Singapore.&amp;#xD;Family Medicine, Duke-NUS Medical School, Singapore, Singapore.&amp;#xD;SingHealth Regional Health System, Singapore Health Services, Singapore, Singapore.&amp;#xD;Duke-NUS Medical School, Singapore, Singapore.&amp;#xD;Singapore Heart Foundation, Singapore, Singapore.&amp;#xD;Saw Swee Hock School of Public Health, National University of Singapore, Singapore, Singapore.&amp;#xD;Office of Insights and Analytics, SingHealth, Singapore, Singapore.&amp;#xD;Health Services Research Centre, Singapore Health Services, Singapore, Singapore.&amp;#xD;Department of Rheumatology and Immunology, Singapore General Hospital, Singapore, Singapore.&lt;/auth-address&gt;&lt;titles&gt;&lt;title&gt;Assessing the validity of a data driven segmentation approach: A 4 year longitudinal study of healthcare utilization and mortality&lt;/title&gt;&lt;secondary-title&gt;PLoS One&lt;/secondary-title&gt;&lt;/titles&gt;&lt;periodical&gt;&lt;full-title&gt;PLoS One&lt;/full-title&gt;&lt;/periodical&gt;&lt;pages&gt;e0195243&lt;/pages&gt;&lt;volume&gt;13&lt;/volume&gt;&lt;number&gt;4&lt;/number&gt;&lt;dates&gt;&lt;year&gt;2018&lt;/year&gt;&lt;/dates&gt;&lt;isbn&gt;1932-6203 (Electronic)&amp;#xD;1932-6203 (Linking)&lt;/isbn&gt;&lt;accession-num&gt;29621280&lt;/accession-num&gt;&lt;urls&gt;&lt;related-urls&gt;&lt;url&gt;https://www.ncbi.nlm.nih.gov/pubmed/29621280&lt;/url&gt;&lt;/related-urls&gt;&lt;/urls&gt;&lt;custom2&gt;PMC5886524&lt;/custom2&gt;&lt;electronic-resource-num&gt;10.1371/journal.pone.0195243&lt;/electronic-resource-num&gt;&lt;/record&gt;&lt;/Cite&gt;&lt;/EndNote&gt;</w:instrText>
            </w:r>
            <w:r>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(29)</w:t>
            </w:r>
            <w:r>
              <w:rPr>
                <w:rFonts w:ascii="Times New Roman" w:eastAsia="Times New Roman" w:hAnsi="Times New Roman" w:cs="Times New Roman"/>
                <w:color w:val="000000"/>
                <w:sz w:val="24"/>
                <w:szCs w:val="24"/>
                <w:lang w:eastAsia="en-SG"/>
              </w:rPr>
              <w:fldChar w:fldCharType="end"/>
            </w:r>
          </w:p>
        </w:tc>
        <w:tc>
          <w:tcPr>
            <w:tcW w:w="1227" w:type="dxa"/>
            <w:vAlign w:val="center"/>
          </w:tcPr>
          <w:p w14:paraId="1A2687C6" w14:textId="6A333433" w:rsid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Low et al, 2018</w:t>
            </w:r>
          </w:p>
        </w:tc>
        <w:tc>
          <w:tcPr>
            <w:tcW w:w="1525" w:type="dxa"/>
            <w:vAlign w:val="center"/>
          </w:tcPr>
          <w:p w14:paraId="533368AE" w14:textId="77E83B72" w:rsid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 xml:space="preserve">Low et </w:t>
            </w:r>
            <w:proofErr w:type="spellStart"/>
            <w:r>
              <w:rPr>
                <w:rFonts w:ascii="Times New Roman" w:eastAsia="Times New Roman" w:hAnsi="Times New Roman" w:cs="Times New Roman"/>
                <w:color w:val="000000"/>
                <w:sz w:val="24"/>
                <w:szCs w:val="24"/>
                <w:lang w:eastAsia="en-SG"/>
              </w:rPr>
              <w:t>al’s</w:t>
            </w:r>
            <w:proofErr w:type="spellEnd"/>
            <w:r>
              <w:rPr>
                <w:rFonts w:ascii="Times New Roman" w:eastAsia="Times New Roman" w:hAnsi="Times New Roman" w:cs="Times New Roman"/>
                <w:color w:val="000000"/>
                <w:sz w:val="24"/>
                <w:szCs w:val="24"/>
                <w:lang w:eastAsia="en-SG"/>
              </w:rPr>
              <w:t xml:space="preserve"> </w:t>
            </w:r>
            <w:proofErr w:type="gramStart"/>
            <w:r>
              <w:rPr>
                <w:rFonts w:ascii="Times New Roman" w:eastAsia="Times New Roman" w:hAnsi="Times New Roman" w:cs="Times New Roman"/>
                <w:color w:val="000000"/>
                <w:sz w:val="24"/>
                <w:szCs w:val="24"/>
                <w:lang w:eastAsia="en-SG"/>
              </w:rPr>
              <w:t>utilization based</w:t>
            </w:r>
            <w:proofErr w:type="gramEnd"/>
            <w:r>
              <w:rPr>
                <w:rFonts w:ascii="Times New Roman" w:eastAsia="Times New Roman" w:hAnsi="Times New Roman" w:cs="Times New Roman"/>
                <w:color w:val="000000"/>
                <w:sz w:val="24"/>
                <w:szCs w:val="24"/>
                <w:lang w:eastAsia="en-SG"/>
              </w:rPr>
              <w:t xml:space="preserve"> segmentation</w:t>
            </w:r>
          </w:p>
        </w:tc>
        <w:tc>
          <w:tcPr>
            <w:tcW w:w="1590" w:type="dxa"/>
            <w:vAlign w:val="center"/>
          </w:tcPr>
          <w:p w14:paraId="7643CC6D" w14:textId="2008B73A" w:rsid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Singapore</w:t>
            </w:r>
          </w:p>
        </w:tc>
        <w:tc>
          <w:tcPr>
            <w:tcW w:w="1487" w:type="dxa"/>
            <w:vAlign w:val="center"/>
          </w:tcPr>
          <w:p w14:paraId="4F0B6D43" w14:textId="77777777" w:rsid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 xml:space="preserve">Singapore residents who resided in and had a healthcare encounter with the </w:t>
            </w:r>
            <w:proofErr w:type="spellStart"/>
            <w:r>
              <w:rPr>
                <w:rFonts w:ascii="Times New Roman" w:eastAsia="Times New Roman" w:hAnsi="Times New Roman" w:cs="Times New Roman"/>
                <w:color w:val="000000"/>
                <w:sz w:val="24"/>
                <w:szCs w:val="24"/>
                <w:lang w:eastAsia="en-SG"/>
              </w:rPr>
              <w:t>Singhealth</w:t>
            </w:r>
            <w:proofErr w:type="spellEnd"/>
            <w:r>
              <w:rPr>
                <w:rFonts w:ascii="Times New Roman" w:eastAsia="Times New Roman" w:hAnsi="Times New Roman" w:cs="Times New Roman"/>
                <w:color w:val="000000"/>
                <w:sz w:val="24"/>
                <w:szCs w:val="24"/>
                <w:lang w:eastAsia="en-SG"/>
              </w:rPr>
              <w:t xml:space="preserve"> Regional Health System in 2012</w:t>
            </w:r>
          </w:p>
          <w:p w14:paraId="22065D0C" w14:textId="42EE0A38" w:rsid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p>
        </w:tc>
        <w:tc>
          <w:tcPr>
            <w:tcW w:w="1973" w:type="dxa"/>
            <w:vAlign w:val="center"/>
          </w:tcPr>
          <w:p w14:paraId="692C5B1E" w14:textId="4A60C6B3" w:rsid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lastRenderedPageBreak/>
              <w:t>Secondary data: Singapore Health Services Electronic Health Intelligence System (</w:t>
            </w:r>
            <w:proofErr w:type="spellStart"/>
            <w:r>
              <w:rPr>
                <w:rFonts w:ascii="Times New Roman" w:eastAsia="Times New Roman" w:hAnsi="Times New Roman" w:cs="Times New Roman"/>
                <w:color w:val="000000"/>
                <w:sz w:val="24"/>
                <w:szCs w:val="24"/>
                <w:lang w:eastAsia="en-SG"/>
              </w:rPr>
              <w:t>eHints</w:t>
            </w:r>
            <w:proofErr w:type="spellEnd"/>
            <w:r>
              <w:rPr>
                <w:rFonts w:ascii="Times New Roman" w:eastAsia="Times New Roman" w:hAnsi="Times New Roman" w:cs="Times New Roman"/>
                <w:color w:val="000000"/>
                <w:sz w:val="24"/>
                <w:szCs w:val="24"/>
                <w:lang w:eastAsia="en-SG"/>
              </w:rPr>
              <w:t xml:space="preserve">), an electronic medical record database that included Healthcare utilization </w:t>
            </w:r>
            <w:r>
              <w:rPr>
                <w:rFonts w:ascii="Times New Roman" w:eastAsia="Times New Roman" w:hAnsi="Times New Roman" w:cs="Times New Roman"/>
                <w:color w:val="000000"/>
                <w:sz w:val="24"/>
                <w:szCs w:val="24"/>
                <w:lang w:eastAsia="en-SG"/>
              </w:rPr>
              <w:lastRenderedPageBreak/>
              <w:t>(inpatient admissions, specialist outpatient clinic visits, emergency department visits, and primary care clinic visits), mortality and diseases and demographic details</w:t>
            </w:r>
          </w:p>
        </w:tc>
        <w:tc>
          <w:tcPr>
            <w:tcW w:w="1272" w:type="dxa"/>
            <w:vAlign w:val="center"/>
          </w:tcPr>
          <w:p w14:paraId="65B06BDB" w14:textId="2EF42B37" w:rsid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lastRenderedPageBreak/>
              <w:t>No</w:t>
            </w:r>
          </w:p>
        </w:tc>
        <w:tc>
          <w:tcPr>
            <w:tcW w:w="1276" w:type="dxa"/>
            <w:vAlign w:val="center"/>
          </w:tcPr>
          <w:p w14:paraId="3C26A838" w14:textId="0C6A32AC" w:rsid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146,999</w:t>
            </w:r>
          </w:p>
        </w:tc>
        <w:tc>
          <w:tcPr>
            <w:tcW w:w="1137" w:type="dxa"/>
            <w:vAlign w:val="center"/>
          </w:tcPr>
          <w:p w14:paraId="43F4AC0E" w14:textId="62760B97" w:rsidR="00731C83" w:rsidRP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Moderate</w:t>
            </w:r>
          </w:p>
        </w:tc>
        <w:tc>
          <w:tcPr>
            <w:tcW w:w="2774" w:type="dxa"/>
            <w:vAlign w:val="center"/>
          </w:tcPr>
          <w:p w14:paraId="32104942" w14:textId="410ADEAF" w:rsidR="00731C83" w:rsidRDefault="00731C83" w:rsidP="00731C83">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 xml:space="preserve">Authors applied hierarchical clustering analysis (Ward’s linkage) and K-means cluster analysis using age and healthcare utilization data in 2012 to segment the selected population. The segments were then evaluated in terms of morbidity/mortality and longitudinal healthcare </w:t>
            </w:r>
            <w:r>
              <w:rPr>
                <w:rFonts w:ascii="Times New Roman" w:eastAsia="Times New Roman" w:hAnsi="Times New Roman" w:cs="Times New Roman"/>
                <w:color w:val="000000"/>
                <w:sz w:val="24"/>
                <w:szCs w:val="24"/>
                <w:lang w:eastAsia="en-SG"/>
              </w:rPr>
              <w:lastRenderedPageBreak/>
              <w:t>utilization from 2013-2016. 5 Segments were created. The “Frequent admitters” segment notably had the smallest number of patients (1.79% of the population) but utilized 69% of inpatient admissions.</w:t>
            </w:r>
          </w:p>
        </w:tc>
      </w:tr>
      <w:tr w:rsidR="00731C83" w:rsidRPr="00390719" w14:paraId="650BCFB8" w14:textId="77777777" w:rsidTr="00731C83">
        <w:trPr>
          <w:trHeight w:val="50"/>
          <w:jc w:val="center"/>
        </w:trPr>
        <w:tc>
          <w:tcPr>
            <w:cnfStyle w:val="001000000000" w:firstRow="0" w:lastRow="0" w:firstColumn="1" w:lastColumn="0" w:oddVBand="0" w:evenVBand="0" w:oddHBand="0" w:evenHBand="0" w:firstRowFirstColumn="0" w:firstRowLastColumn="0" w:lastRowFirstColumn="0" w:lastRowLastColumn="0"/>
            <w:tcW w:w="1127" w:type="dxa"/>
            <w:vAlign w:val="center"/>
          </w:tcPr>
          <w:p w14:paraId="293A89C3" w14:textId="2C47C539" w:rsidR="00731C83" w:rsidRPr="00390719" w:rsidRDefault="00731C83" w:rsidP="00731C83">
            <w:pPr>
              <w:jc w:val="center"/>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lastRenderedPageBreak/>
              <w:fldChar w:fldCharType="begin">
                <w:fldData xml:space="preserve">PEVuZE5vdGU+PENpdGU+PEF1dGhvcj5Mb3c8L0F1dGhvcj48WWVhcj4yMDE3PC9ZZWFyPjxSZWNO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</w:fldData>
              </w:fldChar>
            </w:r>
            <w:r>
              <w:rPr>
                <w:rFonts w:ascii="Times New Roman" w:eastAsia="Times New Roman" w:hAnsi="Times New Roman" w:cs="Times New Roman"/>
                <w:color w:val="000000"/>
                <w:sz w:val="24"/>
                <w:szCs w:val="24"/>
                <w:lang w:eastAsia="en-SG"/>
              </w:rPr>
              <w:instrText xml:space="preserve"> ADDIN EN.CITE </w:instrText>
            </w:r>
            <w:r>
              <w:rPr>
                <w:rFonts w:ascii="Times New Roman" w:eastAsia="Times New Roman" w:hAnsi="Times New Roman" w:cs="Times New Roman"/>
                <w:color w:val="000000"/>
                <w:sz w:val="24"/>
                <w:szCs w:val="24"/>
                <w:lang w:eastAsia="en-SG"/>
              </w:rPr>
              <w:fldChar w:fldCharType="begin">
                <w:fldData xml:space="preserve">PEVuZE5vdGU+PENpdGU+PEF1dGhvcj5Mb3c8L0F1dGhvcj48WWVhcj4yMDE3PC9ZZWFyPjxSZWNO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</w:fldData>
              </w:fldChar>
            </w:r>
            <w:r>
              <w:rPr>
                <w:rFonts w:ascii="Times New Roman" w:eastAsia="Times New Roman" w:hAnsi="Times New Roman" w:cs="Times New Roman"/>
                <w:color w:val="000000"/>
                <w:sz w:val="24"/>
                <w:szCs w:val="24"/>
                <w:lang w:eastAsia="en-SG"/>
              </w:rPr>
              <w:instrText xml:space="preserve"> ADDIN EN.CITE.DATA </w:instrText>
            </w:r>
            <w:r>
              <w:rPr>
                <w:rFonts w:ascii="Times New Roman" w:eastAsia="Times New Roman" w:hAnsi="Times New Roman" w:cs="Times New Roman"/>
                <w:color w:val="000000"/>
                <w:sz w:val="24"/>
                <w:szCs w:val="24"/>
                <w:lang w:eastAsia="en-SG"/>
              </w:rPr>
            </w:r>
            <w:r>
              <w:rPr>
                <w:rFonts w:ascii="Times New Roman" w:eastAsia="Times New Roman" w:hAnsi="Times New Roman" w:cs="Times New Roman"/>
                <w:color w:val="000000"/>
                <w:sz w:val="24"/>
                <w:szCs w:val="24"/>
                <w:lang w:eastAsia="en-SG"/>
              </w:rPr>
              <w:fldChar w:fldCharType="end"/>
            </w:r>
            <w:r>
              <w:rPr>
                <w:rFonts w:ascii="Times New Roman" w:eastAsia="Times New Roman" w:hAnsi="Times New Roman" w:cs="Times New Roman"/>
                <w:color w:val="000000"/>
                <w:sz w:val="24"/>
                <w:szCs w:val="24"/>
                <w:lang w:eastAsia="en-SG"/>
              </w:rPr>
            </w:r>
            <w:r>
              <w:rPr>
                <w:rFonts w:ascii="Times New Roman" w:eastAsia="Times New Roman" w:hAnsi="Times New Roman" w:cs="Times New Roman"/>
                <w:color w:val="000000"/>
                <w:sz w:val="24"/>
                <w:szCs w:val="24"/>
                <w:lang w:eastAsia="en-SG"/>
              </w:rPr>
              <w:fldChar w:fldCharType="separate"/>
            </w:r>
            <w:r>
              <w:rPr>
                <w:rFonts w:ascii="Times New Roman" w:eastAsia="Times New Roman" w:hAnsi="Times New Roman" w:cs="Times New Roman"/>
                <w:noProof/>
                <w:color w:val="000000"/>
                <w:sz w:val="24"/>
                <w:szCs w:val="24"/>
                <w:lang w:eastAsia="en-SG"/>
              </w:rPr>
              <w:t>(30)</w:t>
            </w:r>
            <w:r>
              <w:rPr>
                <w:rFonts w:ascii="Times New Roman" w:eastAsia="Times New Roman" w:hAnsi="Times New Roman" w:cs="Times New Roman"/>
                <w:color w:val="000000"/>
                <w:sz w:val="24"/>
                <w:szCs w:val="24"/>
                <w:lang w:eastAsia="en-SG"/>
              </w:rPr>
              <w:fldChar w:fldCharType="end"/>
            </w:r>
          </w:p>
        </w:tc>
        <w:tc>
          <w:tcPr>
            <w:tcW w:w="1227" w:type="dxa"/>
            <w:vAlign w:val="center"/>
          </w:tcPr>
          <w:p w14:paraId="45C3CE76" w14:textId="7F54232B" w:rsid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Low et al, 2017</w:t>
            </w:r>
          </w:p>
        </w:tc>
        <w:tc>
          <w:tcPr>
            <w:tcW w:w="1525" w:type="dxa"/>
            <w:vAlign w:val="center"/>
          </w:tcPr>
          <w:p w14:paraId="03D46FCB" w14:textId="4CE10F2E" w:rsid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Singapore MOH Segmentation Framework</w:t>
            </w:r>
          </w:p>
        </w:tc>
        <w:tc>
          <w:tcPr>
            <w:tcW w:w="1590" w:type="dxa"/>
            <w:vAlign w:val="center"/>
          </w:tcPr>
          <w:p w14:paraId="07D179F1" w14:textId="76EC992D" w:rsid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Singapore</w:t>
            </w:r>
          </w:p>
        </w:tc>
        <w:tc>
          <w:tcPr>
            <w:tcW w:w="1487" w:type="dxa"/>
            <w:vAlign w:val="center"/>
          </w:tcPr>
          <w:p w14:paraId="22D44944" w14:textId="77777777" w:rsid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 xml:space="preserve">Singapore residents who resided in and had a healthcare encounter with the </w:t>
            </w:r>
            <w:proofErr w:type="spellStart"/>
            <w:r>
              <w:rPr>
                <w:rFonts w:ascii="Times New Roman" w:eastAsia="Times New Roman" w:hAnsi="Times New Roman" w:cs="Times New Roman"/>
                <w:color w:val="000000"/>
                <w:sz w:val="24"/>
                <w:szCs w:val="24"/>
                <w:lang w:eastAsia="en-SG"/>
              </w:rPr>
              <w:t>Singhealth</w:t>
            </w:r>
            <w:proofErr w:type="spellEnd"/>
            <w:r>
              <w:rPr>
                <w:rFonts w:ascii="Times New Roman" w:eastAsia="Times New Roman" w:hAnsi="Times New Roman" w:cs="Times New Roman"/>
                <w:color w:val="000000"/>
                <w:sz w:val="24"/>
                <w:szCs w:val="24"/>
                <w:lang w:eastAsia="en-SG"/>
              </w:rPr>
              <w:t xml:space="preserve"> Regional Health System in 2012</w:t>
            </w:r>
          </w:p>
          <w:p w14:paraId="0A3FD910" w14:textId="77777777" w:rsid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p>
        </w:tc>
        <w:tc>
          <w:tcPr>
            <w:tcW w:w="1973" w:type="dxa"/>
            <w:vAlign w:val="center"/>
          </w:tcPr>
          <w:p w14:paraId="4E76EB5E" w14:textId="1B62D20A" w:rsid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Secondary data: Singapore Health Services Electronic Health Intelligence System (</w:t>
            </w:r>
            <w:proofErr w:type="spellStart"/>
            <w:r>
              <w:rPr>
                <w:rFonts w:ascii="Times New Roman" w:eastAsia="Times New Roman" w:hAnsi="Times New Roman" w:cs="Times New Roman"/>
                <w:color w:val="000000"/>
                <w:sz w:val="24"/>
                <w:szCs w:val="24"/>
                <w:lang w:eastAsia="en-SG"/>
              </w:rPr>
              <w:t>eHints</w:t>
            </w:r>
            <w:proofErr w:type="spellEnd"/>
            <w:r>
              <w:rPr>
                <w:rFonts w:ascii="Times New Roman" w:eastAsia="Times New Roman" w:hAnsi="Times New Roman" w:cs="Times New Roman"/>
                <w:color w:val="000000"/>
                <w:sz w:val="24"/>
                <w:szCs w:val="24"/>
                <w:lang w:eastAsia="en-SG"/>
              </w:rPr>
              <w:t>)</w:t>
            </w:r>
          </w:p>
        </w:tc>
        <w:tc>
          <w:tcPr>
            <w:tcW w:w="1272" w:type="dxa"/>
            <w:vAlign w:val="center"/>
          </w:tcPr>
          <w:p w14:paraId="43304399" w14:textId="52A92224" w:rsid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No</w:t>
            </w:r>
          </w:p>
        </w:tc>
        <w:tc>
          <w:tcPr>
            <w:tcW w:w="1276" w:type="dxa"/>
            <w:vAlign w:val="center"/>
          </w:tcPr>
          <w:p w14:paraId="2D9E253E" w14:textId="4F3E7444" w:rsid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825,874</w:t>
            </w:r>
          </w:p>
        </w:tc>
        <w:tc>
          <w:tcPr>
            <w:tcW w:w="1137" w:type="dxa"/>
            <w:vAlign w:val="center"/>
          </w:tcPr>
          <w:p w14:paraId="782E7C73" w14:textId="37FA41FF" w:rsidR="00731C83" w:rsidRP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Cs w:val="24"/>
                <w:lang w:eastAsia="en-SG"/>
              </w:rPr>
            </w:pPr>
            <w:r>
              <w:rPr>
                <w:rFonts w:ascii="Times New Roman" w:eastAsia="Times New Roman" w:hAnsi="Times New Roman" w:cs="Times New Roman"/>
                <w:color w:val="000000"/>
                <w:szCs w:val="24"/>
                <w:lang w:eastAsia="en-SG"/>
              </w:rPr>
              <w:t>High</w:t>
            </w:r>
          </w:p>
        </w:tc>
        <w:tc>
          <w:tcPr>
            <w:tcW w:w="2774" w:type="dxa"/>
            <w:vAlign w:val="center"/>
          </w:tcPr>
          <w:p w14:paraId="27077B24" w14:textId="590DBF55" w:rsidR="00731C83" w:rsidRDefault="00731C83" w:rsidP="00731C83">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SG"/>
              </w:rPr>
            </w:pPr>
            <w:r>
              <w:rPr>
                <w:rFonts w:ascii="Times New Roman" w:eastAsia="Times New Roman" w:hAnsi="Times New Roman" w:cs="Times New Roman"/>
                <w:color w:val="000000"/>
                <w:sz w:val="24"/>
                <w:szCs w:val="24"/>
                <w:lang w:eastAsia="en-SG"/>
              </w:rPr>
              <w:t>Authors examined and compared patient demographics, prevalence of chronic diseases and hospital health services utilization using Chi-square tests for categorical variables and one-way ANOVA test for continuous variables for patients in the different population segments. Patients in the category of ‘complex chronic disease with frequent hospital admissions’ accounted for the highest hospital admissions and emergency attendances per patient and had a high mortality rate.</w:t>
            </w:r>
          </w:p>
        </w:tc>
      </w:tr>
    </w:tbl>
    <w:p w14:paraId="4B399078" w14:textId="77777777" w:rsidR="0054191B" w:rsidRDefault="0054191B">
      <w:pPr>
        <w:rPr>
          <w:rFonts w:ascii="Times New Roman" w:hAnsi="Times New Roman" w:cs="Times New Roman"/>
          <w:b/>
          <w:sz w:val="24"/>
          <w:szCs w:val="24"/>
        </w:rPr>
      </w:pPr>
      <w:r>
        <w:rPr>
          <w:rFonts w:ascii="Times New Roman" w:hAnsi="Times New Roman" w:cs="Times New Roman"/>
          <w:b/>
          <w:sz w:val="24"/>
          <w:szCs w:val="24"/>
        </w:rPr>
        <w:br w:type="page"/>
      </w:r>
    </w:p>
    <w:p w14:paraId="7E4BDA28" w14:textId="3FBE54A8" w:rsidR="0054191B" w:rsidRDefault="0054191B">
      <w:pPr>
        <w:rPr>
          <w:rFonts w:ascii="Times New Roman" w:hAnsi="Times New Roman" w:cs="Times New Roman"/>
          <w:b/>
          <w:sz w:val="24"/>
          <w:szCs w:val="24"/>
        </w:rPr>
      </w:pPr>
      <w:r>
        <w:rPr>
          <w:rFonts w:ascii="Times New Roman" w:hAnsi="Times New Roman" w:cs="Times New Roman"/>
          <w:b/>
          <w:sz w:val="24"/>
          <w:szCs w:val="24"/>
        </w:rPr>
        <w:lastRenderedPageBreak/>
        <w:t>Appendix E</w:t>
      </w:r>
    </w:p>
    <w:p w14:paraId="03C2979D" w14:textId="7607BC00" w:rsidR="0054191B" w:rsidRDefault="0054191B">
      <w:pPr>
        <w:rPr>
          <w:rFonts w:ascii="Times New Roman" w:hAnsi="Times New Roman" w:cs="Times New Roman"/>
          <w:b/>
          <w:sz w:val="24"/>
          <w:szCs w:val="24"/>
        </w:rPr>
      </w:pPr>
      <w:r>
        <w:rPr>
          <w:rFonts w:ascii="Times New Roman" w:hAnsi="Times New Roman" w:cs="Times New Roman"/>
          <w:b/>
          <w:sz w:val="24"/>
          <w:szCs w:val="24"/>
        </w:rPr>
        <w:t>Adaptation of QUIPS tool for evaluation of segmentation tool validation studies</w:t>
      </w:r>
    </w:p>
    <w:tbl>
      <w:tblPr>
        <w:tblW w:w="0" w:type="auto"/>
        <w:tblLook w:val="04A0" w:firstRow="1" w:lastRow="0" w:firstColumn="1" w:lastColumn="0" w:noHBand="0" w:noVBand="1"/>
      </w:tblPr>
      <w:tblGrid>
        <w:gridCol w:w="328"/>
        <w:gridCol w:w="7216"/>
        <w:gridCol w:w="7844"/>
      </w:tblGrid>
      <w:tr w:rsidR="00EA7B53" w:rsidRPr="0054191B" w14:paraId="0F14B7F0" w14:textId="77777777" w:rsidTr="00EA7B53">
        <w:trPr>
          <w:trHeight w:val="29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B4A5A7" w14:textId="5CE1B5E3" w:rsidR="0054191B" w:rsidRPr="0054191B" w:rsidRDefault="0054191B" w:rsidP="0054191B">
            <w:pPr>
              <w:spacing w:after="0" w:line="240" w:lineRule="auto"/>
              <w:rPr>
                <w:rFonts w:ascii="Calibri" w:eastAsia="Times New Roman" w:hAnsi="Calibri" w:cs="Calibri"/>
                <w:color w:val="000000"/>
                <w:lang w:eastAsia="zh-CN"/>
              </w:rPr>
            </w:pPr>
            <w:r w:rsidRPr="0054191B">
              <w:rPr>
                <w:rFonts w:ascii="Calibri" w:eastAsia="Times New Roman" w:hAnsi="Calibri" w:cs="Calibri"/>
                <w:color w:val="000000"/>
                <w:lang w:eastAsia="zh-CN"/>
              </w:rPr>
              <w:t> </w:t>
            </w:r>
          </w:p>
        </w:tc>
        <w:tc>
          <w:tcPr>
            <w:tcW w:w="7249" w:type="dxa"/>
            <w:tcBorders>
              <w:top w:val="single" w:sz="4" w:space="0" w:color="auto"/>
              <w:left w:val="nil"/>
              <w:bottom w:val="single" w:sz="4" w:space="0" w:color="auto"/>
              <w:right w:val="single" w:sz="4" w:space="0" w:color="auto"/>
            </w:tcBorders>
            <w:shd w:val="clear" w:color="auto" w:fill="auto"/>
            <w:noWrap/>
            <w:vAlign w:val="bottom"/>
            <w:hideMark/>
          </w:tcPr>
          <w:p w14:paraId="2443DF39" w14:textId="5C41DCE7" w:rsidR="0054191B" w:rsidRPr="002B454B" w:rsidRDefault="0054191B" w:rsidP="0054191B">
            <w:pPr>
              <w:spacing w:after="0" w:line="240" w:lineRule="auto"/>
              <w:rPr>
                <w:rFonts w:ascii="Calibri" w:eastAsia="Times New Roman" w:hAnsi="Calibri" w:cs="Calibri"/>
                <w:b/>
                <w:color w:val="000000"/>
                <w:lang w:eastAsia="zh-CN"/>
              </w:rPr>
            </w:pPr>
            <w:r w:rsidRPr="002B454B">
              <w:rPr>
                <w:rFonts w:ascii="Calibri" w:eastAsia="Times New Roman" w:hAnsi="Calibri" w:cs="Calibri"/>
                <w:b/>
                <w:color w:val="000000"/>
                <w:lang w:eastAsia="zh-CN"/>
              </w:rPr>
              <w:t>Variable</w:t>
            </w:r>
          </w:p>
        </w:tc>
        <w:tc>
          <w:tcPr>
            <w:tcW w:w="7880" w:type="dxa"/>
            <w:tcBorders>
              <w:top w:val="single" w:sz="4" w:space="0" w:color="auto"/>
              <w:left w:val="nil"/>
              <w:bottom w:val="single" w:sz="4" w:space="0" w:color="auto"/>
              <w:right w:val="single" w:sz="4" w:space="0" w:color="auto"/>
            </w:tcBorders>
            <w:shd w:val="clear" w:color="auto" w:fill="auto"/>
            <w:noWrap/>
            <w:vAlign w:val="bottom"/>
            <w:hideMark/>
          </w:tcPr>
          <w:p w14:paraId="5AD7423B" w14:textId="797BEEC2" w:rsidR="0054191B" w:rsidRPr="002B454B" w:rsidRDefault="002B454B" w:rsidP="0054191B">
            <w:pPr>
              <w:spacing w:after="0" w:line="240" w:lineRule="auto"/>
              <w:rPr>
                <w:rFonts w:ascii="Calibri" w:eastAsia="Times New Roman" w:hAnsi="Calibri" w:cs="Calibri"/>
                <w:b/>
                <w:color w:val="000000"/>
                <w:lang w:eastAsia="zh-CN"/>
              </w:rPr>
            </w:pPr>
            <w:r w:rsidRPr="002B454B">
              <w:rPr>
                <w:rFonts w:ascii="Calibri" w:eastAsia="Times New Roman" w:hAnsi="Calibri" w:cs="Calibri"/>
                <w:b/>
                <w:color w:val="000000"/>
                <w:lang w:eastAsia="zh-CN"/>
              </w:rPr>
              <w:t>Adaptation for evaluation of segmentation tool validation studies</w:t>
            </w:r>
          </w:p>
        </w:tc>
      </w:tr>
      <w:tr w:rsidR="00EA7B53" w:rsidRPr="0054191B" w14:paraId="3D0B7A35" w14:textId="77777777" w:rsidTr="00EA7B53">
        <w:trPr>
          <w:trHeight w:val="29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28E1383F" w14:textId="7BA27372" w:rsidR="0054191B" w:rsidRPr="0054191B" w:rsidRDefault="0054191B" w:rsidP="0054191B">
            <w:pPr>
              <w:spacing w:after="0" w:line="240" w:lineRule="auto"/>
              <w:jc w:val="center"/>
              <w:rPr>
                <w:rFonts w:ascii="Calibri" w:eastAsia="Times New Roman" w:hAnsi="Calibri" w:cs="Calibri"/>
                <w:color w:val="000000"/>
                <w:lang w:eastAsia="zh-CN"/>
              </w:rPr>
            </w:pPr>
            <w:r w:rsidRPr="0054191B">
              <w:rPr>
                <w:rFonts w:ascii="Calibri" w:eastAsia="Times New Roman" w:hAnsi="Calibri" w:cs="Calibri"/>
                <w:color w:val="000000"/>
                <w:lang w:eastAsia="zh-CN"/>
              </w:rPr>
              <w:t>1</w:t>
            </w:r>
          </w:p>
        </w:tc>
        <w:tc>
          <w:tcPr>
            <w:tcW w:w="7249" w:type="dxa"/>
            <w:tcBorders>
              <w:top w:val="nil"/>
              <w:left w:val="nil"/>
              <w:bottom w:val="single" w:sz="4" w:space="0" w:color="auto"/>
              <w:right w:val="single" w:sz="4" w:space="0" w:color="auto"/>
            </w:tcBorders>
            <w:shd w:val="clear" w:color="auto" w:fill="FFFFFF" w:themeFill="background1"/>
            <w:noWrap/>
            <w:hideMark/>
          </w:tcPr>
          <w:p w14:paraId="63379C5B" w14:textId="7BB90674"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Quips1a_ade</w:t>
            </w:r>
            <w:r>
              <w:rPr>
                <w:rFonts w:ascii="Calibri" w:eastAsia="Times New Roman" w:hAnsi="Calibri" w:cs="Calibri"/>
                <w:b/>
                <w:bCs/>
                <w:color w:val="000000"/>
                <w:lang w:eastAsia="zh-CN"/>
              </w:rPr>
              <w:t xml:space="preserve">quate </w:t>
            </w:r>
            <w:r w:rsidRPr="0054191B">
              <w:rPr>
                <w:rFonts w:ascii="Calibri" w:eastAsia="Times New Roman" w:hAnsi="Calibri" w:cs="Calibri"/>
                <w:b/>
                <w:bCs/>
                <w:color w:val="000000"/>
                <w:lang w:eastAsia="zh-CN"/>
              </w:rPr>
              <w:t>participation</w:t>
            </w:r>
            <w:r w:rsidR="002B454B">
              <w:rPr>
                <w:rFonts w:ascii="Calibri" w:eastAsia="Times New Roman" w:hAnsi="Calibri" w:cs="Calibri"/>
                <w:b/>
                <w:bCs/>
                <w:color w:val="000000"/>
                <w:lang w:eastAsia="zh-CN"/>
              </w:rPr>
              <w:t xml:space="preserve"> in the study by eligible persons</w:t>
            </w:r>
          </w:p>
        </w:tc>
        <w:tc>
          <w:tcPr>
            <w:tcW w:w="7880" w:type="dxa"/>
            <w:tcBorders>
              <w:top w:val="nil"/>
              <w:left w:val="nil"/>
              <w:bottom w:val="single" w:sz="4" w:space="0" w:color="auto"/>
              <w:right w:val="single" w:sz="4" w:space="0" w:color="auto"/>
            </w:tcBorders>
            <w:shd w:val="clear" w:color="auto" w:fill="auto"/>
            <w:noWrap/>
            <w:vAlign w:val="bottom"/>
            <w:hideMark/>
          </w:tcPr>
          <w:p w14:paraId="6776363C" w14:textId="3E85E1F1" w:rsidR="0054191B" w:rsidRPr="0054191B" w:rsidRDefault="0054191B" w:rsidP="0054191B">
            <w:pPr>
              <w:spacing w:after="0" w:line="240" w:lineRule="auto"/>
              <w:rPr>
                <w:rFonts w:ascii="Calibri" w:eastAsia="Times New Roman" w:hAnsi="Calibri" w:cs="Calibri"/>
                <w:lang w:eastAsia="zh-CN"/>
              </w:rPr>
            </w:pPr>
            <w:r w:rsidRPr="0054191B">
              <w:rPr>
                <w:rFonts w:ascii="Calibri" w:eastAsia="Times New Roman" w:hAnsi="Calibri" w:cs="Calibri"/>
                <w:lang w:eastAsia="zh-CN"/>
              </w:rPr>
              <w:t>Adequate participation is when the entire population in a geographical location is included without age/gender exclusion</w:t>
            </w:r>
          </w:p>
        </w:tc>
      </w:tr>
      <w:tr w:rsidR="00EA7B53" w:rsidRPr="0054191B" w14:paraId="753CFF18"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7C5C17FF"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74117C2F" w14:textId="509B01E5"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Quips1b_</w:t>
            </w:r>
            <w:r w:rsidR="002B454B">
              <w:rPr>
                <w:rFonts w:ascii="Calibri" w:eastAsia="Times New Roman" w:hAnsi="Calibri" w:cs="Calibri"/>
                <w:b/>
                <w:bCs/>
                <w:color w:val="000000"/>
                <w:lang w:eastAsia="zh-CN"/>
              </w:rPr>
              <w:t>description of the source population of population of interest</w:t>
            </w:r>
          </w:p>
        </w:tc>
        <w:tc>
          <w:tcPr>
            <w:tcW w:w="7880" w:type="dxa"/>
            <w:tcBorders>
              <w:top w:val="single" w:sz="4" w:space="0" w:color="auto"/>
              <w:left w:val="nil"/>
              <w:bottom w:val="single" w:sz="4" w:space="0" w:color="auto"/>
              <w:right w:val="single" w:sz="4" w:space="0" w:color="auto"/>
            </w:tcBorders>
            <w:shd w:val="clear" w:color="auto" w:fill="auto"/>
            <w:noWrap/>
            <w:vAlign w:val="bottom"/>
            <w:hideMark/>
          </w:tcPr>
          <w:p w14:paraId="5DD5FC4D" w14:textId="648A765D" w:rsidR="0054191B" w:rsidRPr="0054191B" w:rsidRDefault="0054191B" w:rsidP="0054191B">
            <w:pPr>
              <w:spacing w:after="0" w:line="240" w:lineRule="auto"/>
              <w:rPr>
                <w:rFonts w:ascii="Calibri" w:eastAsia="Times New Roman" w:hAnsi="Calibri" w:cs="Calibri"/>
                <w:lang w:eastAsia="zh-CN"/>
              </w:rPr>
            </w:pPr>
            <w:r w:rsidRPr="0054191B">
              <w:rPr>
                <w:rFonts w:ascii="Calibri" w:eastAsia="Times New Roman" w:hAnsi="Calibri" w:cs="Calibri"/>
                <w:lang w:eastAsia="zh-CN"/>
              </w:rPr>
              <w:t>Describes how the data was obtained. E.g. Administrative records, etc</w:t>
            </w:r>
          </w:p>
        </w:tc>
      </w:tr>
      <w:tr w:rsidR="00EA7B53" w:rsidRPr="0054191B" w14:paraId="62493A91"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401335DA"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3C05C908" w14:textId="54BAAD42"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Quips1c_desc</w:t>
            </w:r>
            <w:r>
              <w:rPr>
                <w:rFonts w:ascii="Calibri" w:eastAsia="Times New Roman" w:hAnsi="Calibri" w:cs="Calibri"/>
                <w:b/>
                <w:bCs/>
                <w:color w:val="000000"/>
                <w:lang w:eastAsia="zh-CN"/>
              </w:rPr>
              <w:t>r</w:t>
            </w:r>
            <w:r w:rsidR="002B454B">
              <w:rPr>
                <w:rFonts w:ascii="Calibri" w:eastAsia="Times New Roman" w:hAnsi="Calibri" w:cs="Calibri"/>
                <w:b/>
                <w:bCs/>
                <w:color w:val="000000"/>
                <w:lang w:eastAsia="zh-CN"/>
              </w:rPr>
              <w:t>iption of the baseline study sample</w:t>
            </w:r>
          </w:p>
        </w:tc>
        <w:tc>
          <w:tcPr>
            <w:tcW w:w="7880" w:type="dxa"/>
            <w:tcBorders>
              <w:top w:val="single" w:sz="4" w:space="0" w:color="auto"/>
              <w:left w:val="nil"/>
              <w:bottom w:val="single" w:sz="4" w:space="0" w:color="auto"/>
              <w:right w:val="single" w:sz="4" w:space="0" w:color="auto"/>
            </w:tcBorders>
            <w:shd w:val="clear" w:color="auto" w:fill="auto"/>
            <w:noWrap/>
            <w:vAlign w:val="bottom"/>
            <w:hideMark/>
          </w:tcPr>
          <w:p w14:paraId="44FE13C5" w14:textId="3F037C24" w:rsidR="0054191B" w:rsidRPr="0054191B" w:rsidRDefault="0054191B" w:rsidP="0054191B">
            <w:pPr>
              <w:spacing w:after="0" w:line="240" w:lineRule="auto"/>
              <w:rPr>
                <w:rFonts w:ascii="Calibri" w:eastAsia="Times New Roman" w:hAnsi="Calibri" w:cs="Calibri"/>
                <w:lang w:eastAsia="zh-CN"/>
              </w:rPr>
            </w:pPr>
            <w:r w:rsidRPr="0054191B">
              <w:rPr>
                <w:rFonts w:ascii="Calibri" w:eastAsia="Times New Roman" w:hAnsi="Calibri" w:cs="Calibri"/>
                <w:lang w:eastAsia="zh-CN"/>
              </w:rPr>
              <w:t>Descriptive table exists which describes baseline characteristics</w:t>
            </w:r>
          </w:p>
        </w:tc>
      </w:tr>
      <w:tr w:rsidR="00EA7B53" w:rsidRPr="0054191B" w14:paraId="0335B54F"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2E58A9E3"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1A7A41CF" w14:textId="0087A660"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Quips1d_</w:t>
            </w:r>
            <w:r w:rsidR="002B454B">
              <w:rPr>
                <w:rFonts w:ascii="Calibri" w:eastAsia="Times New Roman" w:hAnsi="Calibri" w:cs="Calibri"/>
                <w:b/>
                <w:bCs/>
                <w:color w:val="000000"/>
                <w:lang w:eastAsia="zh-CN"/>
              </w:rPr>
              <w:t>adequate description of the sampling frame and recruitment</w:t>
            </w:r>
          </w:p>
        </w:tc>
        <w:tc>
          <w:tcPr>
            <w:tcW w:w="7880" w:type="dxa"/>
            <w:tcBorders>
              <w:top w:val="single" w:sz="4" w:space="0" w:color="auto"/>
              <w:left w:val="nil"/>
              <w:bottom w:val="single" w:sz="4" w:space="0" w:color="auto"/>
              <w:right w:val="single" w:sz="4" w:space="0" w:color="auto"/>
            </w:tcBorders>
            <w:shd w:val="clear" w:color="auto" w:fill="auto"/>
            <w:noWrap/>
            <w:vAlign w:val="bottom"/>
            <w:hideMark/>
          </w:tcPr>
          <w:p w14:paraId="5F3B5B98" w14:textId="77777777" w:rsidR="0054191B" w:rsidRPr="0054191B" w:rsidRDefault="0054191B" w:rsidP="0054191B">
            <w:pPr>
              <w:spacing w:after="0" w:line="240" w:lineRule="auto"/>
              <w:rPr>
                <w:rFonts w:ascii="Calibri" w:eastAsia="Times New Roman" w:hAnsi="Calibri" w:cs="Calibri"/>
                <w:b/>
                <w:bCs/>
                <w:lang w:eastAsia="zh-CN"/>
              </w:rPr>
            </w:pPr>
          </w:p>
        </w:tc>
      </w:tr>
      <w:tr w:rsidR="00EA7B53" w:rsidRPr="0054191B" w14:paraId="1DCC7013"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3E793812"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4B68D000" w14:textId="5091D77F"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Quips1e_</w:t>
            </w:r>
            <w:r w:rsidR="002B454B">
              <w:rPr>
                <w:rFonts w:ascii="Calibri" w:eastAsia="Times New Roman" w:hAnsi="Calibri" w:cs="Calibri"/>
                <w:b/>
                <w:bCs/>
                <w:color w:val="000000"/>
                <w:lang w:eastAsia="zh-CN"/>
              </w:rPr>
              <w:t>adequate description of the period and place of recruitment</w:t>
            </w:r>
          </w:p>
        </w:tc>
        <w:tc>
          <w:tcPr>
            <w:tcW w:w="7880" w:type="dxa"/>
            <w:tcBorders>
              <w:top w:val="single" w:sz="4" w:space="0" w:color="auto"/>
              <w:left w:val="nil"/>
              <w:bottom w:val="single" w:sz="4" w:space="0" w:color="auto"/>
              <w:right w:val="single" w:sz="4" w:space="0" w:color="auto"/>
            </w:tcBorders>
            <w:shd w:val="clear" w:color="auto" w:fill="auto"/>
            <w:noWrap/>
            <w:vAlign w:val="bottom"/>
            <w:hideMark/>
          </w:tcPr>
          <w:p w14:paraId="0F006918" w14:textId="3F169342" w:rsidR="0054191B" w:rsidRPr="0054191B" w:rsidRDefault="0054191B" w:rsidP="0054191B">
            <w:pPr>
              <w:spacing w:after="0" w:line="240" w:lineRule="auto"/>
              <w:rPr>
                <w:rFonts w:ascii="Calibri" w:eastAsia="Times New Roman" w:hAnsi="Calibri" w:cs="Calibri"/>
                <w:lang w:eastAsia="zh-CN"/>
              </w:rPr>
            </w:pPr>
            <w:r w:rsidRPr="0054191B">
              <w:rPr>
                <w:rFonts w:ascii="Calibri" w:eastAsia="Times New Roman" w:hAnsi="Calibri" w:cs="Calibri"/>
                <w:lang w:eastAsia="zh-CN"/>
              </w:rPr>
              <w:t xml:space="preserve">Describes where the population resides geographically and temporally </w:t>
            </w:r>
          </w:p>
        </w:tc>
      </w:tr>
      <w:tr w:rsidR="00EA7B53" w:rsidRPr="0054191B" w14:paraId="419B37FC"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46F43EC7"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231922C6" w14:textId="3E838673"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Quips1f_</w:t>
            </w:r>
            <w:r w:rsidR="002B454B">
              <w:rPr>
                <w:rFonts w:ascii="Calibri" w:eastAsia="Times New Roman" w:hAnsi="Calibri" w:cs="Calibri"/>
                <w:b/>
                <w:bCs/>
                <w:color w:val="000000"/>
                <w:lang w:eastAsia="zh-CN"/>
              </w:rPr>
              <w:t>adequate description of inclusion and exclusion criteria</w:t>
            </w:r>
          </w:p>
        </w:tc>
        <w:tc>
          <w:tcPr>
            <w:tcW w:w="7880" w:type="dxa"/>
            <w:tcBorders>
              <w:top w:val="single" w:sz="4" w:space="0" w:color="auto"/>
              <w:left w:val="nil"/>
              <w:bottom w:val="single" w:sz="4" w:space="0" w:color="auto"/>
              <w:right w:val="single" w:sz="4" w:space="0" w:color="auto"/>
            </w:tcBorders>
            <w:shd w:val="clear" w:color="auto" w:fill="auto"/>
            <w:noWrap/>
            <w:vAlign w:val="bottom"/>
            <w:hideMark/>
          </w:tcPr>
          <w:p w14:paraId="1657CE8A" w14:textId="6DE00836" w:rsidR="0054191B" w:rsidRPr="0054191B" w:rsidRDefault="0054191B" w:rsidP="0054191B">
            <w:pPr>
              <w:spacing w:after="0" w:line="240" w:lineRule="auto"/>
              <w:rPr>
                <w:rFonts w:ascii="Calibri" w:eastAsia="Times New Roman" w:hAnsi="Calibri" w:cs="Calibri"/>
                <w:lang w:eastAsia="zh-CN"/>
              </w:rPr>
            </w:pPr>
            <w:r w:rsidRPr="0054191B">
              <w:rPr>
                <w:rFonts w:ascii="Calibri" w:eastAsia="Times New Roman" w:hAnsi="Calibri" w:cs="Calibri"/>
                <w:lang w:eastAsia="zh-CN"/>
              </w:rPr>
              <w:t> </w:t>
            </w:r>
          </w:p>
        </w:tc>
      </w:tr>
      <w:tr w:rsidR="00EA7B53" w:rsidRPr="0054191B" w14:paraId="26166DA5" w14:textId="77777777" w:rsidTr="00EA7B53">
        <w:trPr>
          <w:trHeight w:val="29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7ABF8CB2" w14:textId="32FA5079" w:rsidR="0054191B" w:rsidRPr="0054191B" w:rsidRDefault="0054191B" w:rsidP="0054191B">
            <w:pPr>
              <w:spacing w:after="0" w:line="240" w:lineRule="auto"/>
              <w:jc w:val="center"/>
              <w:rPr>
                <w:rFonts w:ascii="Calibri" w:eastAsia="Times New Roman" w:hAnsi="Calibri" w:cs="Calibri"/>
                <w:color w:val="000000"/>
                <w:lang w:eastAsia="zh-CN"/>
              </w:rPr>
            </w:pPr>
            <w:r w:rsidRPr="0054191B">
              <w:rPr>
                <w:rFonts w:ascii="Calibri" w:eastAsia="Times New Roman" w:hAnsi="Calibri" w:cs="Calibri"/>
                <w:color w:val="000000"/>
                <w:lang w:eastAsia="zh-CN"/>
              </w:rPr>
              <w:t>2</w:t>
            </w:r>
          </w:p>
        </w:tc>
        <w:tc>
          <w:tcPr>
            <w:tcW w:w="7249" w:type="dxa"/>
            <w:tcBorders>
              <w:top w:val="nil"/>
              <w:left w:val="nil"/>
              <w:bottom w:val="single" w:sz="4" w:space="0" w:color="auto"/>
              <w:right w:val="single" w:sz="4" w:space="0" w:color="auto"/>
            </w:tcBorders>
            <w:shd w:val="clear" w:color="auto" w:fill="FFFFFF" w:themeFill="background1"/>
            <w:noWrap/>
            <w:hideMark/>
          </w:tcPr>
          <w:p w14:paraId="218573D0" w14:textId="346F457A"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Quips2a_</w:t>
            </w:r>
            <w:r w:rsidR="002B454B">
              <w:rPr>
                <w:rFonts w:ascii="Calibri" w:eastAsia="Times New Roman" w:hAnsi="Calibri" w:cs="Calibri"/>
                <w:b/>
                <w:bCs/>
                <w:color w:val="000000"/>
                <w:lang w:eastAsia="zh-CN"/>
              </w:rPr>
              <w:t>adequate response rate for study participants</w:t>
            </w:r>
          </w:p>
        </w:tc>
        <w:tc>
          <w:tcPr>
            <w:tcW w:w="7880" w:type="dxa"/>
            <w:tcBorders>
              <w:top w:val="single" w:sz="4" w:space="0" w:color="auto"/>
              <w:left w:val="nil"/>
              <w:bottom w:val="single" w:sz="4" w:space="0" w:color="auto"/>
              <w:right w:val="single" w:sz="4" w:space="0" w:color="auto"/>
            </w:tcBorders>
            <w:shd w:val="clear" w:color="auto" w:fill="auto"/>
            <w:noWrap/>
            <w:vAlign w:val="bottom"/>
            <w:hideMark/>
          </w:tcPr>
          <w:p w14:paraId="17B8C2D0" w14:textId="2984946D" w:rsidR="0054191B" w:rsidRPr="0054191B" w:rsidRDefault="00EA7B53" w:rsidP="0054191B">
            <w:pPr>
              <w:spacing w:after="0" w:line="240" w:lineRule="auto"/>
              <w:rPr>
                <w:rFonts w:ascii="Calibri" w:eastAsia="Times New Roman" w:hAnsi="Calibri" w:cs="Calibri"/>
                <w:lang w:eastAsia="zh-CN"/>
              </w:rPr>
            </w:pPr>
            <w:r>
              <w:rPr>
                <w:rFonts w:ascii="Calibri" w:eastAsia="Times New Roman" w:hAnsi="Calibri" w:cs="Calibri"/>
                <w:lang w:eastAsia="zh-CN"/>
              </w:rPr>
              <w:t>Cross-sectional studies are not applicable. Otherwise, r</w:t>
            </w:r>
            <w:r w:rsidR="0054191B" w:rsidRPr="0054191B">
              <w:rPr>
                <w:rFonts w:ascii="Calibri" w:eastAsia="Times New Roman" w:hAnsi="Calibri" w:cs="Calibri"/>
                <w:lang w:eastAsia="zh-CN"/>
              </w:rPr>
              <w:t xml:space="preserve">esponse rate should be &gt;80% </w:t>
            </w:r>
          </w:p>
        </w:tc>
      </w:tr>
      <w:tr w:rsidR="00EA7B53" w:rsidRPr="0054191B" w14:paraId="6B6D6055"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457922BD"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533697A8" w14:textId="0D9A9608"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Quips2b_</w:t>
            </w:r>
            <w:r w:rsidR="002B454B">
              <w:rPr>
                <w:rFonts w:ascii="Calibri" w:eastAsia="Times New Roman" w:hAnsi="Calibri" w:cs="Calibri"/>
                <w:b/>
                <w:bCs/>
                <w:color w:val="000000"/>
                <w:lang w:eastAsia="zh-CN"/>
              </w:rPr>
              <w:t>description of attempts to collect information on participants who dropped out</w:t>
            </w:r>
          </w:p>
        </w:tc>
        <w:tc>
          <w:tcPr>
            <w:tcW w:w="7880" w:type="dxa"/>
            <w:tcBorders>
              <w:top w:val="single" w:sz="4" w:space="0" w:color="auto"/>
              <w:left w:val="nil"/>
              <w:bottom w:val="single" w:sz="4" w:space="0" w:color="auto"/>
              <w:right w:val="single" w:sz="4" w:space="0" w:color="auto"/>
            </w:tcBorders>
            <w:shd w:val="clear" w:color="auto" w:fill="auto"/>
            <w:noWrap/>
            <w:vAlign w:val="bottom"/>
            <w:hideMark/>
          </w:tcPr>
          <w:p w14:paraId="7064F08E" w14:textId="544BCD29" w:rsidR="0054191B" w:rsidRPr="0054191B" w:rsidRDefault="00EA7B53" w:rsidP="0054191B">
            <w:pPr>
              <w:spacing w:after="0" w:line="240" w:lineRule="auto"/>
              <w:rPr>
                <w:rFonts w:ascii="Calibri" w:eastAsia="Times New Roman" w:hAnsi="Calibri" w:cs="Calibri"/>
                <w:lang w:eastAsia="zh-CN"/>
              </w:rPr>
            </w:pPr>
            <w:r>
              <w:rPr>
                <w:rFonts w:ascii="Calibri" w:eastAsia="Times New Roman" w:hAnsi="Calibri" w:cs="Calibri"/>
                <w:lang w:eastAsia="zh-CN"/>
              </w:rPr>
              <w:t>Cross-sectional studies are not applicable</w:t>
            </w:r>
            <w:r w:rsidR="0054191B" w:rsidRPr="0054191B">
              <w:rPr>
                <w:rFonts w:ascii="Calibri" w:eastAsia="Times New Roman" w:hAnsi="Calibri" w:cs="Calibri"/>
                <w:lang w:eastAsia="zh-CN"/>
              </w:rPr>
              <w:t xml:space="preserve"> </w:t>
            </w:r>
          </w:p>
        </w:tc>
      </w:tr>
      <w:tr w:rsidR="00EA7B53" w:rsidRPr="0054191B" w14:paraId="085D1891"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5E159AAF"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7DDC0483" w14:textId="097AAE64"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Quips2c_reasons</w:t>
            </w:r>
            <w:r>
              <w:rPr>
                <w:rFonts w:ascii="Calibri" w:eastAsia="Times New Roman" w:hAnsi="Calibri" w:cs="Calibri"/>
                <w:b/>
                <w:bCs/>
                <w:color w:val="000000"/>
                <w:lang w:eastAsia="zh-CN"/>
              </w:rPr>
              <w:t xml:space="preserve"> for </w:t>
            </w:r>
            <w:r w:rsidRPr="0054191B">
              <w:rPr>
                <w:rFonts w:ascii="Calibri" w:eastAsia="Times New Roman" w:hAnsi="Calibri" w:cs="Calibri"/>
                <w:b/>
                <w:bCs/>
                <w:color w:val="000000"/>
                <w:lang w:eastAsia="zh-CN"/>
              </w:rPr>
              <w:t>loss</w:t>
            </w:r>
            <w:r>
              <w:rPr>
                <w:rFonts w:ascii="Calibri" w:eastAsia="Times New Roman" w:hAnsi="Calibri" w:cs="Calibri"/>
                <w:b/>
                <w:bCs/>
                <w:color w:val="000000"/>
                <w:lang w:eastAsia="zh-CN"/>
              </w:rPr>
              <w:t xml:space="preserve"> to follow-up</w:t>
            </w:r>
            <w:r w:rsidR="002B454B">
              <w:rPr>
                <w:rFonts w:ascii="Calibri" w:eastAsia="Times New Roman" w:hAnsi="Calibri" w:cs="Calibri"/>
                <w:b/>
                <w:bCs/>
                <w:color w:val="000000"/>
                <w:lang w:eastAsia="zh-CN"/>
              </w:rPr>
              <w:t xml:space="preserve"> are provided</w:t>
            </w:r>
          </w:p>
        </w:tc>
        <w:tc>
          <w:tcPr>
            <w:tcW w:w="7880" w:type="dxa"/>
            <w:tcBorders>
              <w:top w:val="single" w:sz="4" w:space="0" w:color="auto"/>
              <w:left w:val="nil"/>
              <w:bottom w:val="single" w:sz="4" w:space="0" w:color="auto"/>
              <w:right w:val="single" w:sz="4" w:space="0" w:color="auto"/>
            </w:tcBorders>
            <w:shd w:val="clear" w:color="auto" w:fill="auto"/>
            <w:noWrap/>
            <w:vAlign w:val="bottom"/>
            <w:hideMark/>
          </w:tcPr>
          <w:p w14:paraId="7CA606BA" w14:textId="343DA72D" w:rsidR="0054191B" w:rsidRPr="0054191B" w:rsidRDefault="00EA7B53" w:rsidP="0054191B">
            <w:pPr>
              <w:spacing w:after="0" w:line="240" w:lineRule="auto"/>
              <w:rPr>
                <w:rFonts w:ascii="Calibri" w:eastAsia="Times New Roman" w:hAnsi="Calibri" w:cs="Calibri"/>
                <w:lang w:eastAsia="zh-CN"/>
              </w:rPr>
            </w:pPr>
            <w:r>
              <w:rPr>
                <w:rFonts w:ascii="Calibri" w:eastAsia="Times New Roman" w:hAnsi="Calibri" w:cs="Calibri"/>
                <w:lang w:eastAsia="zh-CN"/>
              </w:rPr>
              <w:t>Cross-sectional studies are not applicable</w:t>
            </w:r>
          </w:p>
        </w:tc>
      </w:tr>
      <w:tr w:rsidR="00EA7B53" w:rsidRPr="0054191B" w14:paraId="4E626C6D"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7684240D"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4667FB76" w14:textId="62129DE2"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Quips2d_</w:t>
            </w:r>
            <w:r w:rsidR="002B454B">
              <w:rPr>
                <w:rFonts w:ascii="Calibri" w:eastAsia="Times New Roman" w:hAnsi="Calibri" w:cs="Calibri"/>
                <w:b/>
                <w:bCs/>
                <w:color w:val="000000"/>
                <w:lang w:eastAsia="zh-CN"/>
              </w:rPr>
              <w:t>adequate description of participants lost to follow-up</w:t>
            </w:r>
          </w:p>
        </w:tc>
        <w:tc>
          <w:tcPr>
            <w:tcW w:w="7880" w:type="dxa"/>
            <w:tcBorders>
              <w:top w:val="nil"/>
              <w:left w:val="nil"/>
              <w:bottom w:val="single" w:sz="4" w:space="0" w:color="auto"/>
              <w:right w:val="single" w:sz="4" w:space="0" w:color="auto"/>
            </w:tcBorders>
            <w:shd w:val="clear" w:color="auto" w:fill="auto"/>
            <w:noWrap/>
            <w:vAlign w:val="bottom"/>
            <w:hideMark/>
          </w:tcPr>
          <w:p w14:paraId="1E26B7B5" w14:textId="79EE6BB2" w:rsidR="0054191B" w:rsidRPr="0054191B" w:rsidRDefault="00EA7B53" w:rsidP="0054191B">
            <w:pPr>
              <w:spacing w:after="0" w:line="240" w:lineRule="auto"/>
              <w:rPr>
                <w:rFonts w:ascii="Calibri" w:eastAsia="Times New Roman" w:hAnsi="Calibri" w:cs="Calibri"/>
                <w:lang w:eastAsia="zh-CN"/>
              </w:rPr>
            </w:pPr>
            <w:r>
              <w:rPr>
                <w:rFonts w:ascii="Calibri" w:eastAsia="Times New Roman" w:hAnsi="Calibri" w:cs="Calibri"/>
                <w:lang w:eastAsia="zh-CN"/>
              </w:rPr>
              <w:t>Cross-sectional studies are not applicable</w:t>
            </w:r>
          </w:p>
        </w:tc>
      </w:tr>
      <w:tr w:rsidR="00EA7B53" w:rsidRPr="0054191B" w14:paraId="0822F393"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30E66AFD"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12A33A23" w14:textId="1256C171"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Quips2e_</w:t>
            </w:r>
            <w:r w:rsidR="002B454B">
              <w:rPr>
                <w:rFonts w:ascii="Calibri" w:eastAsia="Times New Roman" w:hAnsi="Calibri" w:cs="Calibri"/>
                <w:b/>
                <w:bCs/>
                <w:color w:val="000000"/>
                <w:lang w:eastAsia="zh-CN"/>
              </w:rPr>
              <w:t>there are no important differences between participants who completed the study and those who did not</w:t>
            </w:r>
          </w:p>
        </w:tc>
        <w:tc>
          <w:tcPr>
            <w:tcW w:w="7880" w:type="dxa"/>
            <w:tcBorders>
              <w:top w:val="nil"/>
              <w:left w:val="nil"/>
              <w:bottom w:val="single" w:sz="4" w:space="0" w:color="auto"/>
              <w:right w:val="single" w:sz="4" w:space="0" w:color="auto"/>
            </w:tcBorders>
            <w:shd w:val="clear" w:color="auto" w:fill="auto"/>
            <w:noWrap/>
            <w:vAlign w:val="bottom"/>
            <w:hideMark/>
          </w:tcPr>
          <w:p w14:paraId="1AFA1C78" w14:textId="2CC68720" w:rsidR="0054191B" w:rsidRPr="0054191B" w:rsidRDefault="00EA7B53" w:rsidP="0054191B">
            <w:pPr>
              <w:spacing w:after="0" w:line="240" w:lineRule="auto"/>
              <w:rPr>
                <w:rFonts w:ascii="Calibri" w:eastAsia="Times New Roman" w:hAnsi="Calibri" w:cs="Calibri"/>
                <w:lang w:eastAsia="zh-CN"/>
              </w:rPr>
            </w:pPr>
            <w:r>
              <w:rPr>
                <w:rFonts w:ascii="Calibri" w:eastAsia="Times New Roman" w:hAnsi="Calibri" w:cs="Calibri"/>
                <w:lang w:eastAsia="zh-CN"/>
              </w:rPr>
              <w:t>Cross-sectional studies are not applicable</w:t>
            </w:r>
          </w:p>
        </w:tc>
      </w:tr>
      <w:tr w:rsidR="00EA7B53" w:rsidRPr="0054191B" w14:paraId="5DA0800E" w14:textId="77777777" w:rsidTr="00EA7B53">
        <w:trPr>
          <w:trHeight w:val="29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FE708EC" w14:textId="03B50489" w:rsidR="0054191B" w:rsidRPr="0054191B" w:rsidRDefault="0054191B" w:rsidP="0054191B">
            <w:pPr>
              <w:spacing w:after="0" w:line="240" w:lineRule="auto"/>
              <w:jc w:val="center"/>
              <w:rPr>
                <w:rFonts w:ascii="Calibri" w:eastAsia="Times New Roman" w:hAnsi="Calibri" w:cs="Calibri"/>
                <w:color w:val="000000"/>
                <w:lang w:eastAsia="zh-CN"/>
              </w:rPr>
            </w:pPr>
            <w:r w:rsidRPr="0054191B">
              <w:rPr>
                <w:rFonts w:ascii="Calibri" w:eastAsia="Times New Roman" w:hAnsi="Calibri" w:cs="Calibri"/>
                <w:color w:val="000000"/>
                <w:lang w:eastAsia="zh-CN"/>
              </w:rPr>
              <w:t>3</w:t>
            </w:r>
          </w:p>
        </w:tc>
        <w:tc>
          <w:tcPr>
            <w:tcW w:w="7249" w:type="dxa"/>
            <w:tcBorders>
              <w:top w:val="nil"/>
              <w:left w:val="nil"/>
              <w:bottom w:val="single" w:sz="4" w:space="0" w:color="auto"/>
              <w:right w:val="single" w:sz="4" w:space="0" w:color="auto"/>
            </w:tcBorders>
            <w:shd w:val="clear" w:color="auto" w:fill="FFFFFF" w:themeFill="background1"/>
            <w:noWrap/>
            <w:hideMark/>
          </w:tcPr>
          <w:p w14:paraId="1D4E1A42" w14:textId="46518EC8"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Quips3a_</w:t>
            </w:r>
            <w:r w:rsidR="002B454B">
              <w:rPr>
                <w:rFonts w:ascii="Calibri" w:eastAsia="Times New Roman" w:hAnsi="Calibri" w:cs="Calibri"/>
                <w:b/>
                <w:bCs/>
                <w:color w:val="000000"/>
                <w:lang w:eastAsia="zh-CN"/>
              </w:rPr>
              <w:t>a clear definition or description of the prognostic factor is provided</w:t>
            </w:r>
          </w:p>
        </w:tc>
        <w:tc>
          <w:tcPr>
            <w:tcW w:w="7880" w:type="dxa"/>
            <w:tcBorders>
              <w:top w:val="nil"/>
              <w:left w:val="nil"/>
              <w:bottom w:val="single" w:sz="4" w:space="0" w:color="auto"/>
              <w:right w:val="single" w:sz="4" w:space="0" w:color="auto"/>
            </w:tcBorders>
            <w:shd w:val="clear" w:color="auto" w:fill="auto"/>
            <w:noWrap/>
            <w:vAlign w:val="bottom"/>
            <w:hideMark/>
          </w:tcPr>
          <w:p w14:paraId="58520541" w14:textId="573A97BD" w:rsidR="0054191B" w:rsidRPr="0054191B" w:rsidRDefault="0054191B" w:rsidP="0054191B">
            <w:pPr>
              <w:spacing w:after="0" w:line="240" w:lineRule="auto"/>
              <w:rPr>
                <w:rFonts w:ascii="Calibri" w:eastAsia="Times New Roman" w:hAnsi="Calibri" w:cs="Calibri"/>
                <w:lang w:eastAsia="zh-CN"/>
              </w:rPr>
            </w:pPr>
            <w:r w:rsidRPr="0054191B">
              <w:rPr>
                <w:rFonts w:ascii="Calibri" w:eastAsia="Times New Roman" w:hAnsi="Calibri" w:cs="Calibri"/>
                <w:lang w:eastAsia="zh-CN"/>
              </w:rPr>
              <w:t xml:space="preserve">Segmentation scheme definition included in paper or relevant citations given to allow reproducibility </w:t>
            </w:r>
          </w:p>
        </w:tc>
      </w:tr>
      <w:tr w:rsidR="00EA7B53" w:rsidRPr="0054191B" w14:paraId="6AB942A2"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715D7312"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29147F83" w14:textId="1C429A56"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Quips3b_</w:t>
            </w:r>
            <w:r w:rsidR="002B454B">
              <w:rPr>
                <w:rFonts w:ascii="Calibri" w:eastAsia="Times New Roman" w:hAnsi="Calibri" w:cs="Calibri"/>
                <w:b/>
                <w:bCs/>
                <w:color w:val="000000"/>
                <w:lang w:eastAsia="zh-CN"/>
              </w:rPr>
              <w:t>method of prognostic factor measurement is adequately valid and reliable</w:t>
            </w:r>
          </w:p>
        </w:tc>
        <w:tc>
          <w:tcPr>
            <w:tcW w:w="7880" w:type="dxa"/>
            <w:tcBorders>
              <w:top w:val="nil"/>
              <w:left w:val="nil"/>
              <w:bottom w:val="single" w:sz="4" w:space="0" w:color="auto"/>
              <w:right w:val="single" w:sz="4" w:space="0" w:color="auto"/>
            </w:tcBorders>
            <w:shd w:val="clear" w:color="auto" w:fill="auto"/>
            <w:noWrap/>
            <w:vAlign w:val="bottom"/>
            <w:hideMark/>
          </w:tcPr>
          <w:p w14:paraId="126C95BE" w14:textId="5B4B8107" w:rsidR="0054191B" w:rsidRPr="0054191B" w:rsidRDefault="00EA7B53" w:rsidP="0054191B">
            <w:pPr>
              <w:spacing w:after="0" w:line="240" w:lineRule="auto"/>
              <w:rPr>
                <w:rFonts w:ascii="Calibri" w:eastAsia="Times New Roman" w:hAnsi="Calibri" w:cs="Calibri"/>
                <w:lang w:eastAsia="zh-CN"/>
              </w:rPr>
            </w:pPr>
            <w:r>
              <w:rPr>
                <w:rFonts w:ascii="Calibri" w:eastAsia="Times New Roman" w:hAnsi="Calibri" w:cs="Calibri"/>
                <w:lang w:eastAsia="zh-CN"/>
              </w:rPr>
              <w:t>A</w:t>
            </w:r>
            <w:r w:rsidR="0054191B" w:rsidRPr="0054191B">
              <w:rPr>
                <w:rFonts w:ascii="Calibri" w:eastAsia="Times New Roman" w:hAnsi="Calibri" w:cs="Calibri"/>
                <w:lang w:eastAsia="zh-CN"/>
              </w:rPr>
              <w:t>ll schemes are shortlisted because there is a validation component</w:t>
            </w:r>
          </w:p>
        </w:tc>
      </w:tr>
      <w:tr w:rsidR="00EA7B53" w:rsidRPr="0054191B" w14:paraId="7EB117B1"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603E2BEC"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4C27EC3A" w14:textId="6E5292B2"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Quips3c_</w:t>
            </w:r>
            <w:r w:rsidR="002B454B">
              <w:rPr>
                <w:rFonts w:ascii="Calibri" w:eastAsia="Times New Roman" w:hAnsi="Calibri" w:cs="Calibri"/>
                <w:b/>
                <w:bCs/>
                <w:color w:val="000000"/>
                <w:lang w:eastAsia="zh-CN"/>
              </w:rPr>
              <w:t xml:space="preserve">continuous variables are </w:t>
            </w:r>
            <w:proofErr w:type="gramStart"/>
            <w:r w:rsidR="002B454B">
              <w:rPr>
                <w:rFonts w:ascii="Calibri" w:eastAsia="Times New Roman" w:hAnsi="Calibri" w:cs="Calibri"/>
                <w:b/>
                <w:bCs/>
                <w:color w:val="000000"/>
                <w:lang w:eastAsia="zh-CN"/>
              </w:rPr>
              <w:t>reported</w:t>
            </w:r>
            <w:proofErr w:type="gramEnd"/>
            <w:r w:rsidR="002B454B">
              <w:rPr>
                <w:rFonts w:ascii="Calibri" w:eastAsia="Times New Roman" w:hAnsi="Calibri" w:cs="Calibri"/>
                <w:b/>
                <w:bCs/>
                <w:color w:val="000000"/>
                <w:lang w:eastAsia="zh-CN"/>
              </w:rPr>
              <w:t xml:space="preserve"> or appropriate cut points are used</w:t>
            </w:r>
          </w:p>
        </w:tc>
        <w:tc>
          <w:tcPr>
            <w:tcW w:w="7880" w:type="dxa"/>
            <w:tcBorders>
              <w:top w:val="nil"/>
              <w:left w:val="nil"/>
              <w:bottom w:val="single" w:sz="4" w:space="0" w:color="auto"/>
              <w:right w:val="single" w:sz="4" w:space="0" w:color="auto"/>
            </w:tcBorders>
            <w:shd w:val="clear" w:color="auto" w:fill="auto"/>
            <w:noWrap/>
            <w:vAlign w:val="bottom"/>
            <w:hideMark/>
          </w:tcPr>
          <w:p w14:paraId="329E51B3" w14:textId="7AA1C1CE" w:rsidR="0054191B" w:rsidRPr="0054191B" w:rsidRDefault="0054191B" w:rsidP="0054191B">
            <w:pPr>
              <w:spacing w:after="0" w:line="240" w:lineRule="auto"/>
              <w:rPr>
                <w:rFonts w:ascii="Calibri" w:eastAsia="Times New Roman" w:hAnsi="Calibri" w:cs="Calibri"/>
                <w:lang w:eastAsia="zh-CN"/>
              </w:rPr>
            </w:pPr>
          </w:p>
        </w:tc>
      </w:tr>
      <w:tr w:rsidR="00EA7B53" w:rsidRPr="0054191B" w14:paraId="7923A2FF"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6AE6CF12"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33A2C36D" w14:textId="07E52A88"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Quips3d_</w:t>
            </w:r>
            <w:r w:rsidR="002B454B">
              <w:rPr>
                <w:rFonts w:ascii="Calibri" w:eastAsia="Times New Roman" w:hAnsi="Calibri" w:cs="Calibri"/>
                <w:b/>
                <w:bCs/>
                <w:color w:val="000000"/>
                <w:lang w:eastAsia="zh-CN"/>
              </w:rPr>
              <w:t>the method and setting of measurement of prognostic factor is the same for all study participants</w:t>
            </w:r>
          </w:p>
        </w:tc>
        <w:tc>
          <w:tcPr>
            <w:tcW w:w="7880" w:type="dxa"/>
            <w:tcBorders>
              <w:top w:val="nil"/>
              <w:left w:val="nil"/>
              <w:bottom w:val="single" w:sz="4" w:space="0" w:color="auto"/>
              <w:right w:val="single" w:sz="4" w:space="0" w:color="auto"/>
            </w:tcBorders>
            <w:shd w:val="clear" w:color="auto" w:fill="auto"/>
            <w:noWrap/>
            <w:vAlign w:val="bottom"/>
            <w:hideMark/>
          </w:tcPr>
          <w:p w14:paraId="062FF701" w14:textId="7CD6C026" w:rsidR="0054191B" w:rsidRPr="0054191B" w:rsidRDefault="0054191B" w:rsidP="0054191B">
            <w:pPr>
              <w:spacing w:after="0" w:line="240" w:lineRule="auto"/>
              <w:rPr>
                <w:rFonts w:ascii="Calibri" w:eastAsia="Times New Roman" w:hAnsi="Calibri" w:cs="Calibri"/>
                <w:lang w:eastAsia="zh-CN"/>
              </w:rPr>
            </w:pPr>
            <w:r w:rsidRPr="0054191B">
              <w:rPr>
                <w:rFonts w:ascii="Calibri" w:eastAsia="Times New Roman" w:hAnsi="Calibri" w:cs="Calibri"/>
                <w:lang w:eastAsia="zh-CN"/>
              </w:rPr>
              <w:t>Not relevant unless different schemes</w:t>
            </w:r>
            <w:r w:rsidR="00EA7B53">
              <w:rPr>
                <w:rFonts w:ascii="Calibri" w:eastAsia="Times New Roman" w:hAnsi="Calibri" w:cs="Calibri"/>
                <w:lang w:eastAsia="zh-CN"/>
              </w:rPr>
              <w:t xml:space="preserve"> are</w:t>
            </w:r>
            <w:r w:rsidRPr="0054191B">
              <w:rPr>
                <w:rFonts w:ascii="Calibri" w:eastAsia="Times New Roman" w:hAnsi="Calibri" w:cs="Calibri"/>
                <w:lang w:eastAsia="zh-CN"/>
              </w:rPr>
              <w:t xml:space="preserve"> </w:t>
            </w:r>
            <w:r w:rsidR="00E65F65" w:rsidRPr="0054191B">
              <w:rPr>
                <w:rFonts w:ascii="Calibri" w:eastAsia="Times New Roman" w:hAnsi="Calibri" w:cs="Calibri"/>
                <w:lang w:eastAsia="zh-CN"/>
              </w:rPr>
              <w:t>used,</w:t>
            </w:r>
            <w:r w:rsidRPr="0054191B">
              <w:rPr>
                <w:rFonts w:ascii="Calibri" w:eastAsia="Times New Roman" w:hAnsi="Calibri" w:cs="Calibri"/>
                <w:lang w:eastAsia="zh-CN"/>
              </w:rPr>
              <w:t xml:space="preserve"> or different data used to feed into same segmentation algorithm. </w:t>
            </w:r>
          </w:p>
        </w:tc>
      </w:tr>
      <w:tr w:rsidR="00EA7B53" w:rsidRPr="0054191B" w14:paraId="58A8BDDB"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67311555"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610C5217" w14:textId="49DAD2DB"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Quips3e_</w:t>
            </w:r>
            <w:r w:rsidR="002B454B">
              <w:rPr>
                <w:rFonts w:ascii="Calibri" w:eastAsia="Times New Roman" w:hAnsi="Calibri" w:cs="Calibri"/>
                <w:b/>
                <w:bCs/>
                <w:color w:val="000000"/>
                <w:lang w:eastAsia="zh-CN"/>
              </w:rPr>
              <w:t>adequate proportion of the study sample has complete data for the prognostic factor</w:t>
            </w:r>
          </w:p>
        </w:tc>
        <w:tc>
          <w:tcPr>
            <w:tcW w:w="7880" w:type="dxa"/>
            <w:tcBorders>
              <w:top w:val="nil"/>
              <w:left w:val="nil"/>
              <w:bottom w:val="single" w:sz="4" w:space="0" w:color="auto"/>
              <w:right w:val="single" w:sz="4" w:space="0" w:color="auto"/>
            </w:tcBorders>
            <w:shd w:val="clear" w:color="auto" w:fill="auto"/>
            <w:noWrap/>
            <w:vAlign w:val="bottom"/>
            <w:hideMark/>
          </w:tcPr>
          <w:p w14:paraId="30B631FF" w14:textId="60505067" w:rsidR="0054191B" w:rsidRPr="0054191B" w:rsidRDefault="0054191B" w:rsidP="0054191B">
            <w:pPr>
              <w:spacing w:after="0" w:line="240" w:lineRule="auto"/>
              <w:rPr>
                <w:rFonts w:ascii="Calibri" w:eastAsia="Times New Roman" w:hAnsi="Calibri" w:cs="Calibri"/>
                <w:lang w:eastAsia="zh-CN"/>
              </w:rPr>
            </w:pPr>
            <w:r w:rsidRPr="0054191B">
              <w:rPr>
                <w:rFonts w:ascii="Calibri" w:eastAsia="Times New Roman" w:hAnsi="Calibri" w:cs="Calibri"/>
                <w:lang w:eastAsia="zh-CN"/>
              </w:rPr>
              <w:t xml:space="preserve">Adequate if complete information available for input into segmentation mechanism &gt; 80% of sample. </w:t>
            </w:r>
          </w:p>
        </w:tc>
      </w:tr>
      <w:tr w:rsidR="00EA7B53" w:rsidRPr="0054191B" w14:paraId="626A2FBB"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5C885991"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75E0F5CD" w14:textId="1994C916"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Quips3f_appro</w:t>
            </w:r>
            <w:r>
              <w:rPr>
                <w:rFonts w:ascii="Calibri" w:eastAsia="Times New Roman" w:hAnsi="Calibri" w:cs="Calibri"/>
                <w:b/>
                <w:bCs/>
                <w:color w:val="000000"/>
                <w:lang w:eastAsia="zh-CN"/>
              </w:rPr>
              <w:t xml:space="preserve">priate </w:t>
            </w:r>
            <w:r w:rsidR="002B454B">
              <w:rPr>
                <w:rFonts w:ascii="Calibri" w:eastAsia="Times New Roman" w:hAnsi="Calibri" w:cs="Calibri"/>
                <w:b/>
                <w:bCs/>
                <w:color w:val="000000"/>
                <w:lang w:eastAsia="zh-CN"/>
              </w:rPr>
              <w:t xml:space="preserve">methods of </w:t>
            </w:r>
            <w:r w:rsidRPr="0054191B">
              <w:rPr>
                <w:rFonts w:ascii="Calibri" w:eastAsia="Times New Roman" w:hAnsi="Calibri" w:cs="Calibri"/>
                <w:b/>
                <w:bCs/>
                <w:color w:val="000000"/>
                <w:lang w:eastAsia="zh-CN"/>
              </w:rPr>
              <w:t>imputation</w:t>
            </w:r>
            <w:r>
              <w:rPr>
                <w:rFonts w:ascii="Calibri" w:eastAsia="Times New Roman" w:hAnsi="Calibri" w:cs="Calibri"/>
                <w:b/>
                <w:bCs/>
                <w:color w:val="000000"/>
                <w:lang w:eastAsia="zh-CN"/>
              </w:rPr>
              <w:t xml:space="preserve"> </w:t>
            </w:r>
            <w:r w:rsidR="002B454B">
              <w:rPr>
                <w:rFonts w:ascii="Calibri" w:eastAsia="Times New Roman" w:hAnsi="Calibri" w:cs="Calibri"/>
                <w:b/>
                <w:bCs/>
                <w:color w:val="000000"/>
                <w:lang w:eastAsia="zh-CN"/>
              </w:rPr>
              <w:t>are used for missing prognostic factor data</w:t>
            </w:r>
          </w:p>
        </w:tc>
        <w:tc>
          <w:tcPr>
            <w:tcW w:w="7880" w:type="dxa"/>
            <w:tcBorders>
              <w:top w:val="nil"/>
              <w:left w:val="nil"/>
              <w:bottom w:val="single" w:sz="4" w:space="0" w:color="auto"/>
              <w:right w:val="single" w:sz="4" w:space="0" w:color="auto"/>
            </w:tcBorders>
            <w:shd w:val="clear" w:color="auto" w:fill="auto"/>
            <w:noWrap/>
            <w:vAlign w:val="bottom"/>
            <w:hideMark/>
          </w:tcPr>
          <w:p w14:paraId="5242A96A" w14:textId="2A94FAFE" w:rsidR="0054191B" w:rsidRPr="0054191B" w:rsidRDefault="0054191B" w:rsidP="0054191B">
            <w:pPr>
              <w:spacing w:after="0" w:line="240" w:lineRule="auto"/>
              <w:rPr>
                <w:rFonts w:ascii="Calibri" w:eastAsia="Times New Roman" w:hAnsi="Calibri" w:cs="Calibri"/>
                <w:lang w:eastAsia="zh-CN"/>
              </w:rPr>
            </w:pPr>
          </w:p>
        </w:tc>
      </w:tr>
      <w:tr w:rsidR="00EA7B53" w:rsidRPr="0054191B" w14:paraId="54A5DE34" w14:textId="77777777" w:rsidTr="00EA7B53">
        <w:trPr>
          <w:trHeight w:val="29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1EB60C2D" w14:textId="21424CC5" w:rsidR="0054191B" w:rsidRPr="0054191B" w:rsidRDefault="0054191B" w:rsidP="0054191B">
            <w:pPr>
              <w:spacing w:after="0" w:line="240" w:lineRule="auto"/>
              <w:jc w:val="center"/>
              <w:rPr>
                <w:rFonts w:ascii="Calibri" w:eastAsia="Times New Roman" w:hAnsi="Calibri" w:cs="Calibri"/>
                <w:color w:val="000000"/>
                <w:lang w:eastAsia="zh-CN"/>
              </w:rPr>
            </w:pPr>
            <w:r w:rsidRPr="0054191B">
              <w:rPr>
                <w:rFonts w:ascii="Calibri" w:eastAsia="Times New Roman" w:hAnsi="Calibri" w:cs="Calibri"/>
                <w:color w:val="000000"/>
                <w:lang w:eastAsia="zh-CN"/>
              </w:rPr>
              <w:t>4</w:t>
            </w:r>
          </w:p>
        </w:tc>
        <w:tc>
          <w:tcPr>
            <w:tcW w:w="7249" w:type="dxa"/>
            <w:tcBorders>
              <w:top w:val="nil"/>
              <w:left w:val="nil"/>
              <w:bottom w:val="single" w:sz="4" w:space="0" w:color="auto"/>
              <w:right w:val="single" w:sz="4" w:space="0" w:color="auto"/>
            </w:tcBorders>
            <w:shd w:val="clear" w:color="auto" w:fill="FFFFFF" w:themeFill="background1"/>
            <w:noWrap/>
            <w:hideMark/>
          </w:tcPr>
          <w:p w14:paraId="48FDDBC3" w14:textId="46579B1A"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Quips4a_</w:t>
            </w:r>
            <w:r w:rsidR="002B454B">
              <w:rPr>
                <w:rFonts w:ascii="Calibri" w:eastAsia="Times New Roman" w:hAnsi="Calibri" w:cs="Calibri"/>
                <w:b/>
                <w:bCs/>
                <w:color w:val="000000"/>
                <w:lang w:eastAsia="zh-CN"/>
              </w:rPr>
              <w:t>a clear definition of the outcome is provided</w:t>
            </w:r>
          </w:p>
        </w:tc>
        <w:tc>
          <w:tcPr>
            <w:tcW w:w="7880" w:type="dxa"/>
            <w:tcBorders>
              <w:top w:val="nil"/>
              <w:left w:val="nil"/>
              <w:bottom w:val="single" w:sz="4" w:space="0" w:color="auto"/>
              <w:right w:val="single" w:sz="4" w:space="0" w:color="auto"/>
            </w:tcBorders>
            <w:shd w:val="clear" w:color="auto" w:fill="auto"/>
            <w:noWrap/>
            <w:vAlign w:val="bottom"/>
            <w:hideMark/>
          </w:tcPr>
          <w:p w14:paraId="4DE49145" w14:textId="4FAB88E0" w:rsidR="0054191B" w:rsidRPr="0054191B" w:rsidRDefault="0054191B" w:rsidP="0054191B">
            <w:pPr>
              <w:spacing w:after="0" w:line="240" w:lineRule="auto"/>
              <w:rPr>
                <w:rFonts w:ascii="Calibri" w:eastAsia="Times New Roman" w:hAnsi="Calibri" w:cs="Calibri"/>
                <w:lang w:eastAsia="zh-CN"/>
              </w:rPr>
            </w:pPr>
            <w:r w:rsidRPr="0054191B">
              <w:rPr>
                <w:rFonts w:ascii="Calibri" w:eastAsia="Times New Roman" w:hAnsi="Calibri" w:cs="Calibri"/>
                <w:lang w:eastAsia="zh-CN"/>
              </w:rPr>
              <w:t xml:space="preserve"> </w:t>
            </w:r>
          </w:p>
        </w:tc>
      </w:tr>
      <w:tr w:rsidR="00EA7B53" w:rsidRPr="0054191B" w14:paraId="038D0E74"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7A4A5E6F"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1215B799" w14:textId="101B0834"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Quips4b_</w:t>
            </w:r>
            <w:r w:rsidR="002B454B">
              <w:rPr>
                <w:rFonts w:ascii="Calibri" w:eastAsia="Times New Roman" w:hAnsi="Calibri" w:cs="Calibri"/>
                <w:b/>
                <w:bCs/>
                <w:color w:val="000000"/>
                <w:lang w:eastAsia="zh-CN"/>
              </w:rPr>
              <w:t>method of outcome measurement used is adequately valid and reliable</w:t>
            </w:r>
          </w:p>
        </w:tc>
        <w:tc>
          <w:tcPr>
            <w:tcW w:w="7880" w:type="dxa"/>
            <w:tcBorders>
              <w:top w:val="nil"/>
              <w:left w:val="nil"/>
              <w:bottom w:val="single" w:sz="4" w:space="0" w:color="auto"/>
              <w:right w:val="single" w:sz="4" w:space="0" w:color="auto"/>
            </w:tcBorders>
            <w:shd w:val="clear" w:color="auto" w:fill="auto"/>
            <w:noWrap/>
            <w:vAlign w:val="bottom"/>
            <w:hideMark/>
          </w:tcPr>
          <w:p w14:paraId="66311204" w14:textId="461CE58E" w:rsidR="0054191B" w:rsidRPr="0054191B" w:rsidRDefault="0054191B" w:rsidP="0054191B">
            <w:pPr>
              <w:spacing w:after="0" w:line="240" w:lineRule="auto"/>
              <w:rPr>
                <w:rFonts w:ascii="Calibri" w:eastAsia="Times New Roman" w:hAnsi="Calibri" w:cs="Calibri"/>
                <w:lang w:eastAsia="zh-CN"/>
              </w:rPr>
            </w:pPr>
            <w:r w:rsidRPr="0054191B">
              <w:rPr>
                <w:rFonts w:ascii="Calibri" w:eastAsia="Times New Roman" w:hAnsi="Calibri" w:cs="Calibri"/>
                <w:lang w:eastAsia="zh-CN"/>
              </w:rPr>
              <w:t> </w:t>
            </w:r>
          </w:p>
        </w:tc>
      </w:tr>
      <w:tr w:rsidR="00EA7B53" w:rsidRPr="0054191B" w14:paraId="0518ED6F"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55703A4D"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4D7984B9" w14:textId="35D9EAF9"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 xml:space="preserve">Quips4c_ </w:t>
            </w:r>
            <w:r w:rsidR="002B454B">
              <w:rPr>
                <w:rFonts w:ascii="Calibri" w:eastAsia="Times New Roman" w:hAnsi="Calibri" w:cs="Calibri"/>
                <w:b/>
                <w:bCs/>
                <w:color w:val="000000"/>
                <w:lang w:eastAsia="zh-CN"/>
              </w:rPr>
              <w:t>the method and setting of outcome measurement is the same for all study participants</w:t>
            </w:r>
          </w:p>
        </w:tc>
        <w:tc>
          <w:tcPr>
            <w:tcW w:w="7880" w:type="dxa"/>
            <w:tcBorders>
              <w:top w:val="nil"/>
              <w:left w:val="nil"/>
              <w:bottom w:val="single" w:sz="4" w:space="0" w:color="auto"/>
              <w:right w:val="single" w:sz="4" w:space="0" w:color="auto"/>
            </w:tcBorders>
            <w:shd w:val="clear" w:color="auto" w:fill="auto"/>
            <w:noWrap/>
            <w:vAlign w:val="bottom"/>
            <w:hideMark/>
          </w:tcPr>
          <w:p w14:paraId="49E58480" w14:textId="1C1B2649" w:rsidR="0054191B" w:rsidRPr="0054191B" w:rsidRDefault="0054191B" w:rsidP="0054191B">
            <w:pPr>
              <w:spacing w:after="0" w:line="240" w:lineRule="auto"/>
              <w:rPr>
                <w:rFonts w:ascii="Calibri" w:eastAsia="Times New Roman" w:hAnsi="Calibri" w:cs="Calibri"/>
                <w:lang w:eastAsia="zh-CN"/>
              </w:rPr>
            </w:pPr>
            <w:r w:rsidRPr="0054191B">
              <w:rPr>
                <w:rFonts w:ascii="Calibri" w:eastAsia="Times New Roman" w:hAnsi="Calibri" w:cs="Calibri"/>
                <w:lang w:eastAsia="zh-CN"/>
              </w:rPr>
              <w:t xml:space="preserve">If &gt; 80% reported having complete outcome information, consider adequate. </w:t>
            </w:r>
          </w:p>
        </w:tc>
      </w:tr>
      <w:tr w:rsidR="00EA7B53" w:rsidRPr="0054191B" w14:paraId="0E99E84C"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28596104"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07EB97F2" w14:textId="6E5F5284"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Quips4d_same</w:t>
            </w:r>
            <w:r>
              <w:rPr>
                <w:rFonts w:ascii="Calibri" w:eastAsia="Times New Roman" w:hAnsi="Calibri" w:cs="Calibri"/>
                <w:b/>
                <w:bCs/>
                <w:color w:val="000000"/>
                <w:lang w:eastAsia="zh-CN"/>
              </w:rPr>
              <w:t xml:space="preserve"> </w:t>
            </w:r>
            <w:r w:rsidRPr="0054191B">
              <w:rPr>
                <w:rFonts w:ascii="Calibri" w:eastAsia="Times New Roman" w:hAnsi="Calibri" w:cs="Calibri"/>
                <w:b/>
                <w:bCs/>
                <w:color w:val="000000"/>
                <w:lang w:eastAsia="zh-CN"/>
              </w:rPr>
              <w:t>method</w:t>
            </w:r>
            <w:r>
              <w:rPr>
                <w:rFonts w:ascii="Calibri" w:eastAsia="Times New Roman" w:hAnsi="Calibri" w:cs="Calibri"/>
                <w:b/>
                <w:bCs/>
                <w:color w:val="000000"/>
                <w:lang w:eastAsia="zh-CN"/>
              </w:rPr>
              <w:t xml:space="preserve"> of assessment at </w:t>
            </w:r>
            <w:r w:rsidRPr="0054191B">
              <w:rPr>
                <w:rFonts w:ascii="Calibri" w:eastAsia="Times New Roman" w:hAnsi="Calibri" w:cs="Calibri"/>
                <w:b/>
                <w:bCs/>
                <w:color w:val="000000"/>
                <w:lang w:eastAsia="zh-CN"/>
              </w:rPr>
              <w:t>follow</w:t>
            </w:r>
            <w:r>
              <w:rPr>
                <w:rFonts w:ascii="Calibri" w:eastAsia="Times New Roman" w:hAnsi="Calibri" w:cs="Calibri"/>
                <w:b/>
                <w:bCs/>
                <w:color w:val="000000"/>
                <w:lang w:eastAsia="zh-CN"/>
              </w:rPr>
              <w:t>-</w:t>
            </w:r>
            <w:r w:rsidRPr="0054191B">
              <w:rPr>
                <w:rFonts w:ascii="Calibri" w:eastAsia="Times New Roman" w:hAnsi="Calibri" w:cs="Calibri"/>
                <w:b/>
                <w:bCs/>
                <w:color w:val="000000"/>
                <w:lang w:eastAsia="zh-CN"/>
              </w:rPr>
              <w:t>up</w:t>
            </w:r>
          </w:p>
        </w:tc>
        <w:tc>
          <w:tcPr>
            <w:tcW w:w="7880" w:type="dxa"/>
            <w:tcBorders>
              <w:top w:val="nil"/>
              <w:left w:val="nil"/>
              <w:bottom w:val="single" w:sz="4" w:space="0" w:color="auto"/>
              <w:right w:val="single" w:sz="4" w:space="0" w:color="auto"/>
            </w:tcBorders>
            <w:shd w:val="clear" w:color="auto" w:fill="auto"/>
            <w:noWrap/>
            <w:vAlign w:val="bottom"/>
            <w:hideMark/>
          </w:tcPr>
          <w:p w14:paraId="7430C8F2" w14:textId="33CEF15B" w:rsidR="0054191B" w:rsidRPr="0054191B" w:rsidRDefault="0054191B" w:rsidP="0054191B">
            <w:pPr>
              <w:spacing w:after="0" w:line="240" w:lineRule="auto"/>
              <w:rPr>
                <w:rFonts w:ascii="Calibri" w:eastAsia="Times New Roman" w:hAnsi="Calibri" w:cs="Calibri"/>
                <w:lang w:eastAsia="zh-CN"/>
              </w:rPr>
            </w:pPr>
            <w:r w:rsidRPr="0054191B">
              <w:rPr>
                <w:rFonts w:ascii="Calibri" w:eastAsia="Times New Roman" w:hAnsi="Calibri" w:cs="Calibri"/>
                <w:lang w:eastAsia="zh-CN"/>
              </w:rPr>
              <w:t> </w:t>
            </w:r>
          </w:p>
        </w:tc>
      </w:tr>
      <w:tr w:rsidR="00EA7B53" w:rsidRPr="0054191B" w14:paraId="0AB33D60" w14:textId="77777777" w:rsidTr="00EA7B53">
        <w:trPr>
          <w:trHeight w:val="29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4171732B" w14:textId="24AA64BB" w:rsidR="0054191B" w:rsidRPr="0054191B" w:rsidRDefault="0054191B" w:rsidP="0054191B">
            <w:pPr>
              <w:spacing w:after="0" w:line="240" w:lineRule="auto"/>
              <w:jc w:val="center"/>
              <w:rPr>
                <w:rFonts w:ascii="Calibri" w:eastAsia="Times New Roman" w:hAnsi="Calibri" w:cs="Calibri"/>
                <w:color w:val="000000"/>
                <w:lang w:eastAsia="zh-CN"/>
              </w:rPr>
            </w:pPr>
            <w:r w:rsidRPr="0054191B">
              <w:rPr>
                <w:rFonts w:ascii="Calibri" w:eastAsia="Times New Roman" w:hAnsi="Calibri" w:cs="Calibri"/>
                <w:color w:val="000000"/>
                <w:lang w:eastAsia="zh-CN"/>
              </w:rPr>
              <w:t>5</w:t>
            </w:r>
          </w:p>
        </w:tc>
        <w:tc>
          <w:tcPr>
            <w:tcW w:w="7249" w:type="dxa"/>
            <w:tcBorders>
              <w:top w:val="nil"/>
              <w:left w:val="nil"/>
              <w:bottom w:val="single" w:sz="4" w:space="0" w:color="auto"/>
              <w:right w:val="single" w:sz="4" w:space="0" w:color="auto"/>
            </w:tcBorders>
            <w:shd w:val="clear" w:color="auto" w:fill="FFFFFF" w:themeFill="background1"/>
            <w:noWrap/>
            <w:hideMark/>
          </w:tcPr>
          <w:p w14:paraId="385BFE01" w14:textId="504B50F8"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Quips5a_</w:t>
            </w:r>
            <w:r w:rsidR="002B454B">
              <w:rPr>
                <w:rFonts w:ascii="Calibri" w:eastAsia="Times New Roman" w:hAnsi="Calibri" w:cs="Calibri"/>
                <w:b/>
                <w:bCs/>
                <w:color w:val="000000"/>
                <w:lang w:eastAsia="zh-CN"/>
              </w:rPr>
              <w:t>all important confounders are measured</w:t>
            </w:r>
          </w:p>
        </w:tc>
        <w:tc>
          <w:tcPr>
            <w:tcW w:w="7880" w:type="dxa"/>
            <w:tcBorders>
              <w:top w:val="nil"/>
              <w:left w:val="nil"/>
              <w:bottom w:val="single" w:sz="4" w:space="0" w:color="auto"/>
              <w:right w:val="single" w:sz="4" w:space="0" w:color="auto"/>
            </w:tcBorders>
            <w:shd w:val="clear" w:color="auto" w:fill="auto"/>
            <w:noWrap/>
            <w:vAlign w:val="bottom"/>
            <w:hideMark/>
          </w:tcPr>
          <w:p w14:paraId="3C2C4DD8" w14:textId="0087E3B2" w:rsidR="0054191B" w:rsidRPr="0054191B" w:rsidRDefault="0054191B" w:rsidP="0054191B">
            <w:pPr>
              <w:spacing w:after="0" w:line="240" w:lineRule="auto"/>
              <w:rPr>
                <w:rFonts w:ascii="Calibri" w:eastAsia="Times New Roman" w:hAnsi="Calibri" w:cs="Calibri"/>
                <w:lang w:eastAsia="zh-CN"/>
              </w:rPr>
            </w:pPr>
            <w:r w:rsidRPr="0054191B">
              <w:rPr>
                <w:rFonts w:ascii="Calibri" w:eastAsia="Times New Roman" w:hAnsi="Calibri" w:cs="Calibri"/>
                <w:lang w:eastAsia="zh-CN"/>
              </w:rPr>
              <w:t>Must include age and gender to be yes</w:t>
            </w:r>
          </w:p>
        </w:tc>
      </w:tr>
      <w:tr w:rsidR="00EA7B53" w:rsidRPr="0054191B" w14:paraId="59FDCB9A"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1946408D"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37272F4C" w14:textId="4A6F834D"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Quips5b_</w:t>
            </w:r>
            <w:r w:rsidR="002B454B">
              <w:rPr>
                <w:rFonts w:ascii="Calibri" w:eastAsia="Times New Roman" w:hAnsi="Calibri" w:cs="Calibri"/>
                <w:b/>
                <w:bCs/>
                <w:color w:val="000000"/>
                <w:lang w:eastAsia="zh-CN"/>
              </w:rPr>
              <w:t>clear definition of the important confounders measured are provided</w:t>
            </w:r>
          </w:p>
        </w:tc>
        <w:tc>
          <w:tcPr>
            <w:tcW w:w="7880" w:type="dxa"/>
            <w:tcBorders>
              <w:top w:val="nil"/>
              <w:left w:val="nil"/>
              <w:bottom w:val="single" w:sz="4" w:space="0" w:color="auto"/>
              <w:right w:val="single" w:sz="4" w:space="0" w:color="auto"/>
            </w:tcBorders>
            <w:shd w:val="clear" w:color="auto" w:fill="auto"/>
            <w:noWrap/>
            <w:vAlign w:val="bottom"/>
            <w:hideMark/>
          </w:tcPr>
          <w:p w14:paraId="754E5AC9" w14:textId="106A2D0D" w:rsidR="0054191B" w:rsidRPr="0054191B" w:rsidRDefault="00EA7B53" w:rsidP="0054191B">
            <w:pPr>
              <w:spacing w:after="0" w:line="240" w:lineRule="auto"/>
              <w:rPr>
                <w:rFonts w:ascii="Calibri" w:eastAsia="Times New Roman" w:hAnsi="Calibri" w:cs="Calibri"/>
                <w:lang w:eastAsia="zh-CN"/>
              </w:rPr>
            </w:pPr>
            <w:r>
              <w:rPr>
                <w:rFonts w:ascii="Calibri" w:eastAsia="Times New Roman" w:hAnsi="Calibri" w:cs="Calibri"/>
                <w:lang w:eastAsia="zh-CN"/>
              </w:rPr>
              <w:t>Age and gender are self-explanatory</w:t>
            </w:r>
          </w:p>
        </w:tc>
      </w:tr>
      <w:tr w:rsidR="00EA7B53" w:rsidRPr="0054191B" w14:paraId="6240B44C"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7878B313"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497AE1D4" w14:textId="453BE941"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Quips5c_</w:t>
            </w:r>
            <w:r w:rsidR="00085E12">
              <w:rPr>
                <w:rFonts w:ascii="Calibri" w:eastAsia="Times New Roman" w:hAnsi="Calibri" w:cs="Calibri"/>
                <w:b/>
                <w:bCs/>
                <w:color w:val="000000"/>
                <w:lang w:eastAsia="zh-CN"/>
              </w:rPr>
              <w:t xml:space="preserve">measurement of </w:t>
            </w:r>
            <w:proofErr w:type="gramStart"/>
            <w:r w:rsidR="00085E12">
              <w:rPr>
                <w:rFonts w:ascii="Calibri" w:eastAsia="Times New Roman" w:hAnsi="Calibri" w:cs="Calibri"/>
                <w:b/>
                <w:bCs/>
                <w:color w:val="000000"/>
                <w:lang w:eastAsia="zh-CN"/>
              </w:rPr>
              <w:t>all important</w:t>
            </w:r>
            <w:proofErr w:type="gramEnd"/>
            <w:r w:rsidR="00085E12">
              <w:rPr>
                <w:rFonts w:ascii="Calibri" w:eastAsia="Times New Roman" w:hAnsi="Calibri" w:cs="Calibri"/>
                <w:b/>
                <w:bCs/>
                <w:color w:val="000000"/>
                <w:lang w:eastAsia="zh-CN"/>
              </w:rPr>
              <w:t xml:space="preserve"> confounders is adequately valid and reliable</w:t>
            </w:r>
          </w:p>
        </w:tc>
        <w:tc>
          <w:tcPr>
            <w:tcW w:w="7880" w:type="dxa"/>
            <w:tcBorders>
              <w:top w:val="nil"/>
              <w:left w:val="nil"/>
              <w:bottom w:val="single" w:sz="4" w:space="0" w:color="auto"/>
              <w:right w:val="single" w:sz="4" w:space="0" w:color="auto"/>
            </w:tcBorders>
            <w:shd w:val="clear" w:color="auto" w:fill="auto"/>
            <w:noWrap/>
            <w:vAlign w:val="bottom"/>
            <w:hideMark/>
          </w:tcPr>
          <w:p w14:paraId="0A365AA9" w14:textId="105CA185" w:rsidR="0054191B" w:rsidRPr="0054191B" w:rsidRDefault="00EA7B53" w:rsidP="0054191B">
            <w:pPr>
              <w:spacing w:after="0" w:line="240" w:lineRule="auto"/>
              <w:rPr>
                <w:rFonts w:ascii="Calibri" w:eastAsia="Times New Roman" w:hAnsi="Calibri" w:cs="Calibri"/>
                <w:lang w:eastAsia="zh-CN"/>
              </w:rPr>
            </w:pPr>
            <w:r>
              <w:rPr>
                <w:rFonts w:ascii="Calibri" w:eastAsia="Times New Roman" w:hAnsi="Calibri" w:cs="Calibri"/>
                <w:lang w:eastAsia="zh-CN"/>
              </w:rPr>
              <w:t>Age and gender are self-explanatory</w:t>
            </w:r>
          </w:p>
        </w:tc>
      </w:tr>
      <w:tr w:rsidR="00EA7B53" w:rsidRPr="0054191B" w14:paraId="4099A43F"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6751BC92"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45BC1BA2" w14:textId="0C638A13"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 xml:space="preserve">Quips5d_ </w:t>
            </w:r>
            <w:r w:rsidR="00085E12">
              <w:rPr>
                <w:rFonts w:ascii="Calibri" w:eastAsia="Times New Roman" w:hAnsi="Calibri" w:cs="Calibri"/>
                <w:b/>
                <w:bCs/>
                <w:color w:val="000000"/>
                <w:lang w:eastAsia="zh-CN"/>
              </w:rPr>
              <w:t>the method and setting of confounding measurement are the same for all study participants</w:t>
            </w:r>
          </w:p>
        </w:tc>
        <w:tc>
          <w:tcPr>
            <w:tcW w:w="7880" w:type="dxa"/>
            <w:tcBorders>
              <w:top w:val="nil"/>
              <w:left w:val="nil"/>
              <w:bottom w:val="single" w:sz="4" w:space="0" w:color="auto"/>
              <w:right w:val="single" w:sz="4" w:space="0" w:color="auto"/>
            </w:tcBorders>
            <w:shd w:val="clear" w:color="auto" w:fill="auto"/>
            <w:noWrap/>
            <w:vAlign w:val="bottom"/>
            <w:hideMark/>
          </w:tcPr>
          <w:p w14:paraId="5C7CF396" w14:textId="26FF14E1" w:rsidR="0054191B" w:rsidRPr="0054191B" w:rsidRDefault="00EA7B53" w:rsidP="0054191B">
            <w:pPr>
              <w:spacing w:after="0" w:line="240" w:lineRule="auto"/>
              <w:rPr>
                <w:rFonts w:ascii="Calibri" w:eastAsia="Times New Roman" w:hAnsi="Calibri" w:cs="Calibri"/>
                <w:lang w:eastAsia="zh-CN"/>
              </w:rPr>
            </w:pPr>
            <w:r>
              <w:rPr>
                <w:rFonts w:ascii="Calibri" w:eastAsia="Times New Roman" w:hAnsi="Calibri" w:cs="Calibri"/>
                <w:lang w:eastAsia="zh-CN"/>
              </w:rPr>
              <w:t>Age and gender are self-explanatory</w:t>
            </w:r>
          </w:p>
        </w:tc>
      </w:tr>
      <w:tr w:rsidR="00EA7B53" w:rsidRPr="0054191B" w14:paraId="4D1F6F01"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613EEE29"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46437C9A" w14:textId="248456C2"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Quips5e_</w:t>
            </w:r>
            <w:r w:rsidR="00085E12">
              <w:rPr>
                <w:rFonts w:ascii="Calibri" w:eastAsia="Times New Roman" w:hAnsi="Calibri" w:cs="Calibri"/>
                <w:b/>
                <w:bCs/>
                <w:color w:val="000000"/>
                <w:lang w:eastAsia="zh-CN"/>
              </w:rPr>
              <w:t>appropriate methods are used if imputation is used for missing confounder data</w:t>
            </w:r>
          </w:p>
        </w:tc>
        <w:tc>
          <w:tcPr>
            <w:tcW w:w="7880" w:type="dxa"/>
            <w:tcBorders>
              <w:top w:val="nil"/>
              <w:left w:val="nil"/>
              <w:bottom w:val="single" w:sz="4" w:space="0" w:color="auto"/>
              <w:right w:val="single" w:sz="4" w:space="0" w:color="auto"/>
            </w:tcBorders>
            <w:shd w:val="clear" w:color="auto" w:fill="auto"/>
            <w:noWrap/>
            <w:vAlign w:val="bottom"/>
            <w:hideMark/>
          </w:tcPr>
          <w:p w14:paraId="260FF464" w14:textId="5C250A03" w:rsidR="0054191B" w:rsidRPr="0054191B" w:rsidRDefault="0054191B" w:rsidP="0054191B">
            <w:pPr>
              <w:spacing w:after="0" w:line="240" w:lineRule="auto"/>
              <w:rPr>
                <w:rFonts w:ascii="Calibri" w:eastAsia="Times New Roman" w:hAnsi="Calibri" w:cs="Calibri"/>
                <w:lang w:eastAsia="zh-CN"/>
              </w:rPr>
            </w:pPr>
          </w:p>
        </w:tc>
      </w:tr>
      <w:tr w:rsidR="00EA7B53" w:rsidRPr="0054191B" w14:paraId="4870FEE6"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49F24890"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6ED695ED" w14:textId="00EB94D2"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Quips5f_</w:t>
            </w:r>
            <w:r w:rsidR="00085E12">
              <w:rPr>
                <w:rFonts w:ascii="Calibri" w:eastAsia="Times New Roman" w:hAnsi="Calibri" w:cs="Calibri"/>
                <w:b/>
                <w:bCs/>
                <w:color w:val="000000"/>
                <w:lang w:eastAsia="zh-CN"/>
              </w:rPr>
              <w:t>important potential confounders are accounted for in the study design and analysis</w:t>
            </w:r>
          </w:p>
        </w:tc>
        <w:tc>
          <w:tcPr>
            <w:tcW w:w="7880" w:type="dxa"/>
            <w:tcBorders>
              <w:top w:val="nil"/>
              <w:left w:val="nil"/>
              <w:bottom w:val="single" w:sz="4" w:space="0" w:color="auto"/>
              <w:right w:val="single" w:sz="4" w:space="0" w:color="auto"/>
            </w:tcBorders>
            <w:shd w:val="clear" w:color="auto" w:fill="auto"/>
            <w:noWrap/>
            <w:vAlign w:val="bottom"/>
            <w:hideMark/>
          </w:tcPr>
          <w:p w14:paraId="3942883B" w14:textId="2D4BA3EB" w:rsidR="0054191B" w:rsidRPr="0054191B" w:rsidRDefault="00EA7B53" w:rsidP="0054191B">
            <w:pPr>
              <w:spacing w:after="0" w:line="240" w:lineRule="auto"/>
              <w:rPr>
                <w:rFonts w:ascii="Calibri" w:eastAsia="Times New Roman" w:hAnsi="Calibri" w:cs="Calibri"/>
                <w:lang w:eastAsia="zh-CN"/>
              </w:rPr>
            </w:pPr>
            <w:r>
              <w:rPr>
                <w:rFonts w:ascii="Calibri" w:eastAsia="Times New Roman" w:hAnsi="Calibri" w:cs="Calibri"/>
                <w:lang w:eastAsia="zh-CN"/>
              </w:rPr>
              <w:t>Age and gender</w:t>
            </w:r>
          </w:p>
        </w:tc>
      </w:tr>
      <w:tr w:rsidR="00EA7B53" w:rsidRPr="0054191B" w14:paraId="046CF8F7" w14:textId="77777777" w:rsidTr="00EA7B53">
        <w:trPr>
          <w:trHeight w:val="290"/>
        </w:trPr>
        <w:tc>
          <w:tcPr>
            <w:tcW w:w="0" w:type="auto"/>
            <w:vMerge w:val="restart"/>
            <w:tcBorders>
              <w:top w:val="nil"/>
              <w:left w:val="single" w:sz="4" w:space="0" w:color="auto"/>
              <w:bottom w:val="single" w:sz="4" w:space="0" w:color="auto"/>
              <w:right w:val="single" w:sz="4" w:space="0" w:color="auto"/>
            </w:tcBorders>
            <w:shd w:val="clear" w:color="auto" w:fill="auto"/>
            <w:noWrap/>
            <w:vAlign w:val="center"/>
            <w:hideMark/>
          </w:tcPr>
          <w:p w14:paraId="31EF91A0" w14:textId="734068CD" w:rsidR="0054191B" w:rsidRPr="0054191B" w:rsidRDefault="0054191B" w:rsidP="0054191B">
            <w:pPr>
              <w:spacing w:after="0" w:line="240" w:lineRule="auto"/>
              <w:jc w:val="center"/>
              <w:rPr>
                <w:rFonts w:ascii="Calibri" w:eastAsia="Times New Roman" w:hAnsi="Calibri" w:cs="Calibri"/>
                <w:color w:val="000000"/>
                <w:lang w:eastAsia="zh-CN"/>
              </w:rPr>
            </w:pPr>
            <w:r w:rsidRPr="0054191B">
              <w:rPr>
                <w:rFonts w:ascii="Calibri" w:eastAsia="Times New Roman" w:hAnsi="Calibri" w:cs="Calibri"/>
                <w:color w:val="000000"/>
                <w:lang w:eastAsia="zh-CN"/>
              </w:rPr>
              <w:t>6</w:t>
            </w:r>
          </w:p>
        </w:tc>
        <w:tc>
          <w:tcPr>
            <w:tcW w:w="7249" w:type="dxa"/>
            <w:tcBorders>
              <w:top w:val="nil"/>
              <w:left w:val="nil"/>
              <w:bottom w:val="single" w:sz="4" w:space="0" w:color="auto"/>
              <w:right w:val="single" w:sz="4" w:space="0" w:color="auto"/>
            </w:tcBorders>
            <w:shd w:val="clear" w:color="auto" w:fill="FFFFFF" w:themeFill="background1"/>
            <w:noWrap/>
            <w:hideMark/>
          </w:tcPr>
          <w:p w14:paraId="4EB27952" w14:textId="63D9E0DB"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Quips6a_</w:t>
            </w:r>
            <w:proofErr w:type="gramStart"/>
            <w:r w:rsidRPr="0054191B">
              <w:rPr>
                <w:rFonts w:ascii="Calibri" w:eastAsia="Times New Roman" w:hAnsi="Calibri" w:cs="Calibri"/>
                <w:b/>
                <w:bCs/>
                <w:color w:val="000000"/>
                <w:lang w:eastAsia="zh-CN"/>
              </w:rPr>
              <w:t>sufficient</w:t>
            </w:r>
            <w:proofErr w:type="gramEnd"/>
            <w:r>
              <w:rPr>
                <w:rFonts w:ascii="Calibri" w:eastAsia="Times New Roman" w:hAnsi="Calibri" w:cs="Calibri"/>
                <w:b/>
                <w:bCs/>
                <w:color w:val="000000"/>
                <w:lang w:eastAsia="zh-CN"/>
              </w:rPr>
              <w:t xml:space="preserve"> </w:t>
            </w:r>
            <w:r w:rsidRPr="0054191B">
              <w:rPr>
                <w:rFonts w:ascii="Calibri" w:eastAsia="Times New Roman" w:hAnsi="Calibri" w:cs="Calibri"/>
                <w:b/>
                <w:bCs/>
                <w:color w:val="000000"/>
                <w:lang w:eastAsia="zh-CN"/>
              </w:rPr>
              <w:t>presentation</w:t>
            </w:r>
            <w:r>
              <w:rPr>
                <w:rFonts w:ascii="Calibri" w:eastAsia="Times New Roman" w:hAnsi="Calibri" w:cs="Calibri"/>
                <w:b/>
                <w:bCs/>
                <w:color w:val="000000"/>
                <w:lang w:eastAsia="zh-CN"/>
              </w:rPr>
              <w:t xml:space="preserve"> of data to assess adequacy of analytic strategy</w:t>
            </w:r>
          </w:p>
        </w:tc>
        <w:tc>
          <w:tcPr>
            <w:tcW w:w="7880" w:type="dxa"/>
            <w:tcBorders>
              <w:top w:val="nil"/>
              <w:left w:val="nil"/>
              <w:bottom w:val="single" w:sz="4" w:space="0" w:color="auto"/>
              <w:right w:val="single" w:sz="4" w:space="0" w:color="auto"/>
            </w:tcBorders>
            <w:shd w:val="clear" w:color="auto" w:fill="auto"/>
            <w:noWrap/>
            <w:vAlign w:val="bottom"/>
            <w:hideMark/>
          </w:tcPr>
          <w:p w14:paraId="2FE52298" w14:textId="6E2E34FD" w:rsidR="0054191B" w:rsidRPr="0054191B" w:rsidRDefault="00921FA7" w:rsidP="0054191B">
            <w:pPr>
              <w:spacing w:after="0" w:line="240" w:lineRule="auto"/>
              <w:rPr>
                <w:rFonts w:ascii="Calibri" w:eastAsia="Times New Roman" w:hAnsi="Calibri" w:cs="Calibri"/>
                <w:color w:val="000000"/>
                <w:lang w:eastAsia="zh-CN"/>
              </w:rPr>
            </w:pPr>
            <w:r>
              <w:rPr>
                <w:rFonts w:ascii="Calibri" w:eastAsia="Times New Roman" w:hAnsi="Calibri" w:cs="Calibri"/>
                <w:color w:val="000000"/>
                <w:lang w:eastAsia="zh-CN"/>
              </w:rPr>
              <w:t xml:space="preserve">Deemed </w:t>
            </w:r>
            <w:proofErr w:type="gramStart"/>
            <w:r>
              <w:rPr>
                <w:rFonts w:ascii="Calibri" w:eastAsia="Times New Roman" w:hAnsi="Calibri" w:cs="Calibri"/>
                <w:color w:val="000000"/>
                <w:lang w:eastAsia="zh-CN"/>
              </w:rPr>
              <w:t>s</w:t>
            </w:r>
            <w:r w:rsidR="0054191B" w:rsidRPr="0054191B">
              <w:rPr>
                <w:rFonts w:ascii="Calibri" w:eastAsia="Times New Roman" w:hAnsi="Calibri" w:cs="Calibri"/>
                <w:color w:val="000000"/>
                <w:lang w:eastAsia="zh-CN"/>
              </w:rPr>
              <w:t>ufficient</w:t>
            </w:r>
            <w:proofErr w:type="gramEnd"/>
            <w:r w:rsidR="0054191B" w:rsidRPr="0054191B">
              <w:rPr>
                <w:rFonts w:ascii="Calibri" w:eastAsia="Times New Roman" w:hAnsi="Calibri" w:cs="Calibri"/>
                <w:color w:val="000000"/>
                <w:lang w:eastAsia="zh-CN"/>
              </w:rPr>
              <w:t xml:space="preserve"> if analysis results presented </w:t>
            </w:r>
            <w:r w:rsidR="00EA7B53">
              <w:rPr>
                <w:rFonts w:ascii="Calibri" w:eastAsia="Times New Roman" w:hAnsi="Calibri" w:cs="Calibri"/>
                <w:color w:val="000000"/>
                <w:lang w:eastAsia="zh-CN"/>
              </w:rPr>
              <w:t xml:space="preserve">at least </w:t>
            </w:r>
            <w:r w:rsidR="0054191B" w:rsidRPr="0054191B">
              <w:rPr>
                <w:rFonts w:ascii="Calibri" w:eastAsia="Times New Roman" w:hAnsi="Calibri" w:cs="Calibri"/>
                <w:color w:val="000000"/>
                <w:lang w:eastAsia="zh-CN"/>
              </w:rPr>
              <w:t>in table form</w:t>
            </w:r>
          </w:p>
        </w:tc>
      </w:tr>
      <w:tr w:rsidR="00EA7B53" w:rsidRPr="0054191B" w14:paraId="2E18C09D"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6397C3BE"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FFFFFF" w:themeFill="background1"/>
            <w:noWrap/>
            <w:hideMark/>
          </w:tcPr>
          <w:p w14:paraId="503D29B6" w14:textId="4ACC740A"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Quips6b_strategy</w:t>
            </w:r>
            <w:r>
              <w:rPr>
                <w:rFonts w:ascii="Calibri" w:eastAsia="Times New Roman" w:hAnsi="Calibri" w:cs="Calibri"/>
                <w:b/>
                <w:bCs/>
                <w:color w:val="000000"/>
                <w:lang w:eastAsia="zh-CN"/>
              </w:rPr>
              <w:t xml:space="preserve"> for model building is appropriate and is based on a conceptual framework or model </w:t>
            </w:r>
          </w:p>
        </w:tc>
        <w:tc>
          <w:tcPr>
            <w:tcW w:w="7880" w:type="dxa"/>
            <w:tcBorders>
              <w:top w:val="nil"/>
              <w:left w:val="nil"/>
              <w:bottom w:val="single" w:sz="4" w:space="0" w:color="auto"/>
              <w:right w:val="single" w:sz="4" w:space="0" w:color="auto"/>
            </w:tcBorders>
            <w:shd w:val="clear" w:color="auto" w:fill="auto"/>
            <w:noWrap/>
            <w:vAlign w:val="bottom"/>
            <w:hideMark/>
          </w:tcPr>
          <w:p w14:paraId="55761537" w14:textId="0E5A2E91" w:rsidR="0054191B" w:rsidRPr="0054191B" w:rsidRDefault="0054191B" w:rsidP="0054191B">
            <w:pPr>
              <w:spacing w:after="0" w:line="240" w:lineRule="auto"/>
              <w:rPr>
                <w:rFonts w:ascii="Calibri" w:eastAsia="Times New Roman" w:hAnsi="Calibri" w:cs="Calibri"/>
                <w:color w:val="000000"/>
                <w:lang w:eastAsia="zh-CN"/>
              </w:rPr>
            </w:pPr>
            <w:r w:rsidRPr="0054191B">
              <w:rPr>
                <w:rFonts w:ascii="Calibri" w:eastAsia="Times New Roman" w:hAnsi="Calibri" w:cs="Calibri"/>
                <w:color w:val="000000"/>
                <w:lang w:eastAsia="zh-CN"/>
              </w:rPr>
              <w:t xml:space="preserve">All segmentation </w:t>
            </w:r>
            <w:r w:rsidR="00EA7B53">
              <w:rPr>
                <w:rFonts w:ascii="Calibri" w:eastAsia="Times New Roman" w:hAnsi="Calibri" w:cs="Calibri"/>
                <w:color w:val="000000"/>
                <w:lang w:eastAsia="zh-CN"/>
              </w:rPr>
              <w:t xml:space="preserve">tools </w:t>
            </w:r>
            <w:r w:rsidRPr="0054191B">
              <w:rPr>
                <w:rFonts w:ascii="Calibri" w:eastAsia="Times New Roman" w:hAnsi="Calibri" w:cs="Calibri"/>
                <w:color w:val="000000"/>
                <w:lang w:eastAsia="zh-CN"/>
              </w:rPr>
              <w:t xml:space="preserve">are </w:t>
            </w:r>
            <w:r w:rsidR="00921FA7" w:rsidRPr="0054191B">
              <w:rPr>
                <w:rFonts w:ascii="Calibri" w:eastAsia="Times New Roman" w:hAnsi="Calibri" w:cs="Calibri"/>
                <w:color w:val="000000"/>
                <w:lang w:eastAsia="zh-CN"/>
              </w:rPr>
              <w:t>expert,</w:t>
            </w:r>
            <w:r w:rsidRPr="0054191B">
              <w:rPr>
                <w:rFonts w:ascii="Calibri" w:eastAsia="Times New Roman" w:hAnsi="Calibri" w:cs="Calibri"/>
                <w:color w:val="000000"/>
                <w:lang w:eastAsia="zh-CN"/>
              </w:rPr>
              <w:t xml:space="preserve"> or data driven thus follow conceptual or model framework. </w:t>
            </w:r>
          </w:p>
        </w:tc>
      </w:tr>
      <w:tr w:rsidR="00EA7B53" w:rsidRPr="0054191B" w14:paraId="19772E85"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06A21484"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auto"/>
            <w:noWrap/>
            <w:hideMark/>
          </w:tcPr>
          <w:p w14:paraId="12F9B864" w14:textId="579EB15E"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Quips6c_</w:t>
            </w:r>
            <w:r w:rsidR="00085E12">
              <w:rPr>
                <w:rFonts w:ascii="Calibri" w:eastAsia="Times New Roman" w:hAnsi="Calibri" w:cs="Calibri"/>
                <w:b/>
                <w:bCs/>
                <w:color w:val="000000"/>
                <w:lang w:eastAsia="zh-CN"/>
              </w:rPr>
              <w:t xml:space="preserve">the </w:t>
            </w:r>
            <w:r>
              <w:rPr>
                <w:rFonts w:ascii="Calibri" w:eastAsia="Times New Roman" w:hAnsi="Calibri" w:cs="Calibri"/>
                <w:b/>
                <w:bCs/>
                <w:color w:val="000000"/>
                <w:lang w:eastAsia="zh-CN"/>
              </w:rPr>
              <w:t>selected statistical model adequate for design of study</w:t>
            </w:r>
          </w:p>
        </w:tc>
        <w:tc>
          <w:tcPr>
            <w:tcW w:w="7880" w:type="dxa"/>
            <w:tcBorders>
              <w:top w:val="nil"/>
              <w:left w:val="nil"/>
              <w:bottom w:val="single" w:sz="4" w:space="0" w:color="auto"/>
              <w:right w:val="single" w:sz="4" w:space="0" w:color="auto"/>
            </w:tcBorders>
            <w:shd w:val="clear" w:color="auto" w:fill="auto"/>
            <w:noWrap/>
            <w:vAlign w:val="bottom"/>
            <w:hideMark/>
          </w:tcPr>
          <w:p w14:paraId="11237CCB" w14:textId="1893BA47" w:rsidR="0054191B" w:rsidRPr="0054191B" w:rsidRDefault="0054191B" w:rsidP="0054191B">
            <w:pPr>
              <w:spacing w:after="0" w:line="240" w:lineRule="auto"/>
              <w:rPr>
                <w:rFonts w:ascii="Calibri" w:eastAsia="Times New Roman" w:hAnsi="Calibri" w:cs="Calibri"/>
                <w:color w:val="000000"/>
                <w:lang w:eastAsia="zh-CN"/>
              </w:rPr>
            </w:pPr>
            <w:r w:rsidRPr="0054191B">
              <w:rPr>
                <w:rFonts w:ascii="Calibri" w:eastAsia="Times New Roman" w:hAnsi="Calibri" w:cs="Calibri"/>
                <w:color w:val="000000"/>
                <w:lang w:eastAsia="zh-CN"/>
              </w:rPr>
              <w:t>Adequate if statistical analysis demonstrates prognostic ability of chosen outcome</w:t>
            </w:r>
          </w:p>
        </w:tc>
      </w:tr>
      <w:tr w:rsidR="00EA7B53" w:rsidRPr="0054191B" w14:paraId="5C478B78" w14:textId="77777777" w:rsidTr="00EA7B53">
        <w:trPr>
          <w:trHeight w:val="290"/>
        </w:trPr>
        <w:tc>
          <w:tcPr>
            <w:tcW w:w="0" w:type="auto"/>
            <w:vMerge/>
            <w:tcBorders>
              <w:top w:val="nil"/>
              <w:left w:val="single" w:sz="4" w:space="0" w:color="auto"/>
              <w:bottom w:val="single" w:sz="4" w:space="0" w:color="auto"/>
              <w:right w:val="single" w:sz="4" w:space="0" w:color="auto"/>
            </w:tcBorders>
            <w:vAlign w:val="center"/>
            <w:hideMark/>
          </w:tcPr>
          <w:p w14:paraId="0C4075B1" w14:textId="77777777" w:rsidR="0054191B" w:rsidRPr="0054191B" w:rsidRDefault="0054191B" w:rsidP="0054191B">
            <w:pPr>
              <w:spacing w:after="0" w:line="240" w:lineRule="auto"/>
              <w:rPr>
                <w:rFonts w:ascii="Calibri" w:eastAsia="Times New Roman" w:hAnsi="Calibri" w:cs="Calibri"/>
                <w:color w:val="000000"/>
                <w:lang w:eastAsia="zh-CN"/>
              </w:rPr>
            </w:pPr>
          </w:p>
        </w:tc>
        <w:tc>
          <w:tcPr>
            <w:tcW w:w="7249" w:type="dxa"/>
            <w:tcBorders>
              <w:top w:val="nil"/>
              <w:left w:val="nil"/>
              <w:bottom w:val="single" w:sz="4" w:space="0" w:color="auto"/>
              <w:right w:val="single" w:sz="4" w:space="0" w:color="auto"/>
            </w:tcBorders>
            <w:shd w:val="clear" w:color="auto" w:fill="auto"/>
            <w:noWrap/>
            <w:hideMark/>
          </w:tcPr>
          <w:p w14:paraId="1FEFC4D2" w14:textId="49446A31" w:rsidR="0054191B" w:rsidRPr="0054191B" w:rsidRDefault="0054191B" w:rsidP="0054191B">
            <w:pPr>
              <w:spacing w:after="0" w:line="240" w:lineRule="auto"/>
              <w:rPr>
                <w:rFonts w:ascii="Calibri" w:eastAsia="Times New Roman" w:hAnsi="Calibri" w:cs="Calibri"/>
                <w:b/>
                <w:bCs/>
                <w:color w:val="000000"/>
                <w:lang w:eastAsia="zh-CN"/>
              </w:rPr>
            </w:pPr>
            <w:r w:rsidRPr="0054191B">
              <w:rPr>
                <w:rFonts w:ascii="Calibri" w:eastAsia="Times New Roman" w:hAnsi="Calibri" w:cs="Calibri"/>
                <w:b/>
                <w:bCs/>
                <w:color w:val="000000"/>
                <w:lang w:eastAsia="zh-CN"/>
              </w:rPr>
              <w:t>Quips6d_</w:t>
            </w:r>
            <w:r w:rsidR="00085E12">
              <w:rPr>
                <w:rFonts w:ascii="Calibri" w:eastAsia="Times New Roman" w:hAnsi="Calibri" w:cs="Calibri"/>
                <w:b/>
                <w:bCs/>
                <w:color w:val="000000"/>
                <w:lang w:eastAsia="zh-CN"/>
              </w:rPr>
              <w:t xml:space="preserve">there is </w:t>
            </w:r>
            <w:r>
              <w:rPr>
                <w:rFonts w:ascii="Calibri" w:eastAsia="Times New Roman" w:hAnsi="Calibri" w:cs="Calibri"/>
                <w:b/>
                <w:bCs/>
                <w:color w:val="000000"/>
                <w:lang w:eastAsia="zh-CN"/>
              </w:rPr>
              <w:t xml:space="preserve">no </w:t>
            </w:r>
            <w:r w:rsidRPr="0054191B">
              <w:rPr>
                <w:rFonts w:ascii="Calibri" w:eastAsia="Times New Roman" w:hAnsi="Calibri" w:cs="Calibri"/>
                <w:b/>
                <w:bCs/>
                <w:color w:val="000000"/>
                <w:lang w:eastAsia="zh-CN"/>
              </w:rPr>
              <w:t>selective</w:t>
            </w:r>
            <w:r>
              <w:rPr>
                <w:rFonts w:ascii="Calibri" w:eastAsia="Times New Roman" w:hAnsi="Calibri" w:cs="Calibri"/>
                <w:b/>
                <w:bCs/>
                <w:color w:val="000000"/>
                <w:lang w:eastAsia="zh-CN"/>
              </w:rPr>
              <w:t xml:space="preserve"> </w:t>
            </w:r>
            <w:r w:rsidRPr="0054191B">
              <w:rPr>
                <w:rFonts w:ascii="Calibri" w:eastAsia="Times New Roman" w:hAnsi="Calibri" w:cs="Calibri"/>
                <w:b/>
                <w:bCs/>
                <w:color w:val="000000"/>
                <w:lang w:eastAsia="zh-CN"/>
              </w:rPr>
              <w:t>reporting</w:t>
            </w:r>
            <w:r>
              <w:rPr>
                <w:rFonts w:ascii="Calibri" w:eastAsia="Times New Roman" w:hAnsi="Calibri" w:cs="Calibri"/>
                <w:b/>
                <w:bCs/>
                <w:color w:val="000000"/>
                <w:lang w:eastAsia="zh-CN"/>
              </w:rPr>
              <w:t xml:space="preserve"> of results</w:t>
            </w:r>
          </w:p>
        </w:tc>
        <w:tc>
          <w:tcPr>
            <w:tcW w:w="7880" w:type="dxa"/>
            <w:tcBorders>
              <w:top w:val="nil"/>
              <w:left w:val="nil"/>
              <w:bottom w:val="single" w:sz="4" w:space="0" w:color="auto"/>
              <w:right w:val="single" w:sz="4" w:space="0" w:color="auto"/>
            </w:tcBorders>
            <w:shd w:val="clear" w:color="auto" w:fill="FFFFFF" w:themeFill="background1"/>
            <w:noWrap/>
            <w:vAlign w:val="bottom"/>
            <w:hideMark/>
          </w:tcPr>
          <w:p w14:paraId="4C5E64A2" w14:textId="264ECEB5" w:rsidR="0054191B" w:rsidRPr="0054191B" w:rsidRDefault="0054191B" w:rsidP="0054191B">
            <w:pPr>
              <w:spacing w:after="0" w:line="240" w:lineRule="auto"/>
              <w:rPr>
                <w:rFonts w:ascii="Calibri" w:eastAsia="Times New Roman" w:hAnsi="Calibri" w:cs="Calibri"/>
                <w:color w:val="000000"/>
                <w:lang w:eastAsia="zh-CN"/>
              </w:rPr>
            </w:pPr>
            <w:r w:rsidRPr="0054191B">
              <w:rPr>
                <w:rFonts w:ascii="Calibri" w:eastAsia="Times New Roman" w:hAnsi="Calibri" w:cs="Calibri"/>
                <w:color w:val="000000"/>
                <w:lang w:eastAsia="zh-CN"/>
              </w:rPr>
              <w:t xml:space="preserve">Prognostic ability of all segments should ideally be described, therefore reporting of variance explained measured such as </w:t>
            </w:r>
            <w:r w:rsidR="00EA7B53">
              <w:rPr>
                <w:rFonts w:ascii="Calibri" w:eastAsia="Times New Roman" w:hAnsi="Calibri" w:cs="Calibri"/>
                <w:color w:val="000000"/>
                <w:lang w:eastAsia="zh-CN"/>
              </w:rPr>
              <w:t>R</w:t>
            </w:r>
            <w:r w:rsidRPr="0054191B">
              <w:rPr>
                <w:rFonts w:ascii="Calibri" w:eastAsia="Times New Roman" w:hAnsi="Calibri" w:cs="Calibri"/>
                <w:color w:val="000000"/>
                <w:lang w:eastAsia="zh-CN"/>
              </w:rPr>
              <w:t xml:space="preserve">2 and </w:t>
            </w:r>
            <w:r w:rsidR="00EA7B53">
              <w:rPr>
                <w:rFonts w:ascii="Calibri" w:eastAsia="Times New Roman" w:hAnsi="Calibri" w:cs="Calibri"/>
                <w:color w:val="000000"/>
                <w:lang w:eastAsia="zh-CN"/>
              </w:rPr>
              <w:t xml:space="preserve">BIC </w:t>
            </w:r>
            <w:r w:rsidRPr="0054191B">
              <w:rPr>
                <w:rFonts w:ascii="Calibri" w:eastAsia="Times New Roman" w:hAnsi="Calibri" w:cs="Calibri"/>
                <w:color w:val="000000"/>
                <w:lang w:eastAsia="zh-CN"/>
              </w:rPr>
              <w:t xml:space="preserve">are acceptable. If certain segments omitted from </w:t>
            </w:r>
            <w:r w:rsidR="00EA7B53">
              <w:rPr>
                <w:rFonts w:ascii="Calibri" w:eastAsia="Times New Roman" w:hAnsi="Calibri" w:cs="Calibri"/>
                <w:color w:val="000000"/>
                <w:lang w:eastAsia="zh-CN"/>
              </w:rPr>
              <w:t xml:space="preserve">reported analysis, </w:t>
            </w:r>
            <w:r w:rsidRPr="0054191B">
              <w:rPr>
                <w:rFonts w:ascii="Calibri" w:eastAsia="Times New Roman" w:hAnsi="Calibri" w:cs="Calibri"/>
                <w:color w:val="000000"/>
                <w:lang w:eastAsia="zh-CN"/>
              </w:rPr>
              <w:t xml:space="preserve">e.g. </w:t>
            </w:r>
            <w:r w:rsidR="00EA7B53">
              <w:rPr>
                <w:rFonts w:ascii="Calibri" w:eastAsia="Times New Roman" w:hAnsi="Calibri" w:cs="Calibri"/>
                <w:color w:val="000000"/>
                <w:lang w:eastAsia="zh-CN"/>
              </w:rPr>
              <w:t xml:space="preserve">ANOVA </w:t>
            </w:r>
            <w:r w:rsidRPr="0054191B">
              <w:rPr>
                <w:rFonts w:ascii="Calibri" w:eastAsia="Times New Roman" w:hAnsi="Calibri" w:cs="Calibri"/>
                <w:color w:val="000000"/>
                <w:lang w:eastAsia="zh-CN"/>
              </w:rPr>
              <w:t xml:space="preserve">analysis conducted </w:t>
            </w:r>
            <w:r w:rsidR="00EA7B53">
              <w:rPr>
                <w:rFonts w:ascii="Calibri" w:eastAsia="Times New Roman" w:hAnsi="Calibri" w:cs="Calibri"/>
                <w:color w:val="000000"/>
                <w:lang w:eastAsia="zh-CN"/>
              </w:rPr>
              <w:t xml:space="preserve">omitted </w:t>
            </w:r>
            <w:r w:rsidRPr="0054191B">
              <w:rPr>
                <w:rFonts w:ascii="Calibri" w:eastAsia="Times New Roman" w:hAnsi="Calibri" w:cs="Calibri"/>
                <w:color w:val="000000"/>
                <w:lang w:eastAsia="zh-CN"/>
              </w:rPr>
              <w:t>some segments' prognostic ability</w:t>
            </w:r>
            <w:r w:rsidR="00EA7B53">
              <w:rPr>
                <w:rFonts w:ascii="Calibri" w:eastAsia="Times New Roman" w:hAnsi="Calibri" w:cs="Calibri"/>
                <w:color w:val="000000"/>
                <w:lang w:eastAsia="zh-CN"/>
              </w:rPr>
              <w:t>, consider as selective reporting</w:t>
            </w:r>
            <w:r w:rsidRPr="0054191B">
              <w:rPr>
                <w:rFonts w:ascii="Calibri" w:eastAsia="Times New Roman" w:hAnsi="Calibri" w:cs="Calibri"/>
                <w:color w:val="000000"/>
                <w:lang w:eastAsia="zh-CN"/>
              </w:rPr>
              <w:t xml:space="preserve">. </w:t>
            </w:r>
          </w:p>
        </w:tc>
      </w:tr>
    </w:tbl>
    <w:p w14:paraId="2E2D9562" w14:textId="2B84AFCB" w:rsidR="00CC70A1" w:rsidRDefault="00BE010B">
      <w:pPr>
        <w:rPr>
          <w:rFonts w:ascii="Times New Roman" w:hAnsi="Times New Roman" w:cs="Times New Roman"/>
          <w:b/>
          <w:sz w:val="24"/>
          <w:szCs w:val="24"/>
        </w:rPr>
      </w:pPr>
      <w:r>
        <w:rPr>
          <w:rFonts w:ascii="Times New Roman" w:hAnsi="Times New Roman" w:cs="Times New Roman"/>
          <w:b/>
          <w:sz w:val="24"/>
          <w:szCs w:val="24"/>
        </w:rPr>
        <w:br w:type="page"/>
      </w:r>
      <w:r w:rsidR="00921FA7">
        <w:rPr>
          <w:rFonts w:ascii="Times New Roman" w:hAnsi="Times New Roman" w:cs="Times New Roman"/>
          <w:b/>
          <w:sz w:val="24"/>
          <w:szCs w:val="24"/>
        </w:rPr>
        <w:lastRenderedPageBreak/>
        <w:t>Appendix F</w:t>
      </w:r>
      <w:r w:rsidR="00CE0E1D">
        <w:rPr>
          <w:rFonts w:ascii="Times New Roman" w:hAnsi="Times New Roman" w:cs="Times New Roman"/>
          <w:b/>
          <w:sz w:val="24"/>
          <w:szCs w:val="24"/>
        </w:rPr>
        <w:t>: Detailed QUIPS rating</w:t>
      </w:r>
    </w:p>
    <w:tbl>
      <w:tblPr>
        <w:tblW w:w="15468" w:type="dxa"/>
        <w:tblLayout w:type="fixed"/>
        <w:tblCellMar>
          <w:left w:w="0" w:type="dxa"/>
          <w:right w:w="0" w:type="dxa"/>
        </w:tblCellMar>
        <w:tblLook w:val="04A0" w:firstRow="1" w:lastRow="0" w:firstColumn="1" w:lastColumn="0" w:noHBand="0" w:noVBand="1"/>
      </w:tblPr>
      <w:tblGrid>
        <w:gridCol w:w="279"/>
        <w:gridCol w:w="567"/>
        <w:gridCol w:w="567"/>
        <w:gridCol w:w="545"/>
        <w:gridCol w:w="624"/>
        <w:gridCol w:w="764"/>
        <w:gridCol w:w="718"/>
        <w:gridCol w:w="672"/>
        <w:gridCol w:w="655"/>
        <w:gridCol w:w="713"/>
        <w:gridCol w:w="629"/>
        <w:gridCol w:w="640"/>
        <w:gridCol w:w="683"/>
        <w:gridCol w:w="483"/>
        <w:gridCol w:w="583"/>
        <w:gridCol w:w="754"/>
        <w:gridCol w:w="969"/>
        <w:gridCol w:w="643"/>
        <w:gridCol w:w="726"/>
        <w:gridCol w:w="662"/>
        <w:gridCol w:w="761"/>
        <w:gridCol w:w="943"/>
        <w:gridCol w:w="888"/>
      </w:tblGrid>
      <w:tr w:rsidR="00731C83" w:rsidRPr="00EB68A2" w14:paraId="628D4DBE" w14:textId="77777777" w:rsidTr="00731C83">
        <w:trPr>
          <w:trHeight w:val="290"/>
        </w:trPr>
        <w:tc>
          <w:tcPr>
            <w:tcW w:w="27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696206" w14:textId="1D483317" w:rsidR="00EB68A2" w:rsidRPr="00EB68A2" w:rsidRDefault="00EB68A2">
            <w:pPr>
              <w:rPr>
                <w:rFonts w:ascii="Calibri" w:hAnsi="Calibri" w:cs="Calibri"/>
                <w:color w:val="000000"/>
                <w:sz w:val="14"/>
              </w:rPr>
            </w:pPr>
            <w:r w:rsidRPr="00EB68A2">
              <w:rPr>
                <w:rFonts w:ascii="Calibri" w:hAnsi="Calibri" w:cs="Calibri"/>
                <w:color w:val="000000"/>
                <w:sz w:val="14"/>
              </w:rPr>
              <w:t>S/N</w:t>
            </w:r>
          </w:p>
        </w:tc>
        <w:tc>
          <w:tcPr>
            <w:tcW w:w="56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E26674" w14:textId="65F69B7F" w:rsidR="00EB68A2" w:rsidRPr="00EB68A2" w:rsidRDefault="00EB68A2">
            <w:pPr>
              <w:rPr>
                <w:rFonts w:ascii="Calibri" w:hAnsi="Calibri" w:cs="Calibri"/>
                <w:color w:val="000000"/>
                <w:sz w:val="14"/>
              </w:rPr>
            </w:pPr>
            <w:r w:rsidRPr="00EB68A2">
              <w:rPr>
                <w:rFonts w:ascii="Calibri" w:hAnsi="Calibri" w:cs="Calibri"/>
                <w:color w:val="000000"/>
                <w:sz w:val="14"/>
              </w:rPr>
              <w:t>First</w:t>
            </w:r>
            <w:r w:rsidR="00731C83">
              <w:rPr>
                <w:rFonts w:ascii="Calibri" w:hAnsi="Calibri" w:cs="Calibri"/>
                <w:color w:val="000000"/>
                <w:sz w:val="14"/>
              </w:rPr>
              <w:t xml:space="preserve"> </w:t>
            </w:r>
            <w:r w:rsidRPr="00EB68A2">
              <w:rPr>
                <w:rFonts w:ascii="Calibri" w:hAnsi="Calibri" w:cs="Calibri"/>
                <w:color w:val="000000"/>
                <w:sz w:val="14"/>
              </w:rPr>
              <w:t>Author</w:t>
            </w:r>
          </w:p>
        </w:tc>
        <w:tc>
          <w:tcPr>
            <w:tcW w:w="56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816E05"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QUIPS1a_AdeParticipation</w:t>
            </w:r>
          </w:p>
        </w:tc>
        <w:tc>
          <w:tcPr>
            <w:tcW w:w="54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E6695A7"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QUIPS1b_DescSource</w:t>
            </w:r>
          </w:p>
        </w:tc>
        <w:tc>
          <w:tcPr>
            <w:tcW w:w="62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87E75C"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QUIPS1c_DescBaseline</w:t>
            </w:r>
          </w:p>
        </w:tc>
        <w:tc>
          <w:tcPr>
            <w:tcW w:w="76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8C37708"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QUIPS1d_DescFrameRecruit</w:t>
            </w:r>
          </w:p>
        </w:tc>
        <w:tc>
          <w:tcPr>
            <w:tcW w:w="718"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BA5A1B"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QUIPS1e_DescPeriodPlace</w:t>
            </w:r>
          </w:p>
        </w:tc>
        <w:tc>
          <w:tcPr>
            <w:tcW w:w="672"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1F7C60"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QUIPS1f_DesInExCriteria</w:t>
            </w:r>
          </w:p>
        </w:tc>
        <w:tc>
          <w:tcPr>
            <w:tcW w:w="65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F33C0C"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QUIPS2a_ResponseRate</w:t>
            </w:r>
          </w:p>
        </w:tc>
        <w:tc>
          <w:tcPr>
            <w:tcW w:w="71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1539C02"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QUIPS2b_AttempDropOut</w:t>
            </w:r>
          </w:p>
        </w:tc>
        <w:tc>
          <w:tcPr>
            <w:tcW w:w="62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F94D81C"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QUIPS2c_ReasonsLoss</w:t>
            </w:r>
          </w:p>
        </w:tc>
        <w:tc>
          <w:tcPr>
            <w:tcW w:w="64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C338CC6"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QUIPS2d_DescDropOut</w:t>
            </w:r>
          </w:p>
        </w:tc>
        <w:tc>
          <w:tcPr>
            <w:tcW w:w="68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AC89A2"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QUIPS2e_NoDiffDropOut</w:t>
            </w:r>
          </w:p>
        </w:tc>
        <w:tc>
          <w:tcPr>
            <w:tcW w:w="48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28CF83"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QUIPS3a_ClearPF</w:t>
            </w:r>
          </w:p>
        </w:tc>
        <w:tc>
          <w:tcPr>
            <w:tcW w:w="58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6ADAF41"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QUIPS3b_MeasurePF</w:t>
            </w:r>
          </w:p>
        </w:tc>
        <w:tc>
          <w:tcPr>
            <w:tcW w:w="75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292235"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QUIPS3c_ReportContCutOff</w:t>
            </w:r>
          </w:p>
        </w:tc>
        <w:tc>
          <w:tcPr>
            <w:tcW w:w="96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5124409"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QUIPS3d_SameMethodParticipants</w:t>
            </w:r>
          </w:p>
        </w:tc>
        <w:tc>
          <w:tcPr>
            <w:tcW w:w="64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C905FA"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QUIPS3e_AdeComplete</w:t>
            </w:r>
          </w:p>
        </w:tc>
        <w:tc>
          <w:tcPr>
            <w:tcW w:w="72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F739A3"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QUIPS3f_ApproImputation</w:t>
            </w:r>
          </w:p>
        </w:tc>
        <w:tc>
          <w:tcPr>
            <w:tcW w:w="662"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16AF8AE"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QUIPS4a_ClearOutcome</w:t>
            </w:r>
          </w:p>
        </w:tc>
        <w:tc>
          <w:tcPr>
            <w:tcW w:w="76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FD31C95"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QUIPS4b_MeasureOutcome</w:t>
            </w:r>
          </w:p>
        </w:tc>
        <w:tc>
          <w:tcPr>
            <w:tcW w:w="94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0FC2CCA"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QUIPS4c_SameMethodParticipants</w:t>
            </w:r>
          </w:p>
        </w:tc>
        <w:tc>
          <w:tcPr>
            <w:tcW w:w="888"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54EFEC0" w14:textId="77777777" w:rsidR="00EB68A2" w:rsidRPr="00EB68A2" w:rsidRDefault="00EB68A2">
            <w:pPr>
              <w:rPr>
                <w:rFonts w:ascii="Calibri" w:hAnsi="Calibri" w:cs="Calibri"/>
                <w:color w:val="000000"/>
                <w:sz w:val="14"/>
              </w:rPr>
            </w:pPr>
            <w:r w:rsidRPr="00EB68A2">
              <w:rPr>
                <w:rFonts w:ascii="Calibri" w:hAnsi="Calibri" w:cs="Calibri"/>
                <w:color w:val="000000"/>
                <w:sz w:val="14"/>
              </w:rPr>
              <w:t>QUIPS4d_SameMethodFollowUp</w:t>
            </w:r>
          </w:p>
        </w:tc>
      </w:tr>
      <w:tr w:rsidR="00731C83" w:rsidRPr="00EB68A2" w14:paraId="5CAEC935"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1EC68EF" w14:textId="77777777" w:rsidR="00EB68A2" w:rsidRPr="00EB68A2" w:rsidRDefault="00EB68A2">
            <w:pPr>
              <w:jc w:val="right"/>
              <w:rPr>
                <w:rFonts w:ascii="Calibri" w:hAnsi="Calibri" w:cs="Calibri"/>
                <w:color w:val="000000"/>
                <w:sz w:val="14"/>
              </w:rPr>
            </w:pPr>
            <w:r w:rsidRPr="00EB68A2">
              <w:rPr>
                <w:rFonts w:ascii="Calibri" w:hAnsi="Calibri" w:cs="Calibri"/>
                <w:color w:val="000000"/>
                <w:sz w:val="14"/>
              </w:rPr>
              <w:t>1</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827CC7" w14:textId="69438449" w:rsidR="00EB68A2" w:rsidRPr="00EB68A2" w:rsidRDefault="00731C83">
            <w:pPr>
              <w:rPr>
                <w:rFonts w:ascii="Calibri" w:hAnsi="Calibri" w:cs="Calibri"/>
                <w:color w:val="000000"/>
                <w:sz w:val="14"/>
              </w:rPr>
            </w:pPr>
            <w:r w:rsidRPr="00EB68A2">
              <w:rPr>
                <w:rFonts w:ascii="Calibri" w:hAnsi="Calibri" w:cs="Calibri"/>
                <w:color w:val="000000"/>
                <w:sz w:val="14"/>
              </w:rPr>
              <w:t>ORUETA</w:t>
            </w:r>
          </w:p>
        </w:tc>
        <w:tc>
          <w:tcPr>
            <w:tcW w:w="56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39F9C3F9" w14:textId="77777777" w:rsidR="00EB68A2" w:rsidRPr="00EB68A2" w:rsidRDefault="00EB68A2">
            <w:pPr>
              <w:rPr>
                <w:rFonts w:ascii="Calibri" w:hAnsi="Calibri" w:cs="Calibri"/>
                <w:color w:val="000000"/>
                <w:sz w:val="14"/>
              </w:rPr>
            </w:pPr>
            <w:r w:rsidRPr="00EB68A2">
              <w:rPr>
                <w:rFonts w:ascii="Calibri" w:hAnsi="Calibri" w:cs="Calibri"/>
                <w:color w:val="000000"/>
                <w:sz w:val="14"/>
              </w:rPr>
              <w:t>No</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DDFED97" w14:textId="77777777" w:rsidR="00EB68A2" w:rsidRPr="00EB68A2" w:rsidRDefault="00EB68A2">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2AA944B" w14:textId="77777777" w:rsidR="00EB68A2" w:rsidRPr="00EB68A2" w:rsidRDefault="00EB68A2">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507E44C" w14:textId="77777777" w:rsidR="00EB68A2" w:rsidRPr="00EB68A2" w:rsidRDefault="00EB68A2">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ACE3CC2" w14:textId="77777777" w:rsidR="00EB68A2" w:rsidRPr="00EB68A2" w:rsidRDefault="00EB68A2">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4FDAFC6" w14:textId="77777777" w:rsidR="00EB68A2" w:rsidRPr="00EB68A2" w:rsidRDefault="00EB68A2">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4D1BD7" w14:textId="3C1EA9C3" w:rsidR="00EB68A2" w:rsidRPr="00EB68A2" w:rsidRDefault="00EB68A2">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031E9EF" w14:textId="57F1A23F" w:rsidR="00EB68A2" w:rsidRPr="00EB68A2" w:rsidRDefault="00EB68A2">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5E86624" w14:textId="6BEA22A0" w:rsidR="00EB68A2" w:rsidRPr="00EB68A2" w:rsidRDefault="00EB68A2">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FA357B4" w14:textId="103F48DE" w:rsidR="00EB68A2" w:rsidRPr="00EB68A2" w:rsidRDefault="00EB68A2">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868926C" w14:textId="66DB201F" w:rsidR="00EB68A2" w:rsidRPr="00EB68A2" w:rsidRDefault="00EB68A2">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EC600CB" w14:textId="77777777" w:rsidR="00EB68A2" w:rsidRPr="00EB68A2" w:rsidRDefault="00EB68A2">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D193122" w14:textId="77777777" w:rsidR="00EB68A2" w:rsidRPr="00EB68A2" w:rsidRDefault="00EB68A2">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A7EA078" w14:textId="77777777" w:rsidR="00EB68A2" w:rsidRPr="00EB68A2" w:rsidRDefault="00EB68A2">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6DF0180" w14:textId="77777777" w:rsidR="00EB68A2" w:rsidRPr="00EB68A2" w:rsidRDefault="00EB68A2">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5449402C" w14:textId="77777777" w:rsidR="00EB68A2" w:rsidRPr="00EB68A2" w:rsidRDefault="00EB68A2">
            <w:pPr>
              <w:rPr>
                <w:rFonts w:ascii="Calibri" w:hAnsi="Calibri" w:cs="Calibri"/>
                <w:color w:val="000000"/>
                <w:sz w:val="14"/>
              </w:rPr>
            </w:pPr>
            <w:r w:rsidRPr="00EB68A2">
              <w:rPr>
                <w:rFonts w:ascii="Calibri" w:hAnsi="Calibri" w:cs="Calibri"/>
                <w:color w:val="000000"/>
                <w:sz w:val="14"/>
              </w:rPr>
              <w:t>No</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92FCC6D" w14:textId="77777777" w:rsidR="00EB68A2" w:rsidRPr="00EB68A2" w:rsidRDefault="00EB68A2">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9C22F6A" w14:textId="77777777" w:rsidR="00EB68A2" w:rsidRPr="00EB68A2" w:rsidRDefault="00EB68A2">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9A1C9BB" w14:textId="77777777" w:rsidR="00EB68A2" w:rsidRPr="00EB68A2" w:rsidRDefault="00EB68A2">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EC4C4B5" w14:textId="77777777" w:rsidR="00EB68A2" w:rsidRPr="00EB68A2" w:rsidRDefault="00EB68A2">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DBB08F3" w14:textId="77777777" w:rsidR="00EB68A2" w:rsidRPr="00EB68A2" w:rsidRDefault="00EB68A2">
            <w:pPr>
              <w:rPr>
                <w:rFonts w:ascii="Calibri" w:hAnsi="Calibri" w:cs="Calibri"/>
                <w:color w:val="000000"/>
                <w:sz w:val="14"/>
              </w:rPr>
            </w:pPr>
            <w:r w:rsidRPr="00EB68A2">
              <w:rPr>
                <w:rFonts w:ascii="Calibri" w:hAnsi="Calibri" w:cs="Calibri"/>
                <w:color w:val="000000"/>
                <w:sz w:val="14"/>
              </w:rPr>
              <w:t>Yes</w:t>
            </w:r>
          </w:p>
        </w:tc>
      </w:tr>
      <w:tr w:rsidR="00731C83" w:rsidRPr="00EB68A2" w14:paraId="36CEA8D7"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69E6A6"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3</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1C23376" w14:textId="766AF2FF" w:rsidR="00EB68A2" w:rsidRPr="00EB68A2" w:rsidRDefault="00731C83" w:rsidP="00CC70A1">
            <w:pPr>
              <w:rPr>
                <w:rFonts w:ascii="Calibri" w:hAnsi="Calibri" w:cs="Calibri"/>
                <w:color w:val="000000"/>
                <w:sz w:val="14"/>
              </w:rPr>
            </w:pPr>
            <w:r w:rsidRPr="00EB68A2">
              <w:rPr>
                <w:rFonts w:ascii="Calibri" w:hAnsi="Calibri" w:cs="Calibri"/>
                <w:color w:val="000000"/>
                <w:sz w:val="14"/>
              </w:rPr>
              <w:t>STARFIELD</w:t>
            </w:r>
          </w:p>
        </w:tc>
        <w:tc>
          <w:tcPr>
            <w:tcW w:w="56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23D28C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F53591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5B8E145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4AFE60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B19C91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743F96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5C2D469" w14:textId="4624BF66"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E5B6F46" w14:textId="0ACF805A"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4C8B3EF" w14:textId="557BBD6F"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2ABBA0E" w14:textId="071F22C5"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10D89F1" w14:textId="50859211"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F71E11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ED59AB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39CD9B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357F6C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0A3E35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A55B51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511BCA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48019F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1708F1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62D487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04ADE88D"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300EA2"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4</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BAE1E1E" w14:textId="0F48F9A7" w:rsidR="00EB68A2" w:rsidRPr="00EB68A2" w:rsidRDefault="00731C83" w:rsidP="00CC70A1">
            <w:pPr>
              <w:rPr>
                <w:rFonts w:ascii="Calibri" w:hAnsi="Calibri" w:cs="Calibri"/>
                <w:color w:val="000000"/>
                <w:sz w:val="14"/>
              </w:rPr>
            </w:pPr>
            <w:r w:rsidRPr="00EB68A2">
              <w:rPr>
                <w:rFonts w:ascii="Calibri" w:hAnsi="Calibri" w:cs="Calibri"/>
                <w:color w:val="000000"/>
                <w:sz w:val="14"/>
              </w:rPr>
              <w:t>JUNCOSA</w:t>
            </w:r>
          </w:p>
        </w:tc>
        <w:tc>
          <w:tcPr>
            <w:tcW w:w="56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1C6206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8D57EB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216AD28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A1C522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B8951D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E15F94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C09E865" w14:textId="0B65A8D5"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3255A6A" w14:textId="560A9D30"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B0A4151" w14:textId="703D21E9"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3788BBB" w14:textId="744AE1ED"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2956478" w14:textId="77CA2BB8"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83C19C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4B5940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4FC94E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8E8486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22DF73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871355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A1763C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E5CA79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395DF7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7AB888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57D28919"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EBF2F5C"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5</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889080" w14:textId="3877F0A2" w:rsidR="00EB68A2" w:rsidRPr="00EB68A2" w:rsidRDefault="00731C83" w:rsidP="00CC70A1">
            <w:pPr>
              <w:rPr>
                <w:rFonts w:ascii="Calibri" w:hAnsi="Calibri" w:cs="Calibri"/>
                <w:color w:val="000000"/>
                <w:sz w:val="14"/>
              </w:rPr>
            </w:pPr>
            <w:r w:rsidRPr="00EB68A2">
              <w:rPr>
                <w:rFonts w:ascii="Calibri" w:hAnsi="Calibri" w:cs="Calibri"/>
                <w:color w:val="000000"/>
                <w:sz w:val="14"/>
              </w:rPr>
              <w:t>REID</w:t>
            </w:r>
          </w:p>
        </w:tc>
        <w:tc>
          <w:tcPr>
            <w:tcW w:w="56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D1C3B3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F17A59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9383CB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D7E0E6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7FC2C3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037F6F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E095CA8" w14:textId="51C6D7CE"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8348275" w14:textId="5451E68E"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17D8BCA" w14:textId="6506C4ED"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8686A39" w14:textId="4FBDB527"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8BFDC21" w14:textId="3BDB7914"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36CD7F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1A63A3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113D96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188D9B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A15981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977FEA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B71EA4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C3628F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4CE973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48D2DF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2BD912AD"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2E26E55"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6</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AF7C16" w14:textId="696C8E40" w:rsidR="00EB68A2" w:rsidRPr="00EB68A2" w:rsidRDefault="00731C83" w:rsidP="00CC70A1">
            <w:pPr>
              <w:rPr>
                <w:rFonts w:ascii="Calibri" w:hAnsi="Calibri" w:cs="Calibri"/>
                <w:color w:val="000000"/>
                <w:sz w:val="14"/>
              </w:rPr>
            </w:pPr>
            <w:r w:rsidRPr="00EB68A2">
              <w:rPr>
                <w:rFonts w:ascii="Calibri" w:hAnsi="Calibri" w:cs="Calibri"/>
                <w:color w:val="000000"/>
                <w:sz w:val="14"/>
              </w:rPr>
              <w:t>SICRAS-MAINAR</w:t>
            </w:r>
          </w:p>
        </w:tc>
        <w:tc>
          <w:tcPr>
            <w:tcW w:w="56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E381D3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9C60D9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E052E4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7CC54D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4E0C00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D32F42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6CC62F1" w14:textId="623EE50F"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9FC7FEF" w14:textId="21E6506F"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6C4B922" w14:textId="1BA87FF4"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3FF27DD" w14:textId="2A416E03"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EA9334F" w14:textId="2B262FAD"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C22385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7D9196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EAF970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141938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BC56D6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00397E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4E6963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D1E738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4430C4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B3B2B3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1510A23E"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AE3F27"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7</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B99FDF" w14:textId="28981AC8" w:rsidR="00EB68A2" w:rsidRPr="00EB68A2" w:rsidRDefault="00731C83" w:rsidP="00CC70A1">
            <w:pPr>
              <w:rPr>
                <w:rFonts w:ascii="Calibri" w:hAnsi="Calibri" w:cs="Calibri"/>
                <w:color w:val="000000"/>
                <w:sz w:val="14"/>
              </w:rPr>
            </w:pPr>
            <w:r w:rsidRPr="00EB68A2">
              <w:rPr>
                <w:rFonts w:ascii="Calibri" w:hAnsi="Calibri" w:cs="Calibri"/>
                <w:color w:val="000000"/>
                <w:sz w:val="14"/>
              </w:rPr>
              <w:t xml:space="preserve">ZIELINSKI </w:t>
            </w:r>
          </w:p>
        </w:tc>
        <w:tc>
          <w:tcPr>
            <w:tcW w:w="56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0370CA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AECFF9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116223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92A7F9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E6D191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A67AC3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647A528" w14:textId="26098863"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597D942" w14:textId="56C209CB"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D7677D8" w14:textId="6CFE83B0"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4E05C27" w14:textId="7B0EFA0F"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E3C3756" w14:textId="089C0CDC"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72398B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BA5657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333462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117F73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F734AF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5101E6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66C31F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FC66A1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9E0AA2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AEC843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62BFFBEC"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A2CF080"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8</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133F61" w14:textId="631CE8F7" w:rsidR="00EB68A2" w:rsidRPr="00EB68A2" w:rsidRDefault="00731C83" w:rsidP="00CC70A1">
            <w:pPr>
              <w:rPr>
                <w:rFonts w:ascii="Calibri" w:hAnsi="Calibri" w:cs="Calibri"/>
                <w:color w:val="000000"/>
                <w:sz w:val="14"/>
              </w:rPr>
            </w:pPr>
            <w:r w:rsidRPr="00EB68A2">
              <w:rPr>
                <w:rFonts w:ascii="Calibri" w:hAnsi="Calibri" w:cs="Calibri"/>
                <w:color w:val="000000"/>
                <w:sz w:val="14"/>
              </w:rPr>
              <w:t>HAAS</w:t>
            </w:r>
          </w:p>
        </w:tc>
        <w:tc>
          <w:tcPr>
            <w:tcW w:w="56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2273671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047E5E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14BC05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21F636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93592C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74BC74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1282451" w14:textId="46610DF8"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C05FC22" w14:textId="1461AAA7"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CA693D9" w14:textId="01DC8E0E"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D82AA19" w14:textId="05426A35"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8C458BF" w14:textId="5FF132CB"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F8D852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33A2D5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9EA4C5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C7F17B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2BEBD1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A684EB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EA0303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265E21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99EF31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1E1247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5F9BA246"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307136"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9</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74202D" w14:textId="272CFF80" w:rsidR="00EB68A2" w:rsidRPr="00EB68A2" w:rsidRDefault="00731C83" w:rsidP="00CC70A1">
            <w:pPr>
              <w:rPr>
                <w:rFonts w:ascii="Calibri" w:hAnsi="Calibri" w:cs="Calibri"/>
                <w:color w:val="000000"/>
                <w:sz w:val="14"/>
              </w:rPr>
            </w:pPr>
            <w:r w:rsidRPr="00EB68A2">
              <w:rPr>
                <w:rFonts w:ascii="Calibri" w:hAnsi="Calibri" w:cs="Calibri"/>
                <w:color w:val="000000"/>
                <w:sz w:val="14"/>
              </w:rPr>
              <w:t>LEMKE</w:t>
            </w:r>
          </w:p>
        </w:tc>
        <w:tc>
          <w:tcPr>
            <w:tcW w:w="56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1503260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4D7BA6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317010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48F037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D84E69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E8EFA1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E1CDF8D" w14:textId="3F49C559"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4B921F3" w14:textId="0C24BC87"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D585FB0" w14:textId="78614EAC"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25BB8CE" w14:textId="48140F33"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3CD96D3" w14:textId="4497F4F7"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11FC3E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AABC8B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B40E79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4020EA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DF92BD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B144ED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520951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E04AC9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45DBB6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AEC22A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79526202"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AD5408"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10</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7DB9BB" w14:textId="71FFC039" w:rsidR="00EB68A2" w:rsidRPr="00EB68A2" w:rsidRDefault="00731C83" w:rsidP="00CC70A1">
            <w:pPr>
              <w:rPr>
                <w:rFonts w:ascii="Calibri" w:hAnsi="Calibri" w:cs="Calibri"/>
                <w:color w:val="000000"/>
                <w:sz w:val="14"/>
              </w:rPr>
            </w:pPr>
            <w:r w:rsidRPr="00EB68A2">
              <w:rPr>
                <w:rFonts w:ascii="Calibri" w:hAnsi="Calibri" w:cs="Calibri"/>
                <w:color w:val="000000"/>
                <w:sz w:val="14"/>
              </w:rPr>
              <w:t>BOLANOS-CARMONA</w:t>
            </w:r>
          </w:p>
        </w:tc>
        <w:tc>
          <w:tcPr>
            <w:tcW w:w="56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64B1A7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A4337C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FBF7A0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FB922E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C7BDE6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70F753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70FFB53" w14:textId="7257FC89"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B2951CF" w14:textId="348001D7"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B341D95" w14:textId="2DD36881"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95FBD7D" w14:textId="225CD6B6"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8F52E83" w14:textId="5EA5C048"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1064A1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954D01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5BFA84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4A7359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DC073A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B214FD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800CF4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21CF7B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C58EDC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AA7604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64E7A573"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86E9A0"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11</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BD858E" w14:textId="36A5230C" w:rsidR="00EB68A2" w:rsidRPr="00EB68A2" w:rsidRDefault="00731C83" w:rsidP="00CC70A1">
            <w:pPr>
              <w:rPr>
                <w:rFonts w:ascii="Calibri" w:hAnsi="Calibri" w:cs="Calibri"/>
                <w:color w:val="000000"/>
                <w:sz w:val="14"/>
              </w:rPr>
            </w:pPr>
            <w:r w:rsidRPr="00EB68A2">
              <w:rPr>
                <w:rFonts w:ascii="Calibri" w:hAnsi="Calibri" w:cs="Calibri"/>
                <w:color w:val="000000"/>
                <w:sz w:val="14"/>
              </w:rPr>
              <w:t>WAHLS</w:t>
            </w:r>
          </w:p>
        </w:tc>
        <w:tc>
          <w:tcPr>
            <w:tcW w:w="56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73B957A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8655F7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40B329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C9FA73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3DEA7D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FD9F28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739A51E" w14:textId="5F40DDDE"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98050B4" w14:textId="568C8801"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AA4FD4E" w14:textId="684A7FF4"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696731A" w14:textId="0D1B9B92"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4CA7727" w14:textId="772BE10A"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649CA5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7E3534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6FE9A1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0695EC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5565177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242D62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91F45E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FCA7D2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630E65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D024E6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272A0035"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5C30DD0"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12</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F5A0A8" w14:textId="0BC3BC9E" w:rsidR="00EB68A2" w:rsidRPr="00EB68A2" w:rsidRDefault="00731C83" w:rsidP="00CC70A1">
            <w:pPr>
              <w:rPr>
                <w:rFonts w:ascii="Calibri" w:hAnsi="Calibri" w:cs="Calibri"/>
                <w:color w:val="000000"/>
                <w:sz w:val="14"/>
              </w:rPr>
            </w:pPr>
            <w:r w:rsidRPr="00EB68A2">
              <w:rPr>
                <w:rFonts w:ascii="Calibri" w:hAnsi="Calibri" w:cs="Calibri"/>
                <w:color w:val="000000"/>
                <w:sz w:val="14"/>
              </w:rPr>
              <w:t>PIETZ</w:t>
            </w:r>
          </w:p>
        </w:tc>
        <w:tc>
          <w:tcPr>
            <w:tcW w:w="56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58211A6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8FFE02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B470B1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F82344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11D1C8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4DB52F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D0B6A62" w14:textId="41E83680"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9FD0D77" w14:textId="047F9269"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BFA5C3C" w14:textId="2D208BAE"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EB120A6" w14:textId="549B5B44"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C3E3249" w14:textId="67091D5D"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91BD3E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B9D971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7BA3A7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E61399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2EB8B1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144739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A120C3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16C717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8493B3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C70AEB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646AC253"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56A7F5"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13</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476118C" w14:textId="5F39E964" w:rsidR="00EB68A2" w:rsidRPr="00EB68A2" w:rsidRDefault="00731C83" w:rsidP="00CC70A1">
            <w:pPr>
              <w:rPr>
                <w:rFonts w:ascii="Calibri" w:hAnsi="Calibri" w:cs="Calibri"/>
                <w:color w:val="000000"/>
                <w:sz w:val="14"/>
              </w:rPr>
            </w:pPr>
            <w:r w:rsidRPr="00EB68A2">
              <w:rPr>
                <w:rFonts w:ascii="Calibri" w:hAnsi="Calibri" w:cs="Calibri"/>
                <w:color w:val="000000"/>
                <w:sz w:val="14"/>
              </w:rPr>
              <w:t>ORUETA</w:t>
            </w:r>
          </w:p>
        </w:tc>
        <w:tc>
          <w:tcPr>
            <w:tcW w:w="56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08BF82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4BB822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87CDC6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92100C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228876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7DE2B9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13C19A7" w14:textId="036402EC"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9B0D98E" w14:textId="2ED0BEB3"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0971E24" w14:textId="19309DE4"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06C0C58" w14:textId="7925E487"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C224777" w14:textId="3DBD11CB"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A1C5C3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D0BC9A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8450E8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C4AFD3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3E2608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E9E2AF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4E3B66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ED9516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213C66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BAF91C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48432D8F"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EADD5BF"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14</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EDFA4C" w14:textId="75CF4B7E" w:rsidR="00EB68A2" w:rsidRPr="00EB68A2" w:rsidRDefault="00731C83" w:rsidP="00CC70A1">
            <w:pPr>
              <w:rPr>
                <w:rFonts w:ascii="Calibri" w:hAnsi="Calibri" w:cs="Calibri"/>
                <w:color w:val="000000"/>
                <w:sz w:val="14"/>
              </w:rPr>
            </w:pPr>
            <w:r w:rsidRPr="00EB68A2">
              <w:rPr>
                <w:rFonts w:ascii="Calibri" w:hAnsi="Calibri" w:cs="Calibri"/>
                <w:color w:val="000000"/>
                <w:sz w:val="14"/>
              </w:rPr>
              <w:t>HANLEY</w:t>
            </w:r>
          </w:p>
        </w:tc>
        <w:tc>
          <w:tcPr>
            <w:tcW w:w="56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DA7FD7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0B39F7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5FA4F6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EC5302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DD6480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095FCE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514D569" w14:textId="5C9D1084"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B4BD14B" w14:textId="108F7DA2"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6A91FC6" w14:textId="6BD375FB"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134B1EB" w14:textId="2A621EFD"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D9A46AE" w14:textId="114B8CAE"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29677E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182819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6B2E2F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7BAC8E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3BACFE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0C5A72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9AAF65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EB81EC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88259B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BB99B8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1B087E45"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37934D"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15</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1ACE55" w14:textId="2EEF3859" w:rsidR="00EB68A2" w:rsidRPr="00EB68A2" w:rsidRDefault="00731C83" w:rsidP="00CC70A1">
            <w:pPr>
              <w:rPr>
                <w:rFonts w:ascii="Calibri" w:hAnsi="Calibri" w:cs="Calibri"/>
                <w:color w:val="000000"/>
                <w:sz w:val="14"/>
              </w:rPr>
            </w:pPr>
            <w:r w:rsidRPr="00EB68A2">
              <w:rPr>
                <w:rFonts w:ascii="Calibri" w:hAnsi="Calibri" w:cs="Calibri"/>
                <w:color w:val="000000"/>
                <w:sz w:val="14"/>
              </w:rPr>
              <w:t>AGUADO</w:t>
            </w:r>
          </w:p>
        </w:tc>
        <w:tc>
          <w:tcPr>
            <w:tcW w:w="56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66A792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DB6CB2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89B4B1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89B86B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18D106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BB9F52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80002C2" w14:textId="5693B40E"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376C1E4" w14:textId="7B6F6010"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DF91381" w14:textId="7AC543FD"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76E273C" w14:textId="7CCE3C9D"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7E40DCE" w14:textId="0EF84F0B"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2F2459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365979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B744EF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80764C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6EB10AF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8FE912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914577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C6C748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7C03D0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4F246C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4E171689"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E0D471"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16</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F42AF71" w14:textId="10B761A4" w:rsidR="00EB68A2" w:rsidRPr="00EB68A2" w:rsidRDefault="00731C83" w:rsidP="00CC70A1">
            <w:pPr>
              <w:rPr>
                <w:rFonts w:ascii="Calibri" w:hAnsi="Calibri" w:cs="Calibri"/>
                <w:color w:val="000000"/>
                <w:sz w:val="14"/>
              </w:rPr>
            </w:pPr>
            <w:r w:rsidRPr="00EB68A2">
              <w:rPr>
                <w:rFonts w:ascii="Calibri" w:hAnsi="Calibri" w:cs="Calibri"/>
                <w:color w:val="000000"/>
                <w:sz w:val="14"/>
              </w:rPr>
              <w:t>CHANG</w:t>
            </w:r>
          </w:p>
        </w:tc>
        <w:tc>
          <w:tcPr>
            <w:tcW w:w="56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C516B5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A8F30D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2523C5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7E2B0E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EA93DB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DB1B7B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5E13189" w14:textId="571A0516"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B3610A4" w14:textId="1C41F376"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4291C13" w14:textId="2925C0DF"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826DD18" w14:textId="2864FE09"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5FCB38B" w14:textId="45725CA3"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A809C7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2FF20D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09C17B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F45F2F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986A56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D8438B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47F6A5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72054F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E695AA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AC6C1D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760C0863"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C85A97"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lastRenderedPageBreak/>
              <w:t>17</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483503" w14:textId="60D3093B" w:rsidR="00EB68A2" w:rsidRPr="00EB68A2" w:rsidRDefault="00731C83" w:rsidP="00CC70A1">
            <w:pPr>
              <w:rPr>
                <w:rFonts w:ascii="Calibri" w:hAnsi="Calibri" w:cs="Calibri"/>
                <w:color w:val="000000"/>
                <w:sz w:val="14"/>
              </w:rPr>
            </w:pPr>
            <w:r w:rsidRPr="00EB68A2">
              <w:rPr>
                <w:rFonts w:ascii="Calibri" w:hAnsi="Calibri" w:cs="Calibri"/>
                <w:color w:val="000000"/>
                <w:sz w:val="14"/>
              </w:rPr>
              <w:t>SICRAS-MAINAR</w:t>
            </w:r>
          </w:p>
        </w:tc>
        <w:tc>
          <w:tcPr>
            <w:tcW w:w="56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0268BF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1D4F87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24DF19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339DA5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D7AF79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178C1C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0AEE767" w14:textId="2E83537B"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0F03AC7" w14:textId="7F266148"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B0BAE67" w14:textId="7E6F11EC"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A2E4B2E" w14:textId="060F73DD"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D071288" w14:textId="19DC92C5"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35EB7A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3B98AF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015102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318992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1B76A5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477864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8669F7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3FF897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D4A7FB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E125A4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62955480"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AAB57A"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18</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E00D85F" w14:textId="388C5F73" w:rsidR="00EB68A2" w:rsidRPr="00EB68A2" w:rsidRDefault="00731C83" w:rsidP="00CC70A1">
            <w:pPr>
              <w:rPr>
                <w:rFonts w:ascii="Calibri" w:hAnsi="Calibri" w:cs="Calibri"/>
                <w:color w:val="000000"/>
                <w:sz w:val="14"/>
              </w:rPr>
            </w:pPr>
            <w:r w:rsidRPr="00EB68A2">
              <w:rPr>
                <w:rFonts w:ascii="Calibri" w:hAnsi="Calibri" w:cs="Calibri"/>
                <w:color w:val="000000"/>
                <w:sz w:val="14"/>
              </w:rPr>
              <w:t>BRILLEMAN</w:t>
            </w:r>
          </w:p>
        </w:tc>
        <w:tc>
          <w:tcPr>
            <w:tcW w:w="56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2179803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D379CC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987963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19A1D0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058BB6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71B710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2CB31D9" w14:textId="0659AD05"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843F652" w14:textId="394F56EF"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24D933C" w14:textId="33C6D88E"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51667C6" w14:textId="6E6E8F3B"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797DDE2" w14:textId="2279CDDC"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82827D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78CCC1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F7EE45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20B218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012AB0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738546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70BE9D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F16837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DBE6C6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D52B00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2A18CE3D"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D7A7FE"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19</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54678F" w14:textId="55EE528B" w:rsidR="00EB68A2" w:rsidRPr="00EB68A2" w:rsidRDefault="00731C83" w:rsidP="00CC70A1">
            <w:pPr>
              <w:rPr>
                <w:rFonts w:ascii="Calibri" w:hAnsi="Calibri" w:cs="Calibri"/>
                <w:color w:val="000000"/>
                <w:sz w:val="14"/>
              </w:rPr>
            </w:pPr>
            <w:r w:rsidRPr="00EB68A2">
              <w:rPr>
                <w:rFonts w:ascii="Calibri" w:hAnsi="Calibri" w:cs="Calibri"/>
                <w:color w:val="000000"/>
                <w:sz w:val="14"/>
              </w:rPr>
              <w:t>HUGHES</w:t>
            </w:r>
          </w:p>
        </w:tc>
        <w:tc>
          <w:tcPr>
            <w:tcW w:w="56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7A1599D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9BB8C1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AFB51F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68415E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448CFA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8521A5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0CA81E9" w14:textId="0D252DA0"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3E68190" w14:textId="66540E9E"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D055ACF" w14:textId="41C1A5C8"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179B95B" w14:textId="3D01B017"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5C878CE" w14:textId="04CD324F"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6CF38C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6C1E33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73776C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5D54F9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535A574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BD2097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3C2048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5358BC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23F78F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80FFC8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6B13E8AE"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ACB7C1"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20</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12266E" w14:textId="10257DA8" w:rsidR="00EB68A2" w:rsidRPr="00EB68A2" w:rsidRDefault="00731C83" w:rsidP="00CC70A1">
            <w:pPr>
              <w:rPr>
                <w:rFonts w:ascii="Calibri" w:hAnsi="Calibri" w:cs="Calibri"/>
                <w:color w:val="000000"/>
                <w:sz w:val="14"/>
              </w:rPr>
            </w:pPr>
            <w:r w:rsidRPr="00EB68A2">
              <w:rPr>
                <w:rFonts w:ascii="Calibri" w:hAnsi="Calibri" w:cs="Calibri"/>
                <w:color w:val="000000"/>
                <w:sz w:val="14"/>
              </w:rPr>
              <w:t>GARCIA-GONI</w:t>
            </w:r>
          </w:p>
        </w:tc>
        <w:tc>
          <w:tcPr>
            <w:tcW w:w="56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7059101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3CB432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7DC38A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676912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DAB2BE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AC0399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B6E8604" w14:textId="4ED2E7A5"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A17FC59" w14:textId="0C0D74BE"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538EBAE" w14:textId="7B4461A8"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3B623BC" w14:textId="0963528F"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D85E5F9" w14:textId="4262FA69"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4D452E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07D52C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2DD03C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3E74D6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4B90326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5EB04D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425A15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2AC775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D6AA5B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F64FD6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3EF8D483"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5D240E3"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21</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E10310A" w14:textId="36A6BD35" w:rsidR="00EB68A2" w:rsidRPr="00EB68A2" w:rsidRDefault="00731C83" w:rsidP="00CC70A1">
            <w:pPr>
              <w:rPr>
                <w:rFonts w:ascii="Calibri" w:hAnsi="Calibri" w:cs="Calibri"/>
                <w:color w:val="000000"/>
                <w:sz w:val="14"/>
              </w:rPr>
            </w:pPr>
            <w:r w:rsidRPr="00EB68A2">
              <w:rPr>
                <w:rFonts w:ascii="Calibri" w:hAnsi="Calibri" w:cs="Calibri"/>
                <w:color w:val="000000"/>
                <w:sz w:val="14"/>
              </w:rPr>
              <w:t>VIVAS-CONSUELO</w:t>
            </w:r>
          </w:p>
        </w:tc>
        <w:tc>
          <w:tcPr>
            <w:tcW w:w="56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E3607C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9D436A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D417FB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4CD10D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A0B793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535476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8005ABC" w14:textId="38CE3A34"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0A5B9DD" w14:textId="5A9BB4C8"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0D80569" w14:textId="227338F8"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A547AD8" w14:textId="395D538B"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5F96C7D" w14:textId="4C5ABFFB"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CC3BDD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C56D76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A92F67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3052D5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28A8FF7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65CDC6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381594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449DEA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0F0079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360BC3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4AC3A7A1"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FD6DBE"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22</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7680F28" w14:textId="24CB4B64" w:rsidR="00EB68A2" w:rsidRPr="00EB68A2" w:rsidRDefault="00731C83" w:rsidP="00CC70A1">
            <w:pPr>
              <w:rPr>
                <w:rFonts w:ascii="Calibri" w:hAnsi="Calibri" w:cs="Calibri"/>
                <w:color w:val="000000"/>
                <w:sz w:val="14"/>
              </w:rPr>
            </w:pPr>
            <w:r w:rsidRPr="00EB68A2">
              <w:rPr>
                <w:rFonts w:ascii="Calibri" w:hAnsi="Calibri" w:cs="Calibri"/>
                <w:color w:val="000000"/>
                <w:sz w:val="14"/>
              </w:rPr>
              <w:t>VIVAS-CONSUELO</w:t>
            </w:r>
          </w:p>
        </w:tc>
        <w:tc>
          <w:tcPr>
            <w:tcW w:w="56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E1A323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E0478A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C94E23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6B6A85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864644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E67AF6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AC060A0" w14:textId="7EBD013A"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147B70A" w14:textId="33E51B63"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745B71A" w14:textId="77586E9E"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88E2A54" w14:textId="16989272"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0FA9B33" w14:textId="7636DA61"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920E6B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E3EF51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04E00B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B7E92F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61D9252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273736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21F2AA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0B3582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B48A43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CD07B4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48B07E61"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02B0CA"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23</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452567" w14:textId="7F2B66C3" w:rsidR="00EB68A2" w:rsidRPr="00EB68A2" w:rsidRDefault="00731C83" w:rsidP="00CC70A1">
            <w:pPr>
              <w:rPr>
                <w:rFonts w:ascii="Calibri" w:hAnsi="Calibri" w:cs="Calibri"/>
                <w:color w:val="000000"/>
                <w:sz w:val="14"/>
              </w:rPr>
            </w:pPr>
            <w:r w:rsidRPr="00EB68A2">
              <w:rPr>
                <w:rFonts w:ascii="Calibri" w:hAnsi="Calibri" w:cs="Calibri"/>
                <w:color w:val="000000"/>
                <w:sz w:val="14"/>
              </w:rPr>
              <w:t>FULLER</w:t>
            </w:r>
          </w:p>
        </w:tc>
        <w:tc>
          <w:tcPr>
            <w:tcW w:w="56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38B8A91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F3C054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CA2CBB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C6EB07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D74451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08B02A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FF2B524" w14:textId="1A7F7385"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D1BD714" w14:textId="267F85DE"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0171286" w14:textId="053F533E"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02E8D0C" w14:textId="696930D6"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4E5F48E" w14:textId="03836E3E"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4E3B45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E8A55C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C08B96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5BCD09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379A676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97E9A2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8EC0CE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2B6D74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B6C7EF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C5016A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27DCF886"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ED246F"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24</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9B7DF4" w14:textId="3C67354B" w:rsidR="00EB68A2" w:rsidRPr="00EB68A2" w:rsidRDefault="00731C83" w:rsidP="00CC70A1">
            <w:pPr>
              <w:rPr>
                <w:rFonts w:ascii="Calibri" w:hAnsi="Calibri" w:cs="Calibri"/>
                <w:color w:val="000000"/>
                <w:sz w:val="14"/>
              </w:rPr>
            </w:pPr>
            <w:r w:rsidRPr="00EB68A2">
              <w:rPr>
                <w:rFonts w:ascii="Calibri" w:hAnsi="Calibri" w:cs="Calibri"/>
                <w:color w:val="000000"/>
                <w:sz w:val="14"/>
              </w:rPr>
              <w:t>VAN DER LAAN</w:t>
            </w:r>
          </w:p>
        </w:tc>
        <w:tc>
          <w:tcPr>
            <w:tcW w:w="56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193BEC5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AE73C6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405BB2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AE9785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9B9C1A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645D6E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051B268" w14:textId="14F63DA7"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93627DC" w14:textId="45A7F055"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DA3E1DC" w14:textId="56BBBD5A"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31CA4F1" w14:textId="7B5C02AE"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CF07A3C" w14:textId="13DFB703"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08E0A9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43A196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3EE561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96AAFE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2CEB76F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03F4B6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73C834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786662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A0AF5E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188C78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4B9155FD"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336EBD8"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25</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029C07" w14:textId="306135CB" w:rsidR="00EB68A2" w:rsidRPr="00EB68A2" w:rsidRDefault="00731C83" w:rsidP="00CC70A1">
            <w:pPr>
              <w:rPr>
                <w:rFonts w:ascii="Calibri" w:hAnsi="Calibri" w:cs="Calibri"/>
                <w:color w:val="000000"/>
                <w:sz w:val="14"/>
              </w:rPr>
            </w:pPr>
            <w:r w:rsidRPr="00EB68A2">
              <w:rPr>
                <w:rFonts w:ascii="Calibri" w:hAnsi="Calibri" w:cs="Calibri"/>
                <w:color w:val="000000"/>
                <w:sz w:val="14"/>
              </w:rPr>
              <w:t>LIU</w:t>
            </w:r>
          </w:p>
        </w:tc>
        <w:tc>
          <w:tcPr>
            <w:tcW w:w="56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78289B3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8D7BC0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754A4E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5479F7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7BC843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62A48B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3F33860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71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36AA225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629"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37F5703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640"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DDE3EA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8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321561C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9541CF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AE78F7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0768A9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EAF809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DE53AD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E0EE1A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BF2DF0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F635EB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2359BC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DA4E59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7B949158"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9CAFFE"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26</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3185807" w14:textId="3219D3D4" w:rsidR="00EB68A2" w:rsidRPr="00EB68A2" w:rsidRDefault="00731C83" w:rsidP="00CC70A1">
            <w:pPr>
              <w:rPr>
                <w:rFonts w:ascii="Calibri" w:hAnsi="Calibri" w:cs="Calibri"/>
                <w:color w:val="000000"/>
                <w:sz w:val="14"/>
              </w:rPr>
            </w:pPr>
            <w:r w:rsidRPr="00EB68A2">
              <w:rPr>
                <w:rFonts w:ascii="Calibri" w:hAnsi="Calibri" w:cs="Calibri"/>
                <w:color w:val="000000"/>
                <w:sz w:val="14"/>
              </w:rPr>
              <w:t>LAFORTUNE</w:t>
            </w:r>
          </w:p>
        </w:tc>
        <w:tc>
          <w:tcPr>
            <w:tcW w:w="56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27F5B33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7E971C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1BE40C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AC8AEB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FE3B62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DD043A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9BF070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007C557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629"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3CE8184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640"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2EF8A91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7BFDB3" w14:textId="087CB3DA"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3C078C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9E6E98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A98A0C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C5BCA0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861638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B34F44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98D5D9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F4CD42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173DBF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4CB9AF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0A5EF8A8"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98E950"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27</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3B5DC8" w14:textId="6C4F6677" w:rsidR="00EB68A2" w:rsidRPr="00EB68A2" w:rsidRDefault="00731C83" w:rsidP="00CC70A1">
            <w:pPr>
              <w:rPr>
                <w:rFonts w:ascii="Calibri" w:hAnsi="Calibri" w:cs="Calibri"/>
                <w:color w:val="000000"/>
                <w:sz w:val="14"/>
              </w:rPr>
            </w:pPr>
            <w:r w:rsidRPr="00EB68A2">
              <w:rPr>
                <w:rFonts w:ascii="Calibri" w:hAnsi="Calibri" w:cs="Calibri"/>
                <w:color w:val="000000"/>
                <w:sz w:val="14"/>
              </w:rPr>
              <w:t>ZHOU</w:t>
            </w:r>
          </w:p>
        </w:tc>
        <w:tc>
          <w:tcPr>
            <w:tcW w:w="56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0689929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6C9183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BB22D9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D8C34F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6D83D7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0BB13B6"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63F0154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71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0C6CBDF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629"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42C0E55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640"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7D2B9D1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68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0D373F3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B803D1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1B4E36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385329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7F2F04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5DF96FD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544A25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5139FA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CE13D5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7FADA6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D99197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0E8DCEE4"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75EC24"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28</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EF11A3C" w14:textId="469A844A" w:rsidR="00EB68A2" w:rsidRPr="00EB68A2" w:rsidRDefault="00731C83" w:rsidP="00CC70A1">
            <w:pPr>
              <w:rPr>
                <w:rFonts w:ascii="Calibri" w:hAnsi="Calibri" w:cs="Calibri"/>
                <w:color w:val="000000"/>
                <w:sz w:val="14"/>
              </w:rPr>
            </w:pPr>
            <w:r w:rsidRPr="00EB68A2">
              <w:rPr>
                <w:rFonts w:ascii="Calibri" w:hAnsi="Calibri" w:cs="Calibri"/>
                <w:color w:val="000000"/>
                <w:sz w:val="14"/>
              </w:rPr>
              <w:t>JOYNT</w:t>
            </w:r>
          </w:p>
        </w:tc>
        <w:tc>
          <w:tcPr>
            <w:tcW w:w="56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6288650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599D48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97C18D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8D1ADFF"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F0CEAD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D997CA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45061B2" w14:textId="5F8D4AB6"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AC0BEA2" w14:textId="4A782206"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F5E25F2" w14:textId="7DBE2E52"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9E26744" w14:textId="04040072"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DA077F0" w14:textId="2891C43F"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026230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21AB2A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544E58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F26F1C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415D81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510268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7A1DA3C"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73E128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35A948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FFADEB" w14:textId="4B32E414"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r>
      <w:tr w:rsidR="00731C83" w:rsidRPr="00EB68A2" w14:paraId="28375F83"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46A923"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29</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D39947" w14:textId="7CD09AF0" w:rsidR="00EB68A2" w:rsidRPr="00EB68A2" w:rsidRDefault="00731C83" w:rsidP="00CC70A1">
            <w:pPr>
              <w:rPr>
                <w:rFonts w:ascii="Calibri" w:hAnsi="Calibri" w:cs="Calibri"/>
                <w:color w:val="000000"/>
                <w:sz w:val="14"/>
              </w:rPr>
            </w:pPr>
            <w:r w:rsidRPr="00EB68A2">
              <w:rPr>
                <w:rFonts w:ascii="Calibri" w:hAnsi="Calibri" w:cs="Calibri"/>
                <w:color w:val="000000"/>
                <w:sz w:val="14"/>
              </w:rPr>
              <w:t>LOW</w:t>
            </w:r>
          </w:p>
        </w:tc>
        <w:tc>
          <w:tcPr>
            <w:tcW w:w="56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56AC127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24DE2C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101F44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305885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64D043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3A7A72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1C4F9C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AE58D9" w14:textId="41B189C0"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79360B7" w14:textId="52FE681C"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BF204D4" w14:textId="04ECE074"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B00345" w14:textId="0E6B734C"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17A4821"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B2E009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ED887B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3DAD3B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CF9E13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941AF82"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7F6CE5E"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257B23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95C6EB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A10966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r w:rsidR="00731C83" w:rsidRPr="00EB68A2" w14:paraId="6052B3EB"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57FA15" w14:textId="77777777" w:rsidR="00EB68A2" w:rsidRPr="00EB68A2" w:rsidRDefault="00EB68A2" w:rsidP="00CC70A1">
            <w:pPr>
              <w:jc w:val="right"/>
              <w:rPr>
                <w:rFonts w:ascii="Calibri" w:hAnsi="Calibri" w:cs="Calibri"/>
                <w:color w:val="000000"/>
                <w:sz w:val="14"/>
              </w:rPr>
            </w:pPr>
            <w:r w:rsidRPr="00EB68A2">
              <w:rPr>
                <w:rFonts w:ascii="Calibri" w:hAnsi="Calibri" w:cs="Calibri"/>
                <w:color w:val="000000"/>
                <w:sz w:val="14"/>
              </w:rPr>
              <w:t>30</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21DB23" w14:textId="29C23F37" w:rsidR="00EB68A2" w:rsidRPr="00EB68A2" w:rsidRDefault="00731C83" w:rsidP="00CC70A1">
            <w:pPr>
              <w:rPr>
                <w:rFonts w:ascii="Calibri" w:hAnsi="Calibri" w:cs="Calibri"/>
                <w:color w:val="000000"/>
                <w:sz w:val="14"/>
              </w:rPr>
            </w:pPr>
            <w:r w:rsidRPr="00EB68A2">
              <w:rPr>
                <w:rFonts w:ascii="Calibri" w:hAnsi="Calibri" w:cs="Calibri"/>
                <w:color w:val="000000"/>
                <w:sz w:val="14"/>
              </w:rPr>
              <w:t>LOW</w:t>
            </w:r>
          </w:p>
        </w:tc>
        <w:tc>
          <w:tcPr>
            <w:tcW w:w="56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36E0899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54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F0AF7FD"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2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2D87D1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644204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1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E96B80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7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71ED0E3"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5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440877A" w14:textId="359A3DF5"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71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A9A4CA0" w14:textId="7947A981"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2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C7A9953" w14:textId="4D3EC155"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658E104" w14:textId="7B8BC34D"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6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ABD2474" w14:textId="3BD0509E" w:rsidR="00EB68A2" w:rsidRPr="00EB68A2" w:rsidRDefault="00EB68A2" w:rsidP="00CC70A1">
            <w:pPr>
              <w:rPr>
                <w:rFonts w:ascii="Calibri" w:hAnsi="Calibri" w:cs="Calibri"/>
                <w:color w:val="000000"/>
                <w:sz w:val="14"/>
              </w:rPr>
            </w:pPr>
            <w:r w:rsidRPr="00EB68A2">
              <w:rPr>
                <w:rFonts w:ascii="Calibri" w:hAnsi="Calibri" w:cs="Calibri"/>
                <w:color w:val="000000"/>
                <w:sz w:val="14"/>
              </w:rPr>
              <w:t>Not Applicable</w:t>
            </w:r>
          </w:p>
        </w:tc>
        <w:tc>
          <w:tcPr>
            <w:tcW w:w="4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52C535A"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58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0867C0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5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251450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69"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2D1FCA0"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4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7CD57338"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No</w:t>
            </w:r>
          </w:p>
        </w:tc>
        <w:tc>
          <w:tcPr>
            <w:tcW w:w="72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3B2172B"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662"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22F8EC9"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761"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5857767"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94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C42A814"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c>
          <w:tcPr>
            <w:tcW w:w="888"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436C2D5" w14:textId="77777777" w:rsidR="00EB68A2" w:rsidRPr="00EB68A2" w:rsidRDefault="00EB68A2" w:rsidP="00CC70A1">
            <w:pPr>
              <w:rPr>
                <w:rFonts w:ascii="Calibri" w:hAnsi="Calibri" w:cs="Calibri"/>
                <w:color w:val="000000"/>
                <w:sz w:val="14"/>
              </w:rPr>
            </w:pPr>
            <w:r w:rsidRPr="00EB68A2">
              <w:rPr>
                <w:rFonts w:ascii="Calibri" w:hAnsi="Calibri" w:cs="Calibri"/>
                <w:color w:val="000000"/>
                <w:sz w:val="14"/>
              </w:rPr>
              <w:t>Yes</w:t>
            </w:r>
          </w:p>
        </w:tc>
      </w:tr>
    </w:tbl>
    <w:p w14:paraId="1C13C2EF" w14:textId="1CBA8764" w:rsidR="00921FA7" w:rsidRDefault="00CC70A1">
      <w:pPr>
        <w:rPr>
          <w:rFonts w:ascii="Times New Roman" w:hAnsi="Times New Roman" w:cs="Times New Roman"/>
          <w:b/>
          <w:sz w:val="24"/>
          <w:szCs w:val="24"/>
        </w:rPr>
      </w:pPr>
      <w:r>
        <w:rPr>
          <w:rFonts w:ascii="Times New Roman" w:hAnsi="Times New Roman" w:cs="Times New Roman"/>
          <w:b/>
          <w:sz w:val="24"/>
          <w:szCs w:val="24"/>
        </w:rPr>
        <w:t xml:space="preserve"> </w:t>
      </w:r>
      <w:r w:rsidR="00921FA7">
        <w:rPr>
          <w:rFonts w:ascii="Times New Roman" w:hAnsi="Times New Roman" w:cs="Times New Roman"/>
          <w:b/>
          <w:sz w:val="24"/>
          <w:szCs w:val="24"/>
        </w:rPr>
        <w:br w:type="page"/>
      </w:r>
    </w:p>
    <w:p w14:paraId="3AE8C3F2" w14:textId="0EB1F2BC" w:rsidR="00EB68A2" w:rsidRDefault="00EB68A2">
      <w:pPr>
        <w:rPr>
          <w:rFonts w:ascii="Times New Roman" w:hAnsi="Times New Roman" w:cs="Times New Roman"/>
          <w:b/>
          <w:sz w:val="24"/>
          <w:szCs w:val="24"/>
        </w:rPr>
      </w:pPr>
    </w:p>
    <w:tbl>
      <w:tblPr>
        <w:tblW w:w="15388" w:type="dxa"/>
        <w:tblLayout w:type="fixed"/>
        <w:tblCellMar>
          <w:left w:w="0" w:type="dxa"/>
          <w:right w:w="0" w:type="dxa"/>
        </w:tblCellMar>
        <w:tblLook w:val="04A0" w:firstRow="1" w:lastRow="0" w:firstColumn="1" w:lastColumn="0" w:noHBand="0" w:noVBand="1"/>
      </w:tblPr>
      <w:tblGrid>
        <w:gridCol w:w="279"/>
        <w:gridCol w:w="850"/>
        <w:gridCol w:w="903"/>
        <w:gridCol w:w="1115"/>
        <w:gridCol w:w="1195"/>
        <w:gridCol w:w="897"/>
        <w:gridCol w:w="1034"/>
        <w:gridCol w:w="1156"/>
        <w:gridCol w:w="1214"/>
        <w:gridCol w:w="705"/>
        <w:gridCol w:w="987"/>
        <w:gridCol w:w="717"/>
        <w:gridCol w:w="567"/>
        <w:gridCol w:w="567"/>
        <w:gridCol w:w="709"/>
        <w:gridCol w:w="567"/>
        <w:gridCol w:w="567"/>
        <w:gridCol w:w="567"/>
        <w:gridCol w:w="792"/>
      </w:tblGrid>
      <w:tr w:rsidR="00731C83" w:rsidRPr="00EB68A2" w14:paraId="1E2C12F3" w14:textId="77777777" w:rsidTr="00731C83">
        <w:trPr>
          <w:trHeight w:val="290"/>
        </w:trPr>
        <w:tc>
          <w:tcPr>
            <w:tcW w:w="279"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D20A5E"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S/N</w:t>
            </w:r>
          </w:p>
        </w:tc>
        <w:tc>
          <w:tcPr>
            <w:tcW w:w="85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E455E6" w14:textId="1BFFE9AA" w:rsidR="00EB68A2" w:rsidRPr="00EB68A2" w:rsidRDefault="00EB68A2" w:rsidP="00952D55">
            <w:pPr>
              <w:rPr>
                <w:rFonts w:ascii="Calibri" w:hAnsi="Calibri" w:cs="Calibri"/>
                <w:color w:val="000000"/>
                <w:sz w:val="14"/>
              </w:rPr>
            </w:pPr>
            <w:r w:rsidRPr="00EB68A2">
              <w:rPr>
                <w:rFonts w:ascii="Calibri" w:hAnsi="Calibri" w:cs="Calibri"/>
                <w:color w:val="000000"/>
                <w:sz w:val="14"/>
              </w:rPr>
              <w:t>First</w:t>
            </w:r>
            <w:r w:rsidR="00731C83">
              <w:rPr>
                <w:rFonts w:ascii="Calibri" w:hAnsi="Calibri" w:cs="Calibri"/>
                <w:color w:val="000000"/>
                <w:sz w:val="14"/>
              </w:rPr>
              <w:t xml:space="preserve"> </w:t>
            </w:r>
            <w:r w:rsidRPr="00EB68A2">
              <w:rPr>
                <w:rFonts w:ascii="Calibri" w:hAnsi="Calibri" w:cs="Calibri"/>
                <w:color w:val="000000"/>
                <w:sz w:val="14"/>
              </w:rPr>
              <w:t>Author</w:t>
            </w:r>
          </w:p>
        </w:tc>
        <w:tc>
          <w:tcPr>
            <w:tcW w:w="90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35A4E7"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QUIPS5a_MeasureConfounders</w:t>
            </w:r>
          </w:p>
        </w:tc>
        <w:tc>
          <w:tcPr>
            <w:tcW w:w="111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503D13D"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QUIPS5b_DefineConfounders</w:t>
            </w:r>
          </w:p>
        </w:tc>
        <w:tc>
          <w:tcPr>
            <w:tcW w:w="119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E7EE828"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QUIPS5c_MethodsConfounders</w:t>
            </w:r>
          </w:p>
        </w:tc>
        <w:tc>
          <w:tcPr>
            <w:tcW w:w="89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9D03FA"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QUIPS5d_SameMethod</w:t>
            </w:r>
          </w:p>
        </w:tc>
        <w:tc>
          <w:tcPr>
            <w:tcW w:w="103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AE3F32"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QUIPS5e_ApproImputation</w:t>
            </w:r>
          </w:p>
        </w:tc>
        <w:tc>
          <w:tcPr>
            <w:tcW w:w="115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EBB55E6"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QUIPS5f_AccountConfounders</w:t>
            </w:r>
          </w:p>
        </w:tc>
        <w:tc>
          <w:tcPr>
            <w:tcW w:w="121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DB58C1"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QUIPS6a_SufficientPresentation</w:t>
            </w:r>
          </w:p>
        </w:tc>
        <w:tc>
          <w:tcPr>
            <w:tcW w:w="70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0E8DC39"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QUIPS6b_Strategy</w:t>
            </w:r>
          </w:p>
        </w:tc>
        <w:tc>
          <w:tcPr>
            <w:tcW w:w="98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0555724"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QUIPS6c_ModelAdequate</w:t>
            </w:r>
          </w:p>
        </w:tc>
        <w:tc>
          <w:tcPr>
            <w:tcW w:w="71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4FCD127"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QUIPS6d_SelectiveReporting</w:t>
            </w:r>
          </w:p>
        </w:tc>
        <w:tc>
          <w:tcPr>
            <w:tcW w:w="56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F08D2D"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Q1Participation</w:t>
            </w:r>
          </w:p>
        </w:tc>
        <w:tc>
          <w:tcPr>
            <w:tcW w:w="56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64C02D"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Q2Attrition</w:t>
            </w:r>
          </w:p>
        </w:tc>
        <w:tc>
          <w:tcPr>
            <w:tcW w:w="70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2D6D78"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Q3ProgMeasure</w:t>
            </w:r>
          </w:p>
        </w:tc>
        <w:tc>
          <w:tcPr>
            <w:tcW w:w="56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CD5662"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Q4OutcomeMeasure</w:t>
            </w:r>
          </w:p>
        </w:tc>
        <w:tc>
          <w:tcPr>
            <w:tcW w:w="56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D77B382"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Q5Confounding</w:t>
            </w:r>
          </w:p>
        </w:tc>
        <w:tc>
          <w:tcPr>
            <w:tcW w:w="56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2E6E1F"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Q6StatsReport</w:t>
            </w:r>
          </w:p>
        </w:tc>
        <w:tc>
          <w:tcPr>
            <w:tcW w:w="792"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4438AAE" w14:textId="77777777" w:rsidR="00EB68A2" w:rsidRPr="00EB68A2" w:rsidRDefault="00EB68A2" w:rsidP="00952D55">
            <w:pPr>
              <w:rPr>
                <w:rFonts w:ascii="Calibri" w:hAnsi="Calibri" w:cs="Calibri"/>
                <w:color w:val="000000"/>
                <w:sz w:val="14"/>
              </w:rPr>
            </w:pPr>
            <w:r w:rsidRPr="00EB68A2">
              <w:rPr>
                <w:rFonts w:ascii="Calibri" w:hAnsi="Calibri" w:cs="Calibri"/>
                <w:color w:val="000000"/>
                <w:sz w:val="14"/>
              </w:rPr>
              <w:t>Overall risk of bias</w:t>
            </w:r>
          </w:p>
        </w:tc>
      </w:tr>
      <w:tr w:rsidR="00731C83" w:rsidRPr="00EB68A2" w14:paraId="2FF0A1A3"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BDFB0AC"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1</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897965" w14:textId="712D0332" w:rsidR="00731C83" w:rsidRPr="00EB68A2" w:rsidRDefault="00731C83" w:rsidP="00731C83">
            <w:pPr>
              <w:rPr>
                <w:rFonts w:ascii="Calibri" w:hAnsi="Calibri" w:cs="Calibri"/>
                <w:color w:val="000000"/>
                <w:sz w:val="14"/>
              </w:rPr>
            </w:pPr>
            <w:r w:rsidRPr="00EB68A2">
              <w:rPr>
                <w:rFonts w:ascii="Calibri" w:hAnsi="Calibri" w:cs="Calibri"/>
                <w:color w:val="000000"/>
                <w:sz w:val="14"/>
              </w:rPr>
              <w:t>ORUETA</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33A405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CC2FA0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EFE059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229CDD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78CABCB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4B5E1B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0A0F66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A1AC8B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0928D1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13A795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B4D4F2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E34C0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E7E0B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3A3925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32A5C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0E41F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504B069" w14:textId="454994C6"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LOW</w:t>
            </w:r>
          </w:p>
        </w:tc>
      </w:tr>
      <w:tr w:rsidR="00731C83" w:rsidRPr="00EB68A2" w14:paraId="7CC7D585"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D75AD80"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3</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8DE5AF" w14:textId="50702D3D" w:rsidR="00731C83" w:rsidRPr="00EB68A2" w:rsidRDefault="00731C83" w:rsidP="00731C83">
            <w:pPr>
              <w:rPr>
                <w:rFonts w:ascii="Calibri" w:hAnsi="Calibri" w:cs="Calibri"/>
                <w:color w:val="000000"/>
                <w:sz w:val="14"/>
              </w:rPr>
            </w:pPr>
            <w:r w:rsidRPr="00EB68A2">
              <w:rPr>
                <w:rFonts w:ascii="Calibri" w:hAnsi="Calibri" w:cs="Calibri"/>
                <w:color w:val="000000"/>
                <w:sz w:val="14"/>
              </w:rPr>
              <w:t>STARFIELD</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0C735A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563432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C1515F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FF9D31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E250CE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56"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5E6DB0A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11E8DE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C366FD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F6E842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DD059E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14EFC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401D8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1B9BBA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5FE56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F193E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C4588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F8497FE" w14:textId="6F3B7289"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LOW</w:t>
            </w:r>
          </w:p>
        </w:tc>
      </w:tr>
      <w:tr w:rsidR="00731C83" w:rsidRPr="00EB68A2" w14:paraId="63687A4D"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573EE3"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4</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3144FC6" w14:textId="41721387" w:rsidR="00731C83" w:rsidRPr="00EB68A2" w:rsidRDefault="00731C83" w:rsidP="00731C83">
            <w:pPr>
              <w:rPr>
                <w:rFonts w:ascii="Calibri" w:hAnsi="Calibri" w:cs="Calibri"/>
                <w:color w:val="000000"/>
                <w:sz w:val="14"/>
              </w:rPr>
            </w:pPr>
            <w:r w:rsidRPr="00EB68A2">
              <w:rPr>
                <w:rFonts w:ascii="Calibri" w:hAnsi="Calibri" w:cs="Calibri"/>
                <w:color w:val="000000"/>
                <w:sz w:val="14"/>
              </w:rPr>
              <w:t>JUNCOSA</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BA478C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FBA047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E494BF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CF38E8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26AED3E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C0484F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46D99B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BB0200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ECABA0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24FDC4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C1CCE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1DDCC1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EAC3C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66739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E6CC20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5BF7B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C3AB618" w14:textId="36DC13A8"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LOW</w:t>
            </w:r>
          </w:p>
        </w:tc>
      </w:tr>
      <w:tr w:rsidR="00731C83" w:rsidRPr="00EB68A2" w14:paraId="5C14EBB8"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A28D608"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5</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A7C6A0" w14:textId="24F133BA" w:rsidR="00731C83" w:rsidRPr="00EB68A2" w:rsidRDefault="00731C83" w:rsidP="00731C83">
            <w:pPr>
              <w:rPr>
                <w:rFonts w:ascii="Calibri" w:hAnsi="Calibri" w:cs="Calibri"/>
                <w:color w:val="000000"/>
                <w:sz w:val="14"/>
              </w:rPr>
            </w:pPr>
            <w:r w:rsidRPr="00EB68A2">
              <w:rPr>
                <w:rFonts w:ascii="Calibri" w:hAnsi="Calibri" w:cs="Calibri"/>
                <w:color w:val="000000"/>
                <w:sz w:val="14"/>
              </w:rPr>
              <w:t>REID</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51623B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D64161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3B0538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E8281A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7FB56C8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E11C7C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B2A92A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B4A189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49F457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D386E4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EA516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42F46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3A6EE8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19AC7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1F997E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F45A13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D4646C0" w14:textId="5541865E"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LOW</w:t>
            </w:r>
          </w:p>
        </w:tc>
      </w:tr>
      <w:tr w:rsidR="00731C83" w:rsidRPr="00EB68A2" w14:paraId="608D272A"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9A3E5FC"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6</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FBABCDB" w14:textId="21E4F62B" w:rsidR="00731C83" w:rsidRPr="00EB68A2" w:rsidRDefault="00731C83" w:rsidP="00731C83">
            <w:pPr>
              <w:rPr>
                <w:rFonts w:ascii="Calibri" w:hAnsi="Calibri" w:cs="Calibri"/>
                <w:color w:val="000000"/>
                <w:sz w:val="14"/>
              </w:rPr>
            </w:pPr>
            <w:r w:rsidRPr="00EB68A2">
              <w:rPr>
                <w:rFonts w:ascii="Calibri" w:hAnsi="Calibri" w:cs="Calibri"/>
                <w:color w:val="000000"/>
                <w:sz w:val="14"/>
              </w:rPr>
              <w:t>SICRAS-MAINAR</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49867E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5D66C9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E10EA3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9F7435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2DDFFD6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509689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4FDE1E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ACF9F6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A23E9E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ED0D31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3F6F4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9CC0A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98641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143DB5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43239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B89F5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2C667EA" w14:textId="3CF2AECD"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LOW</w:t>
            </w:r>
          </w:p>
        </w:tc>
      </w:tr>
      <w:tr w:rsidR="00731C83" w:rsidRPr="00EB68A2" w14:paraId="3C9308AF"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246813"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7</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B9775E" w14:textId="7BCBC662" w:rsidR="00731C83" w:rsidRPr="00EB68A2" w:rsidRDefault="00731C83" w:rsidP="00731C83">
            <w:pPr>
              <w:rPr>
                <w:rFonts w:ascii="Calibri" w:hAnsi="Calibri" w:cs="Calibri"/>
                <w:color w:val="000000"/>
                <w:sz w:val="14"/>
              </w:rPr>
            </w:pPr>
            <w:r w:rsidRPr="00EB68A2">
              <w:rPr>
                <w:rFonts w:ascii="Calibri" w:hAnsi="Calibri" w:cs="Calibri"/>
                <w:color w:val="000000"/>
                <w:sz w:val="14"/>
              </w:rPr>
              <w:t xml:space="preserve">ZIELINSKI </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9B13A7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F1D79B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8D2628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A1BA09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70ED049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FD5199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D43E43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096DF7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7075E4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0B97EE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745151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47ED2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61AF0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85ADA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B63309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4CCE2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88E77B3" w14:textId="45943986"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LOW</w:t>
            </w:r>
          </w:p>
        </w:tc>
      </w:tr>
      <w:tr w:rsidR="00731C83" w:rsidRPr="00EB68A2" w14:paraId="70621090"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FC108AC"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8</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B76AC4A" w14:textId="6FF32779" w:rsidR="00731C83" w:rsidRPr="00EB68A2" w:rsidRDefault="00731C83" w:rsidP="00731C83">
            <w:pPr>
              <w:rPr>
                <w:rFonts w:ascii="Calibri" w:hAnsi="Calibri" w:cs="Calibri"/>
                <w:color w:val="000000"/>
                <w:sz w:val="14"/>
              </w:rPr>
            </w:pPr>
            <w:r w:rsidRPr="00EB68A2">
              <w:rPr>
                <w:rFonts w:ascii="Calibri" w:hAnsi="Calibri" w:cs="Calibri"/>
                <w:color w:val="000000"/>
                <w:sz w:val="14"/>
              </w:rPr>
              <w:t>HAAS</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0E1569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FC4543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9E0C9D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FACAFA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2EDB4C0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E00380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9733B9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4C0F24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91B8E5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131A0A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ED5E8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50CA9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7909B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76FC9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3C5D6E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7D2E4F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0A5B6CA" w14:textId="6F375E9E"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LOW</w:t>
            </w:r>
          </w:p>
        </w:tc>
      </w:tr>
      <w:tr w:rsidR="00731C83" w:rsidRPr="00EB68A2" w14:paraId="66AB103A"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D225274"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9</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C23855" w14:textId="17E3870E" w:rsidR="00731C83" w:rsidRPr="00EB68A2" w:rsidRDefault="00731C83" w:rsidP="00731C83">
            <w:pPr>
              <w:rPr>
                <w:rFonts w:ascii="Calibri" w:hAnsi="Calibri" w:cs="Calibri"/>
                <w:color w:val="000000"/>
                <w:sz w:val="14"/>
              </w:rPr>
            </w:pPr>
            <w:r w:rsidRPr="00EB68A2">
              <w:rPr>
                <w:rFonts w:ascii="Calibri" w:hAnsi="Calibri" w:cs="Calibri"/>
                <w:color w:val="000000"/>
                <w:sz w:val="14"/>
              </w:rPr>
              <w:t>LEMKE</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60D861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FDD5D2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A4B47E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512659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2DD0820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318885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F33C7A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0800FA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BE5C21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854350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829E9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09D86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3C0867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F37E5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74293C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02C917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8D536FB" w14:textId="3A23D963"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LOW</w:t>
            </w:r>
          </w:p>
        </w:tc>
      </w:tr>
      <w:tr w:rsidR="00731C83" w:rsidRPr="00EB68A2" w14:paraId="68536BB0"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9A6121"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10</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8D0394" w14:textId="17FD96C5" w:rsidR="00731C83" w:rsidRPr="00EB68A2" w:rsidRDefault="00731C83" w:rsidP="00731C83">
            <w:pPr>
              <w:rPr>
                <w:rFonts w:ascii="Calibri" w:hAnsi="Calibri" w:cs="Calibri"/>
                <w:color w:val="000000"/>
                <w:sz w:val="14"/>
              </w:rPr>
            </w:pPr>
            <w:r w:rsidRPr="00EB68A2">
              <w:rPr>
                <w:rFonts w:ascii="Calibri" w:hAnsi="Calibri" w:cs="Calibri"/>
                <w:color w:val="000000"/>
                <w:sz w:val="14"/>
              </w:rPr>
              <w:t>BOLANOS-CARMONA</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F7898F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090B36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A3FBD2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A4769B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20B04DE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6A9737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DBF0F7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5C2334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63546B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4E5B45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B45395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B490B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F1FE65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D3693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A797C1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19A4EE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7D1D7E0" w14:textId="112D6B70"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LOW</w:t>
            </w:r>
          </w:p>
        </w:tc>
      </w:tr>
      <w:tr w:rsidR="00731C83" w:rsidRPr="00EB68A2" w14:paraId="21AFF676"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35736EF"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11</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3E357E0" w14:textId="3896B16F" w:rsidR="00731C83" w:rsidRPr="00EB68A2" w:rsidRDefault="00731C83" w:rsidP="00731C83">
            <w:pPr>
              <w:rPr>
                <w:rFonts w:ascii="Calibri" w:hAnsi="Calibri" w:cs="Calibri"/>
                <w:color w:val="000000"/>
                <w:sz w:val="14"/>
              </w:rPr>
            </w:pPr>
            <w:r w:rsidRPr="00EB68A2">
              <w:rPr>
                <w:rFonts w:ascii="Calibri" w:hAnsi="Calibri" w:cs="Calibri"/>
                <w:color w:val="000000"/>
                <w:sz w:val="14"/>
              </w:rPr>
              <w:t>WAHLS</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A818E4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73B9A0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490B16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DF33C8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4765B4A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3D11C1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82EECD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B40586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E8B797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7C0EB6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14C33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A90D55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5445D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908128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BBEBE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5610D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1D05DEC" w14:textId="30B37698"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LOW</w:t>
            </w:r>
          </w:p>
        </w:tc>
      </w:tr>
      <w:tr w:rsidR="00731C83" w:rsidRPr="00EB68A2" w14:paraId="2537C98A"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68ECA88"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12</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EFCB00D" w14:textId="0FA2CACD" w:rsidR="00731C83" w:rsidRPr="00EB68A2" w:rsidRDefault="00731C83" w:rsidP="00731C83">
            <w:pPr>
              <w:rPr>
                <w:rFonts w:ascii="Calibri" w:hAnsi="Calibri" w:cs="Calibri"/>
                <w:color w:val="000000"/>
                <w:sz w:val="14"/>
              </w:rPr>
            </w:pPr>
            <w:r w:rsidRPr="00EB68A2">
              <w:rPr>
                <w:rFonts w:ascii="Calibri" w:hAnsi="Calibri" w:cs="Calibri"/>
                <w:color w:val="000000"/>
                <w:sz w:val="14"/>
              </w:rPr>
              <w:t>PIETZ</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3CD1D9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EF40B7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36861C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67C7DD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60F56E4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295C38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67B3BC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0B044E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5508AC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DE85F2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6979F8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1D0E77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4DD5F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1654F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C6B20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A924D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0AF64813" w14:textId="01B084E2"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LOW</w:t>
            </w:r>
          </w:p>
        </w:tc>
      </w:tr>
      <w:tr w:rsidR="00731C83" w:rsidRPr="00EB68A2" w14:paraId="36234360"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3B6E64"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13</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B06D6EB" w14:textId="1769F959" w:rsidR="00731C83" w:rsidRPr="00EB68A2" w:rsidRDefault="00731C83" w:rsidP="00731C83">
            <w:pPr>
              <w:rPr>
                <w:rFonts w:ascii="Calibri" w:hAnsi="Calibri" w:cs="Calibri"/>
                <w:color w:val="000000"/>
                <w:sz w:val="14"/>
              </w:rPr>
            </w:pPr>
            <w:r w:rsidRPr="00EB68A2">
              <w:rPr>
                <w:rFonts w:ascii="Calibri" w:hAnsi="Calibri" w:cs="Calibri"/>
                <w:color w:val="000000"/>
                <w:sz w:val="14"/>
              </w:rPr>
              <w:t>ORUETA</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8E6AF5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4E20CD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F12E1A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268A0B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02E9369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7DEF5C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F86A38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B3B7F7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4964F9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57795B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7B85D9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EBFD5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663D4D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EA1AB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0EF48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C7E56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DB7FAF5" w14:textId="02AE3254"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LOW</w:t>
            </w:r>
          </w:p>
        </w:tc>
      </w:tr>
      <w:tr w:rsidR="00731C83" w:rsidRPr="00EB68A2" w14:paraId="0A395B38"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1DC8076"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14</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38E665" w14:textId="3AAF7274" w:rsidR="00731C83" w:rsidRPr="00EB68A2" w:rsidRDefault="00731C83" w:rsidP="00731C83">
            <w:pPr>
              <w:rPr>
                <w:rFonts w:ascii="Calibri" w:hAnsi="Calibri" w:cs="Calibri"/>
                <w:color w:val="000000"/>
                <w:sz w:val="14"/>
              </w:rPr>
            </w:pPr>
            <w:r w:rsidRPr="00EB68A2">
              <w:rPr>
                <w:rFonts w:ascii="Calibri" w:hAnsi="Calibri" w:cs="Calibri"/>
                <w:color w:val="000000"/>
                <w:sz w:val="14"/>
              </w:rPr>
              <w:t>HANLEY</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46E085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C43887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5D7FFF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A82CD4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1709883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3BA752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32D193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42DD1E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CD9C91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A031BE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451D2B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20CBA7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5A9C8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34E34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000FA8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09718A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F9AA1AE" w14:textId="3660BA89"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LOW</w:t>
            </w:r>
          </w:p>
        </w:tc>
      </w:tr>
      <w:tr w:rsidR="00731C83" w:rsidRPr="00EB68A2" w14:paraId="0C3835A5"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56D2000"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15</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7183BA" w14:textId="19703027" w:rsidR="00731C83" w:rsidRPr="00EB68A2" w:rsidRDefault="00731C83" w:rsidP="00731C83">
            <w:pPr>
              <w:rPr>
                <w:rFonts w:ascii="Calibri" w:hAnsi="Calibri" w:cs="Calibri"/>
                <w:color w:val="000000"/>
                <w:sz w:val="14"/>
              </w:rPr>
            </w:pPr>
            <w:r w:rsidRPr="00EB68A2">
              <w:rPr>
                <w:rFonts w:ascii="Calibri" w:hAnsi="Calibri" w:cs="Calibri"/>
                <w:color w:val="000000"/>
                <w:sz w:val="14"/>
              </w:rPr>
              <w:t>AGUADO</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E0C21F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27EA14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EFEA16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9838AA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666AC7B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97B8C6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3C6CAC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C5DE8F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9BF402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90D95F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3E6D7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Maybe</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F9135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68C10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C23F7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009F08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5E4B2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4751F22" w14:textId="4D13AC27"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MODERATE</w:t>
            </w:r>
          </w:p>
        </w:tc>
      </w:tr>
      <w:tr w:rsidR="00731C83" w:rsidRPr="00EB68A2" w14:paraId="021CA56F"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36EA9B2"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16</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70F8B1" w14:textId="510C17F4" w:rsidR="00731C83" w:rsidRPr="00EB68A2" w:rsidRDefault="00731C83" w:rsidP="00731C83">
            <w:pPr>
              <w:rPr>
                <w:rFonts w:ascii="Calibri" w:hAnsi="Calibri" w:cs="Calibri"/>
                <w:color w:val="000000"/>
                <w:sz w:val="14"/>
              </w:rPr>
            </w:pPr>
            <w:r w:rsidRPr="00EB68A2">
              <w:rPr>
                <w:rFonts w:ascii="Calibri" w:hAnsi="Calibri" w:cs="Calibri"/>
                <w:color w:val="000000"/>
                <w:sz w:val="14"/>
              </w:rPr>
              <w:t>CHANG</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CB65CF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B19D63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93BA4F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0347F4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4903C80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11E348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ED0D88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D10B96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5A6253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1EDDB8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0AFD1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9C46A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4F52B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249BB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07734C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30294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5AAB8BBD" w14:textId="15DFD255"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LOW</w:t>
            </w:r>
          </w:p>
        </w:tc>
      </w:tr>
      <w:tr w:rsidR="00731C83" w:rsidRPr="00EB68A2" w14:paraId="2650809C"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00349A6"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17</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92D333C" w14:textId="0B72C3E9" w:rsidR="00731C83" w:rsidRPr="00EB68A2" w:rsidRDefault="00731C83" w:rsidP="00731C83">
            <w:pPr>
              <w:rPr>
                <w:rFonts w:ascii="Calibri" w:hAnsi="Calibri" w:cs="Calibri"/>
                <w:color w:val="000000"/>
                <w:sz w:val="14"/>
              </w:rPr>
            </w:pPr>
            <w:r w:rsidRPr="00EB68A2">
              <w:rPr>
                <w:rFonts w:ascii="Calibri" w:hAnsi="Calibri" w:cs="Calibri"/>
                <w:color w:val="000000"/>
                <w:sz w:val="14"/>
              </w:rPr>
              <w:t>SICRAS-MAINAR</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28B513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5B79BB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FDED66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2D3724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44D4C1C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119AB0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40C41CC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E91500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7B7931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08932AA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D748B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0C7ED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06B2EC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EEBAB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7D2B2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3ED9E5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Maybe</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DE005EF" w14:textId="544AB4E2"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MODERATE</w:t>
            </w:r>
          </w:p>
        </w:tc>
      </w:tr>
      <w:tr w:rsidR="00731C83" w:rsidRPr="00EB68A2" w14:paraId="224C1889"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962B1E4"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18</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A4F7422" w14:textId="3FD5C417" w:rsidR="00731C83" w:rsidRPr="00EB68A2" w:rsidRDefault="00731C83" w:rsidP="00731C83">
            <w:pPr>
              <w:rPr>
                <w:rFonts w:ascii="Calibri" w:hAnsi="Calibri" w:cs="Calibri"/>
                <w:color w:val="000000"/>
                <w:sz w:val="14"/>
              </w:rPr>
            </w:pPr>
            <w:r w:rsidRPr="00EB68A2">
              <w:rPr>
                <w:rFonts w:ascii="Calibri" w:hAnsi="Calibri" w:cs="Calibri"/>
                <w:color w:val="000000"/>
                <w:sz w:val="14"/>
              </w:rPr>
              <w:t>BRILLEMAN</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6F9584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6BBEC9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270260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370F90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100F14E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DA1D01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3B7D01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DB74A9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BB45D5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16DA31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616136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7F327C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4A5FB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47396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D725EF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B2F4B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761E99E" w14:textId="0CD0335D"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LOW</w:t>
            </w:r>
          </w:p>
        </w:tc>
      </w:tr>
      <w:tr w:rsidR="00731C83" w:rsidRPr="00EB68A2" w14:paraId="7DA3760A"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C55F3D8"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19</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788886" w14:textId="6EBA957F" w:rsidR="00731C83" w:rsidRPr="00EB68A2" w:rsidRDefault="00731C83" w:rsidP="00731C83">
            <w:pPr>
              <w:rPr>
                <w:rFonts w:ascii="Calibri" w:hAnsi="Calibri" w:cs="Calibri"/>
                <w:color w:val="000000"/>
                <w:sz w:val="14"/>
              </w:rPr>
            </w:pPr>
            <w:r w:rsidRPr="00EB68A2">
              <w:rPr>
                <w:rFonts w:ascii="Calibri" w:hAnsi="Calibri" w:cs="Calibri"/>
                <w:color w:val="000000"/>
                <w:sz w:val="14"/>
              </w:rPr>
              <w:t>HUGHES</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14642D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F7E5BD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D97049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5976CB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5D31B4B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6EEB85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F22654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5942AD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03B351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A71ABA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D2BA6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46A72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86C4C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36EE3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5C8B9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165009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AD58D88" w14:textId="39E16057"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LOW</w:t>
            </w:r>
          </w:p>
        </w:tc>
      </w:tr>
      <w:tr w:rsidR="00731C83" w:rsidRPr="00EB68A2" w14:paraId="122D9B5C"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F46375"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20</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49842DD" w14:textId="1016DB41" w:rsidR="00731C83" w:rsidRPr="00EB68A2" w:rsidRDefault="00731C83" w:rsidP="00731C83">
            <w:pPr>
              <w:rPr>
                <w:rFonts w:ascii="Calibri" w:hAnsi="Calibri" w:cs="Calibri"/>
                <w:color w:val="000000"/>
                <w:sz w:val="14"/>
              </w:rPr>
            </w:pPr>
            <w:r w:rsidRPr="00EB68A2">
              <w:rPr>
                <w:rFonts w:ascii="Calibri" w:hAnsi="Calibri" w:cs="Calibri"/>
                <w:color w:val="000000"/>
                <w:sz w:val="14"/>
              </w:rPr>
              <w:t>GARCIA-GONI</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E55D7C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E42AD6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F031B4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53ABBA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193EB4F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5B033E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3C4012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16D260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35809B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378CBE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C3244E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F89A39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568E4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9D4E9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2DD39B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BFD190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7B5BD57" w14:textId="4098C342"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LOW</w:t>
            </w:r>
          </w:p>
        </w:tc>
      </w:tr>
      <w:tr w:rsidR="00731C83" w:rsidRPr="00EB68A2" w14:paraId="454C92D6"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ADC97F"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21</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180C5D" w14:textId="30924204" w:rsidR="00731C83" w:rsidRPr="00EB68A2" w:rsidRDefault="00731C83" w:rsidP="00731C83">
            <w:pPr>
              <w:rPr>
                <w:rFonts w:ascii="Calibri" w:hAnsi="Calibri" w:cs="Calibri"/>
                <w:color w:val="000000"/>
                <w:sz w:val="14"/>
              </w:rPr>
            </w:pPr>
            <w:r w:rsidRPr="00EB68A2">
              <w:rPr>
                <w:rFonts w:ascii="Calibri" w:hAnsi="Calibri" w:cs="Calibri"/>
                <w:color w:val="000000"/>
                <w:sz w:val="14"/>
              </w:rPr>
              <w:t>VIVAS-CONSUELO</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D42C1F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5193BE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41D3A0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048289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2B48E61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6B0E38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B1517E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34276F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7DAECB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4B84CE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69F4C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4E07A7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Unsure</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C710F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E245C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89C5ED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EEBBF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EACC69E" w14:textId="510894B7"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MODERATE</w:t>
            </w:r>
          </w:p>
        </w:tc>
      </w:tr>
      <w:tr w:rsidR="00731C83" w:rsidRPr="00EB68A2" w14:paraId="18D9ECF6"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5A9E3E6"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22</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198C553" w14:textId="48189960" w:rsidR="00731C83" w:rsidRPr="00EB68A2" w:rsidRDefault="00731C83" w:rsidP="00731C83">
            <w:pPr>
              <w:rPr>
                <w:rFonts w:ascii="Calibri" w:hAnsi="Calibri" w:cs="Calibri"/>
                <w:color w:val="000000"/>
                <w:sz w:val="14"/>
              </w:rPr>
            </w:pPr>
            <w:r w:rsidRPr="00EB68A2">
              <w:rPr>
                <w:rFonts w:ascii="Calibri" w:hAnsi="Calibri" w:cs="Calibri"/>
                <w:color w:val="000000"/>
                <w:sz w:val="14"/>
              </w:rPr>
              <w:t>VIVAS-CONSUELO</w:t>
            </w:r>
          </w:p>
        </w:tc>
        <w:tc>
          <w:tcPr>
            <w:tcW w:w="90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5AF23D7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A2DD18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ACB2DA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FA47B0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3410771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76B6568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C2214F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28C24A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567B08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5EB0C6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48509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2499EE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6103A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DD5859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373CC7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Maybe</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C78222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17C26CF0" w14:textId="55DF2949"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MODERATE</w:t>
            </w:r>
          </w:p>
        </w:tc>
      </w:tr>
      <w:tr w:rsidR="00731C83" w:rsidRPr="00EB68A2" w14:paraId="3FCE47B3"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644E90"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lastRenderedPageBreak/>
              <w:t>23</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226E92A" w14:textId="6D0E8A8F" w:rsidR="00731C83" w:rsidRPr="00EB68A2" w:rsidRDefault="00731C83" w:rsidP="00731C83">
            <w:pPr>
              <w:rPr>
                <w:rFonts w:ascii="Calibri" w:hAnsi="Calibri" w:cs="Calibri"/>
                <w:color w:val="000000"/>
                <w:sz w:val="14"/>
              </w:rPr>
            </w:pPr>
            <w:r w:rsidRPr="00EB68A2">
              <w:rPr>
                <w:rFonts w:ascii="Calibri" w:hAnsi="Calibri" w:cs="Calibri"/>
                <w:color w:val="000000"/>
                <w:sz w:val="14"/>
              </w:rPr>
              <w:t>FULLER</w:t>
            </w:r>
          </w:p>
        </w:tc>
        <w:tc>
          <w:tcPr>
            <w:tcW w:w="90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3DA0DC2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15"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5F2AD9B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9EF7D5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3A7C14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15AF933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0BB09D6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194014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602518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1FF1D4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31340A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A3226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16C837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FB69B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A130E8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225A9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Maybe</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F9459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DF08940" w14:textId="408A5ED5"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MODERATE</w:t>
            </w:r>
          </w:p>
        </w:tc>
      </w:tr>
      <w:tr w:rsidR="00731C83" w:rsidRPr="00EB68A2" w14:paraId="082C6976"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7A163C9"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24</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57DF3FB" w14:textId="64C1FF16" w:rsidR="00731C83" w:rsidRPr="00EB68A2" w:rsidRDefault="00731C83" w:rsidP="00731C83">
            <w:pPr>
              <w:rPr>
                <w:rFonts w:ascii="Calibri" w:hAnsi="Calibri" w:cs="Calibri"/>
                <w:color w:val="000000"/>
                <w:sz w:val="14"/>
              </w:rPr>
            </w:pPr>
            <w:r w:rsidRPr="00EB68A2">
              <w:rPr>
                <w:rFonts w:ascii="Calibri" w:hAnsi="Calibri" w:cs="Calibri"/>
                <w:color w:val="000000"/>
                <w:sz w:val="14"/>
              </w:rPr>
              <w:t>VAN DER LAAN</w:t>
            </w:r>
          </w:p>
        </w:tc>
        <w:tc>
          <w:tcPr>
            <w:tcW w:w="90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2639A20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1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C08AAA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Not Applicable</w:t>
            </w:r>
          </w:p>
        </w:tc>
        <w:tc>
          <w:tcPr>
            <w:tcW w:w="119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38680A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Not Applicable</w:t>
            </w:r>
          </w:p>
        </w:tc>
        <w:tc>
          <w:tcPr>
            <w:tcW w:w="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039B2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Not Applicable</w:t>
            </w:r>
          </w:p>
        </w:tc>
        <w:tc>
          <w:tcPr>
            <w:tcW w:w="10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7632DD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Not Applicable</w:t>
            </w:r>
          </w:p>
        </w:tc>
        <w:tc>
          <w:tcPr>
            <w:tcW w:w="115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2E327D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Not Applicable</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F7C318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0A85F53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98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501E31A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1639D4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59461F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87EFFA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B23332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6DB4C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BBC57C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Very 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381782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Maybe</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78EBC689" w14:textId="176C8054"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HIGH</w:t>
            </w:r>
          </w:p>
        </w:tc>
      </w:tr>
      <w:tr w:rsidR="00731C83" w:rsidRPr="00EB68A2" w14:paraId="0565DABB"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D698BA"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25</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ADEEA4" w14:textId="6ECB6624" w:rsidR="00731C83" w:rsidRPr="00EB68A2" w:rsidRDefault="00731C83" w:rsidP="00731C83">
            <w:pPr>
              <w:rPr>
                <w:rFonts w:ascii="Calibri" w:hAnsi="Calibri" w:cs="Calibri"/>
                <w:color w:val="000000"/>
                <w:sz w:val="14"/>
              </w:rPr>
            </w:pPr>
            <w:r w:rsidRPr="00EB68A2">
              <w:rPr>
                <w:rFonts w:ascii="Calibri" w:hAnsi="Calibri" w:cs="Calibri"/>
                <w:color w:val="000000"/>
                <w:sz w:val="14"/>
              </w:rPr>
              <w:t>LIU</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B6AFB4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23611A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F511FF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6444C2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352B477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860A5D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EC8447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3F744A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0116FB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7F7B06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43708A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E52DE9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Maybe</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C31C8A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CEB964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F19D1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424D0D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36C1B73" w14:textId="31C3B423"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MODERATE</w:t>
            </w:r>
          </w:p>
        </w:tc>
      </w:tr>
      <w:tr w:rsidR="00731C83" w:rsidRPr="00EB68A2" w14:paraId="6ADC1B98"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F84E425"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26</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831195D" w14:textId="69D47BC2" w:rsidR="00731C83" w:rsidRPr="00EB68A2" w:rsidRDefault="00731C83" w:rsidP="00731C83">
            <w:pPr>
              <w:rPr>
                <w:rFonts w:ascii="Calibri" w:hAnsi="Calibri" w:cs="Calibri"/>
                <w:color w:val="000000"/>
                <w:sz w:val="14"/>
              </w:rPr>
            </w:pPr>
            <w:r w:rsidRPr="00EB68A2">
              <w:rPr>
                <w:rFonts w:ascii="Calibri" w:hAnsi="Calibri" w:cs="Calibri"/>
                <w:color w:val="000000"/>
                <w:sz w:val="14"/>
              </w:rPr>
              <w:t>LAFORTUNE</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45FC57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92670F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2C8A9A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721DB3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8E39B8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Not Applicable</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ED18B7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7E11C5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2091EF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2F55F5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A5676D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21952A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Maybe</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085580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Maybe</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68F636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E461B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585C13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53779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81F1101" w14:textId="7A80A8E0"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MODERATE</w:t>
            </w:r>
          </w:p>
        </w:tc>
      </w:tr>
      <w:tr w:rsidR="00731C83" w:rsidRPr="00EB68A2" w14:paraId="0A2A1FB9"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91B73F5"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27</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3C3A78" w14:textId="71D377FF" w:rsidR="00731C83" w:rsidRPr="00EB68A2" w:rsidRDefault="00731C83" w:rsidP="00731C83">
            <w:pPr>
              <w:rPr>
                <w:rFonts w:ascii="Calibri" w:hAnsi="Calibri" w:cs="Calibri"/>
                <w:color w:val="000000"/>
                <w:sz w:val="14"/>
              </w:rPr>
            </w:pPr>
            <w:r w:rsidRPr="00EB68A2">
              <w:rPr>
                <w:rFonts w:ascii="Calibri" w:hAnsi="Calibri" w:cs="Calibri"/>
                <w:color w:val="000000"/>
                <w:sz w:val="14"/>
              </w:rPr>
              <w:t>ZHOU</w:t>
            </w:r>
          </w:p>
        </w:tc>
        <w:tc>
          <w:tcPr>
            <w:tcW w:w="90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0A67D84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1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CE0D3E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Not Applicable</w:t>
            </w:r>
          </w:p>
        </w:tc>
        <w:tc>
          <w:tcPr>
            <w:tcW w:w="119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82E93B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Not Applicable</w:t>
            </w:r>
          </w:p>
        </w:tc>
        <w:tc>
          <w:tcPr>
            <w:tcW w:w="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E5E04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Not Applicable</w:t>
            </w:r>
          </w:p>
        </w:tc>
        <w:tc>
          <w:tcPr>
            <w:tcW w:w="103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6D99C8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Not Applicable</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55671E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05CB81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00EDF8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Not Applicable</w:t>
            </w:r>
          </w:p>
        </w:tc>
        <w:tc>
          <w:tcPr>
            <w:tcW w:w="98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A35A4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Not Applicable</w:t>
            </w:r>
          </w:p>
        </w:tc>
        <w:tc>
          <w:tcPr>
            <w:tcW w:w="71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CBFE4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Not Applicable</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AE706D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Very 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BFE5B8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Very 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09C8F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70A3A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E42D5F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Very 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516791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Very likely</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4A2F0D9D" w14:textId="6799D4C5"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HIGH</w:t>
            </w:r>
          </w:p>
        </w:tc>
      </w:tr>
      <w:tr w:rsidR="00731C83" w:rsidRPr="00EB68A2" w14:paraId="4FD663D6"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D0FADF6"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28</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D918139" w14:textId="59FD6179" w:rsidR="00731C83" w:rsidRPr="00EB68A2" w:rsidRDefault="00731C83" w:rsidP="00731C83">
            <w:pPr>
              <w:rPr>
                <w:rFonts w:ascii="Calibri" w:hAnsi="Calibri" w:cs="Calibri"/>
                <w:color w:val="000000"/>
                <w:sz w:val="14"/>
              </w:rPr>
            </w:pPr>
            <w:r w:rsidRPr="00EB68A2">
              <w:rPr>
                <w:rFonts w:ascii="Calibri" w:hAnsi="Calibri" w:cs="Calibri"/>
                <w:color w:val="000000"/>
                <w:sz w:val="14"/>
              </w:rPr>
              <w:t>JOYNT</w:t>
            </w:r>
          </w:p>
        </w:tc>
        <w:tc>
          <w:tcPr>
            <w:tcW w:w="90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2B5F2019"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15"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7B5F2AE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95"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0CFDFF9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89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074320B2"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354A022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7341D341"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3F52683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773D1C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11439F0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A3994C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E0E8FE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FB4894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C03779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C10571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E9E8C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Very 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D93981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Maybe</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323FACD6" w14:textId="5B1CA4F9"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HIGH</w:t>
            </w:r>
          </w:p>
        </w:tc>
      </w:tr>
      <w:tr w:rsidR="00731C83" w:rsidRPr="00EB68A2" w14:paraId="5A4972DD"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EC0D744"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29</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70F3353" w14:textId="2A392DDF" w:rsidR="00731C83" w:rsidRPr="00EB68A2" w:rsidRDefault="00731C83" w:rsidP="00731C83">
            <w:pPr>
              <w:rPr>
                <w:rFonts w:ascii="Calibri" w:hAnsi="Calibri" w:cs="Calibri"/>
                <w:color w:val="000000"/>
                <w:sz w:val="14"/>
              </w:rPr>
            </w:pPr>
            <w:r w:rsidRPr="00EB68A2">
              <w:rPr>
                <w:rFonts w:ascii="Calibri" w:hAnsi="Calibri" w:cs="Calibri"/>
                <w:color w:val="000000"/>
                <w:sz w:val="14"/>
              </w:rPr>
              <w:t>LOW</w:t>
            </w:r>
          </w:p>
        </w:tc>
        <w:tc>
          <w:tcPr>
            <w:tcW w:w="903"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E5A172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1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41360EB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19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51DECE5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89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B9E5C88"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3550BC7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755A691B"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287F2F2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32403525"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6443A7B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2858760"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7A71F5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169AED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E66037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A0BCE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37B0836"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1F6DED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Maybe</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66D025DD" w14:textId="7DDE2493"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MODERATE</w:t>
            </w:r>
          </w:p>
        </w:tc>
      </w:tr>
      <w:tr w:rsidR="00731C83" w:rsidRPr="00EB68A2" w14:paraId="0F862D43" w14:textId="77777777" w:rsidTr="00731C83">
        <w:trPr>
          <w:trHeight w:val="290"/>
        </w:trPr>
        <w:tc>
          <w:tcPr>
            <w:tcW w:w="279"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EC8717C" w14:textId="77777777" w:rsidR="00731C83" w:rsidRPr="00EB68A2" w:rsidRDefault="00731C83" w:rsidP="00731C83">
            <w:pPr>
              <w:jc w:val="right"/>
              <w:rPr>
                <w:rFonts w:ascii="Calibri" w:hAnsi="Calibri" w:cs="Calibri"/>
                <w:color w:val="000000"/>
                <w:sz w:val="14"/>
              </w:rPr>
            </w:pPr>
            <w:r w:rsidRPr="00EB68A2">
              <w:rPr>
                <w:rFonts w:ascii="Calibri" w:hAnsi="Calibri" w:cs="Calibri"/>
                <w:color w:val="000000"/>
                <w:sz w:val="14"/>
              </w:rPr>
              <w:t>30</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AB67CC8" w14:textId="4859EF91" w:rsidR="00731C83" w:rsidRPr="00EB68A2" w:rsidRDefault="00731C83" w:rsidP="00731C83">
            <w:pPr>
              <w:rPr>
                <w:rFonts w:ascii="Calibri" w:hAnsi="Calibri" w:cs="Calibri"/>
                <w:color w:val="000000"/>
                <w:sz w:val="14"/>
              </w:rPr>
            </w:pPr>
            <w:r w:rsidRPr="00EB68A2">
              <w:rPr>
                <w:rFonts w:ascii="Calibri" w:hAnsi="Calibri" w:cs="Calibri"/>
                <w:color w:val="000000"/>
                <w:sz w:val="14"/>
              </w:rPr>
              <w:t>LOW</w:t>
            </w:r>
          </w:p>
        </w:tc>
        <w:tc>
          <w:tcPr>
            <w:tcW w:w="903"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6AB9EC8F"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15"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79B50D8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95"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31D4DD3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89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4E386E43"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034"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65EAD8E7"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156"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7D900A94"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1214"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9F2C8D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05"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12101B0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987" w:type="dxa"/>
            <w:tcBorders>
              <w:top w:val="single" w:sz="4" w:space="0" w:color="auto"/>
              <w:left w:val="single" w:sz="4" w:space="0" w:color="auto"/>
              <w:bottom w:val="single" w:sz="4" w:space="0" w:color="auto"/>
              <w:right w:val="single" w:sz="4" w:space="0" w:color="auto"/>
            </w:tcBorders>
            <w:shd w:val="clear" w:color="000000" w:fill="DBDBDB"/>
            <w:noWrap/>
            <w:tcMar>
              <w:top w:w="15" w:type="dxa"/>
              <w:left w:w="15" w:type="dxa"/>
              <w:bottom w:w="0" w:type="dxa"/>
              <w:right w:w="15" w:type="dxa"/>
            </w:tcMar>
            <w:vAlign w:val="bottom"/>
            <w:hideMark/>
          </w:tcPr>
          <w:p w14:paraId="0EEAA2F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Yes</w:t>
            </w:r>
          </w:p>
        </w:tc>
        <w:tc>
          <w:tcPr>
            <w:tcW w:w="717" w:type="dxa"/>
            <w:tcBorders>
              <w:top w:val="single" w:sz="4" w:space="0" w:color="auto"/>
              <w:left w:val="single" w:sz="4" w:space="0" w:color="auto"/>
              <w:bottom w:val="single" w:sz="4" w:space="0" w:color="auto"/>
              <w:right w:val="single" w:sz="4" w:space="0" w:color="auto"/>
            </w:tcBorders>
            <w:shd w:val="clear" w:color="000000" w:fill="FCE4D6"/>
            <w:noWrap/>
            <w:tcMar>
              <w:top w:w="15" w:type="dxa"/>
              <w:left w:w="15" w:type="dxa"/>
              <w:bottom w:w="0" w:type="dxa"/>
              <w:right w:w="15" w:type="dxa"/>
            </w:tcMar>
            <w:vAlign w:val="bottom"/>
            <w:hideMark/>
          </w:tcPr>
          <w:p w14:paraId="5A7B482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No</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68CF41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87DC97D"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CA788C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237990E"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Unlikely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9F788AC"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Very likely</w:t>
            </w:r>
          </w:p>
        </w:tc>
        <w:tc>
          <w:tcPr>
            <w:tcW w:w="56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8431F7A" w14:textId="77777777" w:rsidR="00731C83" w:rsidRPr="00EB68A2" w:rsidRDefault="00731C83" w:rsidP="00731C83">
            <w:pPr>
              <w:rPr>
                <w:rFonts w:ascii="Calibri" w:hAnsi="Calibri" w:cs="Calibri"/>
                <w:color w:val="000000"/>
                <w:sz w:val="14"/>
              </w:rPr>
            </w:pPr>
            <w:r w:rsidRPr="00EB68A2">
              <w:rPr>
                <w:rFonts w:ascii="Calibri" w:hAnsi="Calibri" w:cs="Calibri"/>
                <w:color w:val="000000"/>
                <w:sz w:val="14"/>
              </w:rPr>
              <w:t>Maybe</w:t>
            </w:r>
          </w:p>
        </w:tc>
        <w:tc>
          <w:tcPr>
            <w:tcW w:w="792"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14:paraId="221B61DD" w14:textId="5750B8CD" w:rsidR="00731C83" w:rsidRPr="00731C83" w:rsidRDefault="00731C83" w:rsidP="00731C83">
            <w:pPr>
              <w:jc w:val="center"/>
              <w:rPr>
                <w:rFonts w:ascii="Calibri" w:hAnsi="Calibri" w:cs="Calibri"/>
                <w:b/>
                <w:color w:val="000000"/>
                <w:sz w:val="14"/>
              </w:rPr>
            </w:pPr>
            <w:r w:rsidRPr="00731C83">
              <w:rPr>
                <w:rFonts w:ascii="Calibri" w:hAnsi="Calibri" w:cs="Calibri"/>
                <w:b/>
                <w:color w:val="000000"/>
                <w:sz w:val="14"/>
              </w:rPr>
              <w:t>HIGH</w:t>
            </w:r>
          </w:p>
        </w:tc>
      </w:tr>
    </w:tbl>
    <w:p w14:paraId="5BB9C547" w14:textId="77777777" w:rsidR="00EB68A2" w:rsidRDefault="00EB68A2">
      <w:pPr>
        <w:rPr>
          <w:rFonts w:ascii="Times New Roman" w:hAnsi="Times New Roman" w:cs="Times New Roman"/>
          <w:b/>
          <w:sz w:val="24"/>
          <w:szCs w:val="24"/>
        </w:rPr>
      </w:pPr>
    </w:p>
    <w:p w14:paraId="534F1076" w14:textId="77777777" w:rsidR="00BE010B" w:rsidRDefault="00BE010B">
      <w:pPr>
        <w:rPr>
          <w:rFonts w:ascii="Times New Roman" w:hAnsi="Times New Roman" w:cs="Times New Roman"/>
          <w:b/>
          <w:sz w:val="24"/>
          <w:szCs w:val="24"/>
        </w:rPr>
      </w:pPr>
    </w:p>
    <w:p w14:paraId="5DF0D2C5" w14:textId="77777777" w:rsidR="00EA0437" w:rsidRDefault="00EA0437">
      <w:pPr>
        <w:rPr>
          <w:rFonts w:ascii="Times New Roman" w:hAnsi="Times New Roman" w:cs="Times New Roman"/>
          <w:b/>
          <w:sz w:val="24"/>
          <w:szCs w:val="24"/>
        </w:rPr>
      </w:pPr>
      <w:r>
        <w:rPr>
          <w:rFonts w:ascii="Times New Roman" w:hAnsi="Times New Roman" w:cs="Times New Roman"/>
          <w:b/>
          <w:sz w:val="24"/>
          <w:szCs w:val="24"/>
        </w:rPr>
        <w:br w:type="page"/>
      </w:r>
    </w:p>
    <w:p w14:paraId="2CD3C11A" w14:textId="737155AD" w:rsidR="00BE010B" w:rsidRPr="00BE010B" w:rsidRDefault="00BE010B" w:rsidP="00BE010B">
      <w:pPr>
        <w:spacing w:line="480" w:lineRule="auto"/>
        <w:rPr>
          <w:rFonts w:ascii="Times New Roman" w:hAnsi="Times New Roman" w:cs="Times New Roman"/>
          <w:b/>
          <w:sz w:val="24"/>
          <w:szCs w:val="24"/>
        </w:rPr>
      </w:pPr>
      <w:bookmarkStart w:id="2" w:name="_GoBack"/>
      <w:bookmarkEnd w:id="2"/>
      <w:r w:rsidRPr="00BE010B">
        <w:rPr>
          <w:rFonts w:ascii="Times New Roman" w:hAnsi="Times New Roman" w:cs="Times New Roman"/>
          <w:b/>
          <w:sz w:val="24"/>
          <w:szCs w:val="24"/>
        </w:rPr>
        <w:lastRenderedPageBreak/>
        <w:t>References</w:t>
      </w:r>
    </w:p>
    <w:p w14:paraId="5C30717E" w14:textId="77777777" w:rsidR="0001001E" w:rsidRPr="0001001E" w:rsidRDefault="00BE010B" w:rsidP="0001001E">
      <w:pPr>
        <w:pStyle w:val="EndNoteBibliography"/>
        <w:spacing w:after="0"/>
      </w:pPr>
      <w:r w:rsidRPr="00BE010B">
        <w:rPr>
          <w:rFonts w:ascii="Times New Roman" w:hAnsi="Times New Roman" w:cs="Times New Roman"/>
          <w:sz w:val="24"/>
          <w:szCs w:val="24"/>
          <w:u w:val="single"/>
        </w:rPr>
        <w:fldChar w:fldCharType="begin"/>
      </w:r>
      <w:r w:rsidRPr="00BE010B">
        <w:rPr>
          <w:rFonts w:ascii="Times New Roman" w:hAnsi="Times New Roman" w:cs="Times New Roman"/>
          <w:sz w:val="24"/>
          <w:szCs w:val="24"/>
          <w:u w:val="single"/>
        </w:rPr>
        <w:instrText xml:space="preserve"> ADDIN EN.REFLIST </w:instrText>
      </w:r>
      <w:r w:rsidRPr="00BE010B">
        <w:rPr>
          <w:rFonts w:ascii="Times New Roman" w:hAnsi="Times New Roman" w:cs="Times New Roman"/>
          <w:sz w:val="24"/>
          <w:szCs w:val="24"/>
          <w:u w:val="single"/>
        </w:rPr>
        <w:fldChar w:fldCharType="separate"/>
      </w:r>
      <w:r w:rsidR="0001001E" w:rsidRPr="0001001E">
        <w:t>1.</w:t>
      </w:r>
      <w:r w:rsidR="0001001E" w:rsidRPr="0001001E">
        <w:tab/>
        <w:t>Orueta JF, Nuno-Solinis R, Mateos M, Vergara I, Grandes G, Esnaola S. Predictive risk modelling in the Spanish population: a cross-sectional study. BMC Health Serv Res. 2013;13:269.</w:t>
      </w:r>
    </w:p>
    <w:p w14:paraId="427D20A0" w14:textId="6D727E53" w:rsidR="0001001E" w:rsidRPr="0001001E" w:rsidRDefault="0001001E" w:rsidP="0001001E">
      <w:pPr>
        <w:pStyle w:val="EndNoteBibliography"/>
        <w:spacing w:after="0"/>
      </w:pPr>
      <w:r w:rsidRPr="0001001E">
        <w:t>2.</w:t>
      </w:r>
      <w:r w:rsidRPr="0001001E">
        <w:tab/>
        <w:t xml:space="preserve">Department_of_Health_Policy_and_Management. The Johns Hopkins ACG System Version 11 Technical Reference Guide2015 8th July 2018. Available from: </w:t>
      </w:r>
      <w:hyperlink r:id="rId9" w:history="1">
        <w:r w:rsidRPr="0001001E">
          <w:rPr>
            <w:rStyle w:val="Hyperlink"/>
          </w:rPr>
          <w:t>https://www.healthpartners.com/ucm/groups/public/@hp/@public/documents/documents/cntrb_035024.pdf</w:t>
        </w:r>
      </w:hyperlink>
      <w:r w:rsidRPr="0001001E">
        <w:t>.</w:t>
      </w:r>
    </w:p>
    <w:p w14:paraId="3030451B" w14:textId="77777777" w:rsidR="0001001E" w:rsidRPr="0001001E" w:rsidRDefault="0001001E" w:rsidP="0001001E">
      <w:pPr>
        <w:pStyle w:val="EndNoteBibliography"/>
        <w:spacing w:after="0"/>
      </w:pPr>
      <w:r w:rsidRPr="0001001E">
        <w:t>3.</w:t>
      </w:r>
      <w:r w:rsidRPr="0001001E">
        <w:tab/>
        <w:t>Starfield B, Mumford L. Ambulatory Care Groups: A Categorization of Diagnoses for Research and Management. Health Services Research. 1991;26(1):53-74.</w:t>
      </w:r>
    </w:p>
    <w:p w14:paraId="6332B199" w14:textId="77777777" w:rsidR="0001001E" w:rsidRPr="0001001E" w:rsidRDefault="0001001E" w:rsidP="0001001E">
      <w:pPr>
        <w:pStyle w:val="EndNoteBibliography"/>
        <w:spacing w:after="0"/>
      </w:pPr>
      <w:r w:rsidRPr="0001001E">
        <w:t>4.</w:t>
      </w:r>
      <w:r w:rsidRPr="0001001E">
        <w:tab/>
        <w:t>Juncosa S, Bolibar BV, Roset M, Tomas R. Performance of an ambulatory casemix measurement system in primary care in Spain. European Journal of Public Health. 1999;9:27-35.</w:t>
      </w:r>
    </w:p>
    <w:p w14:paraId="5746BA48" w14:textId="77777777" w:rsidR="0001001E" w:rsidRPr="0001001E" w:rsidRDefault="0001001E" w:rsidP="0001001E">
      <w:pPr>
        <w:pStyle w:val="EndNoteBibliography"/>
        <w:spacing w:after="0"/>
      </w:pPr>
      <w:r w:rsidRPr="0001001E">
        <w:t>5.</w:t>
      </w:r>
      <w:r w:rsidRPr="0001001E">
        <w:tab/>
        <w:t>Reid RJ, MacWilliam L, Verhulst L, Roos N, Atkinson M. Performance of the ACG case-mix system in two Canadian provinces. Med Care. 2001;39(1):86-99.</w:t>
      </w:r>
    </w:p>
    <w:p w14:paraId="7BD90303" w14:textId="77777777" w:rsidR="0001001E" w:rsidRPr="0001001E" w:rsidRDefault="0001001E" w:rsidP="0001001E">
      <w:pPr>
        <w:pStyle w:val="EndNoteBibliography"/>
        <w:spacing w:after="0"/>
      </w:pPr>
      <w:r w:rsidRPr="0001001E">
        <w:t>6.</w:t>
      </w:r>
      <w:r w:rsidRPr="0001001E">
        <w:tab/>
        <w:t>Sicras-Mainar A. Validating the ACG Casemix System in a Spanish population setting: a crosssectional study. 2008.</w:t>
      </w:r>
    </w:p>
    <w:p w14:paraId="206AA833" w14:textId="77777777" w:rsidR="0001001E" w:rsidRPr="0001001E" w:rsidRDefault="0001001E" w:rsidP="0001001E">
      <w:pPr>
        <w:pStyle w:val="EndNoteBibliography"/>
        <w:spacing w:after="0"/>
      </w:pPr>
      <w:r w:rsidRPr="0001001E">
        <w:t>7.</w:t>
      </w:r>
      <w:r w:rsidRPr="0001001E">
        <w:tab/>
        <w:t>Zielinski A, Kronogård M, Lenhoff H, Halling A. Validation of ACG Case-mix for equitable resource allocation in Swedish primary health care. BMC Public Health. 2009;9(347):1-8.</w:t>
      </w:r>
    </w:p>
    <w:p w14:paraId="0CB3E83A" w14:textId="77777777" w:rsidR="0001001E" w:rsidRPr="0001001E" w:rsidRDefault="0001001E" w:rsidP="0001001E">
      <w:pPr>
        <w:pStyle w:val="EndNoteBibliography"/>
        <w:spacing w:after="0"/>
      </w:pPr>
      <w:r w:rsidRPr="0001001E">
        <w:t>8.</w:t>
      </w:r>
      <w:r w:rsidRPr="0001001E">
        <w:tab/>
        <w:t>Haas LR, Takahashi PY, Shah ND, Stroebel RJ, Bernard ME, Finnie DM, et al. Risk-stratification methods for identifying patients for care coordination. The American journal of managed care. 2013;19(9):725-32.</w:t>
      </w:r>
    </w:p>
    <w:p w14:paraId="556059A2" w14:textId="77777777" w:rsidR="0001001E" w:rsidRPr="0001001E" w:rsidRDefault="0001001E" w:rsidP="0001001E">
      <w:pPr>
        <w:pStyle w:val="EndNoteBibliography"/>
        <w:spacing w:after="0"/>
      </w:pPr>
      <w:r w:rsidRPr="0001001E">
        <w:t>9.</w:t>
      </w:r>
      <w:r w:rsidRPr="0001001E">
        <w:tab/>
        <w:t>Lemke KW, Weiner JP, Clark JMC. Development and Validation of a Model for Predicting Inpatient Hospitalization. Medical Care. 2012;50(2):131-9.</w:t>
      </w:r>
    </w:p>
    <w:p w14:paraId="0CC48436" w14:textId="77777777" w:rsidR="0001001E" w:rsidRPr="0001001E" w:rsidRDefault="0001001E" w:rsidP="0001001E">
      <w:pPr>
        <w:pStyle w:val="EndNoteBibliography"/>
        <w:spacing w:after="0"/>
      </w:pPr>
      <w:r w:rsidRPr="0001001E">
        <w:t>10.</w:t>
      </w:r>
      <w:r w:rsidRPr="0001001E">
        <w:tab/>
        <w:t>Bolaños-Carmona V, Ocana-Riola R, Prados-Torres A, Gutierrez-Cuadra. Variations in health services utilization by primary care patients. Health Services Management Research. 2002;15:116-25.</w:t>
      </w:r>
    </w:p>
    <w:p w14:paraId="59AA5807" w14:textId="77777777" w:rsidR="0001001E" w:rsidRPr="0001001E" w:rsidRDefault="0001001E" w:rsidP="0001001E">
      <w:pPr>
        <w:pStyle w:val="EndNoteBibliography"/>
        <w:spacing w:after="0"/>
      </w:pPr>
      <w:r w:rsidRPr="0001001E">
        <w:t>11.</w:t>
      </w:r>
      <w:r w:rsidRPr="0001001E">
        <w:tab/>
        <w:t>Wahls TL, Barnett MJ, Rosenthal GE. Predicting Resource Utilization in a Veterans Health Administration Primary Care Population Comparison of Methods Based on Diagnoses and Medications. Medical Care. 2004;42(2):123-8.</w:t>
      </w:r>
    </w:p>
    <w:p w14:paraId="70B75B6B" w14:textId="77777777" w:rsidR="0001001E" w:rsidRPr="0001001E" w:rsidRDefault="0001001E" w:rsidP="0001001E">
      <w:pPr>
        <w:pStyle w:val="EndNoteBibliography"/>
        <w:spacing w:after="0"/>
      </w:pPr>
      <w:r w:rsidRPr="0001001E">
        <w:t>12.</w:t>
      </w:r>
      <w:r w:rsidRPr="0001001E">
        <w:tab/>
        <w:t>Pietz K, Ashton CM, McDonell M, Wray NP. Predicting Healthcare Costs in a Population of Veterans Affairs Beneficiaries Using Diagnosis-Based Risk Adjustment and Self-Reported Health Status. Medical Care. 2004;42(1027-1035).</w:t>
      </w:r>
    </w:p>
    <w:p w14:paraId="7A1E7CE3" w14:textId="77777777" w:rsidR="0001001E" w:rsidRPr="0001001E" w:rsidRDefault="0001001E" w:rsidP="0001001E">
      <w:pPr>
        <w:pStyle w:val="EndNoteBibliography"/>
        <w:spacing w:after="0"/>
      </w:pPr>
      <w:r w:rsidRPr="0001001E">
        <w:t>13.</w:t>
      </w:r>
      <w:r w:rsidRPr="0001001E">
        <w:tab/>
        <w:t>Orueta J-F, Urraca J, Berraondo I, Darpon J, Aurrekoetxea J-J. Adjusted Clinical Groups (ACGs) explain the utilization of primary care in Spain based on information registered in the medical records: A cross-sectional study. Health Policy  2006;76:38-48.</w:t>
      </w:r>
    </w:p>
    <w:p w14:paraId="22CA38DA" w14:textId="77777777" w:rsidR="0001001E" w:rsidRPr="0001001E" w:rsidRDefault="0001001E" w:rsidP="0001001E">
      <w:pPr>
        <w:pStyle w:val="EndNoteBibliography"/>
        <w:spacing w:after="0"/>
      </w:pPr>
      <w:r w:rsidRPr="0001001E">
        <w:t>14.</w:t>
      </w:r>
      <w:r w:rsidRPr="0001001E">
        <w:tab/>
        <w:t>Hanley GE, Morgan S, Reid RJ. Explaining prescription drug use and expenditures using the adjusted clinical groups case-mix system in the population of British Columbia, Canada. Medical Care. 2010;48(5):402-8.</w:t>
      </w:r>
    </w:p>
    <w:p w14:paraId="5F2B02A3" w14:textId="77777777" w:rsidR="0001001E" w:rsidRPr="0001001E" w:rsidRDefault="0001001E" w:rsidP="0001001E">
      <w:pPr>
        <w:pStyle w:val="EndNoteBibliography"/>
        <w:spacing w:after="0"/>
      </w:pPr>
      <w:r w:rsidRPr="0001001E">
        <w:t>15.</w:t>
      </w:r>
      <w:r w:rsidRPr="0001001E">
        <w:tab/>
        <w:t>Aguado A, Guinó E, Mukherjee B, Sicras A, Serrat J, Acedo M, et al. Variability in prescription drug expenditures explained by adjusted clinical groups (ACG) case-mix: A cross-sectional study of patient electronic records in primary care. BMC Health Services Research. 2008;8(53):1-11.</w:t>
      </w:r>
    </w:p>
    <w:p w14:paraId="18418157" w14:textId="77777777" w:rsidR="0001001E" w:rsidRPr="0001001E" w:rsidRDefault="0001001E" w:rsidP="0001001E">
      <w:pPr>
        <w:pStyle w:val="EndNoteBibliography"/>
        <w:spacing w:after="0"/>
      </w:pPr>
      <w:r w:rsidRPr="0001001E">
        <w:t>16.</w:t>
      </w:r>
      <w:r w:rsidRPr="0001001E">
        <w:tab/>
        <w:t>Chang H-Y, Weiner JP. An in-depth assessment of a diagnosis-based risk adjustment model based on national health insurance claims: the application of the Johns Hopkins Adjusted Clinical Group case-mix system in Taiwan. BMC Medicine. 2010;8(7):1-13.</w:t>
      </w:r>
    </w:p>
    <w:p w14:paraId="6342498B" w14:textId="77777777" w:rsidR="0001001E" w:rsidRPr="0001001E" w:rsidRDefault="0001001E" w:rsidP="0001001E">
      <w:pPr>
        <w:pStyle w:val="EndNoteBibliography"/>
        <w:spacing w:after="0"/>
      </w:pPr>
      <w:r w:rsidRPr="0001001E">
        <w:t>17.</w:t>
      </w:r>
      <w:r w:rsidRPr="0001001E">
        <w:tab/>
        <w:t>Sicras-Mainar A. Adaptive capacity of the Adjusted Clinical Groups Case-Mix System to the cost of primary healthcare in Catalonia (Spain): a observational study. 2012.</w:t>
      </w:r>
    </w:p>
    <w:p w14:paraId="7D3F7C32" w14:textId="77777777" w:rsidR="0001001E" w:rsidRPr="0001001E" w:rsidRDefault="0001001E" w:rsidP="0001001E">
      <w:pPr>
        <w:pStyle w:val="EndNoteBibliography"/>
        <w:spacing w:after="0"/>
      </w:pPr>
      <w:r w:rsidRPr="0001001E">
        <w:t>18.</w:t>
      </w:r>
      <w:r w:rsidRPr="0001001E">
        <w:tab/>
        <w:t>Brilleman SL, Gravelle H, Hollinghurst S, Purdy S, Salisbury C, Windmeijer F. Keep it simple? Predicting primary health care costs with clinical morbidity measures. Journal of Health Economics. 2014;35(100):109-22.</w:t>
      </w:r>
    </w:p>
    <w:p w14:paraId="31A868AA" w14:textId="77777777" w:rsidR="0001001E" w:rsidRPr="0001001E" w:rsidRDefault="0001001E" w:rsidP="0001001E">
      <w:pPr>
        <w:pStyle w:val="EndNoteBibliography"/>
        <w:spacing w:after="0"/>
      </w:pPr>
      <w:r w:rsidRPr="0001001E">
        <w:t>19.</w:t>
      </w:r>
      <w:r w:rsidRPr="0001001E">
        <w:tab/>
        <w:t>Hughes JS, Averill RF, Eisenhandler J, Goldfield NI, Muldoon J, Neff JM, et al. Clinical Risk Groups (CRGs): a classification system for risk-adjusted capitation-based payment and health care management. Med Care. 2004;42(1):81-90.</w:t>
      </w:r>
    </w:p>
    <w:p w14:paraId="0FC2EC85" w14:textId="77777777" w:rsidR="0001001E" w:rsidRPr="0001001E" w:rsidRDefault="0001001E" w:rsidP="0001001E">
      <w:pPr>
        <w:pStyle w:val="EndNoteBibliography"/>
        <w:spacing w:after="0"/>
      </w:pPr>
      <w:r w:rsidRPr="0001001E">
        <w:lastRenderedPageBreak/>
        <w:t>20.</w:t>
      </w:r>
      <w:r w:rsidRPr="0001001E">
        <w:tab/>
        <w:t>García-Goñi M, Ibern P. Predictability of drug expenditures: an application using morbidity data. Health Economics 2006;17:119-26.</w:t>
      </w:r>
    </w:p>
    <w:p w14:paraId="14248944" w14:textId="77777777" w:rsidR="0001001E" w:rsidRPr="0001001E" w:rsidRDefault="0001001E" w:rsidP="0001001E">
      <w:pPr>
        <w:pStyle w:val="EndNoteBibliography"/>
        <w:spacing w:after="0"/>
      </w:pPr>
      <w:r w:rsidRPr="0001001E">
        <w:t>21.</w:t>
      </w:r>
      <w:r w:rsidRPr="0001001E">
        <w:tab/>
        <w:t>Vivas-Consuelo D, Usó-Talamantes R, Guadalajara-Olmeda N, Trillo-Mata J-L, Sancho-Mestre C, Buigues-Pastor L. Pharmaceutical cost management in an ambulatory setting using a risk adjustment tool. BMC Health Services Research. 2014;14(462):1-11.</w:t>
      </w:r>
    </w:p>
    <w:p w14:paraId="13B697F4" w14:textId="77777777" w:rsidR="0001001E" w:rsidRPr="0001001E" w:rsidRDefault="0001001E" w:rsidP="0001001E">
      <w:pPr>
        <w:pStyle w:val="EndNoteBibliography"/>
        <w:spacing w:after="0"/>
      </w:pPr>
      <w:r w:rsidRPr="0001001E">
        <w:t>22.</w:t>
      </w:r>
      <w:r w:rsidRPr="0001001E">
        <w:tab/>
        <w:t>Vivas-Consueloa D, Usó-Talamantesb R, Trillo-Matab JL, Caballer-Tarazonac M, Barrachina-Martíneza I, Buigues-Pastora L. Predictability of pharmaceutical spending in primary health services using Clinical Risk Groups. Health Policy  2014;116:188-95.</w:t>
      </w:r>
    </w:p>
    <w:p w14:paraId="042D7C28" w14:textId="77777777" w:rsidR="0001001E" w:rsidRPr="0001001E" w:rsidRDefault="0001001E" w:rsidP="0001001E">
      <w:pPr>
        <w:pStyle w:val="EndNoteBibliography"/>
        <w:spacing w:after="0"/>
      </w:pPr>
      <w:r w:rsidRPr="0001001E">
        <w:t>23.</w:t>
      </w:r>
      <w:r w:rsidRPr="0001001E">
        <w:tab/>
        <w:t>Fuller RL, Hughes JS, Goldfield NI. Adjusting Population Risk for Functional Health Status. Population health management. 2016.</w:t>
      </w:r>
    </w:p>
    <w:p w14:paraId="18E7B47E" w14:textId="77777777" w:rsidR="0001001E" w:rsidRPr="0001001E" w:rsidRDefault="0001001E" w:rsidP="0001001E">
      <w:pPr>
        <w:pStyle w:val="EndNoteBibliography"/>
        <w:spacing w:after="0"/>
      </w:pPr>
      <w:r w:rsidRPr="0001001E">
        <w:t>24.</w:t>
      </w:r>
      <w:r w:rsidRPr="0001001E">
        <w:tab/>
        <w:t>Eissens van der Laan MR, van Offenbeek MAG, Broekhuis H, Slaets JPJ. A person-centred segmentation study in elderly care: Towards efficient demand-driven care. Social Science and Medicine. 2014;113:68-76.</w:t>
      </w:r>
    </w:p>
    <w:p w14:paraId="6DE9B6B7" w14:textId="77777777" w:rsidR="0001001E" w:rsidRPr="0001001E" w:rsidRDefault="0001001E" w:rsidP="0001001E">
      <w:pPr>
        <w:pStyle w:val="EndNoteBibliography"/>
        <w:spacing w:after="0"/>
      </w:pPr>
      <w:r w:rsidRPr="0001001E">
        <w:t>25.</w:t>
      </w:r>
      <w:r w:rsidRPr="0001001E">
        <w:tab/>
        <w:t>Liu L-F. Utilization of health care services by elderly people with National Health Insurance in Taiwan: The heterogeneous health profile approach. 2012.</w:t>
      </w:r>
    </w:p>
    <w:p w14:paraId="582D56FB" w14:textId="77777777" w:rsidR="0001001E" w:rsidRPr="0001001E" w:rsidRDefault="0001001E" w:rsidP="0001001E">
      <w:pPr>
        <w:pStyle w:val="EndNoteBibliography"/>
        <w:spacing w:after="0"/>
      </w:pPr>
      <w:r w:rsidRPr="0001001E">
        <w:t>26.</w:t>
      </w:r>
      <w:r w:rsidRPr="0001001E">
        <w:tab/>
        <w:t>Lafortune L, Beland F, Bergman H, Ankri J. Health state profiles and service utilization in community-living elderly. Medical care. 2009;47(3):286-94.</w:t>
      </w:r>
    </w:p>
    <w:p w14:paraId="5AC9DA54" w14:textId="77777777" w:rsidR="0001001E" w:rsidRPr="0001001E" w:rsidRDefault="0001001E" w:rsidP="0001001E">
      <w:pPr>
        <w:pStyle w:val="EndNoteBibliography"/>
        <w:spacing w:after="0"/>
      </w:pPr>
      <w:r w:rsidRPr="0001001E">
        <w:t>27.</w:t>
      </w:r>
      <w:r w:rsidRPr="0001001E">
        <w:tab/>
        <w:t>Zhou YY, Wong W, Li H. Improving care for older adults: a model to segment the senior population. The Permanente journal. 2014;18(3):18-21.</w:t>
      </w:r>
    </w:p>
    <w:p w14:paraId="13920DAF" w14:textId="77777777" w:rsidR="0001001E" w:rsidRPr="0001001E" w:rsidRDefault="0001001E" w:rsidP="0001001E">
      <w:pPr>
        <w:pStyle w:val="EndNoteBibliography"/>
        <w:spacing w:after="0"/>
      </w:pPr>
      <w:r w:rsidRPr="0001001E">
        <w:t>28.</w:t>
      </w:r>
      <w:r w:rsidRPr="0001001E">
        <w:tab/>
        <w:t>Joynt KE, Figueroa JF, Beaulieu N, Wild RC, Orav EJ, Jha AK. Segmenting high-cost Medicare patients into potentially actionable cohorts. Healthc (Amst). 2017;5(1-2):62-7.</w:t>
      </w:r>
    </w:p>
    <w:p w14:paraId="6E554ABF" w14:textId="77777777" w:rsidR="0001001E" w:rsidRPr="0001001E" w:rsidRDefault="0001001E" w:rsidP="0001001E">
      <w:pPr>
        <w:pStyle w:val="EndNoteBibliography"/>
        <w:spacing w:after="0"/>
      </w:pPr>
      <w:r w:rsidRPr="0001001E">
        <w:t>29.</w:t>
      </w:r>
      <w:r w:rsidRPr="0001001E">
        <w:tab/>
        <w:t>Low LL, Yan S, Kwan YH, Tan CS, Thumboo J. Assessing the validity of a data driven segmentation approach: A 4 year longitudinal study of healthcare utilization and mortality. PLoS One. 2018;13(4):e0195243.</w:t>
      </w:r>
    </w:p>
    <w:p w14:paraId="16C9299F" w14:textId="77777777" w:rsidR="0001001E" w:rsidRPr="0001001E" w:rsidRDefault="0001001E" w:rsidP="0001001E">
      <w:pPr>
        <w:pStyle w:val="EndNoteBibliography"/>
      </w:pPr>
      <w:r w:rsidRPr="0001001E">
        <w:t>30.</w:t>
      </w:r>
      <w:r w:rsidRPr="0001001E">
        <w:tab/>
        <w:t>Low LL, Kwan YH, Liu N, Jing X, Low ECT, Thumboo J. Evaluation of a practical expert defined approach to patient population segmentation: a case study in Singapore. BMC Health Serv Res. 2017;17(1):771.</w:t>
      </w:r>
    </w:p>
    <w:p w14:paraId="7823EBF3" w14:textId="760AC8E0" w:rsidR="00704467" w:rsidRPr="00390719" w:rsidRDefault="00BE010B" w:rsidP="00BE010B">
      <w:pPr>
        <w:spacing w:line="480" w:lineRule="auto"/>
        <w:rPr>
          <w:rFonts w:ascii="Times New Roman" w:hAnsi="Times New Roman" w:cs="Times New Roman"/>
          <w:sz w:val="24"/>
          <w:szCs w:val="24"/>
          <w:u w:val="single"/>
        </w:rPr>
      </w:pPr>
      <w:r w:rsidRPr="00BE010B">
        <w:rPr>
          <w:rFonts w:ascii="Times New Roman" w:hAnsi="Times New Roman" w:cs="Times New Roman"/>
          <w:sz w:val="24"/>
          <w:szCs w:val="24"/>
          <w:u w:val="single"/>
        </w:rPr>
        <w:fldChar w:fldCharType="end"/>
      </w:r>
    </w:p>
    <w:sectPr w:rsidR="00704467" w:rsidRPr="00390719" w:rsidSect="006A1D41">
      <w:pgSz w:w="16838" w:h="11906" w:orient="landscape"/>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249EF0" w14:textId="77777777" w:rsidR="006A4C0D" w:rsidRDefault="006A4C0D" w:rsidP="00D35F02">
      <w:pPr>
        <w:spacing w:after="0" w:line="240" w:lineRule="auto"/>
      </w:pPr>
      <w:r>
        <w:separator/>
      </w:r>
    </w:p>
  </w:endnote>
  <w:endnote w:type="continuationSeparator" w:id="0">
    <w:p w14:paraId="4DA4843C" w14:textId="77777777" w:rsidR="006A4C0D" w:rsidRDefault="006A4C0D" w:rsidP="00D35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5062312"/>
      <w:docPartObj>
        <w:docPartGallery w:val="Page Numbers (Bottom of Page)"/>
        <w:docPartUnique/>
      </w:docPartObj>
    </w:sdtPr>
    <w:sdtEndPr>
      <w:rPr>
        <w:noProof/>
      </w:rPr>
    </w:sdtEndPr>
    <w:sdtContent>
      <w:p w14:paraId="766E7282" w14:textId="6598D318" w:rsidR="00CE0E1D" w:rsidRDefault="00CE0E1D">
        <w:pPr>
          <w:pStyle w:val="Footer"/>
          <w:jc w:val="right"/>
        </w:pPr>
        <w:r>
          <w:fldChar w:fldCharType="begin"/>
        </w:r>
        <w:r>
          <w:instrText xml:space="preserve"> PAGE   \* MERGEFORMAT </w:instrText>
        </w:r>
        <w:r>
          <w:fldChar w:fldCharType="separate"/>
        </w:r>
        <w:r>
          <w:rPr>
            <w:noProof/>
          </w:rPr>
          <w:t>25</w:t>
        </w:r>
        <w:r>
          <w:rPr>
            <w:noProof/>
          </w:rPr>
          <w:fldChar w:fldCharType="end"/>
        </w:r>
      </w:p>
    </w:sdtContent>
  </w:sdt>
  <w:p w14:paraId="062BE702" w14:textId="77777777" w:rsidR="00CE0E1D" w:rsidRDefault="00CE0E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1D1CC6" w14:textId="77777777" w:rsidR="006A4C0D" w:rsidRDefault="006A4C0D" w:rsidP="00D35F02">
      <w:pPr>
        <w:spacing w:after="0" w:line="240" w:lineRule="auto"/>
      </w:pPr>
      <w:r>
        <w:separator/>
      </w:r>
    </w:p>
  </w:footnote>
  <w:footnote w:type="continuationSeparator" w:id="0">
    <w:p w14:paraId="00AD640A" w14:textId="77777777" w:rsidR="006A4C0D" w:rsidRDefault="006A4C0D" w:rsidP="00D35F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27D8F"/>
    <w:multiLevelType w:val="hybridMultilevel"/>
    <w:tmpl w:val="1A50DF2A"/>
    <w:lvl w:ilvl="0" w:tplc="C37AAA9E">
      <w:start w:val="1"/>
      <w:numFmt w:val="decimal"/>
      <w:lvlText w:val="%1."/>
      <w:lvlJc w:val="left"/>
      <w:pPr>
        <w:ind w:left="720" w:hanging="360"/>
      </w:pPr>
      <w:rPr>
        <w:rFonts w:eastAsiaTheme="minorHAnsi"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7C575C"/>
    <w:multiLevelType w:val="hybridMultilevel"/>
    <w:tmpl w:val="6E368F4A"/>
    <w:lvl w:ilvl="0" w:tplc="E528C044">
      <w:numFmt w:val="bullet"/>
      <w:lvlText w:val="-"/>
      <w:lvlJc w:val="left"/>
      <w:pPr>
        <w:ind w:left="360" w:hanging="360"/>
      </w:pPr>
      <w:rPr>
        <w:rFonts w:ascii="Calibri" w:eastAsiaTheme="minorHAnsi" w:hAnsi="Calibri" w:cstheme="minorBidi"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start w:val="1"/>
      <w:numFmt w:val="bullet"/>
      <w:lvlText w:val=""/>
      <w:lvlJc w:val="left"/>
      <w:pPr>
        <w:ind w:left="2520" w:hanging="360"/>
      </w:pPr>
      <w:rPr>
        <w:rFonts w:ascii="Symbol" w:hAnsi="Symbol" w:hint="default"/>
      </w:rPr>
    </w:lvl>
    <w:lvl w:ilvl="4" w:tplc="48090003">
      <w:start w:val="1"/>
      <w:numFmt w:val="bullet"/>
      <w:lvlText w:val="o"/>
      <w:lvlJc w:val="left"/>
      <w:pPr>
        <w:ind w:left="3240" w:hanging="360"/>
      </w:pPr>
      <w:rPr>
        <w:rFonts w:ascii="Courier New" w:hAnsi="Courier New" w:cs="Courier New" w:hint="default"/>
      </w:rPr>
    </w:lvl>
    <w:lvl w:ilvl="5" w:tplc="48090005">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 w15:restartNumberingAfterBreak="0">
    <w:nsid w:val="0AD94BDB"/>
    <w:multiLevelType w:val="hybridMultilevel"/>
    <w:tmpl w:val="32C040B4"/>
    <w:lvl w:ilvl="0" w:tplc="4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03794A"/>
    <w:multiLevelType w:val="hybridMultilevel"/>
    <w:tmpl w:val="DB4C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7E51C7"/>
    <w:multiLevelType w:val="hybridMultilevel"/>
    <w:tmpl w:val="20769A22"/>
    <w:lvl w:ilvl="0" w:tplc="2F4CEEF8">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38C630A9"/>
    <w:multiLevelType w:val="hybridMultilevel"/>
    <w:tmpl w:val="F7FAC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335D59"/>
    <w:multiLevelType w:val="multilevel"/>
    <w:tmpl w:val="E784599E"/>
    <w:lvl w:ilvl="0">
      <w:start w:val="1"/>
      <w:numFmt w:val="decimal"/>
      <w:lvlText w:val="(%1."/>
      <w:lvlJc w:val="left"/>
      <w:pPr>
        <w:ind w:left="460" w:hanging="4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463A5F59"/>
    <w:multiLevelType w:val="hybridMultilevel"/>
    <w:tmpl w:val="CF1639C4"/>
    <w:lvl w:ilvl="0" w:tplc="B41293BC">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47F300B6"/>
    <w:multiLevelType w:val="hybridMultilevel"/>
    <w:tmpl w:val="D9065E8E"/>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9" w15:restartNumberingAfterBreak="0">
    <w:nsid w:val="50AC18B3"/>
    <w:multiLevelType w:val="hybridMultilevel"/>
    <w:tmpl w:val="BC8A787C"/>
    <w:lvl w:ilvl="0" w:tplc="3476E20E">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532C741F"/>
    <w:multiLevelType w:val="hybridMultilevel"/>
    <w:tmpl w:val="D32E1E56"/>
    <w:lvl w:ilvl="0" w:tplc="B41293BC">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54075994"/>
    <w:multiLevelType w:val="hybridMultilevel"/>
    <w:tmpl w:val="0D62C70E"/>
    <w:lvl w:ilvl="0" w:tplc="B41293BC">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2" w15:restartNumberingAfterBreak="0">
    <w:nsid w:val="5D275EF3"/>
    <w:multiLevelType w:val="hybridMultilevel"/>
    <w:tmpl w:val="BF362DBC"/>
    <w:lvl w:ilvl="0" w:tplc="B41293BC">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660235CF"/>
    <w:multiLevelType w:val="hybridMultilevel"/>
    <w:tmpl w:val="3412F062"/>
    <w:lvl w:ilvl="0" w:tplc="B41293BC">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4" w15:restartNumberingAfterBreak="0">
    <w:nsid w:val="6825266B"/>
    <w:multiLevelType w:val="hybridMultilevel"/>
    <w:tmpl w:val="32F2C16E"/>
    <w:lvl w:ilvl="0" w:tplc="4809000F">
      <w:start w:val="1"/>
      <w:numFmt w:val="decimal"/>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6AB85718"/>
    <w:multiLevelType w:val="hybridMultilevel"/>
    <w:tmpl w:val="1654DECA"/>
    <w:lvl w:ilvl="0" w:tplc="FA06629A">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AA4C85"/>
    <w:multiLevelType w:val="hybridMultilevel"/>
    <w:tmpl w:val="BECC290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15"/>
  </w:num>
  <w:num w:numId="4">
    <w:abstractNumId w:val="3"/>
  </w:num>
  <w:num w:numId="5">
    <w:abstractNumId w:val="16"/>
  </w:num>
  <w:num w:numId="6">
    <w:abstractNumId w:val="0"/>
  </w:num>
  <w:num w:numId="7">
    <w:abstractNumId w:val="8"/>
  </w:num>
  <w:num w:numId="8">
    <w:abstractNumId w:val="14"/>
  </w:num>
  <w:num w:numId="9">
    <w:abstractNumId w:val="9"/>
  </w:num>
  <w:num w:numId="10">
    <w:abstractNumId w:val="4"/>
  </w:num>
  <w:num w:numId="11">
    <w:abstractNumId w:val="11"/>
  </w:num>
  <w:num w:numId="12">
    <w:abstractNumId w:val="2"/>
  </w:num>
  <w:num w:numId="13">
    <w:abstractNumId w:val="6"/>
  </w:num>
  <w:num w:numId="14">
    <w:abstractNumId w:val="13"/>
  </w:num>
  <w:num w:numId="15">
    <w:abstractNumId w:val="7"/>
  </w:num>
  <w:num w:numId="16">
    <w:abstractNumId w:val="12"/>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e9erwffmxvtrdev0wovsv2zesvwxvrxdppv&quot;&gt;SR of segments&lt;record-ids&gt;&lt;item&gt;14&lt;/item&gt;&lt;item&gt;20&lt;/item&gt;&lt;item&gt;22&lt;/item&gt;&lt;item&gt;24&lt;/item&gt;&lt;item&gt;27&lt;/item&gt;&lt;item&gt;28&lt;/item&gt;&lt;item&gt;29&lt;/item&gt;&lt;item&gt;32&lt;/item&gt;&lt;item&gt;34&lt;/item&gt;&lt;item&gt;36&lt;/item&gt;&lt;item&gt;37&lt;/item&gt;&lt;item&gt;39&lt;/item&gt;&lt;item&gt;41&lt;/item&gt;&lt;item&gt;42&lt;/item&gt;&lt;item&gt;43&lt;/item&gt;&lt;item&gt;44&lt;/item&gt;&lt;item&gt;45&lt;/item&gt;&lt;item&gt;46&lt;/item&gt;&lt;item&gt;47&lt;/item&gt;&lt;item&gt;48&lt;/item&gt;&lt;item&gt;49&lt;/item&gt;&lt;item&gt;50&lt;/item&gt;&lt;item&gt;51&lt;/item&gt;&lt;item&gt;52&lt;/item&gt;&lt;item&gt;53&lt;/item&gt;&lt;item&gt;155&lt;/item&gt;&lt;item&gt;157&lt;/item&gt;&lt;item&gt;158&lt;/item&gt;&lt;item&gt;159&lt;/item&gt;&lt;/record-ids&gt;&lt;/item&gt;&lt;/Libraries&gt;"/>
  </w:docVars>
  <w:rsids>
    <w:rsidRoot w:val="00556472"/>
    <w:rsid w:val="00000EEE"/>
    <w:rsid w:val="00003AB0"/>
    <w:rsid w:val="00006290"/>
    <w:rsid w:val="000063C7"/>
    <w:rsid w:val="0001001E"/>
    <w:rsid w:val="00020D67"/>
    <w:rsid w:val="000217CC"/>
    <w:rsid w:val="00040F45"/>
    <w:rsid w:val="0005078A"/>
    <w:rsid w:val="0007431C"/>
    <w:rsid w:val="00082842"/>
    <w:rsid w:val="00085E12"/>
    <w:rsid w:val="000872F2"/>
    <w:rsid w:val="00087C15"/>
    <w:rsid w:val="00096E4F"/>
    <w:rsid w:val="000A056A"/>
    <w:rsid w:val="000A45D3"/>
    <w:rsid w:val="000A7B80"/>
    <w:rsid w:val="000B6542"/>
    <w:rsid w:val="000B6D54"/>
    <w:rsid w:val="000C475C"/>
    <w:rsid w:val="000D5E48"/>
    <w:rsid w:val="000D7740"/>
    <w:rsid w:val="000E214C"/>
    <w:rsid w:val="000E6517"/>
    <w:rsid w:val="000E7FB0"/>
    <w:rsid w:val="000F454E"/>
    <w:rsid w:val="000F6578"/>
    <w:rsid w:val="000F6ED5"/>
    <w:rsid w:val="00120875"/>
    <w:rsid w:val="00151B16"/>
    <w:rsid w:val="00157DFD"/>
    <w:rsid w:val="00172CA9"/>
    <w:rsid w:val="00173B86"/>
    <w:rsid w:val="00174C97"/>
    <w:rsid w:val="00183B44"/>
    <w:rsid w:val="00183F63"/>
    <w:rsid w:val="0019698A"/>
    <w:rsid w:val="001B0BC2"/>
    <w:rsid w:val="001C33F1"/>
    <w:rsid w:val="001C44CC"/>
    <w:rsid w:val="001D1553"/>
    <w:rsid w:val="001E48A7"/>
    <w:rsid w:val="001F3AE7"/>
    <w:rsid w:val="001F3CE0"/>
    <w:rsid w:val="0020035D"/>
    <w:rsid w:val="00201F8F"/>
    <w:rsid w:val="00202642"/>
    <w:rsid w:val="00204770"/>
    <w:rsid w:val="0020744A"/>
    <w:rsid w:val="002234D0"/>
    <w:rsid w:val="00223635"/>
    <w:rsid w:val="0022481A"/>
    <w:rsid w:val="0023072C"/>
    <w:rsid w:val="00230EE3"/>
    <w:rsid w:val="0023681C"/>
    <w:rsid w:val="00250A22"/>
    <w:rsid w:val="00256B1A"/>
    <w:rsid w:val="00260C13"/>
    <w:rsid w:val="00262B25"/>
    <w:rsid w:val="00265423"/>
    <w:rsid w:val="0028207C"/>
    <w:rsid w:val="00286197"/>
    <w:rsid w:val="00296836"/>
    <w:rsid w:val="002A00B5"/>
    <w:rsid w:val="002A17F7"/>
    <w:rsid w:val="002A20A9"/>
    <w:rsid w:val="002A6A94"/>
    <w:rsid w:val="002B454B"/>
    <w:rsid w:val="002B5067"/>
    <w:rsid w:val="002B771F"/>
    <w:rsid w:val="002C0490"/>
    <w:rsid w:val="002C5542"/>
    <w:rsid w:val="002D2FF4"/>
    <w:rsid w:val="002D586F"/>
    <w:rsid w:val="002E5B35"/>
    <w:rsid w:val="002F26AB"/>
    <w:rsid w:val="0031035F"/>
    <w:rsid w:val="003212F7"/>
    <w:rsid w:val="00323035"/>
    <w:rsid w:val="003361F7"/>
    <w:rsid w:val="00337A6C"/>
    <w:rsid w:val="003409D4"/>
    <w:rsid w:val="003444BC"/>
    <w:rsid w:val="003523BA"/>
    <w:rsid w:val="0036022D"/>
    <w:rsid w:val="00364593"/>
    <w:rsid w:val="0036541A"/>
    <w:rsid w:val="003725C6"/>
    <w:rsid w:val="00375998"/>
    <w:rsid w:val="003761E5"/>
    <w:rsid w:val="00385AEA"/>
    <w:rsid w:val="00390719"/>
    <w:rsid w:val="003A16D5"/>
    <w:rsid w:val="003B328D"/>
    <w:rsid w:val="003B32F1"/>
    <w:rsid w:val="003B5F2A"/>
    <w:rsid w:val="003C5925"/>
    <w:rsid w:val="003D5E37"/>
    <w:rsid w:val="003E38C3"/>
    <w:rsid w:val="003F2E4C"/>
    <w:rsid w:val="003F6084"/>
    <w:rsid w:val="00400DC7"/>
    <w:rsid w:val="00406F5F"/>
    <w:rsid w:val="00420F87"/>
    <w:rsid w:val="0042335D"/>
    <w:rsid w:val="004341CE"/>
    <w:rsid w:val="0044166A"/>
    <w:rsid w:val="00445F22"/>
    <w:rsid w:val="004474DD"/>
    <w:rsid w:val="00451979"/>
    <w:rsid w:val="00456BFF"/>
    <w:rsid w:val="00457438"/>
    <w:rsid w:val="004637A9"/>
    <w:rsid w:val="00467796"/>
    <w:rsid w:val="00470084"/>
    <w:rsid w:val="00476BA4"/>
    <w:rsid w:val="00482C07"/>
    <w:rsid w:val="00485F02"/>
    <w:rsid w:val="00497399"/>
    <w:rsid w:val="004B30F8"/>
    <w:rsid w:val="004C0DD1"/>
    <w:rsid w:val="004C2349"/>
    <w:rsid w:val="004C6889"/>
    <w:rsid w:val="004D6E8B"/>
    <w:rsid w:val="004E5480"/>
    <w:rsid w:val="004F0068"/>
    <w:rsid w:val="004F248C"/>
    <w:rsid w:val="00502365"/>
    <w:rsid w:val="00511F25"/>
    <w:rsid w:val="0052087D"/>
    <w:rsid w:val="0054191B"/>
    <w:rsid w:val="00551AD6"/>
    <w:rsid w:val="00556472"/>
    <w:rsid w:val="005608C5"/>
    <w:rsid w:val="00566BD4"/>
    <w:rsid w:val="005673E0"/>
    <w:rsid w:val="0057110B"/>
    <w:rsid w:val="00580818"/>
    <w:rsid w:val="00584F82"/>
    <w:rsid w:val="005908F5"/>
    <w:rsid w:val="005A2273"/>
    <w:rsid w:val="005A72BC"/>
    <w:rsid w:val="005B0AC7"/>
    <w:rsid w:val="005B29BB"/>
    <w:rsid w:val="005B79ED"/>
    <w:rsid w:val="005C36EC"/>
    <w:rsid w:val="005C4864"/>
    <w:rsid w:val="005C79F6"/>
    <w:rsid w:val="005F004C"/>
    <w:rsid w:val="006115A6"/>
    <w:rsid w:val="00611C8A"/>
    <w:rsid w:val="00616FDE"/>
    <w:rsid w:val="00625D66"/>
    <w:rsid w:val="00626137"/>
    <w:rsid w:val="006265F8"/>
    <w:rsid w:val="006326A0"/>
    <w:rsid w:val="006505DF"/>
    <w:rsid w:val="0065211E"/>
    <w:rsid w:val="0066182D"/>
    <w:rsid w:val="00662774"/>
    <w:rsid w:val="00665032"/>
    <w:rsid w:val="00667088"/>
    <w:rsid w:val="006751BB"/>
    <w:rsid w:val="00680792"/>
    <w:rsid w:val="00691917"/>
    <w:rsid w:val="006A025D"/>
    <w:rsid w:val="006A1D41"/>
    <w:rsid w:val="006A4C0D"/>
    <w:rsid w:val="006A7E2E"/>
    <w:rsid w:val="006B120B"/>
    <w:rsid w:val="006C4751"/>
    <w:rsid w:val="006C752C"/>
    <w:rsid w:val="006D06DE"/>
    <w:rsid w:val="006D2C5E"/>
    <w:rsid w:val="006D2F6E"/>
    <w:rsid w:val="006E017D"/>
    <w:rsid w:val="006E32FB"/>
    <w:rsid w:val="006F0AE7"/>
    <w:rsid w:val="006F3CBE"/>
    <w:rsid w:val="006F78B7"/>
    <w:rsid w:val="00703D87"/>
    <w:rsid w:val="00704467"/>
    <w:rsid w:val="00706458"/>
    <w:rsid w:val="007117FC"/>
    <w:rsid w:val="00712A74"/>
    <w:rsid w:val="0071741D"/>
    <w:rsid w:val="007202B3"/>
    <w:rsid w:val="0072049E"/>
    <w:rsid w:val="00731C83"/>
    <w:rsid w:val="007406EF"/>
    <w:rsid w:val="0075601E"/>
    <w:rsid w:val="00761474"/>
    <w:rsid w:val="007625DD"/>
    <w:rsid w:val="0076347D"/>
    <w:rsid w:val="00782ED1"/>
    <w:rsid w:val="007844AF"/>
    <w:rsid w:val="00791E7D"/>
    <w:rsid w:val="007A1008"/>
    <w:rsid w:val="007A5357"/>
    <w:rsid w:val="007B0FB7"/>
    <w:rsid w:val="007B18BC"/>
    <w:rsid w:val="007B3F72"/>
    <w:rsid w:val="007B65E2"/>
    <w:rsid w:val="007F195D"/>
    <w:rsid w:val="007F2A12"/>
    <w:rsid w:val="00801C20"/>
    <w:rsid w:val="00803FBA"/>
    <w:rsid w:val="008050C5"/>
    <w:rsid w:val="008051DA"/>
    <w:rsid w:val="00820167"/>
    <w:rsid w:val="00823549"/>
    <w:rsid w:val="00837BE5"/>
    <w:rsid w:val="0085174F"/>
    <w:rsid w:val="00863350"/>
    <w:rsid w:val="008650AA"/>
    <w:rsid w:val="008704D3"/>
    <w:rsid w:val="008764F4"/>
    <w:rsid w:val="00876DD1"/>
    <w:rsid w:val="00884142"/>
    <w:rsid w:val="00884455"/>
    <w:rsid w:val="00886203"/>
    <w:rsid w:val="00897202"/>
    <w:rsid w:val="008A5EEC"/>
    <w:rsid w:val="008B35BB"/>
    <w:rsid w:val="008C17F2"/>
    <w:rsid w:val="008C3A16"/>
    <w:rsid w:val="008F2D36"/>
    <w:rsid w:val="00905FDE"/>
    <w:rsid w:val="009106F0"/>
    <w:rsid w:val="0091659C"/>
    <w:rsid w:val="00921FA7"/>
    <w:rsid w:val="00927BAC"/>
    <w:rsid w:val="00932120"/>
    <w:rsid w:val="00950AAD"/>
    <w:rsid w:val="00953B8B"/>
    <w:rsid w:val="0095696D"/>
    <w:rsid w:val="009626F9"/>
    <w:rsid w:val="00963243"/>
    <w:rsid w:val="00970DB9"/>
    <w:rsid w:val="009726C2"/>
    <w:rsid w:val="009729B1"/>
    <w:rsid w:val="009804DE"/>
    <w:rsid w:val="00980F1E"/>
    <w:rsid w:val="009951E6"/>
    <w:rsid w:val="00997565"/>
    <w:rsid w:val="009A32AD"/>
    <w:rsid w:val="009B58D9"/>
    <w:rsid w:val="009C7BCB"/>
    <w:rsid w:val="009D34D4"/>
    <w:rsid w:val="009D3969"/>
    <w:rsid w:val="009E7948"/>
    <w:rsid w:val="009F0032"/>
    <w:rsid w:val="009F034D"/>
    <w:rsid w:val="009F04FA"/>
    <w:rsid w:val="009F372B"/>
    <w:rsid w:val="009F43F4"/>
    <w:rsid w:val="00A00C18"/>
    <w:rsid w:val="00A01974"/>
    <w:rsid w:val="00A22F02"/>
    <w:rsid w:val="00A30E3E"/>
    <w:rsid w:val="00A43C8C"/>
    <w:rsid w:val="00A556F2"/>
    <w:rsid w:val="00A600A8"/>
    <w:rsid w:val="00A762A0"/>
    <w:rsid w:val="00A812D7"/>
    <w:rsid w:val="00A84E45"/>
    <w:rsid w:val="00AA2F1D"/>
    <w:rsid w:val="00AC69C1"/>
    <w:rsid w:val="00AC7F61"/>
    <w:rsid w:val="00AD2F0A"/>
    <w:rsid w:val="00AD6FAD"/>
    <w:rsid w:val="00AE5F12"/>
    <w:rsid w:val="00B2614D"/>
    <w:rsid w:val="00B26DC7"/>
    <w:rsid w:val="00B32437"/>
    <w:rsid w:val="00B50881"/>
    <w:rsid w:val="00B55282"/>
    <w:rsid w:val="00B63E1B"/>
    <w:rsid w:val="00B64775"/>
    <w:rsid w:val="00B71CF7"/>
    <w:rsid w:val="00B71F33"/>
    <w:rsid w:val="00B8140B"/>
    <w:rsid w:val="00B81C73"/>
    <w:rsid w:val="00B84405"/>
    <w:rsid w:val="00B87347"/>
    <w:rsid w:val="00B9502E"/>
    <w:rsid w:val="00B95640"/>
    <w:rsid w:val="00B962EC"/>
    <w:rsid w:val="00BA79B2"/>
    <w:rsid w:val="00BB1D5B"/>
    <w:rsid w:val="00BC6A38"/>
    <w:rsid w:val="00BD7EE6"/>
    <w:rsid w:val="00BE010B"/>
    <w:rsid w:val="00BF3B81"/>
    <w:rsid w:val="00BF77F9"/>
    <w:rsid w:val="00BF7E0B"/>
    <w:rsid w:val="00C107CB"/>
    <w:rsid w:val="00C20384"/>
    <w:rsid w:val="00C31DBB"/>
    <w:rsid w:val="00C329E9"/>
    <w:rsid w:val="00C4270A"/>
    <w:rsid w:val="00C4639A"/>
    <w:rsid w:val="00C53B01"/>
    <w:rsid w:val="00C54030"/>
    <w:rsid w:val="00C5429F"/>
    <w:rsid w:val="00C55260"/>
    <w:rsid w:val="00C5777D"/>
    <w:rsid w:val="00C57CB6"/>
    <w:rsid w:val="00C65EC5"/>
    <w:rsid w:val="00C73D8A"/>
    <w:rsid w:val="00C80554"/>
    <w:rsid w:val="00C81442"/>
    <w:rsid w:val="00C82D96"/>
    <w:rsid w:val="00C86AD3"/>
    <w:rsid w:val="00C92D3F"/>
    <w:rsid w:val="00CA2C7F"/>
    <w:rsid w:val="00CB2B5F"/>
    <w:rsid w:val="00CB4D30"/>
    <w:rsid w:val="00CB54C3"/>
    <w:rsid w:val="00CC5186"/>
    <w:rsid w:val="00CC70A1"/>
    <w:rsid w:val="00CC7E15"/>
    <w:rsid w:val="00CD5592"/>
    <w:rsid w:val="00CD61A7"/>
    <w:rsid w:val="00CE0E1D"/>
    <w:rsid w:val="00CE4E84"/>
    <w:rsid w:val="00CE7F59"/>
    <w:rsid w:val="00D0209A"/>
    <w:rsid w:val="00D12E5B"/>
    <w:rsid w:val="00D16982"/>
    <w:rsid w:val="00D204D6"/>
    <w:rsid w:val="00D23117"/>
    <w:rsid w:val="00D258CD"/>
    <w:rsid w:val="00D3232E"/>
    <w:rsid w:val="00D343F1"/>
    <w:rsid w:val="00D35F02"/>
    <w:rsid w:val="00D44C81"/>
    <w:rsid w:val="00D72DF8"/>
    <w:rsid w:val="00D76D74"/>
    <w:rsid w:val="00D864DA"/>
    <w:rsid w:val="00D9074A"/>
    <w:rsid w:val="00DB523B"/>
    <w:rsid w:val="00DC05AE"/>
    <w:rsid w:val="00DC0882"/>
    <w:rsid w:val="00DC656F"/>
    <w:rsid w:val="00DC676E"/>
    <w:rsid w:val="00DE2A77"/>
    <w:rsid w:val="00DE4B70"/>
    <w:rsid w:val="00E04C15"/>
    <w:rsid w:val="00E06105"/>
    <w:rsid w:val="00E11A29"/>
    <w:rsid w:val="00E17952"/>
    <w:rsid w:val="00E236AF"/>
    <w:rsid w:val="00E31656"/>
    <w:rsid w:val="00E357FF"/>
    <w:rsid w:val="00E36CC7"/>
    <w:rsid w:val="00E4598A"/>
    <w:rsid w:val="00E532E6"/>
    <w:rsid w:val="00E53774"/>
    <w:rsid w:val="00E55478"/>
    <w:rsid w:val="00E56E4A"/>
    <w:rsid w:val="00E57CE8"/>
    <w:rsid w:val="00E65D5B"/>
    <w:rsid w:val="00E65F65"/>
    <w:rsid w:val="00E66DC3"/>
    <w:rsid w:val="00E711C4"/>
    <w:rsid w:val="00E72A07"/>
    <w:rsid w:val="00E765FE"/>
    <w:rsid w:val="00E80287"/>
    <w:rsid w:val="00E83B14"/>
    <w:rsid w:val="00E86192"/>
    <w:rsid w:val="00E91CEF"/>
    <w:rsid w:val="00E96429"/>
    <w:rsid w:val="00EA0437"/>
    <w:rsid w:val="00EA2992"/>
    <w:rsid w:val="00EA466F"/>
    <w:rsid w:val="00EA7B53"/>
    <w:rsid w:val="00EB68A2"/>
    <w:rsid w:val="00EB7679"/>
    <w:rsid w:val="00EC1817"/>
    <w:rsid w:val="00EC7776"/>
    <w:rsid w:val="00ED0E30"/>
    <w:rsid w:val="00ED106C"/>
    <w:rsid w:val="00ED2810"/>
    <w:rsid w:val="00EF1797"/>
    <w:rsid w:val="00F04052"/>
    <w:rsid w:val="00F04642"/>
    <w:rsid w:val="00F1234E"/>
    <w:rsid w:val="00F17719"/>
    <w:rsid w:val="00F24FA9"/>
    <w:rsid w:val="00F258EB"/>
    <w:rsid w:val="00F33E9F"/>
    <w:rsid w:val="00F44AE3"/>
    <w:rsid w:val="00F463C2"/>
    <w:rsid w:val="00F60A98"/>
    <w:rsid w:val="00F60F25"/>
    <w:rsid w:val="00F754E4"/>
    <w:rsid w:val="00F84BB4"/>
    <w:rsid w:val="00F85FC4"/>
    <w:rsid w:val="00F94625"/>
    <w:rsid w:val="00F96D03"/>
    <w:rsid w:val="00F96D0D"/>
    <w:rsid w:val="00F97825"/>
    <w:rsid w:val="00FA7EB1"/>
    <w:rsid w:val="00FD77E7"/>
    <w:rsid w:val="00FE0112"/>
    <w:rsid w:val="00FF551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C26A618"/>
  <w15:docId w15:val="{4FC69232-839E-4B61-95D5-2F3B607D8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4FA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A45D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B18B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4FA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A45D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7B18BC"/>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34"/>
    <w:qFormat/>
    <w:rsid w:val="005608C5"/>
    <w:pPr>
      <w:ind w:left="720"/>
      <w:contextualSpacing/>
    </w:pPr>
  </w:style>
  <w:style w:type="paragraph" w:styleId="Title">
    <w:name w:val="Title"/>
    <w:basedOn w:val="Normal"/>
    <w:next w:val="Normal"/>
    <w:link w:val="TitleChar"/>
    <w:uiPriority w:val="10"/>
    <w:qFormat/>
    <w:rsid w:val="00F24FA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4FA9"/>
    <w:rPr>
      <w:rFonts w:asciiTheme="majorHAnsi" w:eastAsiaTheme="majorEastAsia" w:hAnsiTheme="majorHAnsi" w:cstheme="majorBidi"/>
      <w:spacing w:val="-10"/>
      <w:kern w:val="28"/>
      <w:sz w:val="56"/>
      <w:szCs w:val="56"/>
    </w:rPr>
  </w:style>
  <w:style w:type="paragraph" w:customStyle="1" w:styleId="EndNoteBibliographyTitle">
    <w:name w:val="EndNote Bibliography Title"/>
    <w:basedOn w:val="Normal"/>
    <w:link w:val="EndNoteBibliographyTitleChar"/>
    <w:rsid w:val="008C17F2"/>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8C17F2"/>
    <w:rPr>
      <w:rFonts w:ascii="Calibri" w:hAnsi="Calibri" w:cs="Calibri"/>
      <w:noProof/>
      <w:lang w:val="en-US"/>
    </w:rPr>
  </w:style>
  <w:style w:type="paragraph" w:customStyle="1" w:styleId="EndNoteBibliography">
    <w:name w:val="EndNote Bibliography"/>
    <w:basedOn w:val="Normal"/>
    <w:link w:val="EndNoteBibliographyChar"/>
    <w:rsid w:val="008C17F2"/>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8C17F2"/>
    <w:rPr>
      <w:rFonts w:ascii="Calibri" w:hAnsi="Calibri" w:cs="Calibri"/>
      <w:noProof/>
      <w:lang w:val="en-US"/>
    </w:rPr>
  </w:style>
  <w:style w:type="character" w:styleId="Hyperlink">
    <w:name w:val="Hyperlink"/>
    <w:basedOn w:val="DefaultParagraphFont"/>
    <w:uiPriority w:val="99"/>
    <w:unhideWhenUsed/>
    <w:rsid w:val="008C17F2"/>
    <w:rPr>
      <w:color w:val="0563C1" w:themeColor="hyperlink"/>
      <w:u w:val="single"/>
    </w:rPr>
  </w:style>
  <w:style w:type="character" w:styleId="CommentReference">
    <w:name w:val="annotation reference"/>
    <w:basedOn w:val="DefaultParagraphFont"/>
    <w:uiPriority w:val="99"/>
    <w:semiHidden/>
    <w:unhideWhenUsed/>
    <w:rsid w:val="003523BA"/>
    <w:rPr>
      <w:sz w:val="16"/>
      <w:szCs w:val="16"/>
    </w:rPr>
  </w:style>
  <w:style w:type="paragraph" w:styleId="CommentText">
    <w:name w:val="annotation text"/>
    <w:basedOn w:val="Normal"/>
    <w:link w:val="CommentTextChar"/>
    <w:uiPriority w:val="99"/>
    <w:semiHidden/>
    <w:unhideWhenUsed/>
    <w:rsid w:val="003523BA"/>
    <w:pPr>
      <w:spacing w:line="240" w:lineRule="auto"/>
    </w:pPr>
    <w:rPr>
      <w:sz w:val="20"/>
      <w:szCs w:val="20"/>
    </w:rPr>
  </w:style>
  <w:style w:type="character" w:customStyle="1" w:styleId="CommentTextChar">
    <w:name w:val="Comment Text Char"/>
    <w:basedOn w:val="DefaultParagraphFont"/>
    <w:link w:val="CommentText"/>
    <w:uiPriority w:val="99"/>
    <w:semiHidden/>
    <w:rsid w:val="003523BA"/>
    <w:rPr>
      <w:sz w:val="20"/>
      <w:szCs w:val="20"/>
    </w:rPr>
  </w:style>
  <w:style w:type="paragraph" w:styleId="CommentSubject">
    <w:name w:val="annotation subject"/>
    <w:basedOn w:val="CommentText"/>
    <w:next w:val="CommentText"/>
    <w:link w:val="CommentSubjectChar"/>
    <w:uiPriority w:val="99"/>
    <w:semiHidden/>
    <w:unhideWhenUsed/>
    <w:rsid w:val="003523BA"/>
    <w:rPr>
      <w:b/>
      <w:bCs/>
    </w:rPr>
  </w:style>
  <w:style w:type="character" w:customStyle="1" w:styleId="CommentSubjectChar">
    <w:name w:val="Comment Subject Char"/>
    <w:basedOn w:val="CommentTextChar"/>
    <w:link w:val="CommentSubject"/>
    <w:uiPriority w:val="99"/>
    <w:semiHidden/>
    <w:rsid w:val="003523BA"/>
    <w:rPr>
      <w:b/>
      <w:bCs/>
      <w:sz w:val="20"/>
      <w:szCs w:val="20"/>
    </w:rPr>
  </w:style>
  <w:style w:type="paragraph" w:styleId="BalloonText">
    <w:name w:val="Balloon Text"/>
    <w:basedOn w:val="Normal"/>
    <w:link w:val="BalloonTextChar"/>
    <w:uiPriority w:val="99"/>
    <w:semiHidden/>
    <w:unhideWhenUsed/>
    <w:rsid w:val="003523B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23BA"/>
    <w:rPr>
      <w:rFonts w:ascii="Segoe UI" w:hAnsi="Segoe UI" w:cs="Segoe UI"/>
      <w:sz w:val="18"/>
      <w:szCs w:val="18"/>
    </w:rPr>
  </w:style>
  <w:style w:type="character" w:styleId="FollowedHyperlink">
    <w:name w:val="FollowedHyperlink"/>
    <w:basedOn w:val="DefaultParagraphFont"/>
    <w:uiPriority w:val="99"/>
    <w:semiHidden/>
    <w:unhideWhenUsed/>
    <w:rsid w:val="00DC676E"/>
    <w:rPr>
      <w:color w:val="954F72" w:themeColor="followedHyperlink"/>
      <w:u w:val="single"/>
    </w:rPr>
  </w:style>
  <w:style w:type="table" w:customStyle="1" w:styleId="GridTable41">
    <w:name w:val="Grid Table 41"/>
    <w:basedOn w:val="TableNormal"/>
    <w:uiPriority w:val="49"/>
    <w:rsid w:val="007117F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unhideWhenUsed/>
    <w:rsid w:val="00D35F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F02"/>
  </w:style>
  <w:style w:type="paragraph" w:styleId="Footer">
    <w:name w:val="footer"/>
    <w:basedOn w:val="Normal"/>
    <w:link w:val="FooterChar"/>
    <w:uiPriority w:val="99"/>
    <w:unhideWhenUsed/>
    <w:rsid w:val="00D35F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F02"/>
  </w:style>
  <w:style w:type="character" w:styleId="LineNumber">
    <w:name w:val="line number"/>
    <w:basedOn w:val="DefaultParagraphFont"/>
    <w:uiPriority w:val="99"/>
    <w:semiHidden/>
    <w:unhideWhenUsed/>
    <w:rsid w:val="00D35F02"/>
  </w:style>
  <w:style w:type="table" w:styleId="ListTable3">
    <w:name w:val="List Table 3"/>
    <w:basedOn w:val="TableNormal"/>
    <w:uiPriority w:val="48"/>
    <w:rsid w:val="00E56E4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UnresolvedMention1">
    <w:name w:val="Unresolved Mention1"/>
    <w:basedOn w:val="DefaultParagraphFont"/>
    <w:uiPriority w:val="99"/>
    <w:semiHidden/>
    <w:unhideWhenUsed/>
    <w:rsid w:val="0036022D"/>
    <w:rPr>
      <w:color w:val="808080"/>
      <w:shd w:val="clear" w:color="auto" w:fill="E6E6E6"/>
    </w:rPr>
  </w:style>
  <w:style w:type="character" w:styleId="UnresolvedMention">
    <w:name w:val="Unresolved Mention"/>
    <w:basedOn w:val="DefaultParagraphFont"/>
    <w:uiPriority w:val="99"/>
    <w:semiHidden/>
    <w:unhideWhenUsed/>
    <w:rsid w:val="0001001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311465">
      <w:bodyDiv w:val="1"/>
      <w:marLeft w:val="0"/>
      <w:marRight w:val="0"/>
      <w:marTop w:val="0"/>
      <w:marBottom w:val="0"/>
      <w:divBdr>
        <w:top w:val="none" w:sz="0" w:space="0" w:color="auto"/>
        <w:left w:val="none" w:sz="0" w:space="0" w:color="auto"/>
        <w:bottom w:val="none" w:sz="0" w:space="0" w:color="auto"/>
        <w:right w:val="none" w:sz="0" w:space="0" w:color="auto"/>
      </w:divBdr>
    </w:div>
    <w:div w:id="189877394">
      <w:bodyDiv w:val="1"/>
      <w:marLeft w:val="0"/>
      <w:marRight w:val="0"/>
      <w:marTop w:val="0"/>
      <w:marBottom w:val="0"/>
      <w:divBdr>
        <w:top w:val="none" w:sz="0" w:space="0" w:color="auto"/>
        <w:left w:val="none" w:sz="0" w:space="0" w:color="auto"/>
        <w:bottom w:val="none" w:sz="0" w:space="0" w:color="auto"/>
        <w:right w:val="none" w:sz="0" w:space="0" w:color="auto"/>
      </w:divBdr>
    </w:div>
    <w:div w:id="371154160">
      <w:bodyDiv w:val="1"/>
      <w:marLeft w:val="0"/>
      <w:marRight w:val="0"/>
      <w:marTop w:val="0"/>
      <w:marBottom w:val="0"/>
      <w:divBdr>
        <w:top w:val="none" w:sz="0" w:space="0" w:color="auto"/>
        <w:left w:val="none" w:sz="0" w:space="0" w:color="auto"/>
        <w:bottom w:val="none" w:sz="0" w:space="0" w:color="auto"/>
        <w:right w:val="none" w:sz="0" w:space="0" w:color="auto"/>
      </w:divBdr>
    </w:div>
    <w:div w:id="641665499">
      <w:bodyDiv w:val="1"/>
      <w:marLeft w:val="0"/>
      <w:marRight w:val="0"/>
      <w:marTop w:val="0"/>
      <w:marBottom w:val="0"/>
      <w:divBdr>
        <w:top w:val="none" w:sz="0" w:space="0" w:color="auto"/>
        <w:left w:val="none" w:sz="0" w:space="0" w:color="auto"/>
        <w:bottom w:val="none" w:sz="0" w:space="0" w:color="auto"/>
        <w:right w:val="none" w:sz="0" w:space="0" w:color="auto"/>
      </w:divBdr>
    </w:div>
    <w:div w:id="810177263">
      <w:bodyDiv w:val="1"/>
      <w:marLeft w:val="0"/>
      <w:marRight w:val="0"/>
      <w:marTop w:val="0"/>
      <w:marBottom w:val="0"/>
      <w:divBdr>
        <w:top w:val="none" w:sz="0" w:space="0" w:color="auto"/>
        <w:left w:val="none" w:sz="0" w:space="0" w:color="auto"/>
        <w:bottom w:val="none" w:sz="0" w:space="0" w:color="auto"/>
        <w:right w:val="none" w:sz="0" w:space="0" w:color="auto"/>
      </w:divBdr>
    </w:div>
    <w:div w:id="861361529">
      <w:bodyDiv w:val="1"/>
      <w:marLeft w:val="0"/>
      <w:marRight w:val="0"/>
      <w:marTop w:val="0"/>
      <w:marBottom w:val="0"/>
      <w:divBdr>
        <w:top w:val="none" w:sz="0" w:space="0" w:color="auto"/>
        <w:left w:val="none" w:sz="0" w:space="0" w:color="auto"/>
        <w:bottom w:val="none" w:sz="0" w:space="0" w:color="auto"/>
        <w:right w:val="none" w:sz="0" w:space="0" w:color="auto"/>
      </w:divBdr>
    </w:div>
    <w:div w:id="892161845">
      <w:bodyDiv w:val="1"/>
      <w:marLeft w:val="0"/>
      <w:marRight w:val="0"/>
      <w:marTop w:val="0"/>
      <w:marBottom w:val="0"/>
      <w:divBdr>
        <w:top w:val="none" w:sz="0" w:space="0" w:color="auto"/>
        <w:left w:val="none" w:sz="0" w:space="0" w:color="auto"/>
        <w:bottom w:val="none" w:sz="0" w:space="0" w:color="auto"/>
        <w:right w:val="none" w:sz="0" w:space="0" w:color="auto"/>
      </w:divBdr>
    </w:div>
    <w:div w:id="1868448805">
      <w:bodyDiv w:val="1"/>
      <w:marLeft w:val="0"/>
      <w:marRight w:val="0"/>
      <w:marTop w:val="0"/>
      <w:marBottom w:val="0"/>
      <w:divBdr>
        <w:top w:val="none" w:sz="0" w:space="0" w:color="auto"/>
        <w:left w:val="none" w:sz="0" w:space="0" w:color="auto"/>
        <w:bottom w:val="none" w:sz="0" w:space="0" w:color="auto"/>
        <w:right w:val="none" w:sz="0" w:space="0" w:color="auto"/>
      </w:divBdr>
    </w:div>
    <w:div w:id="1903783316">
      <w:bodyDiv w:val="1"/>
      <w:marLeft w:val="0"/>
      <w:marRight w:val="0"/>
      <w:marTop w:val="0"/>
      <w:marBottom w:val="0"/>
      <w:divBdr>
        <w:top w:val="none" w:sz="0" w:space="0" w:color="auto"/>
        <w:left w:val="none" w:sz="0" w:space="0" w:color="auto"/>
        <w:bottom w:val="none" w:sz="0" w:space="0" w:color="auto"/>
        <w:right w:val="none" w:sz="0" w:space="0" w:color="auto"/>
      </w:divBdr>
    </w:div>
    <w:div w:id="2069718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healthpartners.com/ucm/groups/public/@hp/@public/documents/documents/cntrb_035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tes</b:Tag>
    <b:SourceType>InternetSite</b:SourceType>
    <b:Guid>{84E53BC8-FBD5-4E14-9A73-DA77E9C53350}</b:Guid>
    <b:Author>
      <b:Author>
        <b:NameList>
          <b:Person>
            <b:Last>test</b:Last>
          </b:Person>
        </b:NameList>
      </b:Author>
    </b:Author>
    <b:RefOrder>1</b:RefOrder>
  </b:Source>
</b:Sources>
</file>

<file path=customXml/itemProps1.xml><?xml version="1.0" encoding="utf-8"?>
<ds:datastoreItem xmlns:ds="http://schemas.openxmlformats.org/officeDocument/2006/customXml" ds:itemID="{F23FE688-8270-4D95-BCA9-FC13F2D84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33</Pages>
  <Words>11825</Words>
  <Characters>67405</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JiaLoon</dc:creator>
  <cp:keywords/>
  <dc:description/>
  <cp:lastModifiedBy>Chong Jia Loon</cp:lastModifiedBy>
  <cp:revision>11</cp:revision>
  <dcterms:created xsi:type="dcterms:W3CDTF">2018-07-18T07:54:00Z</dcterms:created>
  <dcterms:modified xsi:type="dcterms:W3CDTF">2019-06-04T07:35:00Z</dcterms:modified>
</cp:coreProperties>
</file>