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b w:val="0"/>
          <w:bCs w:val="0"/>
          <w:color w:val="auto"/>
          <w:sz w:val="22"/>
          <w:szCs w:val="22"/>
          <w:lang w:val="en-CA" w:eastAsia="en-US"/>
        </w:rPr>
        <w:id w:val="-1357582630"/>
        <w:docPartObj>
          <w:docPartGallery w:val="Table of Contents"/>
          <w:docPartUnique/>
        </w:docPartObj>
      </w:sdtPr>
      <w:sdtEndPr>
        <w:rPr>
          <w:noProof/>
        </w:rPr>
      </w:sdtEndPr>
      <w:sdtContent>
        <w:p w14:paraId="46BBD444" w14:textId="57F8DCFA" w:rsidR="00A268A3" w:rsidRDefault="00F36C2B">
          <w:pPr>
            <w:pStyle w:val="TOCHeading"/>
          </w:pPr>
          <w:r>
            <w:t>Appendices</w:t>
          </w:r>
        </w:p>
        <w:p w14:paraId="2271DB39" w14:textId="4CA72A3F" w:rsidR="00D97471" w:rsidRDefault="00A268A3">
          <w:pPr>
            <w:pStyle w:val="TOC1"/>
            <w:tabs>
              <w:tab w:val="right" w:leader="dot" w:pos="9350"/>
            </w:tabs>
            <w:rPr>
              <w:rFonts w:eastAsiaTheme="minorEastAsia"/>
              <w:noProof/>
              <w:lang w:eastAsia="en-CA"/>
            </w:rPr>
          </w:pPr>
          <w:r>
            <w:fldChar w:fldCharType="begin"/>
          </w:r>
          <w:r>
            <w:instrText xml:space="preserve"> TOC \o "1-3" \h \z \u </w:instrText>
          </w:r>
          <w:r>
            <w:fldChar w:fldCharType="separate"/>
          </w:r>
          <w:hyperlink w:anchor="_Toc532829296" w:history="1">
            <w:r w:rsidR="00D97471" w:rsidRPr="004F5320">
              <w:rPr>
                <w:rStyle w:val="Hyperlink"/>
                <w:noProof/>
              </w:rPr>
              <w:t>Appendix 1: Search Strategy</w:t>
            </w:r>
            <w:r w:rsidR="00D97471">
              <w:rPr>
                <w:noProof/>
                <w:webHidden/>
              </w:rPr>
              <w:tab/>
            </w:r>
            <w:r w:rsidR="00D97471">
              <w:rPr>
                <w:noProof/>
                <w:webHidden/>
              </w:rPr>
              <w:fldChar w:fldCharType="begin"/>
            </w:r>
            <w:r w:rsidR="00D97471">
              <w:rPr>
                <w:noProof/>
                <w:webHidden/>
              </w:rPr>
              <w:instrText xml:space="preserve"> PAGEREF _Toc532829296 \h </w:instrText>
            </w:r>
            <w:r w:rsidR="00D97471">
              <w:rPr>
                <w:noProof/>
                <w:webHidden/>
              </w:rPr>
            </w:r>
            <w:r w:rsidR="00D97471">
              <w:rPr>
                <w:noProof/>
                <w:webHidden/>
              </w:rPr>
              <w:fldChar w:fldCharType="separate"/>
            </w:r>
            <w:r w:rsidR="00260933">
              <w:rPr>
                <w:noProof/>
                <w:webHidden/>
              </w:rPr>
              <w:t>2</w:t>
            </w:r>
            <w:r w:rsidR="00D97471">
              <w:rPr>
                <w:noProof/>
                <w:webHidden/>
              </w:rPr>
              <w:fldChar w:fldCharType="end"/>
            </w:r>
          </w:hyperlink>
        </w:p>
        <w:p w14:paraId="04F3DA86" w14:textId="7D4BA06F" w:rsidR="00D97471" w:rsidRDefault="00B23B80">
          <w:pPr>
            <w:pStyle w:val="TOC1"/>
            <w:tabs>
              <w:tab w:val="right" w:leader="dot" w:pos="9350"/>
            </w:tabs>
            <w:rPr>
              <w:rFonts w:eastAsiaTheme="minorEastAsia"/>
              <w:noProof/>
              <w:lang w:eastAsia="en-CA"/>
            </w:rPr>
          </w:pPr>
          <w:hyperlink w:anchor="_Toc532829297" w:history="1">
            <w:r w:rsidR="00D97471" w:rsidRPr="004F5320">
              <w:rPr>
                <w:rStyle w:val="Hyperlink"/>
                <w:noProof/>
              </w:rPr>
              <w:t>Appendix 2: Forward Citation Search Results</w:t>
            </w:r>
            <w:r w:rsidR="00D97471">
              <w:rPr>
                <w:noProof/>
                <w:webHidden/>
              </w:rPr>
              <w:tab/>
            </w:r>
            <w:r w:rsidR="00D97471">
              <w:rPr>
                <w:noProof/>
                <w:webHidden/>
              </w:rPr>
              <w:fldChar w:fldCharType="begin"/>
            </w:r>
            <w:r w:rsidR="00D97471">
              <w:rPr>
                <w:noProof/>
                <w:webHidden/>
              </w:rPr>
              <w:instrText xml:space="preserve"> PAGEREF _Toc532829297 \h </w:instrText>
            </w:r>
            <w:r w:rsidR="00D97471">
              <w:rPr>
                <w:noProof/>
                <w:webHidden/>
              </w:rPr>
            </w:r>
            <w:r w:rsidR="00D97471">
              <w:rPr>
                <w:noProof/>
                <w:webHidden/>
              </w:rPr>
              <w:fldChar w:fldCharType="separate"/>
            </w:r>
            <w:r w:rsidR="00260933">
              <w:rPr>
                <w:noProof/>
                <w:webHidden/>
              </w:rPr>
              <w:t>8</w:t>
            </w:r>
            <w:r w:rsidR="00D97471">
              <w:rPr>
                <w:noProof/>
                <w:webHidden/>
              </w:rPr>
              <w:fldChar w:fldCharType="end"/>
            </w:r>
          </w:hyperlink>
        </w:p>
        <w:p w14:paraId="1A12FEBB" w14:textId="4C0B783A" w:rsidR="00D97471" w:rsidRDefault="00B23B80">
          <w:pPr>
            <w:pStyle w:val="TOC1"/>
            <w:tabs>
              <w:tab w:val="right" w:leader="dot" w:pos="9350"/>
            </w:tabs>
            <w:rPr>
              <w:rFonts w:eastAsiaTheme="minorEastAsia"/>
              <w:noProof/>
              <w:lang w:eastAsia="en-CA"/>
            </w:rPr>
          </w:pPr>
          <w:hyperlink w:anchor="_Toc532829298" w:history="1">
            <w:r w:rsidR="00D97471" w:rsidRPr="004F5320">
              <w:rPr>
                <w:rStyle w:val="Hyperlink"/>
                <w:noProof/>
              </w:rPr>
              <w:t>Appendix 3. Outcome definitions and ratings</w:t>
            </w:r>
            <w:r w:rsidR="00D97471">
              <w:rPr>
                <w:noProof/>
                <w:webHidden/>
              </w:rPr>
              <w:tab/>
            </w:r>
            <w:r w:rsidR="00D97471">
              <w:rPr>
                <w:noProof/>
                <w:webHidden/>
              </w:rPr>
              <w:fldChar w:fldCharType="begin"/>
            </w:r>
            <w:r w:rsidR="00D97471">
              <w:rPr>
                <w:noProof/>
                <w:webHidden/>
              </w:rPr>
              <w:instrText xml:space="preserve"> PAGEREF _Toc532829298 \h </w:instrText>
            </w:r>
            <w:r w:rsidR="00D97471">
              <w:rPr>
                <w:noProof/>
                <w:webHidden/>
              </w:rPr>
            </w:r>
            <w:r w:rsidR="00D97471">
              <w:rPr>
                <w:noProof/>
                <w:webHidden/>
              </w:rPr>
              <w:fldChar w:fldCharType="separate"/>
            </w:r>
            <w:r w:rsidR="00260933">
              <w:rPr>
                <w:noProof/>
                <w:webHidden/>
              </w:rPr>
              <w:t>12</w:t>
            </w:r>
            <w:r w:rsidR="00D97471">
              <w:rPr>
                <w:noProof/>
                <w:webHidden/>
              </w:rPr>
              <w:fldChar w:fldCharType="end"/>
            </w:r>
          </w:hyperlink>
        </w:p>
        <w:p w14:paraId="65C2FA50" w14:textId="299D40C8" w:rsidR="00D97471" w:rsidRDefault="00B23B80">
          <w:pPr>
            <w:pStyle w:val="TOC1"/>
            <w:tabs>
              <w:tab w:val="right" w:leader="dot" w:pos="9350"/>
            </w:tabs>
            <w:rPr>
              <w:rFonts w:eastAsiaTheme="minorEastAsia"/>
              <w:noProof/>
              <w:lang w:eastAsia="en-CA"/>
            </w:rPr>
          </w:pPr>
          <w:hyperlink w:anchor="_Toc532829299" w:history="1">
            <w:r w:rsidR="00D97471" w:rsidRPr="004F5320">
              <w:rPr>
                <w:rStyle w:val="Hyperlink"/>
                <w:noProof/>
              </w:rPr>
              <w:t xml:space="preserve">Appendix 4. </w:t>
            </w:r>
            <w:r w:rsidR="00D97471" w:rsidRPr="004F5320">
              <w:rPr>
                <w:rStyle w:val="Hyperlink"/>
                <w:rFonts w:cs="Arial"/>
                <w:noProof/>
              </w:rPr>
              <w:t>Additional information used for interpretation of findings by outcome and any clinically important thresholds used to assess the GRADE domain of imprecision for this review</w:t>
            </w:r>
            <w:r w:rsidR="00D97471">
              <w:rPr>
                <w:noProof/>
                <w:webHidden/>
              </w:rPr>
              <w:tab/>
            </w:r>
            <w:r w:rsidR="00D97471">
              <w:rPr>
                <w:noProof/>
                <w:webHidden/>
              </w:rPr>
              <w:fldChar w:fldCharType="begin"/>
            </w:r>
            <w:r w:rsidR="00D97471">
              <w:rPr>
                <w:noProof/>
                <w:webHidden/>
              </w:rPr>
              <w:instrText xml:space="preserve"> PAGEREF _Toc532829299 \h </w:instrText>
            </w:r>
            <w:r w:rsidR="00D97471">
              <w:rPr>
                <w:noProof/>
                <w:webHidden/>
              </w:rPr>
            </w:r>
            <w:r w:rsidR="00D97471">
              <w:rPr>
                <w:noProof/>
                <w:webHidden/>
              </w:rPr>
              <w:fldChar w:fldCharType="separate"/>
            </w:r>
            <w:r w:rsidR="00260933">
              <w:rPr>
                <w:noProof/>
                <w:webHidden/>
              </w:rPr>
              <w:t>14</w:t>
            </w:r>
            <w:r w:rsidR="00D97471">
              <w:rPr>
                <w:noProof/>
                <w:webHidden/>
              </w:rPr>
              <w:fldChar w:fldCharType="end"/>
            </w:r>
          </w:hyperlink>
        </w:p>
        <w:p w14:paraId="0409B99D" w14:textId="1AE33D40" w:rsidR="00D97471" w:rsidRDefault="00B23B80">
          <w:pPr>
            <w:pStyle w:val="TOC1"/>
            <w:tabs>
              <w:tab w:val="right" w:leader="dot" w:pos="9350"/>
            </w:tabs>
            <w:rPr>
              <w:rFonts w:eastAsiaTheme="minorEastAsia"/>
              <w:noProof/>
              <w:lang w:eastAsia="en-CA"/>
            </w:rPr>
          </w:pPr>
          <w:hyperlink w:anchor="_Toc532829300" w:history="1">
            <w:r w:rsidR="00D97471" w:rsidRPr="004F5320">
              <w:rPr>
                <w:rStyle w:val="Hyperlink"/>
                <w:noProof/>
              </w:rPr>
              <w:t>Appendix 5: List of Excluded Studies for KQ1-4 after Full-text Screening</w:t>
            </w:r>
            <w:r w:rsidR="00D97471">
              <w:rPr>
                <w:noProof/>
                <w:webHidden/>
              </w:rPr>
              <w:tab/>
            </w:r>
            <w:r w:rsidR="00D97471">
              <w:rPr>
                <w:noProof/>
                <w:webHidden/>
              </w:rPr>
              <w:fldChar w:fldCharType="begin"/>
            </w:r>
            <w:r w:rsidR="00D97471">
              <w:rPr>
                <w:noProof/>
                <w:webHidden/>
              </w:rPr>
              <w:instrText xml:space="preserve"> PAGEREF _Toc532829300 \h </w:instrText>
            </w:r>
            <w:r w:rsidR="00D97471">
              <w:rPr>
                <w:noProof/>
                <w:webHidden/>
              </w:rPr>
            </w:r>
            <w:r w:rsidR="00D97471">
              <w:rPr>
                <w:noProof/>
                <w:webHidden/>
              </w:rPr>
              <w:fldChar w:fldCharType="separate"/>
            </w:r>
            <w:r w:rsidR="00260933">
              <w:rPr>
                <w:noProof/>
                <w:webHidden/>
              </w:rPr>
              <w:t>20</w:t>
            </w:r>
            <w:r w:rsidR="00D97471">
              <w:rPr>
                <w:noProof/>
                <w:webHidden/>
              </w:rPr>
              <w:fldChar w:fldCharType="end"/>
            </w:r>
          </w:hyperlink>
        </w:p>
        <w:p w14:paraId="04227AC1" w14:textId="1C11C53A" w:rsidR="00D97471" w:rsidRDefault="00B23B80">
          <w:pPr>
            <w:pStyle w:val="TOC1"/>
            <w:tabs>
              <w:tab w:val="right" w:leader="dot" w:pos="9350"/>
            </w:tabs>
            <w:rPr>
              <w:rFonts w:eastAsiaTheme="minorEastAsia"/>
              <w:noProof/>
              <w:lang w:eastAsia="en-CA"/>
            </w:rPr>
          </w:pPr>
          <w:hyperlink w:anchor="_Toc532829301" w:history="1">
            <w:r w:rsidR="00D97471" w:rsidRPr="004F5320">
              <w:rPr>
                <w:rStyle w:val="Hyperlink"/>
                <w:noProof/>
              </w:rPr>
              <w:t>Appendix 6: List of Excluded Studies for KQ5 after Full-text Screening</w:t>
            </w:r>
            <w:r w:rsidR="00D97471">
              <w:rPr>
                <w:noProof/>
                <w:webHidden/>
              </w:rPr>
              <w:tab/>
            </w:r>
            <w:r w:rsidR="00D97471">
              <w:rPr>
                <w:noProof/>
                <w:webHidden/>
              </w:rPr>
              <w:fldChar w:fldCharType="begin"/>
            </w:r>
            <w:r w:rsidR="00D97471">
              <w:rPr>
                <w:noProof/>
                <w:webHidden/>
              </w:rPr>
              <w:instrText xml:space="preserve"> PAGEREF _Toc532829301 \h </w:instrText>
            </w:r>
            <w:r w:rsidR="00D97471">
              <w:rPr>
                <w:noProof/>
                <w:webHidden/>
              </w:rPr>
            </w:r>
            <w:r w:rsidR="00D97471">
              <w:rPr>
                <w:noProof/>
                <w:webHidden/>
              </w:rPr>
              <w:fldChar w:fldCharType="separate"/>
            </w:r>
            <w:r w:rsidR="00260933">
              <w:rPr>
                <w:noProof/>
                <w:webHidden/>
              </w:rPr>
              <w:t>54</w:t>
            </w:r>
            <w:r w:rsidR="00D97471">
              <w:rPr>
                <w:noProof/>
                <w:webHidden/>
              </w:rPr>
              <w:fldChar w:fldCharType="end"/>
            </w:r>
          </w:hyperlink>
        </w:p>
        <w:p w14:paraId="39CBF2DD" w14:textId="62418D65" w:rsidR="00D97471" w:rsidRDefault="00B23B80">
          <w:pPr>
            <w:pStyle w:val="TOC1"/>
            <w:tabs>
              <w:tab w:val="right" w:leader="dot" w:pos="9350"/>
            </w:tabs>
            <w:rPr>
              <w:rFonts w:eastAsiaTheme="minorEastAsia"/>
              <w:noProof/>
              <w:lang w:eastAsia="en-CA"/>
            </w:rPr>
          </w:pPr>
          <w:hyperlink w:anchor="_Toc532829302" w:history="1">
            <w:r w:rsidR="00D97471" w:rsidRPr="004F5320">
              <w:rPr>
                <w:rStyle w:val="Hyperlink"/>
                <w:noProof/>
              </w:rPr>
              <w:t>Appendix 7: Individual Study Characteristics</w:t>
            </w:r>
            <w:r w:rsidR="00D97471">
              <w:rPr>
                <w:noProof/>
                <w:webHidden/>
              </w:rPr>
              <w:tab/>
            </w:r>
            <w:r w:rsidR="00D97471">
              <w:rPr>
                <w:noProof/>
                <w:webHidden/>
              </w:rPr>
              <w:fldChar w:fldCharType="begin"/>
            </w:r>
            <w:r w:rsidR="00D97471">
              <w:rPr>
                <w:noProof/>
                <w:webHidden/>
              </w:rPr>
              <w:instrText xml:space="preserve"> PAGEREF _Toc532829302 \h </w:instrText>
            </w:r>
            <w:r w:rsidR="00D97471">
              <w:rPr>
                <w:noProof/>
                <w:webHidden/>
              </w:rPr>
            </w:r>
            <w:r w:rsidR="00D97471">
              <w:rPr>
                <w:noProof/>
                <w:webHidden/>
              </w:rPr>
              <w:fldChar w:fldCharType="separate"/>
            </w:r>
            <w:r w:rsidR="00260933">
              <w:rPr>
                <w:noProof/>
                <w:webHidden/>
              </w:rPr>
              <w:t>55</w:t>
            </w:r>
            <w:r w:rsidR="00D97471">
              <w:rPr>
                <w:noProof/>
                <w:webHidden/>
              </w:rPr>
              <w:fldChar w:fldCharType="end"/>
            </w:r>
          </w:hyperlink>
        </w:p>
        <w:p w14:paraId="6030DD54" w14:textId="11E50708" w:rsidR="00D97471" w:rsidRDefault="00B23B80">
          <w:pPr>
            <w:pStyle w:val="TOC1"/>
            <w:tabs>
              <w:tab w:val="right" w:leader="dot" w:pos="9350"/>
            </w:tabs>
            <w:rPr>
              <w:rFonts w:eastAsiaTheme="minorEastAsia"/>
              <w:noProof/>
              <w:lang w:eastAsia="en-CA"/>
            </w:rPr>
          </w:pPr>
          <w:hyperlink w:anchor="_Toc532829303" w:history="1">
            <w:r w:rsidR="00D97471" w:rsidRPr="004F5320">
              <w:rPr>
                <w:rStyle w:val="Hyperlink"/>
                <w:noProof/>
              </w:rPr>
              <w:t>Appendix 8. Individual Study Results</w:t>
            </w:r>
            <w:r w:rsidR="00D97471">
              <w:rPr>
                <w:noProof/>
                <w:webHidden/>
              </w:rPr>
              <w:tab/>
            </w:r>
            <w:r w:rsidR="00D97471">
              <w:rPr>
                <w:noProof/>
                <w:webHidden/>
              </w:rPr>
              <w:fldChar w:fldCharType="begin"/>
            </w:r>
            <w:r w:rsidR="00D97471">
              <w:rPr>
                <w:noProof/>
                <w:webHidden/>
              </w:rPr>
              <w:instrText xml:space="preserve"> PAGEREF _Toc532829303 \h </w:instrText>
            </w:r>
            <w:r w:rsidR="00D97471">
              <w:rPr>
                <w:noProof/>
                <w:webHidden/>
              </w:rPr>
            </w:r>
            <w:r w:rsidR="00D97471">
              <w:rPr>
                <w:noProof/>
                <w:webHidden/>
              </w:rPr>
              <w:fldChar w:fldCharType="separate"/>
            </w:r>
            <w:r w:rsidR="00260933">
              <w:rPr>
                <w:noProof/>
                <w:webHidden/>
              </w:rPr>
              <w:t>63</w:t>
            </w:r>
            <w:r w:rsidR="00D97471">
              <w:rPr>
                <w:noProof/>
                <w:webHidden/>
              </w:rPr>
              <w:fldChar w:fldCharType="end"/>
            </w:r>
          </w:hyperlink>
        </w:p>
        <w:p w14:paraId="4DA7BF93" w14:textId="2381AB95" w:rsidR="00D97471" w:rsidRDefault="00B23B80">
          <w:pPr>
            <w:pStyle w:val="TOC1"/>
            <w:tabs>
              <w:tab w:val="right" w:leader="dot" w:pos="9350"/>
            </w:tabs>
            <w:rPr>
              <w:rFonts w:eastAsiaTheme="minorEastAsia"/>
              <w:noProof/>
              <w:lang w:eastAsia="en-CA"/>
            </w:rPr>
          </w:pPr>
          <w:hyperlink w:anchor="_Toc532829304" w:history="1">
            <w:r w:rsidR="00D97471" w:rsidRPr="004F5320">
              <w:rPr>
                <w:rStyle w:val="Hyperlink"/>
                <w:noProof/>
              </w:rPr>
              <w:t>Appendix 9. Risk of Bias Assessments</w:t>
            </w:r>
            <w:r w:rsidR="00D97471">
              <w:rPr>
                <w:noProof/>
                <w:webHidden/>
              </w:rPr>
              <w:tab/>
            </w:r>
            <w:r w:rsidR="00D97471">
              <w:rPr>
                <w:noProof/>
                <w:webHidden/>
              </w:rPr>
              <w:fldChar w:fldCharType="begin"/>
            </w:r>
            <w:r w:rsidR="00D97471">
              <w:rPr>
                <w:noProof/>
                <w:webHidden/>
              </w:rPr>
              <w:instrText xml:space="preserve"> PAGEREF _Toc532829304 \h </w:instrText>
            </w:r>
            <w:r w:rsidR="00D97471">
              <w:rPr>
                <w:noProof/>
                <w:webHidden/>
              </w:rPr>
            </w:r>
            <w:r w:rsidR="00D97471">
              <w:rPr>
                <w:noProof/>
                <w:webHidden/>
              </w:rPr>
              <w:fldChar w:fldCharType="separate"/>
            </w:r>
            <w:r w:rsidR="00260933">
              <w:rPr>
                <w:noProof/>
                <w:webHidden/>
              </w:rPr>
              <w:t>72</w:t>
            </w:r>
            <w:r w:rsidR="00D97471">
              <w:rPr>
                <w:noProof/>
                <w:webHidden/>
              </w:rPr>
              <w:fldChar w:fldCharType="end"/>
            </w:r>
          </w:hyperlink>
        </w:p>
        <w:p w14:paraId="376D3EFF" w14:textId="0883584B" w:rsidR="00D97471" w:rsidRDefault="00B23B80">
          <w:pPr>
            <w:pStyle w:val="TOC1"/>
            <w:tabs>
              <w:tab w:val="right" w:leader="dot" w:pos="9350"/>
            </w:tabs>
            <w:rPr>
              <w:rStyle w:val="Hyperlink"/>
              <w:noProof/>
            </w:rPr>
          </w:pPr>
          <w:hyperlink w:anchor="_Toc532829305" w:history="1">
            <w:r w:rsidR="00D97471" w:rsidRPr="004F5320">
              <w:rPr>
                <w:rStyle w:val="Hyperlink"/>
                <w:noProof/>
              </w:rPr>
              <w:t>Appendix 10. Measures of Quality of Life and Cognitive Function</w:t>
            </w:r>
            <w:r w:rsidR="00D97471">
              <w:rPr>
                <w:noProof/>
                <w:webHidden/>
              </w:rPr>
              <w:tab/>
            </w:r>
            <w:r w:rsidR="00D97471">
              <w:rPr>
                <w:noProof/>
                <w:webHidden/>
              </w:rPr>
              <w:fldChar w:fldCharType="begin"/>
            </w:r>
            <w:r w:rsidR="00D97471">
              <w:rPr>
                <w:noProof/>
                <w:webHidden/>
              </w:rPr>
              <w:instrText xml:space="preserve"> PAGEREF _Toc532829305 \h </w:instrText>
            </w:r>
            <w:r w:rsidR="00D97471">
              <w:rPr>
                <w:noProof/>
                <w:webHidden/>
              </w:rPr>
            </w:r>
            <w:r w:rsidR="00D97471">
              <w:rPr>
                <w:noProof/>
                <w:webHidden/>
              </w:rPr>
              <w:fldChar w:fldCharType="separate"/>
            </w:r>
            <w:r w:rsidR="00260933">
              <w:rPr>
                <w:noProof/>
                <w:webHidden/>
              </w:rPr>
              <w:t>74</w:t>
            </w:r>
            <w:r w:rsidR="00D97471">
              <w:rPr>
                <w:noProof/>
                <w:webHidden/>
              </w:rPr>
              <w:fldChar w:fldCharType="end"/>
            </w:r>
          </w:hyperlink>
        </w:p>
        <w:p w14:paraId="6233DBEA" w14:textId="6D2D5BFA" w:rsidR="00D97471" w:rsidRPr="00D97471" w:rsidRDefault="00D97471" w:rsidP="00D97471">
          <w:pPr>
            <w:rPr>
              <w:noProof/>
            </w:rPr>
          </w:pPr>
          <w:r>
            <w:rPr>
              <w:noProof/>
            </w:rPr>
            <w:t>Appendix 11. Author Correspondence…………………………………………………………………………………………………72</w:t>
          </w:r>
        </w:p>
        <w:p w14:paraId="7B92D945" w14:textId="745F80E2" w:rsidR="00A268A3" w:rsidRDefault="00A268A3">
          <w:r>
            <w:rPr>
              <w:b/>
              <w:bCs/>
              <w:noProof/>
            </w:rPr>
            <w:fldChar w:fldCharType="end"/>
          </w:r>
        </w:p>
      </w:sdtContent>
    </w:sdt>
    <w:p w14:paraId="4BA630FD" w14:textId="77777777" w:rsidR="00A268A3" w:rsidRDefault="00A268A3" w:rsidP="00F34741">
      <w:pPr>
        <w:pStyle w:val="Heading1"/>
        <w:rPr>
          <w:sz w:val="22"/>
          <w:szCs w:val="22"/>
        </w:rPr>
      </w:pPr>
    </w:p>
    <w:p w14:paraId="41B23CBE" w14:textId="77777777" w:rsidR="00A268A3" w:rsidRDefault="00A268A3" w:rsidP="00F34741">
      <w:pPr>
        <w:pStyle w:val="Heading1"/>
        <w:rPr>
          <w:sz w:val="22"/>
          <w:szCs w:val="22"/>
        </w:rPr>
      </w:pPr>
      <w:r>
        <w:rPr>
          <w:sz w:val="22"/>
          <w:szCs w:val="22"/>
        </w:rPr>
        <w:br w:type="page"/>
      </w:r>
    </w:p>
    <w:p w14:paraId="6DD10EE6" w14:textId="132267F6" w:rsidR="008350E6" w:rsidRPr="00F34741" w:rsidRDefault="00247DF3" w:rsidP="00F34741">
      <w:pPr>
        <w:pStyle w:val="Heading1"/>
        <w:rPr>
          <w:sz w:val="22"/>
          <w:szCs w:val="22"/>
        </w:rPr>
      </w:pPr>
      <w:bookmarkStart w:id="0" w:name="_Toc532829296"/>
      <w:r>
        <w:rPr>
          <w:sz w:val="22"/>
          <w:szCs w:val="22"/>
        </w:rPr>
        <w:lastRenderedPageBreak/>
        <w:t xml:space="preserve">Appendix </w:t>
      </w:r>
      <w:r w:rsidR="00B50B35">
        <w:rPr>
          <w:sz w:val="22"/>
          <w:szCs w:val="22"/>
        </w:rPr>
        <w:t>1</w:t>
      </w:r>
      <w:r>
        <w:rPr>
          <w:sz w:val="22"/>
          <w:szCs w:val="22"/>
        </w:rPr>
        <w:t>:</w:t>
      </w:r>
      <w:r w:rsidR="008350E6" w:rsidRPr="00F34741">
        <w:rPr>
          <w:sz w:val="22"/>
          <w:szCs w:val="22"/>
        </w:rPr>
        <w:t xml:space="preserve"> Search Strategy</w:t>
      </w:r>
      <w:bookmarkEnd w:id="0"/>
    </w:p>
    <w:p w14:paraId="08359182" w14:textId="77777777" w:rsidR="008350E6" w:rsidRDefault="008350E6" w:rsidP="008350E6">
      <w:pPr>
        <w:spacing w:after="0" w:line="240" w:lineRule="auto"/>
      </w:pPr>
    </w:p>
    <w:p w14:paraId="0A1BD6C3" w14:textId="77777777" w:rsidR="008350E6" w:rsidRPr="007473D9" w:rsidRDefault="008350E6" w:rsidP="008350E6">
      <w:pPr>
        <w:spacing w:line="240" w:lineRule="auto"/>
        <w:contextualSpacing/>
        <w:rPr>
          <w:b/>
        </w:rPr>
      </w:pPr>
      <w:r w:rsidRPr="007473D9">
        <w:rPr>
          <w:b/>
        </w:rPr>
        <w:t xml:space="preserve">Limits: </w:t>
      </w:r>
    </w:p>
    <w:p w14:paraId="690AA299" w14:textId="1AE6FE97" w:rsidR="008350E6" w:rsidRDefault="008350E6" w:rsidP="008350E6">
      <w:pPr>
        <w:spacing w:line="240" w:lineRule="auto"/>
        <w:contextualSpacing/>
      </w:pPr>
      <w:r>
        <w:t>July</w:t>
      </w:r>
      <w:r w:rsidRPr="003522C8">
        <w:t xml:space="preserve"> 201</w:t>
      </w:r>
      <w:r>
        <w:t>4</w:t>
      </w:r>
      <w:r w:rsidRPr="003522C8">
        <w:t xml:space="preserve"> to </w:t>
      </w:r>
      <w:r>
        <w:t>present (Searches #1-</w:t>
      </w:r>
      <w:r w:rsidR="006C2CF0">
        <w:t>4</w:t>
      </w:r>
      <w:r>
        <w:t xml:space="preserve"> were executed on</w:t>
      </w:r>
      <w:r w:rsidR="00303B1A">
        <w:t xml:space="preserve"> May 04 2017 and updated</w:t>
      </w:r>
      <w:r w:rsidR="006C2CF0">
        <w:t xml:space="preserve"> </w:t>
      </w:r>
      <w:r w:rsidR="00C77EAE">
        <w:t>July 24 2018</w:t>
      </w:r>
      <w:r>
        <w:t>)</w:t>
      </w:r>
      <w:r w:rsidRPr="003522C8">
        <w:t xml:space="preserve"> </w:t>
      </w:r>
    </w:p>
    <w:p w14:paraId="580CA46B" w14:textId="77777777" w:rsidR="008350E6" w:rsidRDefault="008350E6" w:rsidP="008350E6">
      <w:pPr>
        <w:spacing w:line="240" w:lineRule="auto"/>
        <w:contextualSpacing/>
      </w:pPr>
    </w:p>
    <w:p w14:paraId="780C78BB" w14:textId="77777777" w:rsidR="008350E6" w:rsidRDefault="008350E6" w:rsidP="008350E6">
      <w:pPr>
        <w:spacing w:line="240" w:lineRule="auto"/>
        <w:contextualSpacing/>
        <w:rPr>
          <w:b/>
        </w:rPr>
      </w:pPr>
      <w:r w:rsidRPr="007473D9">
        <w:rPr>
          <w:b/>
        </w:rPr>
        <w:t>Search strategies:</w:t>
      </w:r>
    </w:p>
    <w:p w14:paraId="1180924D" w14:textId="77777777" w:rsidR="008350E6" w:rsidRPr="007473D9" w:rsidRDefault="008350E6" w:rsidP="008350E6">
      <w:pPr>
        <w:spacing w:line="240" w:lineRule="auto"/>
        <w:contextualSpacing/>
        <w:rPr>
          <w:b/>
        </w:rPr>
      </w:pPr>
    </w:p>
    <w:p w14:paraId="0C794AE6" w14:textId="77777777" w:rsidR="008350E6" w:rsidRDefault="008350E6" w:rsidP="008350E6">
      <w:pPr>
        <w:spacing w:after="0" w:line="240" w:lineRule="auto"/>
        <w:contextualSpacing/>
      </w:pPr>
      <w:r>
        <w:t>Search #1 – KQ1, KQ2 (Screening)</w:t>
      </w:r>
    </w:p>
    <w:p w14:paraId="243B1281" w14:textId="77777777" w:rsidR="008350E6" w:rsidRDefault="008350E6" w:rsidP="008350E6">
      <w:pPr>
        <w:pStyle w:val="ListParagraph"/>
        <w:numPr>
          <w:ilvl w:val="0"/>
          <w:numId w:val="1"/>
        </w:numPr>
        <w:spacing w:after="0" w:line="240" w:lineRule="auto"/>
      </w:pPr>
      <w:r>
        <w:t xml:space="preserve">Medline and Cochrane </w:t>
      </w:r>
    </w:p>
    <w:p w14:paraId="09419424" w14:textId="77777777" w:rsidR="008350E6" w:rsidRDefault="008350E6" w:rsidP="008350E6">
      <w:pPr>
        <w:pStyle w:val="ListParagraph"/>
        <w:spacing w:after="0" w:line="240" w:lineRule="auto"/>
      </w:pPr>
    </w:p>
    <w:p w14:paraId="33DCE22D" w14:textId="77777777" w:rsidR="008350E6" w:rsidRDefault="008350E6" w:rsidP="008350E6">
      <w:pPr>
        <w:spacing w:after="0" w:line="240" w:lineRule="auto"/>
        <w:contextualSpacing/>
      </w:pPr>
      <w:r>
        <w:t>Search #2 – KQ3, KQ4 (Treatment)</w:t>
      </w:r>
    </w:p>
    <w:p w14:paraId="3BDD9B8F" w14:textId="77777777" w:rsidR="008350E6" w:rsidRDefault="008350E6" w:rsidP="008350E6">
      <w:pPr>
        <w:pStyle w:val="ListParagraph"/>
        <w:numPr>
          <w:ilvl w:val="0"/>
          <w:numId w:val="1"/>
        </w:numPr>
        <w:spacing w:after="0" w:line="240" w:lineRule="auto"/>
      </w:pPr>
      <w:r>
        <w:t>Medline and Cochrane</w:t>
      </w:r>
    </w:p>
    <w:p w14:paraId="3FA5942B" w14:textId="77777777" w:rsidR="008350E6" w:rsidRDefault="008350E6" w:rsidP="008350E6">
      <w:pPr>
        <w:pStyle w:val="ListParagraph"/>
        <w:spacing w:after="0" w:line="240" w:lineRule="auto"/>
      </w:pPr>
    </w:p>
    <w:p w14:paraId="4E31F995" w14:textId="77777777" w:rsidR="008350E6" w:rsidRDefault="008350E6" w:rsidP="008350E6">
      <w:pPr>
        <w:spacing w:after="0" w:line="240" w:lineRule="auto"/>
        <w:contextualSpacing/>
      </w:pPr>
      <w:r>
        <w:t>Search #3 – All key questions</w:t>
      </w:r>
    </w:p>
    <w:p w14:paraId="6E40994D" w14:textId="77777777" w:rsidR="008350E6" w:rsidRDefault="008350E6" w:rsidP="008350E6">
      <w:pPr>
        <w:pStyle w:val="ListParagraph"/>
        <w:numPr>
          <w:ilvl w:val="0"/>
          <w:numId w:val="2"/>
        </w:numPr>
        <w:spacing w:after="0" w:line="240" w:lineRule="auto"/>
      </w:pPr>
      <w:r>
        <w:t>Medline and Cochrane</w:t>
      </w:r>
    </w:p>
    <w:p w14:paraId="3F460673" w14:textId="77777777" w:rsidR="008350E6" w:rsidRDefault="008350E6" w:rsidP="008350E6">
      <w:pPr>
        <w:pStyle w:val="ListParagraph"/>
        <w:spacing w:after="0" w:line="240" w:lineRule="auto"/>
      </w:pPr>
    </w:p>
    <w:p w14:paraId="7C723DC5" w14:textId="77777777" w:rsidR="008350E6" w:rsidRDefault="008350E6" w:rsidP="008350E6">
      <w:pPr>
        <w:spacing w:after="0" w:line="240" w:lineRule="auto"/>
        <w:contextualSpacing/>
      </w:pPr>
      <w:r>
        <w:t>Search #4 – KQ5 (Values)</w:t>
      </w:r>
    </w:p>
    <w:p w14:paraId="45B8A028" w14:textId="77777777" w:rsidR="008350E6" w:rsidRDefault="008350E6" w:rsidP="008350E6">
      <w:pPr>
        <w:pStyle w:val="ListParagraph"/>
        <w:numPr>
          <w:ilvl w:val="0"/>
          <w:numId w:val="3"/>
        </w:numPr>
        <w:spacing w:after="0" w:line="240" w:lineRule="auto"/>
      </w:pPr>
      <w:r>
        <w:t>Medline, Embase, ProQuest Public Health, Scopus</w:t>
      </w:r>
    </w:p>
    <w:p w14:paraId="56E50675" w14:textId="77777777" w:rsidR="008350E6" w:rsidRDefault="008350E6" w:rsidP="008350E6">
      <w:pPr>
        <w:pStyle w:val="NormalWeb"/>
        <w:rPr>
          <w:color w:val="000000"/>
        </w:rPr>
      </w:pPr>
      <w:r>
        <w:rPr>
          <w:color w:val="000000"/>
        </w:rPr>
        <w:t>________________________________________________________________________</w:t>
      </w:r>
    </w:p>
    <w:p w14:paraId="2B358DDF" w14:textId="77777777" w:rsidR="008350E6" w:rsidRPr="002550F0" w:rsidRDefault="008350E6" w:rsidP="008350E6">
      <w:pPr>
        <w:spacing w:after="0" w:line="240" w:lineRule="auto"/>
        <w:contextualSpacing/>
        <w:rPr>
          <w:b/>
        </w:rPr>
      </w:pPr>
      <w:r w:rsidRPr="002550F0">
        <w:rPr>
          <w:b/>
        </w:rPr>
        <w:t>Search #1 – KQ1, KQ2 (Screening)</w:t>
      </w:r>
    </w:p>
    <w:p w14:paraId="409075E9" w14:textId="77777777" w:rsidR="008350E6" w:rsidRDefault="008350E6" w:rsidP="008350E6">
      <w:pPr>
        <w:spacing w:after="0" w:line="240" w:lineRule="auto"/>
      </w:pPr>
    </w:p>
    <w:p w14:paraId="01083394" w14:textId="77777777" w:rsidR="008350E6" w:rsidRPr="00F41DA1" w:rsidRDefault="008350E6" w:rsidP="008350E6">
      <w:pPr>
        <w:spacing w:after="0" w:line="240" w:lineRule="auto"/>
      </w:pPr>
      <w:r w:rsidRPr="00F41DA1">
        <w:t>Database(s): Ovid MEDLINE(R) Epub Ahead of Print, In-Process &amp; Other Non-Indexed Citations, Ovid MEDLINE(R) Daily, Ovid MEDLINE and Versions(R) </w:t>
      </w:r>
      <w:r w:rsidRPr="00F41DA1">
        <w:br/>
        <w:t>Search Strategy:</w:t>
      </w: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374"/>
        <w:gridCol w:w="8970"/>
      </w:tblGrid>
      <w:tr w:rsidR="008350E6" w:rsidRPr="00F41DA1" w14:paraId="5294A210"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32AF76A1" w14:textId="77777777" w:rsidR="008350E6" w:rsidRPr="00F41DA1" w:rsidRDefault="008350E6" w:rsidP="00FA01E6">
            <w:pPr>
              <w:spacing w:after="0" w:line="240" w:lineRule="auto"/>
              <w:rPr>
                <w:b/>
                <w:bCs/>
              </w:rPr>
            </w:pPr>
            <w:r w:rsidRPr="00F41DA1">
              <w:rPr>
                <w:b/>
                <w:bCs/>
              </w:rPr>
              <w:t>#</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1066CB5E" w14:textId="77777777" w:rsidR="008350E6" w:rsidRPr="00F41DA1" w:rsidRDefault="008350E6" w:rsidP="00FA01E6">
            <w:pPr>
              <w:spacing w:after="0" w:line="240" w:lineRule="auto"/>
              <w:rPr>
                <w:b/>
                <w:bCs/>
              </w:rPr>
            </w:pPr>
            <w:r w:rsidRPr="00F41DA1">
              <w:rPr>
                <w:b/>
                <w:bCs/>
              </w:rPr>
              <w:t>Searches</w:t>
            </w:r>
          </w:p>
        </w:tc>
      </w:tr>
      <w:tr w:rsidR="008350E6" w:rsidRPr="00F41DA1" w14:paraId="3963D3A1"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B1A17E4" w14:textId="77777777" w:rsidR="008350E6" w:rsidRPr="00F41DA1" w:rsidRDefault="008350E6" w:rsidP="00FA01E6">
            <w:pPr>
              <w:spacing w:after="0" w:line="240" w:lineRule="auto"/>
            </w:pPr>
            <w:r w:rsidRPr="00F41DA1">
              <w:t>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3136058" w14:textId="77777777" w:rsidR="008350E6" w:rsidRPr="00F41DA1" w:rsidRDefault="008350E6" w:rsidP="00FA01E6">
            <w:pPr>
              <w:spacing w:after="0" w:line="240" w:lineRule="auto"/>
            </w:pPr>
            <w:r w:rsidRPr="00F41DA1">
              <w:t>thyroid diseases/ or hyperthyroidism/ or hypothyroidism/</w:t>
            </w:r>
          </w:p>
        </w:tc>
      </w:tr>
      <w:tr w:rsidR="008350E6" w:rsidRPr="00F41DA1" w14:paraId="1D2AC8A0"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5BAA227" w14:textId="77777777" w:rsidR="008350E6" w:rsidRPr="00F41DA1" w:rsidRDefault="008350E6" w:rsidP="00FA01E6">
            <w:pPr>
              <w:spacing w:after="0" w:line="240" w:lineRule="auto"/>
            </w:pPr>
            <w:r w:rsidRPr="00F41DA1">
              <w:t>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3EB83C4" w14:textId="77777777" w:rsidR="008350E6" w:rsidRPr="00F41DA1" w:rsidRDefault="008350E6" w:rsidP="00FA01E6">
            <w:pPr>
              <w:spacing w:after="0" w:line="240" w:lineRule="auto"/>
            </w:pPr>
            <w:r w:rsidRPr="00F41DA1">
              <w:t>(thyroid and disease$).mp.</w:t>
            </w:r>
          </w:p>
        </w:tc>
      </w:tr>
      <w:tr w:rsidR="008350E6" w:rsidRPr="00F41DA1" w14:paraId="1119DFBF"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D5F747A" w14:textId="77777777" w:rsidR="008350E6" w:rsidRPr="00F41DA1" w:rsidRDefault="008350E6" w:rsidP="00FA01E6">
            <w:pPr>
              <w:spacing w:after="0" w:line="240" w:lineRule="auto"/>
            </w:pPr>
            <w:r w:rsidRPr="00F41DA1">
              <w:t>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2041156" w14:textId="77777777" w:rsidR="008350E6" w:rsidRPr="00F41DA1" w:rsidRDefault="008350E6" w:rsidP="00FA01E6">
            <w:pPr>
              <w:spacing w:after="0" w:line="240" w:lineRule="auto"/>
            </w:pPr>
            <w:r w:rsidRPr="00F41DA1">
              <w:t>(hypothyroid$ or hyperthyroid$).mp.</w:t>
            </w:r>
          </w:p>
        </w:tc>
      </w:tr>
      <w:tr w:rsidR="008350E6" w:rsidRPr="00F41DA1" w14:paraId="0EBAFA08"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8A94B26" w14:textId="77777777" w:rsidR="008350E6" w:rsidRPr="00F41DA1" w:rsidRDefault="008350E6" w:rsidP="00FA01E6">
            <w:pPr>
              <w:spacing w:after="0" w:line="240" w:lineRule="auto"/>
            </w:pPr>
            <w:r w:rsidRPr="00F41DA1">
              <w:t>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1B4C374" w14:textId="77777777" w:rsidR="008350E6" w:rsidRPr="00F41DA1" w:rsidRDefault="008350E6" w:rsidP="00FA01E6">
            <w:pPr>
              <w:spacing w:after="0" w:line="240" w:lineRule="auto"/>
            </w:pPr>
            <w:r w:rsidRPr="00F41DA1">
              <w:t>or/1-3</w:t>
            </w:r>
          </w:p>
        </w:tc>
      </w:tr>
      <w:tr w:rsidR="008350E6" w:rsidRPr="00F41DA1" w14:paraId="68B7D747"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616C3ED" w14:textId="77777777" w:rsidR="008350E6" w:rsidRPr="00F41DA1" w:rsidRDefault="008350E6" w:rsidP="00FA01E6">
            <w:pPr>
              <w:spacing w:after="0" w:line="240" w:lineRule="auto"/>
            </w:pPr>
            <w:r w:rsidRPr="00F41DA1">
              <w:t>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2671C5D" w14:textId="77777777" w:rsidR="008350E6" w:rsidRPr="00F41DA1" w:rsidRDefault="008350E6" w:rsidP="00FA01E6">
            <w:pPr>
              <w:spacing w:after="0" w:line="240" w:lineRule="auto"/>
            </w:pPr>
            <w:r w:rsidRPr="00F41DA1">
              <w:t>Mass Screening/</w:t>
            </w:r>
          </w:p>
        </w:tc>
      </w:tr>
      <w:tr w:rsidR="008350E6" w:rsidRPr="00F41DA1" w14:paraId="54CF259B"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FCAA12C" w14:textId="77777777" w:rsidR="008350E6" w:rsidRPr="00F41DA1" w:rsidRDefault="008350E6" w:rsidP="00FA01E6">
            <w:pPr>
              <w:spacing w:after="0" w:line="240" w:lineRule="auto"/>
            </w:pPr>
            <w:r w:rsidRPr="00F41DA1">
              <w:t>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B9601C8" w14:textId="77777777" w:rsidR="008350E6" w:rsidRPr="00F41DA1" w:rsidRDefault="008350E6" w:rsidP="00FA01E6">
            <w:pPr>
              <w:spacing w:after="0" w:line="240" w:lineRule="auto"/>
            </w:pPr>
            <w:r w:rsidRPr="00F41DA1">
              <w:t>4 and 5</w:t>
            </w:r>
          </w:p>
        </w:tc>
      </w:tr>
      <w:tr w:rsidR="008350E6" w:rsidRPr="00F41DA1" w14:paraId="41A80651"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9E27DE2" w14:textId="77777777" w:rsidR="008350E6" w:rsidRPr="00F41DA1" w:rsidRDefault="008350E6" w:rsidP="00FA01E6">
            <w:pPr>
              <w:spacing w:after="0" w:line="240" w:lineRule="auto"/>
            </w:pPr>
            <w:r w:rsidRPr="00F41DA1">
              <w:t>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1040105" w14:textId="77777777" w:rsidR="008350E6" w:rsidRPr="00F41DA1" w:rsidRDefault="008350E6" w:rsidP="00FA01E6">
            <w:pPr>
              <w:spacing w:after="0" w:line="240" w:lineRule="auto"/>
            </w:pPr>
            <w:r w:rsidRPr="00F41DA1">
              <w:t>Pregnancy/</w:t>
            </w:r>
          </w:p>
        </w:tc>
      </w:tr>
      <w:tr w:rsidR="008350E6" w:rsidRPr="00F41DA1" w14:paraId="34EDC743"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60721AC" w14:textId="77777777" w:rsidR="008350E6" w:rsidRPr="00F41DA1" w:rsidRDefault="008350E6" w:rsidP="00FA01E6">
            <w:pPr>
              <w:spacing w:after="0" w:line="240" w:lineRule="auto"/>
            </w:pPr>
            <w:r w:rsidRPr="00F41DA1">
              <w:t>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AA3B1EE" w14:textId="77777777" w:rsidR="008350E6" w:rsidRPr="00F41DA1" w:rsidRDefault="008350E6" w:rsidP="00FA01E6">
            <w:pPr>
              <w:spacing w:after="0" w:line="240" w:lineRule="auto"/>
            </w:pPr>
            <w:r w:rsidRPr="00F41DA1">
              <w:t>(pediatric$ or newborn or neonat$ or child$ or infan$).mp.</w:t>
            </w:r>
          </w:p>
        </w:tc>
      </w:tr>
      <w:tr w:rsidR="008350E6" w:rsidRPr="00F41DA1" w14:paraId="0EDB7EF0"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10219FA" w14:textId="77777777" w:rsidR="008350E6" w:rsidRPr="00F41DA1" w:rsidRDefault="008350E6" w:rsidP="00FA01E6">
            <w:pPr>
              <w:spacing w:after="0" w:line="240" w:lineRule="auto"/>
            </w:pPr>
            <w:r w:rsidRPr="00F41DA1">
              <w:t>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8AB4DFB" w14:textId="77777777" w:rsidR="008350E6" w:rsidRPr="00F41DA1" w:rsidRDefault="008350E6" w:rsidP="00FA01E6">
            <w:pPr>
              <w:spacing w:after="0" w:line="240" w:lineRule="auto"/>
            </w:pPr>
            <w:r w:rsidRPr="00F41DA1">
              <w:t>6 not (7 or 8)</w:t>
            </w:r>
          </w:p>
        </w:tc>
      </w:tr>
      <w:tr w:rsidR="008350E6" w:rsidRPr="00F41DA1" w14:paraId="3D3F7411"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5A16E1E" w14:textId="77777777" w:rsidR="008350E6" w:rsidRPr="00F41DA1" w:rsidRDefault="008350E6" w:rsidP="00FA01E6">
            <w:pPr>
              <w:spacing w:after="0" w:line="240" w:lineRule="auto"/>
            </w:pPr>
            <w:r w:rsidRPr="00F41DA1">
              <w:t>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D0A3FD3" w14:textId="77777777" w:rsidR="008350E6" w:rsidRPr="00F41DA1" w:rsidRDefault="008350E6" w:rsidP="00FA01E6">
            <w:pPr>
              <w:spacing w:after="0" w:line="240" w:lineRule="auto"/>
            </w:pPr>
            <w:r w:rsidRPr="00F41DA1">
              <w:t>limit 9 to (abstracts and english language and humans)</w:t>
            </w:r>
          </w:p>
        </w:tc>
      </w:tr>
      <w:tr w:rsidR="008350E6" w:rsidRPr="00F41DA1" w14:paraId="00CBA177"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654981A" w14:textId="77777777" w:rsidR="008350E6" w:rsidRPr="00F41DA1" w:rsidRDefault="008350E6" w:rsidP="00FA01E6">
            <w:pPr>
              <w:spacing w:after="0" w:line="240" w:lineRule="auto"/>
            </w:pPr>
            <w:r w:rsidRPr="00F41DA1">
              <w:t>11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65BF4D0" w14:textId="29B831F8" w:rsidR="008350E6" w:rsidRPr="00465C3D" w:rsidRDefault="008350E6" w:rsidP="006C2CF0">
            <w:pPr>
              <w:spacing w:after="0" w:line="240" w:lineRule="auto"/>
            </w:pPr>
            <w:r w:rsidRPr="00465C3D">
              <w:rPr>
                <w:rFonts w:eastAsia="Times New Roman" w:cs="Arial"/>
                <w:color w:val="0A0905"/>
                <w:lang w:eastAsia="en-CA"/>
              </w:rPr>
              <w:t>(201407$ or 201408$ or 201409$ or 201410$ or 201411$ or 201412$ or 2015*</w:t>
            </w:r>
            <w:r w:rsidR="00C77EAE">
              <w:rPr>
                <w:rFonts w:eastAsia="Times New Roman" w:cs="Arial"/>
                <w:color w:val="0A0905"/>
                <w:lang w:eastAsia="en-CA"/>
              </w:rPr>
              <w:t xml:space="preserve"> or 2016* or </w:t>
            </w:r>
            <w:r w:rsidR="00C77EAE" w:rsidRPr="00C77EAE">
              <w:rPr>
                <w:rFonts w:eastAsia="Times New Roman" w:cs="Arial"/>
                <w:color w:val="0A0905"/>
                <w:lang w:eastAsia="en-CA"/>
              </w:rPr>
              <w:t>2017</w:t>
            </w:r>
            <w:r w:rsidR="006C2CF0">
              <w:rPr>
                <w:rFonts w:eastAsia="Times New Roman" w:cs="Arial"/>
                <w:color w:val="0A0905"/>
                <w:lang w:eastAsia="en-CA"/>
              </w:rPr>
              <w:t>* or 2018*</w:t>
            </w:r>
            <w:r w:rsidR="00C77EAE" w:rsidRPr="00C77EAE">
              <w:rPr>
                <w:rFonts w:eastAsia="Times New Roman" w:cs="Arial"/>
                <w:color w:val="0A0905"/>
                <w:lang w:eastAsia="en-CA"/>
              </w:rPr>
              <w:t>.</w:t>
            </w:r>
            <w:r w:rsidRPr="00465C3D">
              <w:rPr>
                <w:rFonts w:eastAsia="Times New Roman" w:cs="Arial"/>
                <w:color w:val="0A0905"/>
                <w:lang w:eastAsia="en-CA"/>
              </w:rPr>
              <w:t>).dc,ed.</w:t>
            </w:r>
          </w:p>
        </w:tc>
      </w:tr>
      <w:tr w:rsidR="008350E6" w:rsidRPr="00F41DA1" w14:paraId="0CCBD8A0"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EFDF3CD" w14:textId="77777777" w:rsidR="008350E6" w:rsidRPr="00F41DA1" w:rsidRDefault="008350E6" w:rsidP="00FA01E6">
            <w:pPr>
              <w:spacing w:after="0" w:line="240" w:lineRule="auto"/>
            </w:pPr>
            <w:r w:rsidRPr="00F41DA1">
              <w:t>12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F7EC157" w14:textId="77777777" w:rsidR="008350E6" w:rsidRPr="00F41DA1" w:rsidRDefault="008350E6" w:rsidP="00FA01E6">
            <w:pPr>
              <w:spacing w:after="0" w:line="240" w:lineRule="auto"/>
            </w:pPr>
            <w:r w:rsidRPr="00F41DA1">
              <w:t>10 and 11</w:t>
            </w:r>
          </w:p>
        </w:tc>
      </w:tr>
      <w:tr w:rsidR="008350E6" w:rsidRPr="00F41DA1" w14:paraId="1387CA10"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3421BD4" w14:textId="77777777" w:rsidR="008350E6" w:rsidRPr="00F41DA1" w:rsidRDefault="008350E6" w:rsidP="00FA01E6">
            <w:pPr>
              <w:spacing w:after="0" w:line="240" w:lineRule="auto"/>
            </w:pPr>
            <w:r w:rsidRPr="00F41DA1">
              <w:t>13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A32377F" w14:textId="77777777" w:rsidR="008350E6" w:rsidRPr="00F41DA1" w:rsidRDefault="008350E6" w:rsidP="00FA01E6">
            <w:pPr>
              <w:spacing w:after="0" w:line="240" w:lineRule="auto"/>
            </w:pPr>
            <w:r w:rsidRPr="00F41DA1">
              <w:t>remove duplicates from 12</w:t>
            </w:r>
          </w:p>
        </w:tc>
      </w:tr>
    </w:tbl>
    <w:p w14:paraId="5B5F7C26" w14:textId="77777777" w:rsidR="008350E6" w:rsidRDefault="008350E6" w:rsidP="008350E6">
      <w:pPr>
        <w:spacing w:after="0" w:line="240" w:lineRule="auto"/>
      </w:pPr>
    </w:p>
    <w:p w14:paraId="792AA610" w14:textId="77777777" w:rsidR="008350E6" w:rsidRPr="002550F0" w:rsidRDefault="008350E6" w:rsidP="008350E6">
      <w:pPr>
        <w:spacing w:after="0" w:line="240" w:lineRule="auto"/>
      </w:pPr>
      <w:r w:rsidRPr="002550F0">
        <w:t>Cochrane Library:</w:t>
      </w:r>
    </w:p>
    <w:p w14:paraId="7431BDAD" w14:textId="77777777" w:rsidR="008350E6" w:rsidRDefault="008350E6" w:rsidP="008350E6">
      <w:pPr>
        <w:spacing w:after="0" w:line="240" w:lineRule="auto"/>
      </w:pPr>
      <w:r>
        <w:t>ID</w:t>
      </w:r>
      <w:r>
        <w:tab/>
        <w:t>Search</w:t>
      </w:r>
      <w:r>
        <w:tab/>
        <w:t>Hits</w:t>
      </w:r>
    </w:p>
    <w:p w14:paraId="33469E71" w14:textId="77777777" w:rsidR="008350E6" w:rsidRDefault="008350E6" w:rsidP="008350E6">
      <w:pPr>
        <w:spacing w:after="0" w:line="240" w:lineRule="auto"/>
      </w:pPr>
      <w:r>
        <w:t>#1</w:t>
      </w:r>
      <w:r>
        <w:tab/>
        <w:t>MeSH descriptor: [Thyroid Diseases] explode all trees</w:t>
      </w:r>
      <w:r>
        <w:tab/>
      </w:r>
    </w:p>
    <w:p w14:paraId="373933FC" w14:textId="77777777" w:rsidR="008350E6" w:rsidRDefault="008350E6" w:rsidP="008350E6">
      <w:pPr>
        <w:spacing w:after="0" w:line="240" w:lineRule="auto"/>
      </w:pPr>
      <w:r>
        <w:lastRenderedPageBreak/>
        <w:t>#2</w:t>
      </w:r>
      <w:r>
        <w:tab/>
        <w:t>(thyroid and disease$)  (Word variations have been searched)</w:t>
      </w:r>
      <w:r>
        <w:tab/>
      </w:r>
    </w:p>
    <w:p w14:paraId="288C29B5" w14:textId="77777777" w:rsidR="008350E6" w:rsidRDefault="008350E6" w:rsidP="008350E6">
      <w:pPr>
        <w:spacing w:after="0" w:line="240" w:lineRule="auto"/>
      </w:pPr>
      <w:r>
        <w:t>#3</w:t>
      </w:r>
      <w:r>
        <w:tab/>
        <w:t>(hypothyroid$ or hyperthyroid$)  (Word variations have been searched)</w:t>
      </w:r>
      <w:r>
        <w:tab/>
      </w:r>
    </w:p>
    <w:p w14:paraId="2428D275" w14:textId="77777777" w:rsidR="008350E6" w:rsidRDefault="008350E6" w:rsidP="008350E6">
      <w:pPr>
        <w:spacing w:after="0" w:line="240" w:lineRule="auto"/>
      </w:pPr>
      <w:r>
        <w:t>#4</w:t>
      </w:r>
      <w:r>
        <w:tab/>
        <w:t xml:space="preserve">#1 or #2 or #3 </w:t>
      </w:r>
      <w:r>
        <w:tab/>
      </w:r>
    </w:p>
    <w:p w14:paraId="4D1E93D7" w14:textId="77777777" w:rsidR="008350E6" w:rsidRDefault="008350E6" w:rsidP="008350E6">
      <w:pPr>
        <w:spacing w:after="0" w:line="240" w:lineRule="auto"/>
      </w:pPr>
      <w:r>
        <w:t>#5</w:t>
      </w:r>
      <w:r>
        <w:tab/>
        <w:t>MeSH descriptor: [Mass Screening] this term only</w:t>
      </w:r>
      <w:r>
        <w:tab/>
      </w:r>
    </w:p>
    <w:p w14:paraId="291A87EF" w14:textId="77777777" w:rsidR="008350E6" w:rsidRDefault="008350E6" w:rsidP="008350E6">
      <w:pPr>
        <w:spacing w:after="0" w:line="240" w:lineRule="auto"/>
      </w:pPr>
      <w:r>
        <w:t>#6</w:t>
      </w:r>
      <w:r>
        <w:tab/>
        <w:t>screen$  (Word variations have been searched)</w:t>
      </w:r>
      <w:r>
        <w:tab/>
      </w:r>
    </w:p>
    <w:p w14:paraId="79DD93B8" w14:textId="77777777" w:rsidR="008350E6" w:rsidRDefault="008350E6" w:rsidP="008350E6">
      <w:pPr>
        <w:spacing w:after="0" w:line="240" w:lineRule="auto"/>
      </w:pPr>
      <w:r>
        <w:t>#7</w:t>
      </w:r>
      <w:r>
        <w:tab/>
        <w:t xml:space="preserve">#5 or #6 </w:t>
      </w:r>
      <w:r>
        <w:tab/>
      </w:r>
    </w:p>
    <w:p w14:paraId="4478E704" w14:textId="77777777" w:rsidR="008350E6" w:rsidRDefault="008350E6" w:rsidP="008350E6">
      <w:pPr>
        <w:spacing w:after="0" w:line="240" w:lineRule="auto"/>
      </w:pPr>
      <w:r>
        <w:t>#8</w:t>
      </w:r>
      <w:r>
        <w:tab/>
        <w:t xml:space="preserve">#4 and #7 </w:t>
      </w:r>
      <w:r>
        <w:tab/>
      </w:r>
    </w:p>
    <w:p w14:paraId="6D4350F4" w14:textId="7BE0D897" w:rsidR="008350E6" w:rsidRDefault="008350E6" w:rsidP="008350E6">
      <w:pPr>
        <w:spacing w:after="0" w:line="240" w:lineRule="auto"/>
      </w:pPr>
      <w:r>
        <w:t>#9</w:t>
      </w:r>
      <w:r>
        <w:tab/>
        <w:t xml:space="preserve">#4 and #7 Online Publication Date from Jul 2014 to </w:t>
      </w:r>
      <w:r w:rsidR="006C2CF0">
        <w:t>Jul 2018</w:t>
      </w:r>
      <w:r>
        <w:tab/>
      </w:r>
    </w:p>
    <w:p w14:paraId="4A858BF0" w14:textId="77777777" w:rsidR="008350E6" w:rsidRDefault="008350E6" w:rsidP="008350E6">
      <w:pPr>
        <w:spacing w:after="0" w:line="240" w:lineRule="auto"/>
      </w:pPr>
    </w:p>
    <w:p w14:paraId="0056543A" w14:textId="77777777" w:rsidR="008350E6" w:rsidRDefault="008350E6" w:rsidP="008350E6">
      <w:pPr>
        <w:spacing w:after="0" w:line="240" w:lineRule="auto"/>
      </w:pPr>
      <w:r>
        <w:rPr>
          <w:color w:val="000000"/>
        </w:rPr>
        <w:t>________________________________________________________________________</w:t>
      </w:r>
    </w:p>
    <w:p w14:paraId="0AE9E6FA" w14:textId="77777777" w:rsidR="008350E6" w:rsidRPr="003522C8" w:rsidRDefault="008350E6" w:rsidP="008350E6">
      <w:pPr>
        <w:pStyle w:val="ListParagraph"/>
        <w:spacing w:after="0" w:line="240" w:lineRule="auto"/>
      </w:pPr>
    </w:p>
    <w:p w14:paraId="4A4EB740" w14:textId="77777777" w:rsidR="008350E6" w:rsidRPr="002550F0" w:rsidRDefault="008350E6" w:rsidP="008350E6">
      <w:pPr>
        <w:spacing w:after="0" w:line="240" w:lineRule="auto"/>
        <w:contextualSpacing/>
        <w:rPr>
          <w:b/>
        </w:rPr>
      </w:pPr>
      <w:r w:rsidRPr="002550F0">
        <w:rPr>
          <w:b/>
        </w:rPr>
        <w:t>Search #2 – KQ3, KQ4 (Treatment)</w:t>
      </w:r>
    </w:p>
    <w:p w14:paraId="48D8DD78" w14:textId="77777777" w:rsidR="008350E6" w:rsidRDefault="008350E6" w:rsidP="008350E6">
      <w:pPr>
        <w:spacing w:after="0" w:line="240" w:lineRule="auto"/>
      </w:pPr>
    </w:p>
    <w:p w14:paraId="42B51D3C" w14:textId="77777777" w:rsidR="008350E6" w:rsidRPr="002550F0" w:rsidRDefault="008350E6" w:rsidP="008350E6">
      <w:pPr>
        <w:spacing w:after="0" w:line="240" w:lineRule="auto"/>
      </w:pPr>
      <w:r w:rsidRPr="002550F0">
        <w:t>Database(s): Ovid MEDLINE(R) Epub Ahead of Print, In-Process &amp; Other Non-Indexed Citations, Ovid MEDLINE(R) Daily, Ovid MEDLINE and Versions(R) </w:t>
      </w:r>
      <w:r w:rsidRPr="002550F0">
        <w:br/>
        <w:t>Search Strategy:</w:t>
      </w: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374"/>
        <w:gridCol w:w="8970"/>
      </w:tblGrid>
      <w:tr w:rsidR="008350E6" w:rsidRPr="002550F0" w14:paraId="38358886"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392F5C11" w14:textId="77777777" w:rsidR="008350E6" w:rsidRPr="002550F0" w:rsidRDefault="008350E6" w:rsidP="00FA01E6">
            <w:pPr>
              <w:spacing w:after="0" w:line="240" w:lineRule="auto"/>
              <w:rPr>
                <w:b/>
                <w:bCs/>
              </w:rPr>
            </w:pPr>
            <w:r w:rsidRPr="002550F0">
              <w:rPr>
                <w:b/>
                <w:bCs/>
              </w:rPr>
              <w:t>#</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68EBC6C6" w14:textId="77777777" w:rsidR="008350E6" w:rsidRPr="002550F0" w:rsidRDefault="008350E6" w:rsidP="00FA01E6">
            <w:pPr>
              <w:spacing w:after="0" w:line="240" w:lineRule="auto"/>
              <w:rPr>
                <w:b/>
                <w:bCs/>
              </w:rPr>
            </w:pPr>
            <w:r w:rsidRPr="002550F0">
              <w:rPr>
                <w:b/>
                <w:bCs/>
              </w:rPr>
              <w:t>Searches</w:t>
            </w:r>
          </w:p>
        </w:tc>
      </w:tr>
      <w:tr w:rsidR="008350E6" w:rsidRPr="002550F0" w14:paraId="6A9C2EC3"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8C35A69" w14:textId="77777777" w:rsidR="008350E6" w:rsidRPr="002550F0" w:rsidRDefault="008350E6" w:rsidP="00FA01E6">
            <w:pPr>
              <w:spacing w:after="0" w:line="240" w:lineRule="auto"/>
            </w:pPr>
            <w:r w:rsidRPr="002550F0">
              <w:t>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9707743" w14:textId="77777777" w:rsidR="008350E6" w:rsidRPr="002550F0" w:rsidRDefault="008350E6" w:rsidP="00FA01E6">
            <w:pPr>
              <w:spacing w:after="0" w:line="240" w:lineRule="auto"/>
            </w:pPr>
            <w:r w:rsidRPr="002550F0">
              <w:t>Thyroid Diseases/</w:t>
            </w:r>
          </w:p>
        </w:tc>
      </w:tr>
      <w:tr w:rsidR="008350E6" w:rsidRPr="002550F0" w14:paraId="5AC75B90"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4BADE90" w14:textId="77777777" w:rsidR="008350E6" w:rsidRPr="002550F0" w:rsidRDefault="008350E6" w:rsidP="00FA01E6">
            <w:pPr>
              <w:spacing w:after="0" w:line="240" w:lineRule="auto"/>
            </w:pPr>
            <w:r w:rsidRPr="002550F0">
              <w:t>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FF8E71F" w14:textId="77777777" w:rsidR="008350E6" w:rsidRPr="002550F0" w:rsidRDefault="008350E6" w:rsidP="00FA01E6">
            <w:pPr>
              <w:spacing w:after="0" w:line="240" w:lineRule="auto"/>
            </w:pPr>
            <w:r w:rsidRPr="002550F0">
              <w:t>Hyperthyroidism/</w:t>
            </w:r>
          </w:p>
        </w:tc>
      </w:tr>
      <w:tr w:rsidR="008350E6" w:rsidRPr="002550F0" w14:paraId="128FD6C6"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D109235" w14:textId="77777777" w:rsidR="008350E6" w:rsidRPr="002550F0" w:rsidRDefault="008350E6" w:rsidP="00FA01E6">
            <w:pPr>
              <w:spacing w:after="0" w:line="240" w:lineRule="auto"/>
            </w:pPr>
            <w:r w:rsidRPr="002550F0">
              <w:t>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FC5CE7F" w14:textId="77777777" w:rsidR="008350E6" w:rsidRPr="002550F0" w:rsidRDefault="008350E6" w:rsidP="00FA01E6">
            <w:pPr>
              <w:spacing w:after="0" w:line="240" w:lineRule="auto"/>
            </w:pPr>
            <w:r w:rsidRPr="002550F0">
              <w:t>Hypothyroidism/</w:t>
            </w:r>
          </w:p>
        </w:tc>
      </w:tr>
      <w:tr w:rsidR="008350E6" w:rsidRPr="002550F0" w14:paraId="7DD6BA99"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32F2E7D" w14:textId="77777777" w:rsidR="008350E6" w:rsidRPr="002550F0" w:rsidRDefault="008350E6" w:rsidP="00FA01E6">
            <w:pPr>
              <w:spacing w:after="0" w:line="240" w:lineRule="auto"/>
            </w:pPr>
            <w:r w:rsidRPr="002550F0">
              <w:t>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41752F8" w14:textId="77777777" w:rsidR="008350E6" w:rsidRPr="002550F0" w:rsidRDefault="008350E6" w:rsidP="00FA01E6">
            <w:pPr>
              <w:spacing w:after="0" w:line="240" w:lineRule="auto"/>
            </w:pPr>
            <w:r w:rsidRPr="002550F0">
              <w:t>(hyperthyroid$ or hypothyroid$).ti.</w:t>
            </w:r>
          </w:p>
        </w:tc>
      </w:tr>
      <w:tr w:rsidR="008350E6" w:rsidRPr="002550F0" w14:paraId="395624F5"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1C17CDD" w14:textId="77777777" w:rsidR="008350E6" w:rsidRPr="002550F0" w:rsidRDefault="008350E6" w:rsidP="00FA01E6">
            <w:pPr>
              <w:spacing w:after="0" w:line="240" w:lineRule="auto"/>
            </w:pPr>
            <w:r w:rsidRPr="002550F0">
              <w:t>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6DFF8BC" w14:textId="77777777" w:rsidR="008350E6" w:rsidRPr="002550F0" w:rsidRDefault="008350E6" w:rsidP="00FA01E6">
            <w:pPr>
              <w:spacing w:after="0" w:line="240" w:lineRule="auto"/>
            </w:pPr>
            <w:r w:rsidRPr="002550F0">
              <w:t>(thyroid deficien* or thyroid insufficien* or thyroid failure).mp.</w:t>
            </w:r>
          </w:p>
        </w:tc>
      </w:tr>
      <w:tr w:rsidR="008350E6" w:rsidRPr="002550F0" w14:paraId="6360ACBC"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8D48A9E" w14:textId="77777777" w:rsidR="008350E6" w:rsidRPr="002550F0" w:rsidRDefault="008350E6" w:rsidP="00FA01E6">
            <w:pPr>
              <w:spacing w:after="0" w:line="240" w:lineRule="auto"/>
            </w:pPr>
            <w:r w:rsidRPr="002550F0">
              <w:t>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CD6B167" w14:textId="77777777" w:rsidR="008350E6" w:rsidRPr="002550F0" w:rsidRDefault="008350E6" w:rsidP="00FA01E6">
            <w:pPr>
              <w:spacing w:after="0" w:line="240" w:lineRule="auto"/>
            </w:pPr>
            <w:r w:rsidRPr="002550F0">
              <w:t>or/1-5</w:t>
            </w:r>
          </w:p>
        </w:tc>
      </w:tr>
      <w:tr w:rsidR="008350E6" w:rsidRPr="002550F0" w14:paraId="0A47B7B9"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ECF8CDB" w14:textId="77777777" w:rsidR="008350E6" w:rsidRPr="002550F0" w:rsidRDefault="008350E6" w:rsidP="00FA01E6">
            <w:pPr>
              <w:spacing w:after="0" w:line="240" w:lineRule="auto"/>
            </w:pPr>
            <w:r w:rsidRPr="002550F0">
              <w:t>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B5B57E5" w14:textId="77777777" w:rsidR="008350E6" w:rsidRPr="002550F0" w:rsidRDefault="008350E6" w:rsidP="00FA01E6">
            <w:pPr>
              <w:spacing w:after="0" w:line="240" w:lineRule="auto"/>
            </w:pPr>
            <w:r w:rsidRPr="002550F0">
              <w:t>exp Antithyroid Agents/</w:t>
            </w:r>
          </w:p>
        </w:tc>
      </w:tr>
      <w:tr w:rsidR="008350E6" w:rsidRPr="002550F0" w14:paraId="3EF2832E"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C5FEB47" w14:textId="77777777" w:rsidR="008350E6" w:rsidRPr="002550F0" w:rsidRDefault="008350E6" w:rsidP="00FA01E6">
            <w:pPr>
              <w:spacing w:after="0" w:line="240" w:lineRule="auto"/>
            </w:pPr>
            <w:r w:rsidRPr="002550F0">
              <w:t>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6D1F00B" w14:textId="77777777" w:rsidR="008350E6" w:rsidRPr="002550F0" w:rsidRDefault="008350E6" w:rsidP="00FA01E6">
            <w:pPr>
              <w:spacing w:after="0" w:line="240" w:lineRule="auto"/>
            </w:pPr>
            <w:r w:rsidRPr="002550F0">
              <w:t>(anti-thyroid or methimazole or propylthiouracil or radioiodine or radioactive iodine).ti,ab.</w:t>
            </w:r>
          </w:p>
        </w:tc>
      </w:tr>
      <w:tr w:rsidR="008350E6" w:rsidRPr="002550F0" w14:paraId="72012201"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89F437D" w14:textId="77777777" w:rsidR="008350E6" w:rsidRPr="002550F0" w:rsidRDefault="008350E6" w:rsidP="00FA01E6">
            <w:pPr>
              <w:spacing w:after="0" w:line="240" w:lineRule="auto"/>
            </w:pPr>
            <w:r w:rsidRPr="002550F0">
              <w:t>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0ED1311" w14:textId="77777777" w:rsidR="008350E6" w:rsidRPr="002550F0" w:rsidRDefault="008350E6" w:rsidP="00FA01E6">
            <w:pPr>
              <w:spacing w:after="0" w:line="240" w:lineRule="auto"/>
            </w:pPr>
            <w:r w:rsidRPr="002550F0">
              <w:t>exp Thyronines/</w:t>
            </w:r>
          </w:p>
        </w:tc>
      </w:tr>
      <w:tr w:rsidR="008350E6" w:rsidRPr="002550F0" w14:paraId="598F084A"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0826E5C" w14:textId="77777777" w:rsidR="008350E6" w:rsidRPr="002550F0" w:rsidRDefault="008350E6" w:rsidP="00FA01E6">
            <w:pPr>
              <w:spacing w:after="0" w:line="240" w:lineRule="auto"/>
            </w:pPr>
            <w:r w:rsidRPr="002550F0">
              <w:t>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6D08BC7" w14:textId="77777777" w:rsidR="008350E6" w:rsidRPr="002550F0" w:rsidRDefault="008350E6" w:rsidP="00FA01E6">
            <w:pPr>
              <w:spacing w:after="0" w:line="240" w:lineRule="auto"/>
            </w:pPr>
            <w:r w:rsidRPr="002550F0">
              <w:t>exp Thyroxine/</w:t>
            </w:r>
          </w:p>
        </w:tc>
      </w:tr>
      <w:tr w:rsidR="008350E6" w:rsidRPr="002550F0" w14:paraId="1713F4FB"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F3DE529" w14:textId="77777777" w:rsidR="008350E6" w:rsidRPr="002550F0" w:rsidRDefault="008350E6" w:rsidP="00FA01E6">
            <w:pPr>
              <w:spacing w:after="0" w:line="240" w:lineRule="auto"/>
            </w:pPr>
            <w:r w:rsidRPr="002550F0">
              <w:t>11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48D2D69" w14:textId="77777777" w:rsidR="008350E6" w:rsidRPr="002550F0" w:rsidRDefault="008350E6" w:rsidP="00FA01E6">
            <w:pPr>
              <w:spacing w:after="0" w:line="240" w:lineRule="auto"/>
            </w:pPr>
            <w:r w:rsidRPr="002550F0">
              <w:t>(t3 or t4 or thyroxine or levothyroxine or triiodothyronine or liothyronine or thyrolar or liotrix).ti,ab.</w:t>
            </w:r>
          </w:p>
        </w:tc>
      </w:tr>
      <w:tr w:rsidR="008350E6" w:rsidRPr="002550F0" w14:paraId="2DD2D6D2"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3AA00DF" w14:textId="77777777" w:rsidR="008350E6" w:rsidRPr="002550F0" w:rsidRDefault="008350E6" w:rsidP="00FA01E6">
            <w:pPr>
              <w:spacing w:after="0" w:line="240" w:lineRule="auto"/>
            </w:pPr>
            <w:r w:rsidRPr="002550F0">
              <w:t>12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BF053FC" w14:textId="77777777" w:rsidR="008350E6" w:rsidRPr="002550F0" w:rsidRDefault="008350E6" w:rsidP="00FA01E6">
            <w:pPr>
              <w:spacing w:after="0" w:line="240" w:lineRule="auto"/>
            </w:pPr>
            <w:r w:rsidRPr="002550F0">
              <w:t>or/7-11</w:t>
            </w:r>
          </w:p>
        </w:tc>
      </w:tr>
      <w:tr w:rsidR="008350E6" w:rsidRPr="002550F0" w14:paraId="11A67B6B"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C87FBD3" w14:textId="77777777" w:rsidR="008350E6" w:rsidRPr="002550F0" w:rsidRDefault="008350E6" w:rsidP="00FA01E6">
            <w:pPr>
              <w:spacing w:after="0" w:line="240" w:lineRule="auto"/>
            </w:pPr>
            <w:r w:rsidRPr="002550F0">
              <w:t>13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7D496B5" w14:textId="77777777" w:rsidR="008350E6" w:rsidRPr="002550F0" w:rsidRDefault="008350E6" w:rsidP="00FA01E6">
            <w:pPr>
              <w:spacing w:after="0" w:line="240" w:lineRule="auto"/>
            </w:pPr>
            <w:r w:rsidRPr="002550F0">
              <w:t>6 and 12</w:t>
            </w:r>
          </w:p>
        </w:tc>
      </w:tr>
      <w:tr w:rsidR="008350E6" w:rsidRPr="002550F0" w14:paraId="16584BEA"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AD96D4C" w14:textId="77777777" w:rsidR="008350E6" w:rsidRPr="002550F0" w:rsidRDefault="008350E6" w:rsidP="00FA01E6">
            <w:pPr>
              <w:spacing w:after="0" w:line="240" w:lineRule="auto"/>
            </w:pPr>
            <w:r w:rsidRPr="002550F0">
              <w:t>14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242C3A4" w14:textId="77777777" w:rsidR="008350E6" w:rsidRPr="002550F0" w:rsidRDefault="008350E6" w:rsidP="00FA01E6">
            <w:pPr>
              <w:spacing w:after="0" w:line="240" w:lineRule="auto"/>
            </w:pPr>
            <w:r w:rsidRPr="002550F0">
              <w:t>6 and pc.fs.</w:t>
            </w:r>
          </w:p>
        </w:tc>
      </w:tr>
      <w:tr w:rsidR="008350E6" w:rsidRPr="002550F0" w14:paraId="6D5A7DF7"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465019C" w14:textId="77777777" w:rsidR="008350E6" w:rsidRPr="002550F0" w:rsidRDefault="008350E6" w:rsidP="00FA01E6">
            <w:pPr>
              <w:spacing w:after="0" w:line="240" w:lineRule="auto"/>
            </w:pPr>
            <w:r w:rsidRPr="002550F0">
              <w:t>15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1FBA0F4" w14:textId="77777777" w:rsidR="008350E6" w:rsidRPr="002550F0" w:rsidRDefault="008350E6" w:rsidP="00FA01E6">
            <w:pPr>
              <w:spacing w:after="0" w:line="240" w:lineRule="auto"/>
            </w:pPr>
            <w:r w:rsidRPr="002550F0">
              <w:t>6 and dt.fs.</w:t>
            </w:r>
          </w:p>
        </w:tc>
      </w:tr>
      <w:tr w:rsidR="008350E6" w:rsidRPr="002550F0" w14:paraId="75BD9602"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39F57F4" w14:textId="77777777" w:rsidR="008350E6" w:rsidRPr="002550F0" w:rsidRDefault="008350E6" w:rsidP="00FA01E6">
            <w:pPr>
              <w:spacing w:after="0" w:line="240" w:lineRule="auto"/>
            </w:pPr>
            <w:r w:rsidRPr="002550F0">
              <w:t>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2FE02C8" w14:textId="77777777" w:rsidR="008350E6" w:rsidRPr="002550F0" w:rsidRDefault="008350E6" w:rsidP="00FA01E6">
            <w:pPr>
              <w:spacing w:after="0" w:line="240" w:lineRule="auto"/>
            </w:pPr>
            <w:r w:rsidRPr="002550F0">
              <w:t>6 and th.fs.</w:t>
            </w:r>
          </w:p>
        </w:tc>
      </w:tr>
      <w:tr w:rsidR="008350E6" w:rsidRPr="002550F0" w14:paraId="1C2FDBB5"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530C563" w14:textId="77777777" w:rsidR="008350E6" w:rsidRPr="002550F0" w:rsidRDefault="008350E6" w:rsidP="00FA01E6">
            <w:pPr>
              <w:spacing w:after="0" w:line="240" w:lineRule="auto"/>
            </w:pPr>
            <w:r w:rsidRPr="002550F0">
              <w:t>17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B1127C7" w14:textId="77777777" w:rsidR="008350E6" w:rsidRPr="002550F0" w:rsidRDefault="008350E6" w:rsidP="00FA01E6">
            <w:pPr>
              <w:spacing w:after="0" w:line="240" w:lineRule="auto"/>
            </w:pPr>
            <w:r w:rsidRPr="002550F0">
              <w:t>or/14-16</w:t>
            </w:r>
          </w:p>
        </w:tc>
      </w:tr>
      <w:tr w:rsidR="008350E6" w:rsidRPr="002550F0" w14:paraId="75641BC8"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30C5D22" w14:textId="77777777" w:rsidR="008350E6" w:rsidRPr="002550F0" w:rsidRDefault="008350E6" w:rsidP="00FA01E6">
            <w:pPr>
              <w:spacing w:after="0" w:line="240" w:lineRule="auto"/>
            </w:pPr>
            <w:r w:rsidRPr="002550F0">
              <w:t>18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C5DCBE6" w14:textId="77777777" w:rsidR="008350E6" w:rsidRPr="002550F0" w:rsidRDefault="008350E6" w:rsidP="00FA01E6">
            <w:pPr>
              <w:spacing w:after="0" w:line="240" w:lineRule="auto"/>
            </w:pPr>
            <w:r w:rsidRPr="002550F0">
              <w:t>13 or 17</w:t>
            </w:r>
          </w:p>
        </w:tc>
      </w:tr>
      <w:tr w:rsidR="008350E6" w:rsidRPr="002550F0" w14:paraId="0284D424"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C8AB0B5" w14:textId="77777777" w:rsidR="008350E6" w:rsidRPr="002550F0" w:rsidRDefault="008350E6" w:rsidP="00FA01E6">
            <w:pPr>
              <w:spacing w:after="0" w:line="240" w:lineRule="auto"/>
            </w:pPr>
            <w:r w:rsidRPr="002550F0">
              <w:t>19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FA9DCB5" w14:textId="77777777" w:rsidR="008350E6" w:rsidRPr="002550F0" w:rsidRDefault="008350E6" w:rsidP="00FA01E6">
            <w:pPr>
              <w:spacing w:after="0" w:line="240" w:lineRule="auto"/>
            </w:pPr>
            <w:r w:rsidRPr="002550F0">
              <w:t>Pregnancy/</w:t>
            </w:r>
          </w:p>
        </w:tc>
      </w:tr>
      <w:tr w:rsidR="008350E6" w:rsidRPr="002550F0" w14:paraId="11F78F55"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CCB0806" w14:textId="77777777" w:rsidR="008350E6" w:rsidRPr="002550F0" w:rsidRDefault="008350E6" w:rsidP="00FA01E6">
            <w:pPr>
              <w:spacing w:after="0" w:line="240" w:lineRule="auto"/>
            </w:pPr>
            <w:r w:rsidRPr="002550F0">
              <w:t>20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3FFA8B2" w14:textId="77777777" w:rsidR="008350E6" w:rsidRPr="002550F0" w:rsidRDefault="008350E6" w:rsidP="00FA01E6">
            <w:pPr>
              <w:spacing w:after="0" w:line="240" w:lineRule="auto"/>
            </w:pPr>
            <w:r w:rsidRPr="002550F0">
              <w:t>(child$ or pediatric$ or infan$ or newborn or neonat$ or toddler).mp.</w:t>
            </w:r>
          </w:p>
        </w:tc>
      </w:tr>
      <w:tr w:rsidR="008350E6" w:rsidRPr="002550F0" w14:paraId="3BF23E5A"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1425B1C" w14:textId="77777777" w:rsidR="008350E6" w:rsidRPr="002550F0" w:rsidRDefault="008350E6" w:rsidP="00FA01E6">
            <w:pPr>
              <w:spacing w:after="0" w:line="240" w:lineRule="auto"/>
            </w:pPr>
            <w:r w:rsidRPr="002550F0">
              <w:t>21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9AE39F5" w14:textId="77777777" w:rsidR="008350E6" w:rsidRPr="002550F0" w:rsidRDefault="008350E6" w:rsidP="00FA01E6">
            <w:pPr>
              <w:spacing w:after="0" w:line="240" w:lineRule="auto"/>
            </w:pPr>
            <w:r w:rsidRPr="002550F0">
              <w:t>grave's.ti.</w:t>
            </w:r>
          </w:p>
        </w:tc>
      </w:tr>
      <w:tr w:rsidR="008350E6" w:rsidRPr="002550F0" w14:paraId="2FB2048B"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74ECE12" w14:textId="77777777" w:rsidR="008350E6" w:rsidRPr="002550F0" w:rsidRDefault="008350E6" w:rsidP="00FA01E6">
            <w:pPr>
              <w:spacing w:after="0" w:line="240" w:lineRule="auto"/>
            </w:pPr>
            <w:r w:rsidRPr="002550F0">
              <w:t>22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5447E68" w14:textId="77777777" w:rsidR="008350E6" w:rsidRPr="002550F0" w:rsidRDefault="008350E6" w:rsidP="00FA01E6">
            <w:pPr>
              <w:spacing w:after="0" w:line="240" w:lineRule="auto"/>
            </w:pPr>
            <w:r w:rsidRPr="002550F0">
              <w:t>18 not (19 or 20 or 21)</w:t>
            </w:r>
          </w:p>
        </w:tc>
      </w:tr>
      <w:tr w:rsidR="008350E6" w:rsidRPr="002550F0" w14:paraId="34584AE5"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B651B24" w14:textId="77777777" w:rsidR="008350E6" w:rsidRPr="002550F0" w:rsidRDefault="008350E6" w:rsidP="00FA01E6">
            <w:pPr>
              <w:spacing w:after="0" w:line="240" w:lineRule="auto"/>
            </w:pPr>
            <w:r w:rsidRPr="002550F0">
              <w:t>23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0CF1B54" w14:textId="77777777" w:rsidR="008350E6" w:rsidRPr="002550F0" w:rsidRDefault="008350E6" w:rsidP="00FA01E6">
            <w:pPr>
              <w:spacing w:after="0" w:line="240" w:lineRule="auto"/>
            </w:pPr>
            <w:r w:rsidRPr="002550F0">
              <w:t>limit 22 to (abstracts and english language and humans)</w:t>
            </w:r>
          </w:p>
        </w:tc>
      </w:tr>
      <w:tr w:rsidR="008350E6" w:rsidRPr="002550F0" w14:paraId="454ECF9B"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A3E03D1" w14:textId="77777777" w:rsidR="008350E6" w:rsidRPr="002550F0" w:rsidRDefault="008350E6" w:rsidP="00FA01E6">
            <w:pPr>
              <w:spacing w:after="0" w:line="240" w:lineRule="auto"/>
            </w:pPr>
            <w:r w:rsidRPr="002550F0">
              <w:t>24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8252D7B" w14:textId="77777777" w:rsidR="008350E6" w:rsidRPr="002550F0" w:rsidRDefault="008350E6" w:rsidP="00FA01E6">
            <w:pPr>
              <w:spacing w:after="0" w:line="240" w:lineRule="auto"/>
            </w:pPr>
            <w:r w:rsidRPr="002550F0">
              <w:t>limit 23 to (clinical trial, all or comparative study or controlled clinical trial or meta analysis or randomized controlled trial or systematic reviews)</w:t>
            </w:r>
          </w:p>
        </w:tc>
      </w:tr>
      <w:tr w:rsidR="008350E6" w:rsidRPr="002550F0" w14:paraId="513A93D9"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B7F33F6" w14:textId="77777777" w:rsidR="008350E6" w:rsidRPr="002550F0" w:rsidRDefault="008350E6" w:rsidP="00FA01E6">
            <w:pPr>
              <w:spacing w:after="0" w:line="240" w:lineRule="auto"/>
            </w:pPr>
            <w:r w:rsidRPr="002550F0">
              <w:lastRenderedPageBreak/>
              <w:t>25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9F96F95" w14:textId="03BE82ED" w:rsidR="008350E6" w:rsidRPr="00465C3D" w:rsidRDefault="008350E6" w:rsidP="00FA01E6">
            <w:pPr>
              <w:spacing w:after="0" w:line="240" w:lineRule="auto"/>
            </w:pPr>
            <w:r w:rsidRPr="00465C3D">
              <w:rPr>
                <w:rFonts w:eastAsia="Times New Roman" w:cs="Arial"/>
                <w:color w:val="0A0905"/>
                <w:lang w:eastAsia="en-CA"/>
              </w:rPr>
              <w:t>(201407$ or 201408$ or 201409$ or 201410$ or 201411$ or 201412$ or 2015*</w:t>
            </w:r>
            <w:r w:rsidR="006C2CF0">
              <w:rPr>
                <w:rFonts w:eastAsia="Times New Roman" w:cs="Arial"/>
                <w:color w:val="0A0905"/>
                <w:lang w:eastAsia="en-CA"/>
              </w:rPr>
              <w:t xml:space="preserve"> or 2016* or 2017* or 2018*</w:t>
            </w:r>
            <w:r w:rsidRPr="00465C3D">
              <w:rPr>
                <w:rFonts w:eastAsia="Times New Roman" w:cs="Arial"/>
                <w:color w:val="0A0905"/>
                <w:lang w:eastAsia="en-CA"/>
              </w:rPr>
              <w:t>).dc,ed.</w:t>
            </w:r>
          </w:p>
        </w:tc>
      </w:tr>
      <w:tr w:rsidR="008350E6" w:rsidRPr="002550F0" w14:paraId="4C9A738A"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F46DB2D" w14:textId="77777777" w:rsidR="008350E6" w:rsidRPr="002550F0" w:rsidRDefault="008350E6" w:rsidP="00FA01E6">
            <w:pPr>
              <w:spacing w:after="0" w:line="240" w:lineRule="auto"/>
            </w:pPr>
            <w:r w:rsidRPr="002550F0">
              <w:t>26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C53240A" w14:textId="77777777" w:rsidR="008350E6" w:rsidRPr="002550F0" w:rsidRDefault="008350E6" w:rsidP="00FA01E6">
            <w:pPr>
              <w:spacing w:after="0" w:line="240" w:lineRule="auto"/>
            </w:pPr>
            <w:r w:rsidRPr="002550F0">
              <w:t>24 and 25</w:t>
            </w:r>
          </w:p>
        </w:tc>
      </w:tr>
      <w:tr w:rsidR="008350E6" w:rsidRPr="002550F0" w14:paraId="6C984763"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C4F6227" w14:textId="77777777" w:rsidR="008350E6" w:rsidRPr="002550F0" w:rsidRDefault="008350E6" w:rsidP="00FA01E6">
            <w:pPr>
              <w:spacing w:after="0" w:line="240" w:lineRule="auto"/>
            </w:pPr>
            <w:r w:rsidRPr="002550F0">
              <w:t>27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C755705" w14:textId="77777777" w:rsidR="008350E6" w:rsidRPr="002550F0" w:rsidRDefault="008350E6" w:rsidP="00FA01E6">
            <w:pPr>
              <w:spacing w:after="0" w:line="240" w:lineRule="auto"/>
            </w:pPr>
            <w:r w:rsidRPr="002550F0">
              <w:t>remove duplicates from 26</w:t>
            </w:r>
          </w:p>
        </w:tc>
      </w:tr>
    </w:tbl>
    <w:p w14:paraId="28F78273" w14:textId="77777777" w:rsidR="008350E6" w:rsidRDefault="008350E6" w:rsidP="008350E6">
      <w:pPr>
        <w:spacing w:after="0" w:line="240" w:lineRule="auto"/>
      </w:pPr>
    </w:p>
    <w:p w14:paraId="3A543564" w14:textId="77777777" w:rsidR="008350E6" w:rsidRDefault="008350E6" w:rsidP="008350E6">
      <w:pPr>
        <w:spacing w:after="0" w:line="240" w:lineRule="auto"/>
      </w:pPr>
    </w:p>
    <w:p w14:paraId="4B911F55" w14:textId="77777777" w:rsidR="008350E6" w:rsidRDefault="008350E6" w:rsidP="008350E6">
      <w:pPr>
        <w:spacing w:after="0" w:line="240" w:lineRule="auto"/>
      </w:pPr>
      <w:r>
        <w:t>Cochrane Library:</w:t>
      </w:r>
    </w:p>
    <w:p w14:paraId="196BF033" w14:textId="77777777" w:rsidR="008350E6" w:rsidRDefault="008350E6" w:rsidP="008350E6">
      <w:pPr>
        <w:spacing w:after="0" w:line="240" w:lineRule="auto"/>
      </w:pPr>
      <w:r>
        <w:t>ID</w:t>
      </w:r>
      <w:r>
        <w:tab/>
        <w:t>Search</w:t>
      </w:r>
      <w:r>
        <w:tab/>
        <w:t>Hits</w:t>
      </w:r>
    </w:p>
    <w:p w14:paraId="5CEA92B7" w14:textId="77777777" w:rsidR="008350E6" w:rsidRDefault="008350E6" w:rsidP="008350E6">
      <w:pPr>
        <w:spacing w:after="0" w:line="240" w:lineRule="auto"/>
      </w:pPr>
      <w:r>
        <w:t>#1</w:t>
      </w:r>
      <w:r>
        <w:tab/>
        <w:t>MeSH descriptor: [Thyroid Diseases] this term only</w:t>
      </w:r>
      <w:r>
        <w:tab/>
      </w:r>
    </w:p>
    <w:p w14:paraId="2E0B6D8B" w14:textId="77777777" w:rsidR="008350E6" w:rsidRDefault="008350E6" w:rsidP="008350E6">
      <w:pPr>
        <w:spacing w:after="0" w:line="240" w:lineRule="auto"/>
      </w:pPr>
      <w:r>
        <w:t>#2</w:t>
      </w:r>
      <w:r>
        <w:tab/>
        <w:t>MeSH descriptor: [Hyperthyroidism] this term only</w:t>
      </w:r>
      <w:r>
        <w:tab/>
      </w:r>
    </w:p>
    <w:p w14:paraId="07763907" w14:textId="77777777" w:rsidR="008350E6" w:rsidRDefault="008350E6" w:rsidP="008350E6">
      <w:pPr>
        <w:spacing w:after="0" w:line="240" w:lineRule="auto"/>
      </w:pPr>
      <w:r>
        <w:t>#3</w:t>
      </w:r>
      <w:r>
        <w:tab/>
        <w:t>MeSH descriptor: [Hypothyroidism] this term only</w:t>
      </w:r>
      <w:r>
        <w:tab/>
      </w:r>
    </w:p>
    <w:p w14:paraId="5D76789D" w14:textId="77777777" w:rsidR="008350E6" w:rsidRDefault="008350E6" w:rsidP="008350E6">
      <w:pPr>
        <w:spacing w:after="0" w:line="240" w:lineRule="auto"/>
      </w:pPr>
      <w:r>
        <w:t>#4</w:t>
      </w:r>
      <w:r>
        <w:tab/>
        <w:t xml:space="preserve">(hyperthyroid$ or hypothyroid$):ti </w:t>
      </w:r>
      <w:r>
        <w:tab/>
      </w:r>
    </w:p>
    <w:p w14:paraId="24FE0C48" w14:textId="77777777" w:rsidR="008350E6" w:rsidRDefault="008350E6" w:rsidP="008350E6">
      <w:pPr>
        <w:spacing w:after="0" w:line="240" w:lineRule="auto"/>
      </w:pPr>
      <w:r>
        <w:t>#5</w:t>
      </w:r>
      <w:r>
        <w:tab/>
        <w:t xml:space="preserve">("thyroid deficien*" or "thyroid insufficien*" or "thyroid failure") </w:t>
      </w:r>
      <w:r>
        <w:tab/>
      </w:r>
    </w:p>
    <w:p w14:paraId="4129F98D" w14:textId="77777777" w:rsidR="008350E6" w:rsidRDefault="008350E6" w:rsidP="008350E6">
      <w:pPr>
        <w:spacing w:after="0" w:line="240" w:lineRule="auto"/>
      </w:pPr>
      <w:r>
        <w:t>#6</w:t>
      </w:r>
      <w:r>
        <w:tab/>
        <w:t xml:space="preserve">#1 or #2 or #3 or #4 or #5 </w:t>
      </w:r>
      <w:r>
        <w:tab/>
      </w:r>
    </w:p>
    <w:p w14:paraId="0257766F" w14:textId="77777777" w:rsidR="008350E6" w:rsidRDefault="008350E6" w:rsidP="008350E6">
      <w:pPr>
        <w:spacing w:after="0" w:line="240" w:lineRule="auto"/>
      </w:pPr>
      <w:r>
        <w:t>#7</w:t>
      </w:r>
      <w:r>
        <w:tab/>
        <w:t>MeSH descriptor: [Antithyroid Agents] explode all trees</w:t>
      </w:r>
      <w:r>
        <w:tab/>
      </w:r>
    </w:p>
    <w:p w14:paraId="70673C7D" w14:textId="77777777" w:rsidR="008350E6" w:rsidRDefault="008350E6" w:rsidP="008350E6">
      <w:pPr>
        <w:spacing w:after="0" w:line="240" w:lineRule="auto"/>
      </w:pPr>
      <w:r>
        <w:t>#8</w:t>
      </w:r>
      <w:r>
        <w:tab/>
        <w:t xml:space="preserve">(anti-thyroid or methimazole or propylthiouracil or radioiodine or "radioactive iodine"):ti,ab </w:t>
      </w:r>
      <w:r>
        <w:tab/>
      </w:r>
    </w:p>
    <w:p w14:paraId="43888225" w14:textId="77777777" w:rsidR="008350E6" w:rsidRDefault="008350E6" w:rsidP="008350E6">
      <w:pPr>
        <w:spacing w:after="0" w:line="240" w:lineRule="auto"/>
      </w:pPr>
      <w:r>
        <w:t>#9</w:t>
      </w:r>
      <w:r>
        <w:tab/>
        <w:t>MeSH descriptor: [Thyronines] explode all trees</w:t>
      </w:r>
      <w:r>
        <w:tab/>
      </w:r>
    </w:p>
    <w:p w14:paraId="66F5A439" w14:textId="77777777" w:rsidR="008350E6" w:rsidRDefault="008350E6" w:rsidP="008350E6">
      <w:pPr>
        <w:spacing w:after="0" w:line="240" w:lineRule="auto"/>
      </w:pPr>
      <w:r>
        <w:t>#10</w:t>
      </w:r>
      <w:r>
        <w:tab/>
        <w:t>MeSH descriptor: [Thyroxine] explode all trees</w:t>
      </w:r>
      <w:r>
        <w:tab/>
      </w:r>
    </w:p>
    <w:p w14:paraId="78AA164A" w14:textId="77777777" w:rsidR="008350E6" w:rsidRDefault="008350E6" w:rsidP="008350E6">
      <w:pPr>
        <w:spacing w:after="0" w:line="240" w:lineRule="auto"/>
      </w:pPr>
      <w:r>
        <w:t>#11</w:t>
      </w:r>
      <w:r>
        <w:tab/>
        <w:t xml:space="preserve">(t3 or t4 or thyroxine or levothyroxine or triiodothyronine or liothyronine or thyrolar or liotrix):ti,ab </w:t>
      </w:r>
      <w:r>
        <w:tab/>
      </w:r>
    </w:p>
    <w:p w14:paraId="30261131" w14:textId="77777777" w:rsidR="008350E6" w:rsidRDefault="008350E6" w:rsidP="008350E6">
      <w:pPr>
        <w:spacing w:after="0" w:line="240" w:lineRule="auto"/>
      </w:pPr>
      <w:r>
        <w:t>#12</w:t>
      </w:r>
      <w:r>
        <w:tab/>
        <w:t xml:space="preserve">#7 or #8 or #9 or #10 or #11 </w:t>
      </w:r>
      <w:r>
        <w:tab/>
      </w:r>
    </w:p>
    <w:p w14:paraId="3F6E4577" w14:textId="77777777" w:rsidR="008350E6" w:rsidRDefault="008350E6" w:rsidP="008350E6">
      <w:pPr>
        <w:spacing w:after="0" w:line="240" w:lineRule="auto"/>
      </w:pPr>
      <w:r>
        <w:t>#13</w:t>
      </w:r>
      <w:r>
        <w:tab/>
        <w:t xml:space="preserve">#6 and #12 </w:t>
      </w:r>
      <w:r>
        <w:tab/>
      </w:r>
    </w:p>
    <w:p w14:paraId="046BB6B5" w14:textId="77777777" w:rsidR="008350E6" w:rsidRDefault="008350E6" w:rsidP="008350E6">
      <w:pPr>
        <w:spacing w:after="0" w:line="240" w:lineRule="auto"/>
      </w:pPr>
      <w:r>
        <w:t>#14</w:t>
      </w:r>
      <w:r>
        <w:tab/>
        <w:t>MeSH descriptor: [Pregnancy] this term only</w:t>
      </w:r>
      <w:r>
        <w:tab/>
      </w:r>
    </w:p>
    <w:p w14:paraId="334CF461" w14:textId="77777777" w:rsidR="008350E6" w:rsidRDefault="008350E6" w:rsidP="008350E6">
      <w:pPr>
        <w:spacing w:after="0" w:line="240" w:lineRule="auto"/>
      </w:pPr>
      <w:r>
        <w:t>#15</w:t>
      </w:r>
      <w:r>
        <w:tab/>
        <w:t xml:space="preserve">(child$ or pediatric$ or infan$ or newborn or neonat$ or toddler) </w:t>
      </w:r>
      <w:r>
        <w:tab/>
      </w:r>
    </w:p>
    <w:p w14:paraId="2A47F0AD" w14:textId="77777777" w:rsidR="008350E6" w:rsidRDefault="008350E6" w:rsidP="008350E6">
      <w:pPr>
        <w:spacing w:after="0" w:line="240" w:lineRule="auto"/>
      </w:pPr>
      <w:r>
        <w:t>#16</w:t>
      </w:r>
      <w:r>
        <w:tab/>
        <w:t xml:space="preserve">grave's:ti </w:t>
      </w:r>
      <w:r>
        <w:tab/>
      </w:r>
    </w:p>
    <w:p w14:paraId="24E8E29C" w14:textId="77777777" w:rsidR="008350E6" w:rsidRDefault="008350E6" w:rsidP="008350E6">
      <w:pPr>
        <w:spacing w:after="0" w:line="240" w:lineRule="auto"/>
      </w:pPr>
      <w:r>
        <w:t>#17</w:t>
      </w:r>
      <w:r>
        <w:tab/>
        <w:t xml:space="preserve">#13 not (#14 or #15 or #16) </w:t>
      </w:r>
      <w:r>
        <w:tab/>
      </w:r>
    </w:p>
    <w:p w14:paraId="154A3246" w14:textId="68218BDC" w:rsidR="008350E6" w:rsidRDefault="008350E6" w:rsidP="008350E6">
      <w:pPr>
        <w:spacing w:after="0" w:line="240" w:lineRule="auto"/>
      </w:pPr>
      <w:r>
        <w:t>#18</w:t>
      </w:r>
      <w:r>
        <w:tab/>
        <w:t xml:space="preserve">#13 not (#14 or #15 or #16) Online Publication Date from Jul 2014 to </w:t>
      </w:r>
      <w:r w:rsidR="006C2CF0">
        <w:t>Jul 2018</w:t>
      </w:r>
      <w:r>
        <w:tab/>
      </w:r>
    </w:p>
    <w:p w14:paraId="5A77525D" w14:textId="77777777" w:rsidR="008350E6" w:rsidRDefault="008350E6" w:rsidP="008350E6">
      <w:pPr>
        <w:spacing w:after="0" w:line="240" w:lineRule="auto"/>
      </w:pPr>
    </w:p>
    <w:p w14:paraId="2E9F96B3" w14:textId="77777777" w:rsidR="008350E6" w:rsidRDefault="008350E6" w:rsidP="008350E6">
      <w:pPr>
        <w:spacing w:after="0" w:line="240" w:lineRule="auto"/>
        <w:rPr>
          <w:color w:val="000000"/>
        </w:rPr>
      </w:pPr>
      <w:r>
        <w:rPr>
          <w:color w:val="000000"/>
        </w:rPr>
        <w:t>________________________________________________________________________</w:t>
      </w:r>
    </w:p>
    <w:p w14:paraId="3B650D7F" w14:textId="77777777" w:rsidR="008350E6" w:rsidRDefault="008350E6" w:rsidP="008350E6">
      <w:pPr>
        <w:spacing w:after="0" w:line="240" w:lineRule="auto"/>
      </w:pPr>
    </w:p>
    <w:p w14:paraId="2EC38B04" w14:textId="77777777" w:rsidR="008350E6" w:rsidRPr="00F02F92" w:rsidRDefault="008350E6" w:rsidP="008350E6">
      <w:pPr>
        <w:spacing w:after="0" w:line="240" w:lineRule="auto"/>
        <w:contextualSpacing/>
        <w:rPr>
          <w:b/>
        </w:rPr>
      </w:pPr>
      <w:r w:rsidRPr="00F02F92">
        <w:rPr>
          <w:b/>
        </w:rPr>
        <w:t>Search #3 – All key questions</w:t>
      </w:r>
    </w:p>
    <w:p w14:paraId="1EB8F60A" w14:textId="77777777" w:rsidR="008350E6" w:rsidRDefault="008350E6" w:rsidP="008350E6">
      <w:pPr>
        <w:spacing w:after="0" w:line="240" w:lineRule="auto"/>
      </w:pPr>
    </w:p>
    <w:p w14:paraId="38C3B274" w14:textId="77777777" w:rsidR="008350E6" w:rsidRPr="005333BD" w:rsidRDefault="008350E6" w:rsidP="008350E6">
      <w:pPr>
        <w:spacing w:after="0" w:line="240" w:lineRule="auto"/>
      </w:pPr>
      <w:r w:rsidRPr="005333BD">
        <w:t>Database(s): Ovid MEDLINE(R) Epub Ahead of Print, In-Process &amp; Other Non-Indexed Citations, Ovid MEDLINE(R) Daily, Ovid MEDLINE and Versions(R) </w:t>
      </w:r>
      <w:r w:rsidRPr="005333BD">
        <w:br/>
        <w:t>Search Strategy:</w:t>
      </w: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374"/>
        <w:gridCol w:w="8970"/>
      </w:tblGrid>
      <w:tr w:rsidR="008350E6" w:rsidRPr="005333BD" w14:paraId="61185B60"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46A1D74B" w14:textId="77777777" w:rsidR="008350E6" w:rsidRPr="005333BD" w:rsidRDefault="008350E6" w:rsidP="00FA01E6">
            <w:pPr>
              <w:spacing w:after="0" w:line="240" w:lineRule="auto"/>
              <w:rPr>
                <w:b/>
                <w:bCs/>
              </w:rPr>
            </w:pPr>
            <w:r w:rsidRPr="005333BD">
              <w:rPr>
                <w:b/>
                <w:bCs/>
              </w:rPr>
              <w:t>#</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49CD3934" w14:textId="77777777" w:rsidR="008350E6" w:rsidRPr="005333BD" w:rsidRDefault="008350E6" w:rsidP="00FA01E6">
            <w:pPr>
              <w:spacing w:after="0" w:line="240" w:lineRule="auto"/>
              <w:rPr>
                <w:b/>
                <w:bCs/>
              </w:rPr>
            </w:pPr>
            <w:r w:rsidRPr="005333BD">
              <w:rPr>
                <w:b/>
                <w:bCs/>
              </w:rPr>
              <w:t>Searches</w:t>
            </w:r>
          </w:p>
        </w:tc>
      </w:tr>
      <w:tr w:rsidR="008350E6" w:rsidRPr="005333BD" w14:paraId="4370F8CA"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E7669C2" w14:textId="77777777" w:rsidR="008350E6" w:rsidRPr="005333BD" w:rsidRDefault="008350E6" w:rsidP="00FA01E6">
            <w:pPr>
              <w:spacing w:after="0" w:line="240" w:lineRule="auto"/>
            </w:pPr>
            <w:r w:rsidRPr="005333BD">
              <w:t>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FC4294C" w14:textId="77777777" w:rsidR="008350E6" w:rsidRPr="005333BD" w:rsidRDefault="008350E6" w:rsidP="00FA01E6">
            <w:pPr>
              <w:spacing w:after="0" w:line="240" w:lineRule="auto"/>
            </w:pPr>
            <w:r w:rsidRPr="005333BD">
              <w:t>Thyroid Diseases/</w:t>
            </w:r>
          </w:p>
        </w:tc>
      </w:tr>
      <w:tr w:rsidR="008350E6" w:rsidRPr="005333BD" w14:paraId="29578F1C"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0052F5A" w14:textId="77777777" w:rsidR="008350E6" w:rsidRPr="005333BD" w:rsidRDefault="008350E6" w:rsidP="00FA01E6">
            <w:pPr>
              <w:spacing w:after="0" w:line="240" w:lineRule="auto"/>
            </w:pPr>
            <w:r w:rsidRPr="005333BD">
              <w:t>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1F684F5" w14:textId="77777777" w:rsidR="008350E6" w:rsidRPr="005333BD" w:rsidRDefault="008350E6" w:rsidP="00FA01E6">
            <w:pPr>
              <w:spacing w:after="0" w:line="240" w:lineRule="auto"/>
            </w:pPr>
            <w:r w:rsidRPr="005333BD">
              <w:t>Hyperthyroidism/</w:t>
            </w:r>
          </w:p>
        </w:tc>
      </w:tr>
      <w:tr w:rsidR="008350E6" w:rsidRPr="005333BD" w14:paraId="668A7F99"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F19F26D" w14:textId="77777777" w:rsidR="008350E6" w:rsidRPr="005333BD" w:rsidRDefault="008350E6" w:rsidP="00FA01E6">
            <w:pPr>
              <w:spacing w:after="0" w:line="240" w:lineRule="auto"/>
            </w:pPr>
            <w:r w:rsidRPr="005333BD">
              <w:t>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175FD7D" w14:textId="77777777" w:rsidR="008350E6" w:rsidRPr="005333BD" w:rsidRDefault="008350E6" w:rsidP="00FA01E6">
            <w:pPr>
              <w:spacing w:after="0" w:line="240" w:lineRule="auto"/>
            </w:pPr>
            <w:r w:rsidRPr="005333BD">
              <w:t>Hypothyroidism/</w:t>
            </w:r>
          </w:p>
        </w:tc>
      </w:tr>
      <w:tr w:rsidR="008350E6" w:rsidRPr="005333BD" w14:paraId="53A15680"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A4DEC97" w14:textId="77777777" w:rsidR="008350E6" w:rsidRPr="005333BD" w:rsidRDefault="008350E6" w:rsidP="00FA01E6">
            <w:pPr>
              <w:spacing w:after="0" w:line="240" w:lineRule="auto"/>
            </w:pPr>
            <w:r w:rsidRPr="005333BD">
              <w:t>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A7A5F28" w14:textId="77777777" w:rsidR="008350E6" w:rsidRPr="005333BD" w:rsidRDefault="008350E6" w:rsidP="00FA01E6">
            <w:pPr>
              <w:spacing w:after="0" w:line="240" w:lineRule="auto"/>
            </w:pPr>
            <w:r w:rsidRPr="005333BD">
              <w:t>(hyperthyroid$ or hypothyroid$).ti.</w:t>
            </w:r>
          </w:p>
        </w:tc>
      </w:tr>
      <w:tr w:rsidR="008350E6" w:rsidRPr="005333BD" w14:paraId="74A2DF46"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F804596" w14:textId="77777777" w:rsidR="008350E6" w:rsidRPr="005333BD" w:rsidRDefault="008350E6" w:rsidP="00FA01E6">
            <w:pPr>
              <w:spacing w:after="0" w:line="240" w:lineRule="auto"/>
            </w:pPr>
            <w:r w:rsidRPr="005333BD">
              <w:t>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6FA8A93" w14:textId="77777777" w:rsidR="008350E6" w:rsidRPr="005333BD" w:rsidRDefault="008350E6" w:rsidP="00FA01E6">
            <w:pPr>
              <w:spacing w:after="0" w:line="240" w:lineRule="auto"/>
            </w:pPr>
            <w:r w:rsidRPr="005333BD">
              <w:t>(thyroid deficien* or thyroid insufficien* or thyroid failure).mp.</w:t>
            </w:r>
          </w:p>
        </w:tc>
      </w:tr>
      <w:tr w:rsidR="008350E6" w:rsidRPr="005333BD" w14:paraId="5CEE1A39"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75C7146" w14:textId="77777777" w:rsidR="008350E6" w:rsidRPr="005333BD" w:rsidRDefault="008350E6" w:rsidP="00FA01E6">
            <w:pPr>
              <w:spacing w:after="0" w:line="240" w:lineRule="auto"/>
            </w:pPr>
            <w:r w:rsidRPr="005333BD">
              <w:t>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0725330" w14:textId="77777777" w:rsidR="008350E6" w:rsidRPr="005333BD" w:rsidRDefault="008350E6" w:rsidP="00FA01E6">
            <w:pPr>
              <w:spacing w:after="0" w:line="240" w:lineRule="auto"/>
            </w:pPr>
            <w:r w:rsidRPr="005333BD">
              <w:t>or/1-5</w:t>
            </w:r>
          </w:p>
        </w:tc>
      </w:tr>
      <w:tr w:rsidR="008350E6" w:rsidRPr="005333BD" w14:paraId="5FF01DE6"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570E8FB" w14:textId="77777777" w:rsidR="008350E6" w:rsidRPr="005333BD" w:rsidRDefault="008350E6" w:rsidP="00FA01E6">
            <w:pPr>
              <w:spacing w:after="0" w:line="240" w:lineRule="auto"/>
            </w:pPr>
            <w:r w:rsidRPr="005333BD">
              <w:t>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7A6AAB8" w14:textId="77777777" w:rsidR="008350E6" w:rsidRPr="005333BD" w:rsidRDefault="008350E6" w:rsidP="00FA01E6">
            <w:pPr>
              <w:spacing w:after="0" w:line="240" w:lineRule="auto"/>
            </w:pPr>
            <w:r w:rsidRPr="005333BD">
              <w:t>exp Antithyroid Agents/</w:t>
            </w:r>
          </w:p>
        </w:tc>
      </w:tr>
      <w:tr w:rsidR="008350E6" w:rsidRPr="005333BD" w14:paraId="25CDAF9A"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9B7DE38" w14:textId="77777777" w:rsidR="008350E6" w:rsidRPr="005333BD" w:rsidRDefault="008350E6" w:rsidP="00FA01E6">
            <w:pPr>
              <w:spacing w:after="0" w:line="240" w:lineRule="auto"/>
            </w:pPr>
            <w:r w:rsidRPr="005333BD">
              <w:t>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DD4BFC5" w14:textId="77777777" w:rsidR="008350E6" w:rsidRPr="005333BD" w:rsidRDefault="008350E6" w:rsidP="00FA01E6">
            <w:pPr>
              <w:spacing w:after="0" w:line="240" w:lineRule="auto"/>
            </w:pPr>
            <w:r w:rsidRPr="005333BD">
              <w:t>exp Thyronines/</w:t>
            </w:r>
          </w:p>
        </w:tc>
      </w:tr>
      <w:tr w:rsidR="008350E6" w:rsidRPr="005333BD" w14:paraId="32F8A4BD"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ED661EA" w14:textId="77777777" w:rsidR="008350E6" w:rsidRPr="005333BD" w:rsidRDefault="008350E6" w:rsidP="00FA01E6">
            <w:pPr>
              <w:spacing w:after="0" w:line="240" w:lineRule="auto"/>
            </w:pPr>
            <w:r w:rsidRPr="005333BD">
              <w:t>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17725F9" w14:textId="77777777" w:rsidR="008350E6" w:rsidRPr="005333BD" w:rsidRDefault="008350E6" w:rsidP="00FA01E6">
            <w:pPr>
              <w:spacing w:after="0" w:line="240" w:lineRule="auto"/>
            </w:pPr>
            <w:r w:rsidRPr="005333BD">
              <w:t>exp Thyroxine/</w:t>
            </w:r>
          </w:p>
        </w:tc>
      </w:tr>
      <w:tr w:rsidR="008350E6" w:rsidRPr="005333BD" w14:paraId="3D8F1DA2"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7D4B3FD" w14:textId="77777777" w:rsidR="008350E6" w:rsidRPr="005333BD" w:rsidRDefault="008350E6" w:rsidP="00FA01E6">
            <w:pPr>
              <w:spacing w:after="0" w:line="240" w:lineRule="auto"/>
            </w:pPr>
            <w:r w:rsidRPr="005333BD">
              <w:lastRenderedPageBreak/>
              <w:t>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609B5C6" w14:textId="77777777" w:rsidR="008350E6" w:rsidRPr="005333BD" w:rsidRDefault="008350E6" w:rsidP="00FA01E6">
            <w:pPr>
              <w:spacing w:after="0" w:line="240" w:lineRule="auto"/>
            </w:pPr>
            <w:r w:rsidRPr="005333BD">
              <w:t>(t3 or t4 or thyroxine or levothyroxine or triiodothyronine or liothyronine or thyrolar or liotrix).ti,ab.</w:t>
            </w:r>
          </w:p>
        </w:tc>
      </w:tr>
      <w:tr w:rsidR="008350E6" w:rsidRPr="005333BD" w14:paraId="76FA8620"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670AC3D" w14:textId="77777777" w:rsidR="008350E6" w:rsidRPr="005333BD" w:rsidRDefault="008350E6" w:rsidP="00FA01E6">
            <w:pPr>
              <w:spacing w:after="0" w:line="240" w:lineRule="auto"/>
            </w:pPr>
            <w:r w:rsidRPr="005333BD">
              <w:t>11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B8C7894" w14:textId="77777777" w:rsidR="008350E6" w:rsidRPr="005333BD" w:rsidRDefault="008350E6" w:rsidP="00FA01E6">
            <w:pPr>
              <w:spacing w:after="0" w:line="240" w:lineRule="auto"/>
            </w:pPr>
            <w:r w:rsidRPr="005333BD">
              <w:t>or/7-10</w:t>
            </w:r>
          </w:p>
        </w:tc>
      </w:tr>
      <w:tr w:rsidR="008350E6" w:rsidRPr="005333BD" w14:paraId="652FAC6D"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3F87AF5" w14:textId="77777777" w:rsidR="008350E6" w:rsidRPr="005333BD" w:rsidRDefault="008350E6" w:rsidP="00FA01E6">
            <w:pPr>
              <w:spacing w:after="0" w:line="240" w:lineRule="auto"/>
            </w:pPr>
            <w:r w:rsidRPr="005333BD">
              <w:t>12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E91A9E5" w14:textId="77777777" w:rsidR="008350E6" w:rsidRPr="005333BD" w:rsidRDefault="008350E6" w:rsidP="00FA01E6">
            <w:pPr>
              <w:spacing w:after="0" w:line="240" w:lineRule="auto"/>
            </w:pPr>
            <w:r w:rsidRPr="005333BD">
              <w:t>6 and 11</w:t>
            </w:r>
          </w:p>
        </w:tc>
      </w:tr>
      <w:tr w:rsidR="008350E6" w:rsidRPr="005333BD" w14:paraId="4DC0DC89"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0F6C3B6" w14:textId="77777777" w:rsidR="008350E6" w:rsidRPr="005333BD" w:rsidRDefault="008350E6" w:rsidP="00FA01E6">
            <w:pPr>
              <w:spacing w:after="0" w:line="240" w:lineRule="auto"/>
            </w:pPr>
            <w:r w:rsidRPr="005333BD">
              <w:t>13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5BF0F75" w14:textId="77777777" w:rsidR="008350E6" w:rsidRPr="005333BD" w:rsidRDefault="008350E6" w:rsidP="00FA01E6">
            <w:pPr>
              <w:spacing w:after="0" w:line="240" w:lineRule="auto"/>
            </w:pPr>
            <w:r w:rsidRPr="005333BD">
              <w:t>12 not (pregnan$ or pediatric$ or newborn or neonat$ or child$ or infan$).ti.</w:t>
            </w:r>
          </w:p>
        </w:tc>
      </w:tr>
      <w:tr w:rsidR="008350E6" w:rsidRPr="005333BD" w14:paraId="35C439DC"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AD95639" w14:textId="77777777" w:rsidR="008350E6" w:rsidRPr="005333BD" w:rsidRDefault="008350E6" w:rsidP="00FA01E6">
            <w:pPr>
              <w:spacing w:after="0" w:line="240" w:lineRule="auto"/>
            </w:pPr>
            <w:r w:rsidRPr="005333BD">
              <w:t>14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ECDBC78" w14:textId="77777777" w:rsidR="008350E6" w:rsidRPr="005333BD" w:rsidRDefault="008350E6" w:rsidP="00FA01E6">
            <w:pPr>
              <w:spacing w:after="0" w:line="240" w:lineRule="auto"/>
            </w:pPr>
            <w:r w:rsidRPr="005333BD">
              <w:t>limit 13 to systematic reviews</w:t>
            </w:r>
          </w:p>
        </w:tc>
      </w:tr>
      <w:tr w:rsidR="008350E6" w:rsidRPr="005333BD" w14:paraId="011226C4"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3EC86E9" w14:textId="77777777" w:rsidR="008350E6" w:rsidRPr="005333BD" w:rsidRDefault="008350E6" w:rsidP="00FA01E6">
            <w:pPr>
              <w:spacing w:after="0" w:line="240" w:lineRule="auto"/>
            </w:pPr>
            <w:r w:rsidRPr="005333BD">
              <w:t>15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4007840" w14:textId="3A1ECDAF" w:rsidR="008350E6" w:rsidRPr="00A36DB7" w:rsidRDefault="008350E6" w:rsidP="00FA01E6">
            <w:pPr>
              <w:spacing w:after="0" w:line="240" w:lineRule="auto"/>
            </w:pPr>
            <w:r w:rsidRPr="00A36DB7">
              <w:rPr>
                <w:rFonts w:cs="Arial"/>
                <w:lang w:val="en-US"/>
              </w:rPr>
              <w:t>(201407$ or 201408$ or 201409$ or 201410$ or 201411$ or 201412$ or 2015*</w:t>
            </w:r>
            <w:r w:rsidR="006C2CF0">
              <w:rPr>
                <w:rFonts w:cs="Arial"/>
                <w:lang w:val="en-US"/>
              </w:rPr>
              <w:t xml:space="preserve"> or 2016* or 2017* or 2018*</w:t>
            </w:r>
            <w:r w:rsidRPr="00A36DB7">
              <w:rPr>
                <w:rFonts w:cs="Arial"/>
                <w:lang w:val="en-US"/>
              </w:rPr>
              <w:t>).dc,ed.</w:t>
            </w:r>
          </w:p>
        </w:tc>
      </w:tr>
      <w:tr w:rsidR="008350E6" w:rsidRPr="005333BD" w14:paraId="1EA27CD9"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065D5D1" w14:textId="77777777" w:rsidR="008350E6" w:rsidRPr="005333BD" w:rsidRDefault="008350E6" w:rsidP="00FA01E6">
            <w:pPr>
              <w:spacing w:after="0" w:line="240" w:lineRule="auto"/>
            </w:pPr>
            <w:r w:rsidRPr="005333BD">
              <w:t>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DC877A3" w14:textId="77777777" w:rsidR="008350E6" w:rsidRPr="005333BD" w:rsidRDefault="008350E6" w:rsidP="00FA01E6">
            <w:pPr>
              <w:spacing w:after="0" w:line="240" w:lineRule="auto"/>
            </w:pPr>
            <w:r w:rsidRPr="005333BD">
              <w:t>14 and 15</w:t>
            </w:r>
          </w:p>
        </w:tc>
      </w:tr>
      <w:tr w:rsidR="008350E6" w:rsidRPr="005333BD" w14:paraId="6223BAD6"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A9C5DB5" w14:textId="77777777" w:rsidR="008350E6" w:rsidRPr="005333BD" w:rsidRDefault="008350E6" w:rsidP="00FA01E6">
            <w:pPr>
              <w:spacing w:after="0" w:line="240" w:lineRule="auto"/>
            </w:pPr>
            <w:r w:rsidRPr="005333BD">
              <w:t>17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BC3D088" w14:textId="77777777" w:rsidR="008350E6" w:rsidRPr="005333BD" w:rsidRDefault="008350E6" w:rsidP="00FA01E6">
            <w:pPr>
              <w:spacing w:after="0" w:line="240" w:lineRule="auto"/>
            </w:pPr>
            <w:r w:rsidRPr="005333BD">
              <w:t>remove duplicates from 16</w:t>
            </w:r>
          </w:p>
        </w:tc>
      </w:tr>
    </w:tbl>
    <w:p w14:paraId="0FC37DE2" w14:textId="77777777" w:rsidR="008350E6" w:rsidRDefault="008350E6" w:rsidP="008350E6">
      <w:pPr>
        <w:spacing w:after="0" w:line="240" w:lineRule="auto"/>
      </w:pPr>
    </w:p>
    <w:p w14:paraId="59C10E48" w14:textId="77777777" w:rsidR="008350E6" w:rsidRDefault="008350E6" w:rsidP="008350E6">
      <w:pPr>
        <w:spacing w:after="0" w:line="240" w:lineRule="auto"/>
      </w:pPr>
      <w:r>
        <w:t>Cochrane Library:</w:t>
      </w:r>
    </w:p>
    <w:p w14:paraId="5E4DCF6C" w14:textId="77777777" w:rsidR="008350E6" w:rsidRDefault="008350E6" w:rsidP="008350E6">
      <w:pPr>
        <w:spacing w:after="0" w:line="240" w:lineRule="auto"/>
      </w:pPr>
      <w:r>
        <w:t>ID</w:t>
      </w:r>
      <w:r>
        <w:tab/>
        <w:t>Search</w:t>
      </w:r>
      <w:r>
        <w:tab/>
        <w:t>Hits</w:t>
      </w:r>
    </w:p>
    <w:p w14:paraId="6A1B5852" w14:textId="77777777" w:rsidR="008350E6" w:rsidRDefault="008350E6" w:rsidP="008350E6">
      <w:pPr>
        <w:spacing w:after="0" w:line="240" w:lineRule="auto"/>
      </w:pPr>
      <w:r>
        <w:t>#1</w:t>
      </w:r>
      <w:r>
        <w:tab/>
        <w:t xml:space="preserve">(thyroid or hypothyroid$ or hyperthyroid$):ti </w:t>
      </w:r>
      <w:r>
        <w:tab/>
      </w:r>
    </w:p>
    <w:p w14:paraId="361825D2" w14:textId="77777777" w:rsidR="008350E6" w:rsidRDefault="008350E6" w:rsidP="008350E6">
      <w:pPr>
        <w:spacing w:after="0" w:line="240" w:lineRule="auto"/>
      </w:pPr>
      <w:r>
        <w:t>#2</w:t>
      </w:r>
      <w:r>
        <w:tab/>
        <w:t xml:space="preserve">pregnan$.ti </w:t>
      </w:r>
      <w:r>
        <w:tab/>
      </w:r>
    </w:p>
    <w:p w14:paraId="576FAF92" w14:textId="77777777" w:rsidR="008350E6" w:rsidRDefault="008350E6" w:rsidP="008350E6">
      <w:pPr>
        <w:spacing w:after="0" w:line="240" w:lineRule="auto"/>
      </w:pPr>
      <w:r>
        <w:t>#3</w:t>
      </w:r>
      <w:r>
        <w:tab/>
        <w:t xml:space="preserve">#1 not #2 Reviews </w:t>
      </w:r>
      <w:r>
        <w:tab/>
      </w:r>
    </w:p>
    <w:p w14:paraId="72AF5C69" w14:textId="520A5A61" w:rsidR="008350E6" w:rsidRDefault="008350E6" w:rsidP="008350E6">
      <w:pPr>
        <w:spacing w:after="0" w:line="240" w:lineRule="auto"/>
      </w:pPr>
      <w:r>
        <w:t>#4</w:t>
      </w:r>
      <w:r>
        <w:tab/>
        <w:t xml:space="preserve">#1 not #2 Online Publication Date from Jul 2014 to </w:t>
      </w:r>
      <w:r w:rsidR="006C2CF0">
        <w:t>Jul 2018</w:t>
      </w:r>
      <w:r>
        <w:tab/>
      </w:r>
    </w:p>
    <w:p w14:paraId="4C792952" w14:textId="77777777" w:rsidR="008350E6" w:rsidRDefault="008350E6" w:rsidP="008350E6">
      <w:pPr>
        <w:spacing w:after="0" w:line="240" w:lineRule="auto"/>
      </w:pPr>
    </w:p>
    <w:p w14:paraId="5F330E52" w14:textId="77777777" w:rsidR="008350E6" w:rsidRDefault="008350E6" w:rsidP="008350E6">
      <w:pPr>
        <w:spacing w:after="0" w:line="240" w:lineRule="auto"/>
        <w:rPr>
          <w:color w:val="000000"/>
        </w:rPr>
      </w:pPr>
      <w:r>
        <w:rPr>
          <w:color w:val="000000"/>
        </w:rPr>
        <w:t>________________________________________________________________________</w:t>
      </w:r>
    </w:p>
    <w:p w14:paraId="44B95055" w14:textId="77777777" w:rsidR="008350E6" w:rsidRPr="003522C8" w:rsidRDefault="008350E6" w:rsidP="008350E6">
      <w:pPr>
        <w:spacing w:after="0" w:line="240" w:lineRule="auto"/>
      </w:pPr>
    </w:p>
    <w:p w14:paraId="144B9FFA" w14:textId="77777777" w:rsidR="008350E6" w:rsidRPr="002338E5" w:rsidRDefault="008350E6" w:rsidP="008350E6">
      <w:pPr>
        <w:spacing w:after="0" w:line="240" w:lineRule="auto"/>
        <w:contextualSpacing/>
        <w:rPr>
          <w:b/>
        </w:rPr>
      </w:pPr>
      <w:r w:rsidRPr="002338E5">
        <w:rPr>
          <w:b/>
        </w:rPr>
        <w:t>Search #4 – KQ5 (Values)</w:t>
      </w:r>
    </w:p>
    <w:p w14:paraId="3444FE28" w14:textId="77777777" w:rsidR="008350E6" w:rsidRDefault="008350E6" w:rsidP="008350E6">
      <w:pPr>
        <w:spacing w:line="240" w:lineRule="auto"/>
        <w:contextualSpacing/>
      </w:pPr>
    </w:p>
    <w:p w14:paraId="55D7112F" w14:textId="77777777" w:rsidR="008350E6" w:rsidRPr="004F31CD" w:rsidRDefault="008350E6" w:rsidP="008350E6">
      <w:pPr>
        <w:spacing w:line="240" w:lineRule="auto"/>
        <w:contextualSpacing/>
      </w:pPr>
      <w:r w:rsidRPr="004F31CD">
        <w:t>Database(s): Ovid MEDLINE(R) Epub Ahead of Print, In-Process &amp; Other Non-Indexed Citations, Ovid MEDLINE(R) Daily, Ovid MEDLINE and Versions(R) </w:t>
      </w:r>
      <w:r w:rsidRPr="004F31CD">
        <w:br/>
        <w:t>Search Strategy:</w:t>
      </w: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374"/>
        <w:gridCol w:w="8970"/>
      </w:tblGrid>
      <w:tr w:rsidR="008350E6" w:rsidRPr="004F31CD" w14:paraId="4AF0E7C5"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36BB0AF2" w14:textId="77777777" w:rsidR="008350E6" w:rsidRPr="004F31CD" w:rsidRDefault="008350E6" w:rsidP="00FA01E6">
            <w:pPr>
              <w:spacing w:line="240" w:lineRule="auto"/>
              <w:contextualSpacing/>
              <w:rPr>
                <w:b/>
                <w:bCs/>
              </w:rPr>
            </w:pPr>
            <w:r w:rsidRPr="004F31CD">
              <w:rPr>
                <w:b/>
                <w:bCs/>
              </w:rPr>
              <w:t>#</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409FBBB5" w14:textId="77777777" w:rsidR="008350E6" w:rsidRPr="004F31CD" w:rsidRDefault="008350E6" w:rsidP="00FA01E6">
            <w:pPr>
              <w:spacing w:line="240" w:lineRule="auto"/>
              <w:contextualSpacing/>
              <w:rPr>
                <w:b/>
                <w:bCs/>
              </w:rPr>
            </w:pPr>
            <w:r w:rsidRPr="004F31CD">
              <w:rPr>
                <w:b/>
                <w:bCs/>
              </w:rPr>
              <w:t>Searches</w:t>
            </w:r>
          </w:p>
        </w:tc>
      </w:tr>
      <w:tr w:rsidR="008350E6" w:rsidRPr="004F31CD" w14:paraId="33991457"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6F84251" w14:textId="77777777" w:rsidR="008350E6" w:rsidRPr="004F31CD" w:rsidRDefault="008350E6" w:rsidP="00FA01E6">
            <w:pPr>
              <w:spacing w:line="240" w:lineRule="auto"/>
              <w:contextualSpacing/>
            </w:pPr>
            <w:r w:rsidRPr="004F31CD">
              <w:t>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D14D76B" w14:textId="77777777" w:rsidR="008350E6" w:rsidRPr="004F31CD" w:rsidRDefault="008350E6" w:rsidP="00FA01E6">
            <w:pPr>
              <w:spacing w:line="240" w:lineRule="auto"/>
              <w:contextualSpacing/>
            </w:pPr>
            <w:r w:rsidRPr="004F31CD">
              <w:t>exp Thyroid Diseases/co, di, pc, px, us [Complications, Diagnosis, Prevention &amp; Control, Psychology, Ultrasonography]</w:t>
            </w:r>
          </w:p>
        </w:tc>
      </w:tr>
      <w:tr w:rsidR="008350E6" w:rsidRPr="004F31CD" w14:paraId="6768FD63"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2AE19BC" w14:textId="77777777" w:rsidR="008350E6" w:rsidRPr="004F31CD" w:rsidRDefault="008350E6" w:rsidP="00FA01E6">
            <w:pPr>
              <w:spacing w:line="240" w:lineRule="auto"/>
              <w:contextualSpacing/>
            </w:pPr>
            <w:r w:rsidRPr="004F31CD">
              <w:t>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C1E09C1" w14:textId="77777777" w:rsidR="008350E6" w:rsidRPr="004F31CD" w:rsidRDefault="008350E6" w:rsidP="00FA01E6">
            <w:pPr>
              <w:spacing w:line="240" w:lineRule="auto"/>
              <w:contextualSpacing/>
            </w:pPr>
            <w:r w:rsidRPr="004F31CD">
              <w:t>Thyroid Function Tests/</w:t>
            </w:r>
          </w:p>
        </w:tc>
      </w:tr>
      <w:tr w:rsidR="008350E6" w:rsidRPr="004F31CD" w14:paraId="0DF05DAB"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1CDBBB8" w14:textId="77777777" w:rsidR="008350E6" w:rsidRPr="004F31CD" w:rsidRDefault="008350E6" w:rsidP="00FA01E6">
            <w:pPr>
              <w:spacing w:line="240" w:lineRule="auto"/>
              <w:contextualSpacing/>
            </w:pPr>
            <w:r w:rsidRPr="004F31CD">
              <w:t>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CA76C3F" w14:textId="77777777" w:rsidR="008350E6" w:rsidRPr="004F31CD" w:rsidRDefault="008350E6" w:rsidP="00FA01E6">
            <w:pPr>
              <w:spacing w:line="240" w:lineRule="auto"/>
              <w:contextualSpacing/>
            </w:pPr>
            <w:r w:rsidRPr="004F31CD">
              <w:t>(hyperthyroid* or hypothyroid* or hyperthyroxinemia or thyrotoxicos*).mp.</w:t>
            </w:r>
          </w:p>
        </w:tc>
      </w:tr>
      <w:tr w:rsidR="008350E6" w:rsidRPr="004F31CD" w14:paraId="39137E1E"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946261D" w14:textId="77777777" w:rsidR="008350E6" w:rsidRPr="004F31CD" w:rsidRDefault="008350E6" w:rsidP="00FA01E6">
            <w:pPr>
              <w:spacing w:line="240" w:lineRule="auto"/>
              <w:contextualSpacing/>
            </w:pPr>
            <w:r w:rsidRPr="004F31CD">
              <w:t>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330FAD4" w14:textId="77777777" w:rsidR="008350E6" w:rsidRPr="004F31CD" w:rsidRDefault="008350E6" w:rsidP="00FA01E6">
            <w:pPr>
              <w:spacing w:line="240" w:lineRule="auto"/>
              <w:contextualSpacing/>
            </w:pPr>
            <w:r w:rsidRPr="004F31CD">
              <w:t>(thyroid adj3 (dysfunct* or dysgenes* or disorder* or deficien* or abnormal* or disease*)).mp.</w:t>
            </w:r>
          </w:p>
        </w:tc>
      </w:tr>
      <w:tr w:rsidR="008350E6" w:rsidRPr="004F31CD" w14:paraId="33FDFBC5"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BDA1C57" w14:textId="77777777" w:rsidR="008350E6" w:rsidRPr="004F31CD" w:rsidRDefault="008350E6" w:rsidP="00FA01E6">
            <w:pPr>
              <w:spacing w:line="240" w:lineRule="auto"/>
              <w:contextualSpacing/>
            </w:pPr>
            <w:r w:rsidRPr="004F31CD">
              <w:t>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97E0E79" w14:textId="77777777" w:rsidR="008350E6" w:rsidRPr="004F31CD" w:rsidRDefault="008350E6" w:rsidP="00FA01E6">
            <w:pPr>
              <w:spacing w:line="240" w:lineRule="auto"/>
              <w:contextualSpacing/>
            </w:pPr>
            <w:r w:rsidRPr="004F31CD">
              <w:t>or/1-4</w:t>
            </w:r>
          </w:p>
        </w:tc>
      </w:tr>
      <w:tr w:rsidR="008350E6" w:rsidRPr="004F31CD" w14:paraId="498AD8F9"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1B076CE" w14:textId="77777777" w:rsidR="008350E6" w:rsidRPr="004F31CD" w:rsidRDefault="008350E6" w:rsidP="00FA01E6">
            <w:pPr>
              <w:spacing w:line="240" w:lineRule="auto"/>
              <w:contextualSpacing/>
            </w:pPr>
            <w:r w:rsidRPr="004F31CD">
              <w:t>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9CA8631" w14:textId="77777777" w:rsidR="008350E6" w:rsidRPr="004F31CD" w:rsidRDefault="008350E6" w:rsidP="00FA01E6">
            <w:pPr>
              <w:spacing w:line="240" w:lineRule="auto"/>
              <w:contextualSpacing/>
            </w:pPr>
            <w:r w:rsidRPr="004F31CD">
              <w:t>*patient satisfaction/ or *patient preference/</w:t>
            </w:r>
          </w:p>
        </w:tc>
      </w:tr>
      <w:tr w:rsidR="008350E6" w:rsidRPr="004F31CD" w14:paraId="233FD7C2"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EB293C2" w14:textId="77777777" w:rsidR="008350E6" w:rsidRPr="004F31CD" w:rsidRDefault="008350E6" w:rsidP="00FA01E6">
            <w:pPr>
              <w:spacing w:line="240" w:lineRule="auto"/>
              <w:contextualSpacing/>
            </w:pPr>
            <w:r w:rsidRPr="004F31CD">
              <w:t>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3DB685F" w14:textId="77777777" w:rsidR="008350E6" w:rsidRPr="004F31CD" w:rsidRDefault="008350E6" w:rsidP="00FA01E6">
            <w:pPr>
              <w:spacing w:line="240" w:lineRule="auto"/>
              <w:contextualSpacing/>
            </w:pPr>
            <w:r w:rsidRPr="004F31CD">
              <w:t>*Patient Compliance/px, sn [Psychology, Statistics &amp; Numerical Data]</w:t>
            </w:r>
          </w:p>
        </w:tc>
      </w:tr>
      <w:tr w:rsidR="008350E6" w:rsidRPr="004F31CD" w14:paraId="46155184"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344FFBF" w14:textId="77777777" w:rsidR="008350E6" w:rsidRPr="004F31CD" w:rsidRDefault="008350E6" w:rsidP="00FA01E6">
            <w:pPr>
              <w:spacing w:line="240" w:lineRule="auto"/>
              <w:contextualSpacing/>
            </w:pPr>
            <w:r w:rsidRPr="004F31CD">
              <w:t>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9142D28" w14:textId="77777777" w:rsidR="008350E6" w:rsidRPr="004F31CD" w:rsidRDefault="008350E6" w:rsidP="00FA01E6">
            <w:pPr>
              <w:spacing w:line="240" w:lineRule="auto"/>
              <w:contextualSpacing/>
            </w:pPr>
            <w:r w:rsidRPr="004F31CD">
              <w:t>exp *Attitude to Health/</w:t>
            </w:r>
          </w:p>
        </w:tc>
      </w:tr>
      <w:tr w:rsidR="008350E6" w:rsidRPr="004F31CD" w14:paraId="6F58D171"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AE503B4" w14:textId="77777777" w:rsidR="008350E6" w:rsidRPr="004F31CD" w:rsidRDefault="008350E6" w:rsidP="00FA01E6">
            <w:pPr>
              <w:spacing w:line="240" w:lineRule="auto"/>
              <w:contextualSpacing/>
            </w:pPr>
            <w:r w:rsidRPr="004F31CD">
              <w:t>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ECBE68E" w14:textId="77777777" w:rsidR="008350E6" w:rsidRPr="004F31CD" w:rsidRDefault="008350E6" w:rsidP="00FA01E6">
            <w:pPr>
              <w:spacing w:line="240" w:lineRule="auto"/>
              <w:contextualSpacing/>
            </w:pPr>
            <w:r w:rsidRPr="004F31CD">
              <w:t>(patient adj3 (prefer* or value* or attitude or compliance or satisf* or response*)).mp.</w:t>
            </w:r>
          </w:p>
        </w:tc>
      </w:tr>
      <w:tr w:rsidR="008350E6" w:rsidRPr="004F31CD" w14:paraId="466C568C"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D67BFA2" w14:textId="77777777" w:rsidR="008350E6" w:rsidRPr="004F31CD" w:rsidRDefault="008350E6" w:rsidP="00FA01E6">
            <w:pPr>
              <w:spacing w:line="240" w:lineRule="auto"/>
              <w:contextualSpacing/>
            </w:pPr>
            <w:r w:rsidRPr="004F31CD">
              <w:t>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02F6CC3" w14:textId="77777777" w:rsidR="008350E6" w:rsidRPr="004F31CD" w:rsidRDefault="008350E6" w:rsidP="00FA01E6">
            <w:pPr>
              <w:spacing w:line="240" w:lineRule="auto"/>
              <w:contextualSpacing/>
            </w:pPr>
            <w:r w:rsidRPr="004F31CD">
              <w:t>or/6-9</w:t>
            </w:r>
          </w:p>
        </w:tc>
      </w:tr>
      <w:tr w:rsidR="008350E6" w:rsidRPr="004F31CD" w14:paraId="2F799A4A"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5410D4E" w14:textId="77777777" w:rsidR="008350E6" w:rsidRPr="004F31CD" w:rsidRDefault="008350E6" w:rsidP="00FA01E6">
            <w:pPr>
              <w:spacing w:line="240" w:lineRule="auto"/>
              <w:contextualSpacing/>
            </w:pPr>
            <w:r w:rsidRPr="004F31CD">
              <w:t>11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BA83802" w14:textId="77777777" w:rsidR="008350E6" w:rsidRPr="004F31CD" w:rsidRDefault="008350E6" w:rsidP="00FA01E6">
            <w:pPr>
              <w:spacing w:line="240" w:lineRule="auto"/>
              <w:contextualSpacing/>
            </w:pPr>
            <w:r w:rsidRPr="004F31CD">
              <w:t>*Mass Screening/</w:t>
            </w:r>
          </w:p>
        </w:tc>
      </w:tr>
      <w:tr w:rsidR="008350E6" w:rsidRPr="004F31CD" w14:paraId="7E835158"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720E292" w14:textId="77777777" w:rsidR="008350E6" w:rsidRPr="004F31CD" w:rsidRDefault="008350E6" w:rsidP="00FA01E6">
            <w:pPr>
              <w:spacing w:line="240" w:lineRule="auto"/>
              <w:contextualSpacing/>
            </w:pPr>
            <w:r w:rsidRPr="004F31CD">
              <w:t>12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3A0E522" w14:textId="77777777" w:rsidR="008350E6" w:rsidRPr="004F31CD" w:rsidRDefault="008350E6" w:rsidP="00FA01E6">
            <w:pPr>
              <w:spacing w:line="240" w:lineRule="auto"/>
              <w:contextualSpacing/>
            </w:pPr>
            <w:r w:rsidRPr="004F31CD">
              <w:t>(thyroid adj10 (screen* or test*)).mp.</w:t>
            </w:r>
          </w:p>
        </w:tc>
      </w:tr>
      <w:tr w:rsidR="008350E6" w:rsidRPr="004F31CD" w14:paraId="6D887A38"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ED490E3" w14:textId="77777777" w:rsidR="008350E6" w:rsidRPr="004F31CD" w:rsidRDefault="008350E6" w:rsidP="00FA01E6">
            <w:pPr>
              <w:spacing w:line="240" w:lineRule="auto"/>
              <w:contextualSpacing/>
            </w:pPr>
            <w:r w:rsidRPr="004F31CD">
              <w:t>13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BC707F2" w14:textId="77777777" w:rsidR="008350E6" w:rsidRPr="004F31CD" w:rsidRDefault="008350E6" w:rsidP="00FA01E6">
            <w:pPr>
              <w:spacing w:line="240" w:lineRule="auto"/>
              <w:contextualSpacing/>
            </w:pPr>
            <w:r w:rsidRPr="004F31CD">
              <w:t>or/11-12</w:t>
            </w:r>
          </w:p>
        </w:tc>
      </w:tr>
      <w:tr w:rsidR="008350E6" w:rsidRPr="004F31CD" w14:paraId="60A6A152"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7C5B619" w14:textId="77777777" w:rsidR="008350E6" w:rsidRPr="004F31CD" w:rsidRDefault="008350E6" w:rsidP="00FA01E6">
            <w:pPr>
              <w:spacing w:line="240" w:lineRule="auto"/>
              <w:contextualSpacing/>
            </w:pPr>
            <w:r w:rsidRPr="004F31CD">
              <w:t>14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6E7AB61" w14:textId="77777777" w:rsidR="008350E6" w:rsidRPr="004F31CD" w:rsidRDefault="008350E6" w:rsidP="00FA01E6">
            <w:pPr>
              <w:spacing w:line="240" w:lineRule="auto"/>
              <w:contextualSpacing/>
            </w:pPr>
            <w:r w:rsidRPr="004F31CD">
              <w:t>5 and 10 and 13</w:t>
            </w:r>
          </w:p>
        </w:tc>
      </w:tr>
      <w:tr w:rsidR="008350E6" w:rsidRPr="004F31CD" w14:paraId="54D80AB1"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387B501" w14:textId="77777777" w:rsidR="008350E6" w:rsidRPr="004F31CD" w:rsidRDefault="008350E6" w:rsidP="00FA01E6">
            <w:pPr>
              <w:spacing w:line="240" w:lineRule="auto"/>
              <w:contextualSpacing/>
            </w:pPr>
            <w:r w:rsidRPr="004F31CD">
              <w:t>15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837EEFC" w14:textId="77777777" w:rsidR="008350E6" w:rsidRPr="004F31CD" w:rsidRDefault="008350E6" w:rsidP="00FA01E6">
            <w:pPr>
              <w:spacing w:line="240" w:lineRule="auto"/>
              <w:contextualSpacing/>
            </w:pPr>
            <w:r w:rsidRPr="004F31CD">
              <w:t>(pregnan* or infant or newborn).mp.</w:t>
            </w:r>
          </w:p>
        </w:tc>
      </w:tr>
      <w:tr w:rsidR="008350E6" w:rsidRPr="004F31CD" w14:paraId="6D8F9D16"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F1F1DA3" w14:textId="77777777" w:rsidR="008350E6" w:rsidRPr="004F31CD" w:rsidRDefault="008350E6" w:rsidP="00FA01E6">
            <w:pPr>
              <w:spacing w:line="240" w:lineRule="auto"/>
              <w:contextualSpacing/>
            </w:pPr>
            <w:r w:rsidRPr="004F31CD">
              <w:t>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7C0E149" w14:textId="77777777" w:rsidR="008350E6" w:rsidRPr="004F31CD" w:rsidRDefault="008350E6" w:rsidP="00FA01E6">
            <w:pPr>
              <w:spacing w:line="240" w:lineRule="auto"/>
              <w:contextualSpacing/>
            </w:pPr>
            <w:r w:rsidRPr="004F31CD">
              <w:t>14 not 15</w:t>
            </w:r>
          </w:p>
        </w:tc>
      </w:tr>
      <w:tr w:rsidR="008350E6" w:rsidRPr="004F31CD" w14:paraId="39019B33"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98A4097" w14:textId="77777777" w:rsidR="008350E6" w:rsidRPr="004F31CD" w:rsidRDefault="008350E6" w:rsidP="00FA01E6">
            <w:pPr>
              <w:spacing w:line="240" w:lineRule="auto"/>
              <w:contextualSpacing/>
            </w:pPr>
            <w:r w:rsidRPr="004F31CD">
              <w:lastRenderedPageBreak/>
              <w:t>17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7DCB467" w14:textId="77777777" w:rsidR="008350E6" w:rsidRPr="004F31CD" w:rsidRDefault="008350E6" w:rsidP="00FA01E6">
            <w:pPr>
              <w:spacing w:line="240" w:lineRule="auto"/>
              <w:contextualSpacing/>
            </w:pPr>
            <w:r w:rsidRPr="004F31CD">
              <w:t>limit 16 to (english or french)</w:t>
            </w:r>
          </w:p>
        </w:tc>
      </w:tr>
      <w:tr w:rsidR="008350E6" w:rsidRPr="004F31CD" w14:paraId="0D1FAD07"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DABCDD2" w14:textId="77777777" w:rsidR="008350E6" w:rsidRPr="004F31CD" w:rsidRDefault="008350E6" w:rsidP="00FA01E6">
            <w:pPr>
              <w:spacing w:line="240" w:lineRule="auto"/>
              <w:contextualSpacing/>
            </w:pPr>
            <w:r w:rsidRPr="004F31CD">
              <w:t>18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303A00C" w14:textId="77777777" w:rsidR="008350E6" w:rsidRPr="004F31CD" w:rsidRDefault="008350E6" w:rsidP="00FA01E6">
            <w:pPr>
              <w:spacing w:line="240" w:lineRule="auto"/>
              <w:contextualSpacing/>
            </w:pPr>
            <w:r w:rsidRPr="004F31CD">
              <w:t>remove duplicates from 17</w:t>
            </w:r>
          </w:p>
        </w:tc>
      </w:tr>
    </w:tbl>
    <w:p w14:paraId="133D8FA8" w14:textId="77777777" w:rsidR="008350E6" w:rsidRDefault="008350E6" w:rsidP="008350E6">
      <w:pPr>
        <w:spacing w:line="240" w:lineRule="auto"/>
        <w:contextualSpacing/>
      </w:pPr>
    </w:p>
    <w:p w14:paraId="3BBCD6A8" w14:textId="02EA836C" w:rsidR="008350E6" w:rsidRPr="004F31CD" w:rsidRDefault="008350E6" w:rsidP="008350E6">
      <w:pPr>
        <w:spacing w:line="240" w:lineRule="auto"/>
        <w:contextualSpacing/>
      </w:pPr>
      <w:r w:rsidRPr="004F31CD">
        <w:t>Database(s): </w:t>
      </w:r>
      <w:r w:rsidRPr="004F31CD">
        <w:rPr>
          <w:b/>
          <w:bCs/>
        </w:rPr>
        <w:t>Embase </w:t>
      </w:r>
      <w:r w:rsidRPr="004F31CD">
        <w:t xml:space="preserve">1974 to </w:t>
      </w:r>
      <w:r w:rsidR="00780958">
        <w:t xml:space="preserve">2018 July </w:t>
      </w:r>
      <w:r w:rsidR="006C2CF0">
        <w:t>24</w:t>
      </w:r>
      <w:r w:rsidRPr="004F31CD">
        <w:t> </w:t>
      </w:r>
      <w:r w:rsidRPr="004F31CD">
        <w:br/>
        <w:t>Search Strategy:</w:t>
      </w: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374"/>
        <w:gridCol w:w="8643"/>
      </w:tblGrid>
      <w:tr w:rsidR="008350E6" w:rsidRPr="004F31CD" w14:paraId="7CC615A7"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5683AE77" w14:textId="77777777" w:rsidR="008350E6" w:rsidRPr="004F31CD" w:rsidRDefault="008350E6" w:rsidP="00FA01E6">
            <w:pPr>
              <w:spacing w:line="240" w:lineRule="auto"/>
              <w:contextualSpacing/>
              <w:rPr>
                <w:b/>
                <w:bCs/>
              </w:rPr>
            </w:pPr>
            <w:r w:rsidRPr="004F31CD">
              <w:rPr>
                <w:b/>
                <w:bCs/>
              </w:rPr>
              <w:t>#</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14C8F75B" w14:textId="77777777" w:rsidR="008350E6" w:rsidRPr="004F31CD" w:rsidRDefault="008350E6" w:rsidP="00FA01E6">
            <w:pPr>
              <w:spacing w:line="240" w:lineRule="auto"/>
              <w:contextualSpacing/>
              <w:rPr>
                <w:b/>
                <w:bCs/>
              </w:rPr>
            </w:pPr>
            <w:r w:rsidRPr="004F31CD">
              <w:rPr>
                <w:b/>
                <w:bCs/>
              </w:rPr>
              <w:t>Searches</w:t>
            </w:r>
          </w:p>
        </w:tc>
      </w:tr>
      <w:tr w:rsidR="008350E6" w:rsidRPr="004F31CD" w14:paraId="1911B64D"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6399F54" w14:textId="77777777" w:rsidR="008350E6" w:rsidRPr="004F31CD" w:rsidRDefault="008350E6" w:rsidP="00FA01E6">
            <w:pPr>
              <w:spacing w:line="240" w:lineRule="auto"/>
              <w:contextualSpacing/>
            </w:pPr>
            <w:r w:rsidRPr="004F31CD">
              <w:t>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BA23680" w14:textId="77777777" w:rsidR="008350E6" w:rsidRPr="004F31CD" w:rsidRDefault="008350E6" w:rsidP="00FA01E6">
            <w:pPr>
              <w:spacing w:line="240" w:lineRule="auto"/>
              <w:contextualSpacing/>
            </w:pPr>
            <w:r w:rsidRPr="004F31CD">
              <w:t>exp thyroid disease/co, di, pc [Complication, Diagnosis, Prevention]</w:t>
            </w:r>
          </w:p>
        </w:tc>
      </w:tr>
      <w:tr w:rsidR="008350E6" w:rsidRPr="004F31CD" w14:paraId="09AD2E7E"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78B6DBB" w14:textId="77777777" w:rsidR="008350E6" w:rsidRPr="004F31CD" w:rsidRDefault="008350E6" w:rsidP="00FA01E6">
            <w:pPr>
              <w:spacing w:line="240" w:lineRule="auto"/>
              <w:contextualSpacing/>
            </w:pPr>
            <w:r w:rsidRPr="004F31CD">
              <w:t>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AFD7CE5" w14:textId="77777777" w:rsidR="008350E6" w:rsidRPr="004F31CD" w:rsidRDefault="008350E6" w:rsidP="00FA01E6">
            <w:pPr>
              <w:spacing w:line="240" w:lineRule="auto"/>
              <w:contextualSpacing/>
            </w:pPr>
            <w:r w:rsidRPr="004F31CD">
              <w:t>exp thyroid function test/</w:t>
            </w:r>
          </w:p>
        </w:tc>
      </w:tr>
      <w:tr w:rsidR="008350E6" w:rsidRPr="004F31CD" w14:paraId="1D29D7A5"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3DD4E52" w14:textId="77777777" w:rsidR="008350E6" w:rsidRPr="004F31CD" w:rsidRDefault="008350E6" w:rsidP="00FA01E6">
            <w:pPr>
              <w:spacing w:line="240" w:lineRule="auto"/>
              <w:contextualSpacing/>
            </w:pPr>
            <w:r w:rsidRPr="004F31CD">
              <w:t>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C12829E" w14:textId="77777777" w:rsidR="008350E6" w:rsidRPr="004F31CD" w:rsidRDefault="008350E6" w:rsidP="00FA01E6">
            <w:pPr>
              <w:spacing w:line="240" w:lineRule="auto"/>
              <w:contextualSpacing/>
            </w:pPr>
            <w:r w:rsidRPr="004F31CD">
              <w:t>(hyperthyroid* or hypothyroid* or hyperthyroxinemia or thyrotoxicos*).mp.</w:t>
            </w:r>
          </w:p>
        </w:tc>
      </w:tr>
      <w:tr w:rsidR="008350E6" w:rsidRPr="004F31CD" w14:paraId="5EEB2A33"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9428C50" w14:textId="77777777" w:rsidR="008350E6" w:rsidRPr="004F31CD" w:rsidRDefault="008350E6" w:rsidP="00FA01E6">
            <w:pPr>
              <w:spacing w:line="240" w:lineRule="auto"/>
              <w:contextualSpacing/>
            </w:pPr>
            <w:r w:rsidRPr="004F31CD">
              <w:t>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90DBBD2" w14:textId="77777777" w:rsidR="008350E6" w:rsidRPr="004F31CD" w:rsidRDefault="008350E6" w:rsidP="00FA01E6">
            <w:pPr>
              <w:spacing w:line="240" w:lineRule="auto"/>
              <w:contextualSpacing/>
            </w:pPr>
            <w:r w:rsidRPr="004F31CD">
              <w:t>(thyroid adj3 (dysfunct* or dysgenes* or disorder* or deficien* or abnormal* or disease*)).mp.</w:t>
            </w:r>
          </w:p>
        </w:tc>
      </w:tr>
      <w:tr w:rsidR="008350E6" w:rsidRPr="004F31CD" w14:paraId="44A26B46"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EBEC83B" w14:textId="77777777" w:rsidR="008350E6" w:rsidRPr="004F31CD" w:rsidRDefault="008350E6" w:rsidP="00FA01E6">
            <w:pPr>
              <w:spacing w:line="240" w:lineRule="auto"/>
              <w:contextualSpacing/>
            </w:pPr>
            <w:r w:rsidRPr="004F31CD">
              <w:t>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8147A3D" w14:textId="77777777" w:rsidR="008350E6" w:rsidRPr="004F31CD" w:rsidRDefault="008350E6" w:rsidP="00FA01E6">
            <w:pPr>
              <w:spacing w:line="240" w:lineRule="auto"/>
              <w:contextualSpacing/>
            </w:pPr>
            <w:r w:rsidRPr="004F31CD">
              <w:t>or/1-4</w:t>
            </w:r>
          </w:p>
        </w:tc>
      </w:tr>
      <w:tr w:rsidR="008350E6" w:rsidRPr="004F31CD" w14:paraId="0AA13F4D"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5FA32AD" w14:textId="77777777" w:rsidR="008350E6" w:rsidRPr="004F31CD" w:rsidRDefault="008350E6" w:rsidP="00FA01E6">
            <w:pPr>
              <w:spacing w:line="240" w:lineRule="auto"/>
              <w:contextualSpacing/>
            </w:pPr>
            <w:r w:rsidRPr="004F31CD">
              <w:t>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A76CCF3" w14:textId="77777777" w:rsidR="008350E6" w:rsidRPr="004F31CD" w:rsidRDefault="008350E6" w:rsidP="00FA01E6">
            <w:pPr>
              <w:spacing w:line="240" w:lineRule="auto"/>
              <w:contextualSpacing/>
            </w:pPr>
            <w:r w:rsidRPr="004F31CD">
              <w:t>exp *patient satisfaction/</w:t>
            </w:r>
          </w:p>
        </w:tc>
      </w:tr>
      <w:tr w:rsidR="008350E6" w:rsidRPr="004F31CD" w14:paraId="1A945361"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7062937" w14:textId="77777777" w:rsidR="008350E6" w:rsidRPr="004F31CD" w:rsidRDefault="008350E6" w:rsidP="00FA01E6">
            <w:pPr>
              <w:spacing w:line="240" w:lineRule="auto"/>
              <w:contextualSpacing/>
            </w:pPr>
            <w:r w:rsidRPr="004F31CD">
              <w:t>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267FE51" w14:textId="77777777" w:rsidR="008350E6" w:rsidRPr="004F31CD" w:rsidRDefault="008350E6" w:rsidP="00FA01E6">
            <w:pPr>
              <w:spacing w:line="240" w:lineRule="auto"/>
              <w:contextualSpacing/>
            </w:pPr>
            <w:r w:rsidRPr="004F31CD">
              <w:t>exp *patient preference/</w:t>
            </w:r>
          </w:p>
        </w:tc>
      </w:tr>
      <w:tr w:rsidR="008350E6" w:rsidRPr="004F31CD" w14:paraId="724FDB4D"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74F5DB8" w14:textId="77777777" w:rsidR="008350E6" w:rsidRPr="004F31CD" w:rsidRDefault="008350E6" w:rsidP="00FA01E6">
            <w:pPr>
              <w:spacing w:line="240" w:lineRule="auto"/>
              <w:contextualSpacing/>
            </w:pPr>
            <w:r w:rsidRPr="004F31CD">
              <w:t>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ACB3F7F" w14:textId="77777777" w:rsidR="008350E6" w:rsidRPr="004F31CD" w:rsidRDefault="008350E6" w:rsidP="00FA01E6">
            <w:pPr>
              <w:spacing w:line="240" w:lineRule="auto"/>
              <w:contextualSpacing/>
            </w:pPr>
            <w:r w:rsidRPr="004F31CD">
              <w:t>*patient compliance/ or *mental compliance/</w:t>
            </w:r>
          </w:p>
        </w:tc>
      </w:tr>
      <w:tr w:rsidR="008350E6" w:rsidRPr="004F31CD" w14:paraId="4C82C0FB"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C9D15F3" w14:textId="77777777" w:rsidR="008350E6" w:rsidRPr="004F31CD" w:rsidRDefault="008350E6" w:rsidP="00FA01E6">
            <w:pPr>
              <w:spacing w:line="240" w:lineRule="auto"/>
              <w:contextualSpacing/>
            </w:pPr>
            <w:r w:rsidRPr="004F31CD">
              <w:t>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1600A95" w14:textId="77777777" w:rsidR="008350E6" w:rsidRPr="004F31CD" w:rsidRDefault="008350E6" w:rsidP="00FA01E6">
            <w:pPr>
              <w:spacing w:line="240" w:lineRule="auto"/>
              <w:contextualSpacing/>
            </w:pPr>
            <w:r w:rsidRPr="004F31CD">
              <w:t>exp *attitude to health/</w:t>
            </w:r>
          </w:p>
        </w:tc>
      </w:tr>
      <w:tr w:rsidR="008350E6" w:rsidRPr="004F31CD" w14:paraId="7CFE62E3"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F3248A1" w14:textId="77777777" w:rsidR="008350E6" w:rsidRPr="004F31CD" w:rsidRDefault="008350E6" w:rsidP="00FA01E6">
            <w:pPr>
              <w:spacing w:line="240" w:lineRule="auto"/>
              <w:contextualSpacing/>
            </w:pPr>
            <w:r w:rsidRPr="004F31CD">
              <w:t>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7193475" w14:textId="77777777" w:rsidR="008350E6" w:rsidRPr="004F31CD" w:rsidRDefault="008350E6" w:rsidP="00FA01E6">
            <w:pPr>
              <w:spacing w:line="240" w:lineRule="auto"/>
              <w:contextualSpacing/>
            </w:pPr>
            <w:r w:rsidRPr="004F31CD">
              <w:t>(patient adj3 (prefer* or value* or attitude or compliance or satisf* or response*)).mp.</w:t>
            </w:r>
          </w:p>
        </w:tc>
      </w:tr>
      <w:tr w:rsidR="008350E6" w:rsidRPr="004F31CD" w14:paraId="71379871"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6249E5E" w14:textId="77777777" w:rsidR="008350E6" w:rsidRPr="004F31CD" w:rsidRDefault="008350E6" w:rsidP="00FA01E6">
            <w:pPr>
              <w:spacing w:line="240" w:lineRule="auto"/>
              <w:contextualSpacing/>
            </w:pPr>
            <w:r w:rsidRPr="004F31CD">
              <w:t>11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5DC5864" w14:textId="77777777" w:rsidR="008350E6" w:rsidRPr="004F31CD" w:rsidRDefault="008350E6" w:rsidP="00FA01E6">
            <w:pPr>
              <w:spacing w:line="240" w:lineRule="auto"/>
              <w:contextualSpacing/>
            </w:pPr>
            <w:r w:rsidRPr="004F31CD">
              <w:t>or/6-10</w:t>
            </w:r>
          </w:p>
        </w:tc>
      </w:tr>
      <w:tr w:rsidR="008350E6" w:rsidRPr="004F31CD" w14:paraId="5A0D1900"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CE01604" w14:textId="77777777" w:rsidR="008350E6" w:rsidRPr="004F31CD" w:rsidRDefault="008350E6" w:rsidP="00FA01E6">
            <w:pPr>
              <w:spacing w:line="240" w:lineRule="auto"/>
              <w:contextualSpacing/>
            </w:pPr>
            <w:r w:rsidRPr="004F31CD">
              <w:t>12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BB9981B" w14:textId="77777777" w:rsidR="008350E6" w:rsidRPr="004F31CD" w:rsidRDefault="008350E6" w:rsidP="00FA01E6">
            <w:pPr>
              <w:spacing w:line="240" w:lineRule="auto"/>
              <w:contextualSpacing/>
            </w:pPr>
            <w:r w:rsidRPr="004F31CD">
              <w:t>*mass screening/</w:t>
            </w:r>
          </w:p>
        </w:tc>
      </w:tr>
      <w:tr w:rsidR="008350E6" w:rsidRPr="004F31CD" w14:paraId="42EF1345"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38502FF" w14:textId="77777777" w:rsidR="008350E6" w:rsidRPr="004F31CD" w:rsidRDefault="008350E6" w:rsidP="00FA01E6">
            <w:pPr>
              <w:spacing w:line="240" w:lineRule="auto"/>
              <w:contextualSpacing/>
            </w:pPr>
            <w:r w:rsidRPr="004F31CD">
              <w:t>13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0D0BCFD" w14:textId="77777777" w:rsidR="008350E6" w:rsidRPr="004F31CD" w:rsidRDefault="008350E6" w:rsidP="00FA01E6">
            <w:pPr>
              <w:spacing w:line="240" w:lineRule="auto"/>
              <w:contextualSpacing/>
            </w:pPr>
            <w:r w:rsidRPr="004F31CD">
              <w:t>(thyroid adj10 (screen* or test*)).mp.</w:t>
            </w:r>
          </w:p>
        </w:tc>
      </w:tr>
      <w:tr w:rsidR="008350E6" w:rsidRPr="004F31CD" w14:paraId="7F6943E0"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8C32457" w14:textId="77777777" w:rsidR="008350E6" w:rsidRPr="004F31CD" w:rsidRDefault="008350E6" w:rsidP="00FA01E6">
            <w:pPr>
              <w:spacing w:line="240" w:lineRule="auto"/>
              <w:contextualSpacing/>
            </w:pPr>
            <w:r w:rsidRPr="004F31CD">
              <w:t>14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1561B7D" w14:textId="77777777" w:rsidR="008350E6" w:rsidRPr="004F31CD" w:rsidRDefault="008350E6" w:rsidP="00FA01E6">
            <w:pPr>
              <w:spacing w:line="240" w:lineRule="auto"/>
              <w:contextualSpacing/>
            </w:pPr>
            <w:r w:rsidRPr="004F31CD">
              <w:t>or/12-13</w:t>
            </w:r>
          </w:p>
        </w:tc>
      </w:tr>
      <w:tr w:rsidR="008350E6" w:rsidRPr="004F31CD" w14:paraId="398C98FF"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45DF4CB" w14:textId="77777777" w:rsidR="008350E6" w:rsidRPr="004F31CD" w:rsidRDefault="008350E6" w:rsidP="00FA01E6">
            <w:pPr>
              <w:spacing w:line="240" w:lineRule="auto"/>
              <w:contextualSpacing/>
            </w:pPr>
            <w:r w:rsidRPr="004F31CD">
              <w:t>15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384D282" w14:textId="77777777" w:rsidR="008350E6" w:rsidRPr="004F31CD" w:rsidRDefault="008350E6" w:rsidP="00FA01E6">
            <w:pPr>
              <w:spacing w:line="240" w:lineRule="auto"/>
              <w:contextualSpacing/>
            </w:pPr>
            <w:r w:rsidRPr="004F31CD">
              <w:t>5 and 11 and 14</w:t>
            </w:r>
          </w:p>
        </w:tc>
      </w:tr>
      <w:tr w:rsidR="008350E6" w:rsidRPr="004F31CD" w14:paraId="2E0F3E82"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1D64B52" w14:textId="77777777" w:rsidR="008350E6" w:rsidRPr="004F31CD" w:rsidRDefault="008350E6" w:rsidP="00FA01E6">
            <w:pPr>
              <w:spacing w:line="240" w:lineRule="auto"/>
              <w:contextualSpacing/>
            </w:pPr>
            <w:r w:rsidRPr="004F31CD">
              <w:t>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5147D13" w14:textId="77777777" w:rsidR="008350E6" w:rsidRPr="004F31CD" w:rsidRDefault="008350E6" w:rsidP="00FA01E6">
            <w:pPr>
              <w:spacing w:line="240" w:lineRule="auto"/>
              <w:contextualSpacing/>
            </w:pPr>
            <w:r w:rsidRPr="004F31CD">
              <w:t>(pregnan* or infant or newborn).mp.</w:t>
            </w:r>
          </w:p>
        </w:tc>
      </w:tr>
      <w:tr w:rsidR="008350E6" w:rsidRPr="004F31CD" w14:paraId="3856FE49"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9DDDDC4" w14:textId="77777777" w:rsidR="008350E6" w:rsidRPr="004F31CD" w:rsidRDefault="008350E6" w:rsidP="00FA01E6">
            <w:pPr>
              <w:spacing w:line="240" w:lineRule="auto"/>
              <w:contextualSpacing/>
            </w:pPr>
            <w:r w:rsidRPr="004F31CD">
              <w:t>17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F916830" w14:textId="77777777" w:rsidR="008350E6" w:rsidRPr="004F31CD" w:rsidRDefault="008350E6" w:rsidP="00FA01E6">
            <w:pPr>
              <w:spacing w:line="240" w:lineRule="auto"/>
              <w:contextualSpacing/>
            </w:pPr>
            <w:r w:rsidRPr="004F31CD">
              <w:t>15 not 16</w:t>
            </w:r>
          </w:p>
        </w:tc>
      </w:tr>
      <w:tr w:rsidR="008350E6" w:rsidRPr="004F31CD" w14:paraId="0FD61245"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C66124E" w14:textId="77777777" w:rsidR="008350E6" w:rsidRPr="004F31CD" w:rsidRDefault="008350E6" w:rsidP="00FA01E6">
            <w:pPr>
              <w:spacing w:line="240" w:lineRule="auto"/>
              <w:contextualSpacing/>
            </w:pPr>
            <w:r w:rsidRPr="004F31CD">
              <w:t>18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2D927BA" w14:textId="77777777" w:rsidR="008350E6" w:rsidRPr="004F31CD" w:rsidRDefault="008350E6" w:rsidP="00FA01E6">
            <w:pPr>
              <w:spacing w:line="240" w:lineRule="auto"/>
              <w:contextualSpacing/>
            </w:pPr>
            <w:r w:rsidRPr="004F31CD">
              <w:t>limit 17 to (english or french)</w:t>
            </w:r>
          </w:p>
        </w:tc>
      </w:tr>
      <w:tr w:rsidR="008350E6" w:rsidRPr="004F31CD" w14:paraId="3F0DDFA3" w14:textId="77777777" w:rsidTr="00FA01E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28792BF" w14:textId="77777777" w:rsidR="008350E6" w:rsidRPr="004F31CD" w:rsidRDefault="008350E6" w:rsidP="00FA01E6">
            <w:pPr>
              <w:spacing w:line="240" w:lineRule="auto"/>
              <w:contextualSpacing/>
            </w:pPr>
            <w:r w:rsidRPr="004F31CD">
              <w:t>19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6156D46" w14:textId="77777777" w:rsidR="008350E6" w:rsidRPr="004F31CD" w:rsidRDefault="008350E6" w:rsidP="00FA01E6">
            <w:pPr>
              <w:spacing w:line="240" w:lineRule="auto"/>
              <w:contextualSpacing/>
            </w:pPr>
            <w:r w:rsidRPr="004F31CD">
              <w:t>remove duplicates from 18</w:t>
            </w:r>
          </w:p>
        </w:tc>
      </w:tr>
    </w:tbl>
    <w:p w14:paraId="12493574" w14:textId="77777777" w:rsidR="008350E6" w:rsidRDefault="008350E6" w:rsidP="008350E6">
      <w:pPr>
        <w:spacing w:line="240" w:lineRule="auto"/>
        <w:contextualSpacing/>
      </w:pPr>
    </w:p>
    <w:p w14:paraId="1D945053" w14:textId="77777777" w:rsidR="008350E6" w:rsidRDefault="008350E6" w:rsidP="008350E6">
      <w:pPr>
        <w:spacing w:line="240" w:lineRule="auto"/>
        <w:contextualSpacing/>
      </w:pPr>
    </w:p>
    <w:p w14:paraId="5DDA47EF" w14:textId="77777777" w:rsidR="008350E6" w:rsidRPr="00D9398E" w:rsidRDefault="008350E6" w:rsidP="008350E6">
      <w:pPr>
        <w:spacing w:after="0" w:line="240" w:lineRule="auto"/>
        <w:contextualSpacing/>
        <w:rPr>
          <w:b/>
        </w:rPr>
      </w:pPr>
      <w:r w:rsidRPr="00D9398E">
        <w:rPr>
          <w:b/>
        </w:rPr>
        <w:t>ProQuest Public Health Database</w:t>
      </w:r>
    </w:p>
    <w:p w14:paraId="1A06761E" w14:textId="77777777" w:rsidR="008350E6" w:rsidRDefault="008350E6" w:rsidP="008350E6">
      <w:pPr>
        <w:spacing w:after="0" w:line="240" w:lineRule="auto"/>
        <w:contextualSpacing/>
      </w:pPr>
    </w:p>
    <w:p w14:paraId="04EE0BA8" w14:textId="77777777" w:rsidR="008350E6" w:rsidRDefault="008350E6" w:rsidP="008350E6">
      <w:pPr>
        <w:spacing w:after="0" w:line="240" w:lineRule="auto"/>
        <w:contextualSpacing/>
      </w:pPr>
      <w:r w:rsidRPr="00D9398E">
        <w:t>(mesh.Exact("Thyroid Diseases") OR mesh.Exact("Thyroid Function Tests") OR ALL(hyperthyroid* OR hypothyroid* OR hyperthyroxinemia OR thyrotoxicos*) OR ALL(thyroid NEAR/3 (dysfunct* OR dysgenes* OR disorder* OR deficien* OR abnormal* OR disease*))) AND (mesh.Exact("Patient Preference" OR "Patient Satisfaction" OR "Attitude to Health" OR "Patient Compliance") OR (patient NEAR/3 (prefer* OR value* OR attitude OR compliance OR satisf* OR response*))) AND (mesh.Exact("Mass Screening") OR ALL(thyroid NEAR/10 (screen* OR test*))) NOT ALL(pregnan* OR infant OR newborn) AND PEER(yes)</w:t>
      </w:r>
    </w:p>
    <w:p w14:paraId="3B41ECB2" w14:textId="77777777" w:rsidR="008350E6" w:rsidRDefault="008350E6" w:rsidP="008350E6">
      <w:pPr>
        <w:spacing w:after="0" w:line="240" w:lineRule="auto"/>
        <w:contextualSpacing/>
      </w:pPr>
    </w:p>
    <w:p w14:paraId="6B223922" w14:textId="77777777" w:rsidR="008350E6" w:rsidRDefault="008350E6" w:rsidP="008350E6">
      <w:pPr>
        <w:spacing w:after="0" w:line="240" w:lineRule="auto"/>
        <w:contextualSpacing/>
      </w:pPr>
    </w:p>
    <w:p w14:paraId="1AF6D0B4" w14:textId="77777777" w:rsidR="008350E6" w:rsidRPr="00FC3D11" w:rsidRDefault="008350E6" w:rsidP="008350E6">
      <w:pPr>
        <w:spacing w:after="0" w:line="240" w:lineRule="auto"/>
        <w:contextualSpacing/>
        <w:rPr>
          <w:b/>
        </w:rPr>
      </w:pPr>
      <w:r>
        <w:rPr>
          <w:b/>
        </w:rPr>
        <w:t>Scopus</w:t>
      </w:r>
    </w:p>
    <w:p w14:paraId="09B14CE8" w14:textId="77777777" w:rsidR="008350E6" w:rsidRDefault="008350E6" w:rsidP="008350E6">
      <w:pPr>
        <w:spacing w:after="0" w:line="240" w:lineRule="auto"/>
        <w:contextualSpacing/>
      </w:pPr>
    </w:p>
    <w:p w14:paraId="71E006A4" w14:textId="77777777" w:rsidR="008350E6" w:rsidRDefault="008350E6" w:rsidP="008350E6">
      <w:pPr>
        <w:spacing w:after="0" w:line="240" w:lineRule="auto"/>
        <w:contextualSpacing/>
      </w:pPr>
      <w:r w:rsidRPr="00FC3D11">
        <w:t xml:space="preserve">( ( TITLE-ABS ( thyroid  W/3  ( dysfunct*  OR  dysgenes*  OR  disorder*  OR  deficien*  OR  abnormal*  OR  disease*  OR  screen*  OR  test* ) )  OR  TITLE-ABS ( hyperthyroid*  OR  hypothyroid*  OR  hyperthyroxinemia  OR  thyrotoxicos* ) )  AND  ALL ( inciden*  OR  "new* diagnosis" )  AND  TITLE-ABS-KEY ( patient  W/3  ( prefer*  OR  value*  OR  attitude  OR  compliance  OR  satisf*  OR  response* ) )  AND  TITLE ( screen*  OR  test* )  AND NOT  ( TITLE-ABS-KEY ( pregnan*  OR  infant  OR  newborn ) )  AND  </w:t>
      </w:r>
      <w:r w:rsidRPr="00FC3D11">
        <w:lastRenderedPageBreak/>
        <w:t>( LANGUAGE ( english  OR  french ) ) )  AND  ( LIMIT-TO ( DOCTYPE ,  "ar " )  OR  LIMIT-TO ( DOCTYPE ,  "re " ) )</w:t>
      </w:r>
    </w:p>
    <w:p w14:paraId="3A6BC1C8" w14:textId="77777777" w:rsidR="008350E6" w:rsidRDefault="008350E6" w:rsidP="008350E6">
      <w:pPr>
        <w:spacing w:after="0" w:line="240" w:lineRule="auto"/>
        <w:sectPr w:rsidR="008350E6" w:rsidSect="00FA01E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lnNumType w:countBy="1" w:restart="continuous"/>
          <w:cols w:space="708"/>
          <w:docGrid w:linePitch="360"/>
        </w:sectPr>
      </w:pPr>
    </w:p>
    <w:p w14:paraId="52F5E767" w14:textId="2EE787AC" w:rsidR="008350E6" w:rsidRPr="00F34741" w:rsidRDefault="00247DF3" w:rsidP="00F34741">
      <w:pPr>
        <w:pStyle w:val="Heading1"/>
        <w:rPr>
          <w:sz w:val="22"/>
          <w:szCs w:val="22"/>
        </w:rPr>
      </w:pPr>
      <w:bookmarkStart w:id="1" w:name="_Toc532829297"/>
      <w:r>
        <w:rPr>
          <w:sz w:val="22"/>
          <w:szCs w:val="22"/>
        </w:rPr>
        <w:lastRenderedPageBreak/>
        <w:t xml:space="preserve">Appendix </w:t>
      </w:r>
      <w:r w:rsidR="00B50B35">
        <w:rPr>
          <w:sz w:val="22"/>
          <w:szCs w:val="22"/>
        </w:rPr>
        <w:t>2</w:t>
      </w:r>
      <w:r w:rsidR="008350E6" w:rsidRPr="00F34741">
        <w:rPr>
          <w:sz w:val="22"/>
          <w:szCs w:val="22"/>
        </w:rPr>
        <w:t>: Forward Citation Search Results</w:t>
      </w:r>
      <w:bookmarkEnd w:id="1"/>
    </w:p>
    <w:p w14:paraId="3EBB3AC7" w14:textId="77777777" w:rsidR="00F34741" w:rsidRDefault="00F34741" w:rsidP="008350E6">
      <w:pPr>
        <w:spacing w:line="240" w:lineRule="auto"/>
        <w:contextualSpacing/>
        <w:rPr>
          <w:sz w:val="24"/>
          <w:szCs w:val="24"/>
        </w:rPr>
      </w:pPr>
    </w:p>
    <w:p w14:paraId="2FCAAE66" w14:textId="77777777" w:rsidR="008350E6" w:rsidRPr="001F3038" w:rsidRDefault="008350E6" w:rsidP="008350E6">
      <w:pPr>
        <w:spacing w:line="240" w:lineRule="auto"/>
        <w:contextualSpacing/>
        <w:rPr>
          <w:sz w:val="24"/>
          <w:szCs w:val="24"/>
        </w:rPr>
      </w:pPr>
      <w:r w:rsidRPr="001F3038">
        <w:rPr>
          <w:sz w:val="24"/>
          <w:szCs w:val="24"/>
        </w:rPr>
        <w:t>USPSTF Review on Thyroid Dysfunction Screening and Treatment (</w:t>
      </w:r>
      <w:hyperlink r:id="rId14" w:history="1">
        <w:r w:rsidRPr="001F3038">
          <w:rPr>
            <w:rStyle w:val="Hyperlink"/>
            <w:sz w:val="24"/>
            <w:szCs w:val="24"/>
          </w:rPr>
          <w:t>https://www.ncbi.nlm.nih.gov/books/NBK285869/pdf/Bookshelf_NBK285869.pdf</w:t>
        </w:r>
      </w:hyperlink>
      <w:r w:rsidRPr="001F3038">
        <w:rPr>
          <w:sz w:val="24"/>
          <w:szCs w:val="24"/>
        </w:rPr>
        <w:t>)</w:t>
      </w:r>
    </w:p>
    <w:p w14:paraId="0D914B2F" w14:textId="77777777" w:rsidR="008350E6" w:rsidRPr="001F3038" w:rsidRDefault="008350E6" w:rsidP="008350E6">
      <w:pPr>
        <w:spacing w:line="240" w:lineRule="auto"/>
        <w:contextualSpacing/>
        <w:rPr>
          <w:sz w:val="24"/>
          <w:szCs w:val="24"/>
        </w:rPr>
      </w:pPr>
    </w:p>
    <w:p w14:paraId="19FE1288" w14:textId="5FA4CD06" w:rsidR="008350E6" w:rsidRPr="001F3038" w:rsidRDefault="008350E6" w:rsidP="008350E6">
      <w:pPr>
        <w:spacing w:line="240" w:lineRule="auto"/>
        <w:contextualSpacing/>
        <w:rPr>
          <w:sz w:val="24"/>
          <w:szCs w:val="24"/>
        </w:rPr>
      </w:pPr>
      <w:r w:rsidRPr="001F3038">
        <w:rPr>
          <w:sz w:val="24"/>
          <w:szCs w:val="24"/>
        </w:rPr>
        <w:t xml:space="preserve">Searches executed on </w:t>
      </w:r>
      <w:r w:rsidR="00303B1A">
        <w:rPr>
          <w:sz w:val="24"/>
          <w:szCs w:val="24"/>
        </w:rPr>
        <w:t xml:space="preserve">May 10 2017 and updated </w:t>
      </w:r>
      <w:r w:rsidR="00780958">
        <w:rPr>
          <w:sz w:val="24"/>
          <w:szCs w:val="24"/>
        </w:rPr>
        <w:t xml:space="preserve">July </w:t>
      </w:r>
      <w:r w:rsidR="006C2CF0">
        <w:rPr>
          <w:sz w:val="24"/>
          <w:szCs w:val="24"/>
        </w:rPr>
        <w:t>24</w:t>
      </w:r>
      <w:r w:rsidR="00780958">
        <w:rPr>
          <w:sz w:val="24"/>
          <w:szCs w:val="24"/>
        </w:rPr>
        <w:t xml:space="preserve"> 2018</w:t>
      </w:r>
      <w:r w:rsidRPr="001F3038">
        <w:rPr>
          <w:sz w:val="24"/>
          <w:szCs w:val="24"/>
        </w:rPr>
        <w:t xml:space="preserve"> in Scopus</w:t>
      </w:r>
    </w:p>
    <w:p w14:paraId="4CA88AF7" w14:textId="77777777" w:rsidR="008350E6" w:rsidRDefault="008350E6" w:rsidP="008350E6">
      <w:pPr>
        <w:rPr>
          <w:b/>
          <w:u w:val="single"/>
        </w:rPr>
      </w:pPr>
      <w:r>
        <w:rPr>
          <w:b/>
          <w:u w:val="single"/>
        </w:rPr>
        <w:t xml:space="preserve">Included studies: </w:t>
      </w:r>
    </w:p>
    <w:p w14:paraId="78E81020" w14:textId="77777777" w:rsidR="008350E6" w:rsidRDefault="008350E6" w:rsidP="008350E6">
      <w:r>
        <w:t>9 documents have cited:</w:t>
      </w:r>
    </w:p>
    <w:p w14:paraId="79BF9920" w14:textId="77777777" w:rsidR="008350E6" w:rsidRDefault="008350E6" w:rsidP="006C2CF0">
      <w:pPr>
        <w:rPr>
          <w:sz w:val="23"/>
          <w:szCs w:val="23"/>
        </w:rPr>
      </w:pPr>
      <w:r w:rsidRPr="006C2CF0">
        <w:rPr>
          <w:sz w:val="23"/>
          <w:szCs w:val="23"/>
        </w:rPr>
        <w:t xml:space="preserve">Abu-Helalah M, Law MR, Bestwick JP, Monson JP, Wald NJ. A randomized double-blind crossover trial to investigate the efficacy of screening for adult hypothyroidism. </w:t>
      </w:r>
      <w:r w:rsidRPr="006C2CF0">
        <w:rPr>
          <w:i/>
          <w:iCs/>
          <w:sz w:val="23"/>
          <w:szCs w:val="23"/>
        </w:rPr>
        <w:t xml:space="preserve">J Med Screen. </w:t>
      </w:r>
      <w:r w:rsidRPr="006C2CF0">
        <w:rPr>
          <w:sz w:val="23"/>
          <w:szCs w:val="23"/>
        </w:rPr>
        <w:t>2010;17(4):164-9.</w:t>
      </w:r>
    </w:p>
    <w:p w14:paraId="234F1972" w14:textId="77777777" w:rsidR="00A47759" w:rsidRPr="00A47759" w:rsidRDefault="00A47759" w:rsidP="00A47759">
      <w:pPr>
        <w:rPr>
          <w:sz w:val="23"/>
          <w:szCs w:val="23"/>
        </w:rPr>
      </w:pPr>
      <w:r w:rsidRPr="00A47759">
        <w:rPr>
          <w:sz w:val="23"/>
          <w:szCs w:val="23"/>
        </w:rPr>
        <w:t>11 documents have cited:</w:t>
      </w:r>
    </w:p>
    <w:p w14:paraId="3D6D0530" w14:textId="1E30B19B" w:rsidR="00A47759" w:rsidRDefault="00A47759" w:rsidP="00A47759">
      <w:pPr>
        <w:rPr>
          <w:sz w:val="23"/>
          <w:szCs w:val="23"/>
        </w:rPr>
      </w:pPr>
      <w:r w:rsidRPr="00A47759">
        <w:rPr>
          <w:sz w:val="23"/>
          <w:szCs w:val="23"/>
        </w:rPr>
        <w:t>Andersen MN, Olsen A-S, Madsen JC, Faber J, Torp-Pedersen C, Gislason GH, et al. Levothyroxine substitution in patients with subclinical hypothyroidism and the risk of myocardial infarction and mortality. PLoS ONE 2015;10(6)</w:t>
      </w:r>
    </w:p>
    <w:p w14:paraId="4A9C8FAF" w14:textId="77777777" w:rsidR="00A47759" w:rsidRDefault="00A47759" w:rsidP="00A47759">
      <w:r>
        <w:t>8 documents have cited:</w:t>
      </w:r>
    </w:p>
    <w:p w14:paraId="6C5E0791" w14:textId="6977528A" w:rsidR="00A47759" w:rsidRPr="00DA56F7" w:rsidRDefault="00A47759" w:rsidP="00A47759">
      <w:r>
        <w:t>Andersen MN, Olsen A-S, Madsen JC, Kristensen SL, Faber J, Torp-Pedersen C, et al. Long-term outcome in levothyroxine treated patients with subclinical hypothyroidism and concomitant heart disease. J Clin Endocrinol Metab 2016;101(11):4170-4177</w:t>
      </w:r>
    </w:p>
    <w:p w14:paraId="46626A6B" w14:textId="77777777" w:rsidR="008350E6" w:rsidRPr="001D5AD5" w:rsidRDefault="008350E6" w:rsidP="008350E6">
      <w:r w:rsidRPr="00DA56F7">
        <w:t>20 documents have cited</w:t>
      </w:r>
      <w:r>
        <w:t>:</w:t>
      </w:r>
    </w:p>
    <w:p w14:paraId="48996635" w14:textId="77777777" w:rsidR="008350E6" w:rsidRPr="003F7AEA" w:rsidRDefault="008350E6" w:rsidP="006C2CF0">
      <w:r w:rsidRPr="006C2CF0">
        <w:rPr>
          <w:sz w:val="23"/>
          <w:szCs w:val="23"/>
        </w:rPr>
        <w:t xml:space="preserve">Buscemi S, Verga S, Cottone S, Andronico G, D’Orio L, Mannino V, et al. Favorable clinical heart and bone effects of anti-thyroid drug therapy in endogenous subclinical hyperthyroidism. </w:t>
      </w:r>
      <w:r w:rsidRPr="006C2CF0">
        <w:rPr>
          <w:i/>
          <w:iCs/>
          <w:sz w:val="23"/>
          <w:szCs w:val="23"/>
        </w:rPr>
        <w:t xml:space="preserve">J Endocrinol Invest. </w:t>
      </w:r>
      <w:r w:rsidRPr="006C2CF0">
        <w:rPr>
          <w:sz w:val="23"/>
          <w:szCs w:val="23"/>
        </w:rPr>
        <w:t>2007;30(3):230-5.</w:t>
      </w:r>
    </w:p>
    <w:p w14:paraId="3FF2E934" w14:textId="6896EC43" w:rsidR="008350E6" w:rsidRPr="003F7AEA" w:rsidRDefault="008350E6" w:rsidP="008350E6">
      <w:r w:rsidRPr="003F7AEA">
        <w:t>1</w:t>
      </w:r>
      <w:r w:rsidR="006C2CF0">
        <w:t>9</w:t>
      </w:r>
      <w:r w:rsidRPr="003F7AEA">
        <w:t xml:space="preserve"> documents have cited:</w:t>
      </w:r>
    </w:p>
    <w:p w14:paraId="64E94395" w14:textId="77777777" w:rsidR="008350E6" w:rsidRPr="003F7AEA" w:rsidRDefault="008350E6" w:rsidP="006C2CF0">
      <w:r w:rsidRPr="006C2CF0">
        <w:rPr>
          <w:sz w:val="23"/>
          <w:szCs w:val="23"/>
        </w:rPr>
        <w:t xml:space="preserve">Cabral MD, Teixeira P, Soares D, Leite S, Salles E, Waisman M. Effects of thyroxine replacement on endothelial function and carotid artery intima-media thickness in female patients with mild subclinical hypothyroidism. </w:t>
      </w:r>
      <w:r w:rsidRPr="006C2CF0">
        <w:rPr>
          <w:i/>
          <w:iCs/>
          <w:sz w:val="23"/>
          <w:szCs w:val="23"/>
        </w:rPr>
        <w:t>Clinics (Sao Paulo, Brazil)</w:t>
      </w:r>
      <w:r w:rsidRPr="006C2CF0">
        <w:rPr>
          <w:sz w:val="23"/>
          <w:szCs w:val="23"/>
        </w:rPr>
        <w:t>. 2011;66(8):1321-8.</w:t>
      </w:r>
    </w:p>
    <w:p w14:paraId="63D2A735" w14:textId="4C67BF80" w:rsidR="008350E6" w:rsidRPr="001D5AD5" w:rsidRDefault="006C2CF0" w:rsidP="008350E6">
      <w:r>
        <w:t>205</w:t>
      </w:r>
      <w:r w:rsidRPr="003F7AEA">
        <w:t xml:space="preserve"> </w:t>
      </w:r>
      <w:r w:rsidR="008350E6" w:rsidRPr="003F7AEA">
        <w:t>documents have cited:</w:t>
      </w:r>
    </w:p>
    <w:p w14:paraId="236594AA" w14:textId="77777777" w:rsidR="008350E6" w:rsidRDefault="008350E6" w:rsidP="006C2CF0">
      <w:pPr>
        <w:rPr>
          <w:sz w:val="23"/>
          <w:szCs w:val="23"/>
        </w:rPr>
      </w:pPr>
      <w:r w:rsidRPr="006C2CF0">
        <w:rPr>
          <w:sz w:val="23"/>
          <w:szCs w:val="23"/>
        </w:rPr>
        <w:t xml:space="preserve">Caraccio N, Ferrannini E, Monzani F. Lipoprotein profile in subclinical hypothyroidism: response to levothyroxine replacement, a randomized placebo-controlled study. </w:t>
      </w:r>
      <w:r w:rsidRPr="006C2CF0">
        <w:rPr>
          <w:i/>
          <w:iCs/>
          <w:sz w:val="23"/>
          <w:szCs w:val="23"/>
        </w:rPr>
        <w:t xml:space="preserve">J Clin Endocrinol Metab. </w:t>
      </w:r>
      <w:r w:rsidRPr="006C2CF0">
        <w:rPr>
          <w:sz w:val="23"/>
          <w:szCs w:val="23"/>
        </w:rPr>
        <w:t>2002;87(4):1533-38.</w:t>
      </w:r>
    </w:p>
    <w:p w14:paraId="3475A466" w14:textId="77777777" w:rsidR="00A47759" w:rsidRDefault="00A47759" w:rsidP="00A47759">
      <w:r>
        <w:lastRenderedPageBreak/>
        <w:t>63 documents have cited:</w:t>
      </w:r>
    </w:p>
    <w:p w14:paraId="314CCE0E" w14:textId="0FF029A4" w:rsidR="00A47759" w:rsidRPr="003F7AEA" w:rsidRDefault="00A47759" w:rsidP="00A47759">
      <w:r w:rsidRPr="007D1B37">
        <w:t xml:space="preserve">Caraccio N, Natali A, Sironi A, et al. </w:t>
      </w:r>
      <w:r>
        <w:t>Muscle metabolism and exercise tolerance in subclinical hypothyroidism: A controlled trial of levothyroxine. J Clin Endocrinol Metab. 2005;90(7):4057-4062.</w:t>
      </w:r>
    </w:p>
    <w:p w14:paraId="0B0513A1" w14:textId="77777777" w:rsidR="008350E6" w:rsidRPr="00767A31" w:rsidRDefault="008350E6" w:rsidP="008350E6">
      <w:r w:rsidRPr="00D263B9">
        <w:t>12 documents have cited:</w:t>
      </w:r>
    </w:p>
    <w:p w14:paraId="5CCEC11B" w14:textId="77777777" w:rsidR="008350E6" w:rsidRDefault="008350E6" w:rsidP="006C2CF0">
      <w:pPr>
        <w:rPr>
          <w:sz w:val="23"/>
          <w:szCs w:val="23"/>
        </w:rPr>
      </w:pPr>
      <w:r w:rsidRPr="006C2CF0">
        <w:rPr>
          <w:sz w:val="23"/>
          <w:szCs w:val="23"/>
        </w:rPr>
        <w:t xml:space="preserve">Duman D, Sahin S, Esertas K, Demirtunc R. Simvastatin improves endothelial function in patents with subclinical hypothyroidism. </w:t>
      </w:r>
      <w:r w:rsidRPr="006C2CF0">
        <w:rPr>
          <w:i/>
          <w:iCs/>
          <w:sz w:val="23"/>
          <w:szCs w:val="23"/>
        </w:rPr>
        <w:t xml:space="preserve">Heart Vessels. </w:t>
      </w:r>
      <w:r w:rsidRPr="006C2CF0">
        <w:rPr>
          <w:sz w:val="23"/>
          <w:szCs w:val="23"/>
        </w:rPr>
        <w:t>2007;22(2):88-93.</w:t>
      </w:r>
    </w:p>
    <w:p w14:paraId="3761F7AD" w14:textId="77777777" w:rsidR="00A47759" w:rsidRDefault="00A47759" w:rsidP="00A47759">
      <w:r>
        <w:t>12 documents have cited:</w:t>
      </w:r>
    </w:p>
    <w:p w14:paraId="5F09F0E8" w14:textId="5DFA3E6A" w:rsidR="00A47759" w:rsidRPr="00D263B9" w:rsidRDefault="00A47759" w:rsidP="00A47759">
      <w:r>
        <w:t>Fadeyev VV, Sytch J, Kalashnikov V, Rojtman A, Syrkin A, Melnichenko G. Levothyroxine replacement therapy in patients with subclinical hypothyroidism and coronary artery disease. Endocrine Practice 2006;12(1):5-17</w:t>
      </w:r>
    </w:p>
    <w:p w14:paraId="02D31CCD" w14:textId="0AF7E7CE" w:rsidR="008350E6" w:rsidRPr="001D5AD5" w:rsidRDefault="006C2CF0" w:rsidP="008350E6">
      <w:r>
        <w:t>109</w:t>
      </w:r>
      <w:r w:rsidRPr="00D263B9">
        <w:t xml:space="preserve"> </w:t>
      </w:r>
      <w:r w:rsidR="008350E6" w:rsidRPr="00D263B9">
        <w:t>documents have cited:</w:t>
      </w:r>
    </w:p>
    <w:p w14:paraId="78049ED7" w14:textId="77777777" w:rsidR="008350E6" w:rsidRPr="000D354F" w:rsidRDefault="008350E6" w:rsidP="006C2CF0">
      <w:r w:rsidRPr="006C2CF0">
        <w:rPr>
          <w:sz w:val="23"/>
          <w:szCs w:val="23"/>
        </w:rPr>
        <w:t xml:space="preserve">Iqbal A, Jorde R, Figenschau Y. Serum lipid levels in relation to serum thyroid-stimulating hormone and the effect of thyroxine treatment on serum lipid levels in subjects with subclinical hypothyroidism: the Tromsø Study. </w:t>
      </w:r>
      <w:r w:rsidRPr="006C2CF0">
        <w:rPr>
          <w:i/>
          <w:iCs/>
          <w:sz w:val="23"/>
          <w:szCs w:val="23"/>
        </w:rPr>
        <w:t xml:space="preserve">J Intern Med. </w:t>
      </w:r>
      <w:r w:rsidRPr="006C2CF0">
        <w:rPr>
          <w:sz w:val="23"/>
          <w:szCs w:val="23"/>
        </w:rPr>
        <w:t>2006;260(1):53-61.</w:t>
      </w:r>
    </w:p>
    <w:p w14:paraId="343966B0" w14:textId="4BB27F0C" w:rsidR="008350E6" w:rsidRPr="00767A31" w:rsidRDefault="006C2CF0" w:rsidP="008350E6">
      <w:r>
        <w:t>140</w:t>
      </w:r>
      <w:r w:rsidR="008350E6" w:rsidRPr="00D263B9">
        <w:t xml:space="preserve"> documents have cited:</w:t>
      </w:r>
    </w:p>
    <w:p w14:paraId="1925362C" w14:textId="77777777" w:rsidR="008350E6" w:rsidRDefault="008350E6" w:rsidP="006C2CF0">
      <w:r w:rsidRPr="006C2CF0">
        <w:rPr>
          <w:sz w:val="23"/>
          <w:szCs w:val="23"/>
        </w:rPr>
        <w:t xml:space="preserve">Jorde R, Waterloo K, Storhaug H, Nyrnes A, Sundsfjord J, Jenssen TG. Neuropsychological function and symptoms in subjects with subclinical hypothyroidism and the effect of thyroxine treatment. </w:t>
      </w:r>
      <w:r w:rsidRPr="006C2CF0">
        <w:rPr>
          <w:i/>
          <w:iCs/>
          <w:sz w:val="23"/>
          <w:szCs w:val="23"/>
        </w:rPr>
        <w:t xml:space="preserve">J Clin Endocrinol Metab. </w:t>
      </w:r>
      <w:r w:rsidRPr="006C2CF0">
        <w:rPr>
          <w:sz w:val="23"/>
          <w:szCs w:val="23"/>
        </w:rPr>
        <w:t>2006;91(1):145-53.</w:t>
      </w:r>
    </w:p>
    <w:p w14:paraId="439BED5B" w14:textId="7A7D9EE6" w:rsidR="008350E6" w:rsidRPr="00767A31" w:rsidRDefault="008350E6" w:rsidP="008350E6">
      <w:r w:rsidRPr="004E6742">
        <w:t>1</w:t>
      </w:r>
      <w:r w:rsidR="006C2CF0">
        <w:t>5</w:t>
      </w:r>
      <w:r w:rsidRPr="004E6742">
        <w:t>5 documents have cited:</w:t>
      </w:r>
    </w:p>
    <w:p w14:paraId="4FED9ED0" w14:textId="77777777" w:rsidR="008350E6" w:rsidRDefault="008350E6" w:rsidP="006C2CF0">
      <w:pPr>
        <w:rPr>
          <w:sz w:val="23"/>
          <w:szCs w:val="23"/>
        </w:rPr>
      </w:pPr>
      <w:r w:rsidRPr="006C2CF0">
        <w:rPr>
          <w:sz w:val="23"/>
          <w:szCs w:val="23"/>
        </w:rPr>
        <w:t xml:space="preserve">Kong WM, Sheikh MH, Lumb PJ, Naoumova RP, Freedman DB, Crook M, et al. A 6-month randomized trial of thyroxine treatment in women with mild subclinical hypothyroidism. </w:t>
      </w:r>
      <w:r w:rsidRPr="006C2CF0">
        <w:rPr>
          <w:i/>
          <w:iCs/>
          <w:sz w:val="23"/>
          <w:szCs w:val="23"/>
        </w:rPr>
        <w:t xml:space="preserve">Am J Med. </w:t>
      </w:r>
      <w:r w:rsidRPr="006C2CF0">
        <w:rPr>
          <w:sz w:val="23"/>
          <w:szCs w:val="23"/>
        </w:rPr>
        <w:t>2002;112(5):348-54.</w:t>
      </w:r>
    </w:p>
    <w:p w14:paraId="07530025" w14:textId="77777777" w:rsidR="00A47759" w:rsidRDefault="00A47759" w:rsidP="00A47759">
      <w:r>
        <w:t>6 documents have cited:</w:t>
      </w:r>
    </w:p>
    <w:p w14:paraId="0B4FDE54" w14:textId="097AF55F" w:rsidR="00A47759" w:rsidRDefault="00A47759" w:rsidP="00A47759">
      <w:r w:rsidRPr="007D1B37">
        <w:t xml:space="preserve">Liu P, Liu R, Chen X, Chen Y, Wang D, Zhang F, et al. </w:t>
      </w:r>
      <w:r>
        <w:t>Can levothyroxine treatment reduce urinary albumin excretion rate in patients with early type 2 diabetic nephropathy and subclinical hypothyroidism? A randomized double-blind and placebo-controlled study. Current Medical Research &amp; Opinion 2015 Dec;31(12):2233-2240</w:t>
      </w:r>
    </w:p>
    <w:p w14:paraId="149B338C" w14:textId="77777777" w:rsidR="00A47759" w:rsidRDefault="00A47759" w:rsidP="00A47759">
      <w:r>
        <w:t>19 documents have cited:</w:t>
      </w:r>
    </w:p>
    <w:p w14:paraId="1926798E" w14:textId="670BBA51" w:rsidR="00A47759" w:rsidRPr="00D263B9" w:rsidRDefault="00A47759" w:rsidP="00A47759">
      <w:r>
        <w:t>Mainenti MRM, Vigário PS, Teixeira PFS, Maia MDL, Oliveira FP, Vaisman M. Effect of levothyroxine replacement on exercise performance in subclinical hypothyroidism. J Endocrinol Invest 2009;32(5):470-473</w:t>
      </w:r>
    </w:p>
    <w:p w14:paraId="69F27AD6" w14:textId="5CB5E83C" w:rsidR="008350E6" w:rsidRPr="00767A31" w:rsidRDefault="008350E6" w:rsidP="008350E6">
      <w:r w:rsidRPr="000D354F">
        <w:lastRenderedPageBreak/>
        <w:t>1</w:t>
      </w:r>
      <w:r w:rsidR="006C2CF0">
        <w:t>8</w:t>
      </w:r>
      <w:r w:rsidRPr="000D354F">
        <w:t xml:space="preserve"> documents have cited:</w:t>
      </w:r>
    </w:p>
    <w:p w14:paraId="165F4574" w14:textId="77777777" w:rsidR="008350E6" w:rsidRPr="000D354F" w:rsidRDefault="008350E6" w:rsidP="006C2CF0">
      <w:r w:rsidRPr="006C2CF0">
        <w:rPr>
          <w:sz w:val="23"/>
          <w:szCs w:val="23"/>
        </w:rPr>
        <w:t xml:space="preserve">Mikhail GS, Alshammari SM, Alenezi MY, Mansour M, Khalil NA. Increased atherogenic low-density lipoprotein cholesterol in untreated subclinical hypothyroidism. </w:t>
      </w:r>
      <w:r w:rsidRPr="006C2CF0">
        <w:rPr>
          <w:i/>
          <w:iCs/>
          <w:sz w:val="23"/>
          <w:szCs w:val="23"/>
        </w:rPr>
        <w:t xml:space="preserve">Endocr Pract. </w:t>
      </w:r>
      <w:r w:rsidRPr="006C2CF0">
        <w:rPr>
          <w:sz w:val="23"/>
          <w:szCs w:val="23"/>
        </w:rPr>
        <w:t>2008;14(5):570-5.</w:t>
      </w:r>
    </w:p>
    <w:p w14:paraId="34017FE3" w14:textId="77777777" w:rsidR="00A47759" w:rsidRDefault="00A47759" w:rsidP="00A47759">
      <w:r>
        <w:t>221 documents have cited:</w:t>
      </w:r>
    </w:p>
    <w:p w14:paraId="3893F1A5" w14:textId="77777777" w:rsidR="00A47759" w:rsidRPr="000D354F" w:rsidRDefault="00A47759" w:rsidP="00A47759">
      <w:r w:rsidRPr="007D1B37">
        <w:t xml:space="preserve">Monzani F, Di Bello V, Caraccio N, et al. </w:t>
      </w:r>
      <w:r>
        <w:t>Effect of levothyroxine on cardiac function and structure in subclinical hypothyroidism: A double blind, placebo-controlled study. J Clin Endocrinol Metab. 2001;86(3):1110-1115.</w:t>
      </w:r>
    </w:p>
    <w:p w14:paraId="5FF82138" w14:textId="0C84B3D1" w:rsidR="008350E6" w:rsidRPr="00767A31" w:rsidRDefault="008350E6" w:rsidP="008350E6">
      <w:r w:rsidRPr="000D354F">
        <w:t>2</w:t>
      </w:r>
      <w:r w:rsidR="006C2CF0">
        <w:t>4</w:t>
      </w:r>
      <w:r w:rsidRPr="000D354F">
        <w:t>9 documents have cited:</w:t>
      </w:r>
    </w:p>
    <w:p w14:paraId="4D1F5662" w14:textId="77777777" w:rsidR="008350E6" w:rsidRDefault="008350E6" w:rsidP="006C2CF0">
      <w:pPr>
        <w:rPr>
          <w:sz w:val="23"/>
          <w:szCs w:val="23"/>
        </w:rPr>
      </w:pPr>
      <w:r w:rsidRPr="007D1B37">
        <w:rPr>
          <w:sz w:val="23"/>
          <w:szCs w:val="23"/>
        </w:rPr>
        <w:t xml:space="preserve">Monzani F, Caraccio N, Kozàkowà M, Dardano A, Vittone F, Virdis A, et al. </w:t>
      </w:r>
      <w:r w:rsidRPr="006C2CF0">
        <w:rPr>
          <w:sz w:val="23"/>
          <w:szCs w:val="23"/>
        </w:rPr>
        <w:t xml:space="preserve">Effect of levothyroxine replacement on lipid profile and intima-media thickness in subclinical hypothyroidism: a double-blind, placebo-controlled study. </w:t>
      </w:r>
      <w:r w:rsidRPr="006C2CF0">
        <w:rPr>
          <w:i/>
          <w:iCs/>
          <w:sz w:val="23"/>
          <w:szCs w:val="23"/>
        </w:rPr>
        <w:t xml:space="preserve">J Clin Endocrinol Metab. </w:t>
      </w:r>
      <w:r w:rsidRPr="006C2CF0">
        <w:rPr>
          <w:sz w:val="23"/>
          <w:szCs w:val="23"/>
        </w:rPr>
        <w:t>2004;89(5):2099-106.</w:t>
      </w:r>
    </w:p>
    <w:p w14:paraId="4641BCCD" w14:textId="301D2051" w:rsidR="008350E6" w:rsidRPr="00767A31" w:rsidRDefault="006C2CF0" w:rsidP="008350E6">
      <w:r>
        <w:t>24</w:t>
      </w:r>
      <w:r w:rsidR="008350E6" w:rsidRPr="000D354F">
        <w:t xml:space="preserve"> documents have cited:</w:t>
      </w:r>
    </w:p>
    <w:p w14:paraId="62F4DE16" w14:textId="77777777" w:rsidR="008350E6" w:rsidRDefault="008350E6" w:rsidP="006C2CF0">
      <w:pPr>
        <w:rPr>
          <w:sz w:val="23"/>
          <w:szCs w:val="23"/>
          <w:lang w:val="en-US"/>
        </w:rPr>
      </w:pPr>
      <w:r w:rsidRPr="006C2CF0">
        <w:rPr>
          <w:sz w:val="23"/>
          <w:szCs w:val="23"/>
        </w:rPr>
        <w:t xml:space="preserve">Nagasaki T, Inaba M, Yamada S, Shirakawa K, Nagata Y, Kumeda Y, et al. Decrease of brachial-ankle pulse wave velocity in female subclinical hypothyroid patients during normalization of thyroid function: a double-blind, placebo-controlled study. </w:t>
      </w:r>
      <w:r w:rsidRPr="006C2CF0">
        <w:rPr>
          <w:i/>
          <w:iCs/>
          <w:sz w:val="23"/>
          <w:szCs w:val="23"/>
          <w:lang w:val="en-US"/>
        </w:rPr>
        <w:t xml:space="preserve">Eur J Endocrinol. </w:t>
      </w:r>
      <w:r w:rsidRPr="006C2CF0">
        <w:rPr>
          <w:sz w:val="23"/>
          <w:szCs w:val="23"/>
          <w:lang w:val="en-US"/>
        </w:rPr>
        <w:t>2009;160(3):409-15.</w:t>
      </w:r>
    </w:p>
    <w:p w14:paraId="5441036D" w14:textId="77777777" w:rsidR="00A47759" w:rsidRDefault="00A47759" w:rsidP="00A47759">
      <w:r>
        <w:t>4 documents have cited:</w:t>
      </w:r>
    </w:p>
    <w:p w14:paraId="08ABF463" w14:textId="1E124874" w:rsidR="00A47759" w:rsidRPr="000D354F" w:rsidRDefault="00A47759" w:rsidP="00A47759">
      <w:r>
        <w:t>Najafi L, Malek M, Hadian A, Ebrahim Valojerdi A, Khamseh ME, Aghili R. Depressive symptoms in patients with subclinical hypothyroidism--the effect of treatment with levothyroxine: a double-blind randomized clinical trial. Endocr Res 2015;40(3):121-126</w:t>
      </w:r>
    </w:p>
    <w:p w14:paraId="66F8D51F" w14:textId="4C7C50FD" w:rsidR="008350E6" w:rsidRPr="00767A31" w:rsidRDefault="006C2CF0" w:rsidP="008350E6">
      <w:r>
        <w:t>89</w:t>
      </w:r>
      <w:r w:rsidRPr="000D354F">
        <w:t xml:space="preserve"> </w:t>
      </w:r>
      <w:r w:rsidR="008350E6" w:rsidRPr="000D354F">
        <w:t>documents have cited:</w:t>
      </w:r>
    </w:p>
    <w:p w14:paraId="7314EC03" w14:textId="77777777" w:rsidR="008350E6" w:rsidRPr="000D354F" w:rsidRDefault="008350E6" w:rsidP="006C2CF0">
      <w:r w:rsidRPr="007D1B37">
        <w:rPr>
          <w:sz w:val="23"/>
          <w:szCs w:val="23"/>
        </w:rPr>
        <w:t xml:space="preserve">Parle J, Roberts L, Wilson S, Pattison H, Roalfe A, Haque MS, et al. </w:t>
      </w:r>
      <w:r w:rsidRPr="006C2CF0">
        <w:rPr>
          <w:sz w:val="23"/>
          <w:szCs w:val="23"/>
        </w:rPr>
        <w:t xml:space="preserve">A randomized controlled trial of the effect of thyroxine replacement on cognitive function in community-living elderly subjects with subclinical hypothyroidism: the Birmingham Elderly Thyroid study. </w:t>
      </w:r>
      <w:r w:rsidRPr="006C2CF0">
        <w:rPr>
          <w:i/>
          <w:iCs/>
          <w:sz w:val="23"/>
          <w:szCs w:val="23"/>
        </w:rPr>
        <w:t xml:space="preserve">J Clin Endocrinol Metab. </w:t>
      </w:r>
      <w:r w:rsidRPr="006C2CF0">
        <w:rPr>
          <w:sz w:val="23"/>
          <w:szCs w:val="23"/>
        </w:rPr>
        <w:t xml:space="preserve">2010;95(8):3623-32. </w:t>
      </w:r>
    </w:p>
    <w:p w14:paraId="04AF228F" w14:textId="557232E8" w:rsidR="008350E6" w:rsidRPr="00767A31" w:rsidRDefault="006C2CF0" w:rsidP="008350E6">
      <w:r w:rsidRPr="000D354F">
        <w:t>2</w:t>
      </w:r>
      <w:r>
        <w:t>63</w:t>
      </w:r>
      <w:r w:rsidRPr="000D354F">
        <w:t xml:space="preserve"> </w:t>
      </w:r>
      <w:r w:rsidR="008350E6" w:rsidRPr="000D354F">
        <w:t>documents have cited:</w:t>
      </w:r>
    </w:p>
    <w:p w14:paraId="4DCD77FA" w14:textId="77777777" w:rsidR="008350E6" w:rsidRPr="000D354F" w:rsidRDefault="008350E6" w:rsidP="006C2CF0">
      <w:r w:rsidRPr="006C2CF0">
        <w:rPr>
          <w:sz w:val="23"/>
          <w:szCs w:val="23"/>
        </w:rPr>
        <w:t xml:space="preserve">Razvi S, Ingoe L, Keeka G, Oates C, McMillan C, Weaver JU. The beneficial effect of L-thyroxine on cardiovascular risk factors, endothelial function, and quality of life in subclinical hypothyroidism: randomized, crossover trial. </w:t>
      </w:r>
      <w:r w:rsidRPr="006C2CF0">
        <w:rPr>
          <w:i/>
          <w:iCs/>
          <w:sz w:val="23"/>
          <w:szCs w:val="23"/>
        </w:rPr>
        <w:t xml:space="preserve">J Clin Endocrinol Metab. </w:t>
      </w:r>
      <w:r w:rsidRPr="006C2CF0">
        <w:rPr>
          <w:sz w:val="23"/>
          <w:szCs w:val="23"/>
        </w:rPr>
        <w:t xml:space="preserve">2007;92(5):1715-23. </w:t>
      </w:r>
    </w:p>
    <w:p w14:paraId="5E809C38" w14:textId="37B12E6A" w:rsidR="008350E6" w:rsidRPr="00767A31" w:rsidRDefault="006C2CF0" w:rsidP="008350E6">
      <w:r>
        <w:t>112</w:t>
      </w:r>
      <w:r w:rsidR="008350E6" w:rsidRPr="00C45938">
        <w:t xml:space="preserve"> documents have cited:</w:t>
      </w:r>
    </w:p>
    <w:p w14:paraId="06F5E77D" w14:textId="77777777" w:rsidR="008350E6" w:rsidRDefault="008350E6" w:rsidP="006C2CF0">
      <w:pPr>
        <w:rPr>
          <w:sz w:val="23"/>
          <w:szCs w:val="23"/>
        </w:rPr>
      </w:pPr>
      <w:r w:rsidRPr="006C2CF0">
        <w:rPr>
          <w:sz w:val="23"/>
          <w:szCs w:val="23"/>
        </w:rPr>
        <w:t xml:space="preserve">Razvi S, Weaver JU, Butler TJ, Pearce SH. Levothyroxine treatment of subclinical hypothyroidism, fatal and nonfatal cardiovascular events, and mortality. </w:t>
      </w:r>
      <w:r w:rsidRPr="006C2CF0">
        <w:rPr>
          <w:i/>
          <w:iCs/>
          <w:sz w:val="23"/>
          <w:szCs w:val="23"/>
        </w:rPr>
        <w:t xml:space="preserve">Arch Intern Med. </w:t>
      </w:r>
      <w:r w:rsidRPr="006C2CF0">
        <w:rPr>
          <w:sz w:val="23"/>
          <w:szCs w:val="23"/>
        </w:rPr>
        <w:t xml:space="preserve">2012;172(10):811-7. </w:t>
      </w:r>
    </w:p>
    <w:p w14:paraId="5BD4F00C" w14:textId="77777777" w:rsidR="00A47759" w:rsidRDefault="00A47759" w:rsidP="00A47759">
      <w:r>
        <w:lastRenderedPageBreak/>
        <w:t>15 documents have cited:</w:t>
      </w:r>
    </w:p>
    <w:p w14:paraId="0CC28E2F" w14:textId="18F5C552" w:rsidR="00A47759" w:rsidRPr="006C2CF0" w:rsidRDefault="00A47759" w:rsidP="00A47759">
      <w:r w:rsidRPr="007D1B37">
        <w:t xml:space="preserve">Reuters VS, Almeida CP, Teixeira PFS, Vigário PS, Ferreira MM, de Castro CLN, et al. </w:t>
      </w:r>
      <w:r>
        <w:t>Effects of subclinical hypothyroidism treatment on psychiatric symptoms, muscular complaints, and quality of life. Arq Bras Endocrinol Metabol 2012;56(2):128-136</w:t>
      </w:r>
    </w:p>
    <w:p w14:paraId="4517D952" w14:textId="77777777" w:rsidR="00A47759" w:rsidRDefault="00A47759" w:rsidP="00A47759">
      <w:r>
        <w:t>44 documents have cited:</w:t>
      </w:r>
    </w:p>
    <w:p w14:paraId="69EBC628" w14:textId="54A3BA61" w:rsidR="006C2CF0" w:rsidRPr="000D354F" w:rsidRDefault="00A47759" w:rsidP="00A47759">
      <w:r>
        <w:t>Stott DJ, Rodondi N, Kearney PM, Ford I, Westendorp RG, Mooijaart SP, et al. Thyroid Hormone Therapy for Older Adults with Subclinical Hypothyroidism. N Engl J Med 2017 Apr 3</w:t>
      </w:r>
    </w:p>
    <w:p w14:paraId="22BE6367" w14:textId="06B7EEF9" w:rsidR="008350E6" w:rsidRPr="00767A31" w:rsidRDefault="008350E6" w:rsidP="008350E6">
      <w:r w:rsidRPr="00C45938">
        <w:t>4</w:t>
      </w:r>
      <w:r w:rsidR="006C2CF0">
        <w:t>8</w:t>
      </w:r>
      <w:r w:rsidRPr="00C45938">
        <w:t xml:space="preserve"> documents have cited:</w:t>
      </w:r>
    </w:p>
    <w:p w14:paraId="7CF83AB5" w14:textId="77777777" w:rsidR="008350E6" w:rsidRPr="00C45938" w:rsidRDefault="008350E6" w:rsidP="00A47759">
      <w:r w:rsidRPr="007D1B37">
        <w:rPr>
          <w:sz w:val="23"/>
          <w:szCs w:val="23"/>
        </w:rPr>
        <w:t xml:space="preserve">Teixeira PF, Reuters VS, Ferreira MM, Almeida CP, Reis FA, Buescu A, et al. </w:t>
      </w:r>
      <w:r w:rsidRPr="00A47759">
        <w:rPr>
          <w:sz w:val="23"/>
          <w:szCs w:val="23"/>
        </w:rPr>
        <w:t xml:space="preserve">Lipid profile in different degrees of hypothyroidism and effects of levothyroxine replacement in mild thyroid failure. </w:t>
      </w:r>
      <w:r w:rsidRPr="00B415B2">
        <w:rPr>
          <w:i/>
          <w:iCs/>
          <w:sz w:val="23"/>
          <w:szCs w:val="23"/>
        </w:rPr>
        <w:t xml:space="preserve">Transl Res. </w:t>
      </w:r>
      <w:r w:rsidRPr="00B415B2">
        <w:rPr>
          <w:sz w:val="23"/>
          <w:szCs w:val="23"/>
        </w:rPr>
        <w:t xml:space="preserve">2008;151(4):224-31. </w:t>
      </w:r>
    </w:p>
    <w:p w14:paraId="59F13F38" w14:textId="7093814C" w:rsidR="008350E6" w:rsidRPr="00767A31" w:rsidRDefault="006C2CF0" w:rsidP="008350E6">
      <w:r>
        <w:t>29</w:t>
      </w:r>
      <w:r w:rsidRPr="00C45938">
        <w:t xml:space="preserve"> </w:t>
      </w:r>
      <w:r w:rsidR="008350E6" w:rsidRPr="00C45938">
        <w:t>documents have cited:</w:t>
      </w:r>
    </w:p>
    <w:p w14:paraId="17131ECA" w14:textId="77777777" w:rsidR="008350E6" w:rsidRDefault="008350E6" w:rsidP="00A47759">
      <w:pPr>
        <w:rPr>
          <w:sz w:val="23"/>
          <w:szCs w:val="23"/>
        </w:rPr>
      </w:pPr>
      <w:r w:rsidRPr="007D1B37">
        <w:rPr>
          <w:sz w:val="23"/>
          <w:szCs w:val="23"/>
        </w:rPr>
        <w:t xml:space="preserve">Teixeira PF, Reuters VS, Ferreira MM, Almeida CP, Reis FA, Melo BA, et al. </w:t>
      </w:r>
      <w:r w:rsidRPr="00A47759">
        <w:rPr>
          <w:sz w:val="23"/>
          <w:szCs w:val="23"/>
        </w:rPr>
        <w:t xml:space="preserve">Treatment of subclinical hypothyroidism reduces atherogenic lipid levels in a placebo-controlled double-blind clinical trial. </w:t>
      </w:r>
      <w:r w:rsidRPr="00A47759">
        <w:rPr>
          <w:i/>
          <w:iCs/>
          <w:sz w:val="23"/>
          <w:szCs w:val="23"/>
        </w:rPr>
        <w:t xml:space="preserve">Horm Metab Res. </w:t>
      </w:r>
      <w:r w:rsidRPr="00A47759">
        <w:rPr>
          <w:sz w:val="23"/>
          <w:szCs w:val="23"/>
        </w:rPr>
        <w:t xml:space="preserve">2008;40(1):50-5. </w:t>
      </w:r>
    </w:p>
    <w:p w14:paraId="4AFE429C" w14:textId="77777777" w:rsidR="00A47759" w:rsidRPr="00B415B2" w:rsidRDefault="00A47759" w:rsidP="00A47759">
      <w:r w:rsidRPr="00B415B2">
        <w:t>66 documents have cited:</w:t>
      </w:r>
    </w:p>
    <w:p w14:paraId="703E1E11" w14:textId="1A3EB127" w:rsidR="00A47759" w:rsidRPr="00C45938" w:rsidRDefault="00A47759" w:rsidP="00A47759">
      <w:r w:rsidRPr="007D1B37">
        <w:t xml:space="preserve">Yazici M, Gorgulu S, Sertbas Y, et al. </w:t>
      </w:r>
      <w:r>
        <w:t>Effects of thyroxin therapy on cardiac function in patients with subclinical hypothyroidism: Index of myocardial performance in the evaluation of left ventricular function. Int J Cardiol. 2004;95(2-3):135-143.</w:t>
      </w:r>
    </w:p>
    <w:p w14:paraId="5390DDE2" w14:textId="16293DBF" w:rsidR="008350E6" w:rsidRPr="00767A31" w:rsidRDefault="008350E6" w:rsidP="008350E6">
      <w:r w:rsidRPr="00C45938">
        <w:t>2</w:t>
      </w:r>
      <w:r w:rsidR="006C2CF0">
        <w:t>2</w:t>
      </w:r>
      <w:r w:rsidRPr="00C45938">
        <w:t xml:space="preserve"> documents have cited:</w:t>
      </w:r>
    </w:p>
    <w:p w14:paraId="779D1146" w14:textId="77777777" w:rsidR="008350E6" w:rsidRDefault="008350E6" w:rsidP="00A47759">
      <w:pPr>
        <w:rPr>
          <w:sz w:val="23"/>
          <w:szCs w:val="23"/>
        </w:rPr>
      </w:pPr>
      <w:r w:rsidRPr="00A47759">
        <w:rPr>
          <w:sz w:val="23"/>
          <w:szCs w:val="23"/>
        </w:rPr>
        <w:t xml:space="preserve">Yonem O, Dokmetas HS, Aslan SM, Erselcan T. Is antithyroid treatment really relevant for young patients with subclinical hyperthyroidism? </w:t>
      </w:r>
      <w:r w:rsidRPr="00A47759">
        <w:rPr>
          <w:i/>
          <w:iCs/>
          <w:sz w:val="23"/>
          <w:szCs w:val="23"/>
        </w:rPr>
        <w:t xml:space="preserve">Endocrine. </w:t>
      </w:r>
      <w:r w:rsidRPr="00A47759">
        <w:rPr>
          <w:sz w:val="23"/>
          <w:szCs w:val="23"/>
        </w:rPr>
        <w:t>2002;49(3):307-14.</w:t>
      </w:r>
    </w:p>
    <w:p w14:paraId="65F9EBC5" w14:textId="77777777" w:rsidR="00A47759" w:rsidRDefault="00A47759" w:rsidP="00A47759">
      <w:r>
        <w:t>4 documents have cited:</w:t>
      </w:r>
    </w:p>
    <w:p w14:paraId="5D489702" w14:textId="7D64B0B6" w:rsidR="00A47759" w:rsidRPr="00C45938" w:rsidRDefault="00A47759" w:rsidP="00A47759">
      <w:r w:rsidRPr="007D1B37">
        <w:t xml:space="preserve">Zhao M, Liu L, Wang F, Yuan Z, Zhang X, Xu C, et al. </w:t>
      </w:r>
      <w:r>
        <w:t>A Worthy Finding: Decrease in Total Cholesterol and Low-Density Lipoprotein Cholesterol in Treated Mild Subclinical Hypothyroidism. Thyroid 2016;26(8):1019-1029</w:t>
      </w:r>
    </w:p>
    <w:p w14:paraId="5FAC9307" w14:textId="77777777" w:rsidR="008350E6" w:rsidRDefault="008350E6" w:rsidP="008350E6"/>
    <w:p w14:paraId="7A916342" w14:textId="77777777" w:rsidR="008350E6" w:rsidRPr="001F3038" w:rsidRDefault="008350E6" w:rsidP="008350E6">
      <w:pPr>
        <w:rPr>
          <w:b/>
          <w:u w:val="single"/>
        </w:rPr>
      </w:pPr>
      <w:r w:rsidRPr="001F3038">
        <w:rPr>
          <w:b/>
          <w:u w:val="single"/>
        </w:rPr>
        <w:t>In total:</w:t>
      </w:r>
    </w:p>
    <w:p w14:paraId="467A710B" w14:textId="6A11B040" w:rsidR="008350E6" w:rsidRPr="00767A31" w:rsidRDefault="008350E6" w:rsidP="008350E6">
      <w:r>
        <w:t xml:space="preserve">After removing duplicates: </w:t>
      </w:r>
      <w:r w:rsidR="00780958">
        <w:t xml:space="preserve">1147 </w:t>
      </w:r>
      <w:r>
        <w:t xml:space="preserve">references </w:t>
      </w:r>
    </w:p>
    <w:p w14:paraId="2059653C" w14:textId="4F0D12B8" w:rsidR="008350E6" w:rsidRDefault="008350E6" w:rsidP="001328F0">
      <w:pPr>
        <w:pStyle w:val="Heading1"/>
        <w:rPr>
          <w:sz w:val="24"/>
          <w:szCs w:val="24"/>
        </w:rPr>
      </w:pPr>
      <w:bookmarkStart w:id="2" w:name="_Toc532829298"/>
      <w:r w:rsidRPr="00A13535">
        <w:rPr>
          <w:sz w:val="24"/>
          <w:szCs w:val="24"/>
        </w:rPr>
        <w:lastRenderedPageBreak/>
        <w:t xml:space="preserve">Appendix </w:t>
      </w:r>
      <w:r w:rsidR="00B50B35">
        <w:rPr>
          <w:sz w:val="24"/>
          <w:szCs w:val="24"/>
        </w:rPr>
        <w:t>3</w:t>
      </w:r>
      <w:r w:rsidRPr="00A13535">
        <w:rPr>
          <w:sz w:val="24"/>
          <w:szCs w:val="24"/>
        </w:rPr>
        <w:t>. Outcome definitions and ratings</w:t>
      </w:r>
      <w:bookmarkEnd w:id="2"/>
    </w:p>
    <w:p w14:paraId="208D81D2" w14:textId="77777777" w:rsidR="001328F0" w:rsidRPr="001328F0" w:rsidRDefault="001328F0" w:rsidP="001328F0"/>
    <w:tbl>
      <w:tblPr>
        <w:tblStyle w:val="TableGrid"/>
        <w:tblW w:w="0" w:type="auto"/>
        <w:tblLook w:val="04A0" w:firstRow="1" w:lastRow="0" w:firstColumn="1" w:lastColumn="0" w:noHBand="0" w:noVBand="1"/>
      </w:tblPr>
      <w:tblGrid>
        <w:gridCol w:w="1942"/>
        <w:gridCol w:w="4409"/>
        <w:gridCol w:w="1493"/>
        <w:gridCol w:w="1506"/>
      </w:tblGrid>
      <w:tr w:rsidR="008350E6" w14:paraId="52B83334" w14:textId="77777777" w:rsidTr="00FA01E6">
        <w:tc>
          <w:tcPr>
            <w:tcW w:w="1957" w:type="dxa"/>
            <w:shd w:val="clear" w:color="auto" w:fill="8DB3E2" w:themeFill="text2" w:themeFillTint="66"/>
          </w:tcPr>
          <w:p w14:paraId="6FBA12A7" w14:textId="77777777" w:rsidR="008350E6" w:rsidRPr="00F4505B" w:rsidRDefault="008350E6" w:rsidP="00FA01E6">
            <w:pPr>
              <w:rPr>
                <w:b/>
                <w:color w:val="000000" w:themeColor="text1"/>
              </w:rPr>
            </w:pPr>
            <w:r w:rsidRPr="00F4505B">
              <w:rPr>
                <w:b/>
                <w:color w:val="000000" w:themeColor="text1"/>
              </w:rPr>
              <w:t>Outcome</w:t>
            </w:r>
          </w:p>
        </w:tc>
        <w:tc>
          <w:tcPr>
            <w:tcW w:w="4559" w:type="dxa"/>
            <w:shd w:val="clear" w:color="auto" w:fill="8DB3E2" w:themeFill="text2" w:themeFillTint="66"/>
          </w:tcPr>
          <w:p w14:paraId="506A87CE" w14:textId="77777777" w:rsidR="008350E6" w:rsidRPr="00F4505B" w:rsidRDefault="008350E6" w:rsidP="00FA01E6">
            <w:pPr>
              <w:rPr>
                <w:b/>
                <w:color w:val="000000" w:themeColor="text1"/>
              </w:rPr>
            </w:pPr>
            <w:r w:rsidRPr="00F4505B">
              <w:rPr>
                <w:b/>
                <w:color w:val="000000" w:themeColor="text1"/>
              </w:rPr>
              <w:t>Definition</w:t>
            </w:r>
          </w:p>
        </w:tc>
        <w:tc>
          <w:tcPr>
            <w:tcW w:w="1530" w:type="dxa"/>
            <w:shd w:val="clear" w:color="auto" w:fill="8DB3E2" w:themeFill="text2" w:themeFillTint="66"/>
          </w:tcPr>
          <w:p w14:paraId="21E8BC7C" w14:textId="77777777" w:rsidR="008350E6" w:rsidRPr="00F4505B" w:rsidRDefault="008350E6" w:rsidP="00FA01E6">
            <w:pPr>
              <w:rPr>
                <w:b/>
                <w:color w:val="000000" w:themeColor="text1"/>
              </w:rPr>
            </w:pPr>
            <w:r w:rsidRPr="00F4505B">
              <w:rPr>
                <w:b/>
                <w:color w:val="000000" w:themeColor="text1"/>
              </w:rPr>
              <w:t>Mean rating score</w:t>
            </w:r>
          </w:p>
        </w:tc>
        <w:tc>
          <w:tcPr>
            <w:tcW w:w="1530" w:type="dxa"/>
            <w:shd w:val="clear" w:color="auto" w:fill="8DB3E2" w:themeFill="text2" w:themeFillTint="66"/>
          </w:tcPr>
          <w:p w14:paraId="7893A1EF" w14:textId="77777777" w:rsidR="008350E6" w:rsidRPr="00F4505B" w:rsidRDefault="008350E6" w:rsidP="00FA01E6">
            <w:pPr>
              <w:rPr>
                <w:b/>
                <w:color w:val="000000" w:themeColor="text1"/>
              </w:rPr>
            </w:pPr>
            <w:r w:rsidRPr="00F4505B">
              <w:rPr>
                <w:b/>
                <w:color w:val="000000" w:themeColor="text1"/>
              </w:rPr>
              <w:t>Final rating</w:t>
            </w:r>
          </w:p>
        </w:tc>
      </w:tr>
      <w:tr w:rsidR="008350E6" w14:paraId="7DE8C661" w14:textId="77777777" w:rsidTr="00FA01E6">
        <w:tc>
          <w:tcPr>
            <w:tcW w:w="9576" w:type="dxa"/>
            <w:gridSpan w:val="4"/>
            <w:shd w:val="clear" w:color="auto" w:fill="D9D9D9" w:themeFill="background1" w:themeFillShade="D9"/>
          </w:tcPr>
          <w:p w14:paraId="7F912296" w14:textId="77777777" w:rsidR="008350E6" w:rsidRPr="00F4505B" w:rsidRDefault="008350E6" w:rsidP="00FA01E6">
            <w:pPr>
              <w:rPr>
                <w:b/>
                <w:color w:val="000000" w:themeColor="text1"/>
                <w:sz w:val="20"/>
                <w:szCs w:val="20"/>
              </w:rPr>
            </w:pPr>
            <w:r w:rsidRPr="00F4505B">
              <w:rPr>
                <w:b/>
                <w:color w:val="000000" w:themeColor="text1"/>
                <w:sz w:val="20"/>
                <w:szCs w:val="20"/>
              </w:rPr>
              <w:t>Clinical Outcomes</w:t>
            </w:r>
          </w:p>
        </w:tc>
      </w:tr>
      <w:tr w:rsidR="008350E6" w:rsidRPr="00E977D2" w14:paraId="2C1DBA9C" w14:textId="77777777" w:rsidTr="00FA01E6">
        <w:tc>
          <w:tcPr>
            <w:tcW w:w="1957" w:type="dxa"/>
          </w:tcPr>
          <w:p w14:paraId="660F7B09" w14:textId="77777777" w:rsidR="008350E6" w:rsidRPr="00F4505B" w:rsidRDefault="008350E6" w:rsidP="00FA01E6">
            <w:pPr>
              <w:rPr>
                <w:b/>
                <w:color w:val="000000" w:themeColor="text1"/>
                <w:sz w:val="20"/>
                <w:szCs w:val="20"/>
              </w:rPr>
            </w:pPr>
            <w:r w:rsidRPr="00F4505B">
              <w:rPr>
                <w:b/>
                <w:color w:val="000000" w:themeColor="text1"/>
                <w:sz w:val="20"/>
                <w:szCs w:val="20"/>
              </w:rPr>
              <w:t>Mortality</w:t>
            </w:r>
          </w:p>
        </w:tc>
        <w:tc>
          <w:tcPr>
            <w:tcW w:w="4559" w:type="dxa"/>
          </w:tcPr>
          <w:p w14:paraId="7AEFF596"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Death</w:t>
            </w:r>
          </w:p>
        </w:tc>
        <w:tc>
          <w:tcPr>
            <w:tcW w:w="1530" w:type="dxa"/>
          </w:tcPr>
          <w:p w14:paraId="62AD7C38"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8.75</w:t>
            </w:r>
          </w:p>
        </w:tc>
        <w:tc>
          <w:tcPr>
            <w:tcW w:w="1530" w:type="dxa"/>
          </w:tcPr>
          <w:p w14:paraId="34834C95"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Critical</w:t>
            </w:r>
          </w:p>
        </w:tc>
      </w:tr>
      <w:tr w:rsidR="008350E6" w:rsidRPr="00E977D2" w14:paraId="59EE7BED" w14:textId="77777777" w:rsidTr="00FA01E6">
        <w:tc>
          <w:tcPr>
            <w:tcW w:w="1957" w:type="dxa"/>
          </w:tcPr>
          <w:p w14:paraId="0B8CBB48" w14:textId="77777777" w:rsidR="008350E6" w:rsidRPr="00F4505B" w:rsidRDefault="008350E6" w:rsidP="00FA01E6">
            <w:pPr>
              <w:rPr>
                <w:color w:val="000000" w:themeColor="text1"/>
                <w:sz w:val="20"/>
                <w:szCs w:val="20"/>
              </w:rPr>
            </w:pPr>
            <w:r w:rsidRPr="00F4505B">
              <w:rPr>
                <w:color w:val="000000" w:themeColor="text1"/>
                <w:sz w:val="20"/>
                <w:szCs w:val="20"/>
              </w:rPr>
              <w:t xml:space="preserve">   All-cause mortality</w:t>
            </w:r>
          </w:p>
        </w:tc>
        <w:tc>
          <w:tcPr>
            <w:tcW w:w="4559" w:type="dxa"/>
          </w:tcPr>
          <w:p w14:paraId="30F96D02"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Death from any cause</w:t>
            </w:r>
          </w:p>
        </w:tc>
        <w:tc>
          <w:tcPr>
            <w:tcW w:w="1530" w:type="dxa"/>
          </w:tcPr>
          <w:p w14:paraId="6BD7B3E0"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7.5</w:t>
            </w:r>
          </w:p>
        </w:tc>
        <w:tc>
          <w:tcPr>
            <w:tcW w:w="1530" w:type="dxa"/>
          </w:tcPr>
          <w:p w14:paraId="4D1C8386" w14:textId="77777777" w:rsidR="008350E6" w:rsidRPr="00F4505B" w:rsidRDefault="008350E6" w:rsidP="00FA01E6">
            <w:pPr>
              <w:jc w:val="center"/>
              <w:rPr>
                <w:color w:val="000000" w:themeColor="text1"/>
              </w:rPr>
            </w:pPr>
            <w:r w:rsidRPr="00F4505B">
              <w:rPr>
                <w:rFonts w:cs="Arial"/>
                <w:color w:val="000000" w:themeColor="text1"/>
                <w:sz w:val="20"/>
                <w:szCs w:val="20"/>
              </w:rPr>
              <w:t>Critical</w:t>
            </w:r>
          </w:p>
        </w:tc>
      </w:tr>
      <w:tr w:rsidR="008350E6" w:rsidRPr="00E977D2" w14:paraId="1B7FC91D" w14:textId="77777777" w:rsidTr="00FA01E6">
        <w:tc>
          <w:tcPr>
            <w:tcW w:w="1957" w:type="dxa"/>
          </w:tcPr>
          <w:p w14:paraId="2D15218B" w14:textId="77777777" w:rsidR="008350E6" w:rsidRPr="00F4505B" w:rsidRDefault="008350E6" w:rsidP="00FA01E6">
            <w:pPr>
              <w:rPr>
                <w:color w:val="000000" w:themeColor="text1"/>
                <w:sz w:val="20"/>
                <w:szCs w:val="20"/>
              </w:rPr>
            </w:pPr>
            <w:r w:rsidRPr="00F4505B">
              <w:rPr>
                <w:color w:val="000000" w:themeColor="text1"/>
                <w:sz w:val="20"/>
                <w:szCs w:val="20"/>
              </w:rPr>
              <w:t xml:space="preserve">   Death due to cardiovascular diseases</w:t>
            </w:r>
          </w:p>
        </w:tc>
        <w:tc>
          <w:tcPr>
            <w:tcW w:w="4559" w:type="dxa"/>
          </w:tcPr>
          <w:p w14:paraId="1EB4A14C"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Death from heart disease or stroke.</w:t>
            </w:r>
          </w:p>
        </w:tc>
        <w:tc>
          <w:tcPr>
            <w:tcW w:w="1530" w:type="dxa"/>
          </w:tcPr>
          <w:p w14:paraId="129CA53F"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8.75</w:t>
            </w:r>
          </w:p>
        </w:tc>
        <w:tc>
          <w:tcPr>
            <w:tcW w:w="1530" w:type="dxa"/>
          </w:tcPr>
          <w:p w14:paraId="1E7C240D" w14:textId="77777777" w:rsidR="008350E6" w:rsidRPr="00F4505B" w:rsidRDefault="008350E6" w:rsidP="00FA01E6">
            <w:pPr>
              <w:jc w:val="center"/>
              <w:rPr>
                <w:color w:val="000000" w:themeColor="text1"/>
              </w:rPr>
            </w:pPr>
            <w:r w:rsidRPr="00F4505B">
              <w:rPr>
                <w:rFonts w:cs="Arial"/>
                <w:color w:val="000000" w:themeColor="text1"/>
                <w:sz w:val="20"/>
                <w:szCs w:val="20"/>
              </w:rPr>
              <w:t>Critical</w:t>
            </w:r>
          </w:p>
        </w:tc>
      </w:tr>
      <w:tr w:rsidR="008350E6" w:rsidRPr="00E977D2" w14:paraId="6880CC99" w14:textId="77777777" w:rsidTr="00FA01E6">
        <w:tc>
          <w:tcPr>
            <w:tcW w:w="1957" w:type="dxa"/>
          </w:tcPr>
          <w:p w14:paraId="10530E77" w14:textId="77777777" w:rsidR="008350E6" w:rsidRPr="00F4505B" w:rsidRDefault="008350E6" w:rsidP="00FA01E6">
            <w:pPr>
              <w:rPr>
                <w:rFonts w:cs="Arial"/>
                <w:b/>
                <w:bCs/>
                <w:color w:val="000000" w:themeColor="text1"/>
                <w:sz w:val="20"/>
                <w:szCs w:val="20"/>
              </w:rPr>
            </w:pPr>
            <w:r w:rsidRPr="00F4505B">
              <w:rPr>
                <w:rFonts w:cs="Arial"/>
                <w:b/>
                <w:bCs/>
                <w:color w:val="000000" w:themeColor="text1"/>
                <w:sz w:val="20"/>
                <w:szCs w:val="20"/>
              </w:rPr>
              <w:t>Cardiovascular events</w:t>
            </w:r>
          </w:p>
        </w:tc>
        <w:tc>
          <w:tcPr>
            <w:tcW w:w="4559" w:type="dxa"/>
          </w:tcPr>
          <w:p w14:paraId="5D5EB628"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Any event that causes damage to the heart muscle or blood vessels. This includes heart disease/failure or stroke, and atrial fibrillation.</w:t>
            </w:r>
          </w:p>
        </w:tc>
        <w:tc>
          <w:tcPr>
            <w:tcW w:w="1530" w:type="dxa"/>
          </w:tcPr>
          <w:p w14:paraId="157F0EF3"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7.5</w:t>
            </w:r>
          </w:p>
        </w:tc>
        <w:tc>
          <w:tcPr>
            <w:tcW w:w="1530" w:type="dxa"/>
          </w:tcPr>
          <w:p w14:paraId="466D41C4" w14:textId="77777777" w:rsidR="008350E6" w:rsidRPr="00F4505B" w:rsidRDefault="008350E6" w:rsidP="00FA01E6">
            <w:pPr>
              <w:jc w:val="center"/>
              <w:rPr>
                <w:color w:val="000000" w:themeColor="text1"/>
              </w:rPr>
            </w:pPr>
            <w:r w:rsidRPr="00F4505B">
              <w:rPr>
                <w:rFonts w:cs="Arial"/>
                <w:color w:val="000000" w:themeColor="text1"/>
                <w:sz w:val="20"/>
                <w:szCs w:val="20"/>
              </w:rPr>
              <w:t>Critical</w:t>
            </w:r>
          </w:p>
        </w:tc>
      </w:tr>
      <w:tr w:rsidR="008350E6" w:rsidRPr="00E977D2" w14:paraId="5DF742FA" w14:textId="77777777" w:rsidTr="00FA01E6">
        <w:tc>
          <w:tcPr>
            <w:tcW w:w="1957" w:type="dxa"/>
          </w:tcPr>
          <w:p w14:paraId="303605F7"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 xml:space="preserve">   Fatal and non-fatal cardiovascular events</w:t>
            </w:r>
          </w:p>
        </w:tc>
        <w:tc>
          <w:tcPr>
            <w:tcW w:w="4559" w:type="dxa"/>
          </w:tcPr>
          <w:p w14:paraId="238F9C4A"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Any event that causes damage to the heart muscle or blood vessels. This includes heart disease or stroke.</w:t>
            </w:r>
          </w:p>
        </w:tc>
        <w:tc>
          <w:tcPr>
            <w:tcW w:w="1530" w:type="dxa"/>
          </w:tcPr>
          <w:p w14:paraId="576B8844"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7.75</w:t>
            </w:r>
          </w:p>
        </w:tc>
        <w:tc>
          <w:tcPr>
            <w:tcW w:w="1530" w:type="dxa"/>
          </w:tcPr>
          <w:p w14:paraId="53577A2F" w14:textId="77777777" w:rsidR="008350E6" w:rsidRPr="00F4505B" w:rsidRDefault="008350E6" w:rsidP="00FA01E6">
            <w:pPr>
              <w:jc w:val="center"/>
              <w:rPr>
                <w:color w:val="000000" w:themeColor="text1"/>
              </w:rPr>
            </w:pPr>
            <w:r w:rsidRPr="00F4505B">
              <w:rPr>
                <w:rFonts w:cs="Arial"/>
                <w:color w:val="000000" w:themeColor="text1"/>
                <w:sz w:val="20"/>
                <w:szCs w:val="20"/>
              </w:rPr>
              <w:t>Critical</w:t>
            </w:r>
          </w:p>
        </w:tc>
      </w:tr>
      <w:tr w:rsidR="008350E6" w:rsidRPr="00E977D2" w14:paraId="09768B5C" w14:textId="77777777" w:rsidTr="00FA01E6">
        <w:tc>
          <w:tcPr>
            <w:tcW w:w="1957" w:type="dxa"/>
          </w:tcPr>
          <w:p w14:paraId="71D14BDB"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 xml:space="preserve">   Atrial fibrillation</w:t>
            </w:r>
          </w:p>
        </w:tc>
        <w:tc>
          <w:tcPr>
            <w:tcW w:w="4559" w:type="dxa"/>
          </w:tcPr>
          <w:p w14:paraId="05580500"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 xml:space="preserve">Abnormal heart beat which can increase the risk of heart disease and stroke. </w:t>
            </w:r>
          </w:p>
        </w:tc>
        <w:tc>
          <w:tcPr>
            <w:tcW w:w="1530" w:type="dxa"/>
          </w:tcPr>
          <w:p w14:paraId="1CC48EF8"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7.75</w:t>
            </w:r>
          </w:p>
        </w:tc>
        <w:tc>
          <w:tcPr>
            <w:tcW w:w="1530" w:type="dxa"/>
          </w:tcPr>
          <w:p w14:paraId="3BAD7BE3" w14:textId="77777777" w:rsidR="008350E6" w:rsidRPr="00F4505B" w:rsidRDefault="008350E6" w:rsidP="00FA01E6">
            <w:pPr>
              <w:jc w:val="center"/>
              <w:rPr>
                <w:color w:val="000000" w:themeColor="text1"/>
              </w:rPr>
            </w:pPr>
            <w:r w:rsidRPr="00F4505B">
              <w:rPr>
                <w:rFonts w:cs="Arial"/>
                <w:color w:val="000000" w:themeColor="text1"/>
                <w:sz w:val="20"/>
                <w:szCs w:val="20"/>
              </w:rPr>
              <w:t>Critical</w:t>
            </w:r>
          </w:p>
        </w:tc>
      </w:tr>
      <w:tr w:rsidR="008350E6" w14:paraId="2E8342B9" w14:textId="77777777" w:rsidTr="00FA01E6">
        <w:tc>
          <w:tcPr>
            <w:tcW w:w="1957" w:type="dxa"/>
          </w:tcPr>
          <w:p w14:paraId="23CCFE5F" w14:textId="77777777" w:rsidR="008350E6" w:rsidRPr="00F4505B" w:rsidRDefault="008350E6" w:rsidP="00FA01E6">
            <w:pPr>
              <w:rPr>
                <w:rFonts w:cs="Arial"/>
                <w:b/>
                <w:bCs/>
                <w:color w:val="000000" w:themeColor="text1"/>
                <w:sz w:val="20"/>
                <w:szCs w:val="20"/>
              </w:rPr>
            </w:pPr>
            <w:r w:rsidRPr="00F4505B">
              <w:rPr>
                <w:rFonts w:cs="Arial"/>
                <w:b/>
                <w:bCs/>
                <w:color w:val="000000" w:themeColor="text1"/>
                <w:sz w:val="20"/>
                <w:szCs w:val="20"/>
              </w:rPr>
              <w:t>Fractures</w:t>
            </w:r>
          </w:p>
        </w:tc>
        <w:tc>
          <w:tcPr>
            <w:tcW w:w="4559" w:type="dxa"/>
          </w:tcPr>
          <w:p w14:paraId="0A4753F6"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 xml:space="preserve">Major bone fracture (break). May be caused by weakening of the bones due to osteoporosis. </w:t>
            </w:r>
          </w:p>
        </w:tc>
        <w:tc>
          <w:tcPr>
            <w:tcW w:w="1530" w:type="dxa"/>
          </w:tcPr>
          <w:p w14:paraId="6D6CC8D9"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7.5</w:t>
            </w:r>
          </w:p>
        </w:tc>
        <w:tc>
          <w:tcPr>
            <w:tcW w:w="1530" w:type="dxa"/>
          </w:tcPr>
          <w:p w14:paraId="01622DCA" w14:textId="77777777" w:rsidR="008350E6" w:rsidRPr="00F4505B" w:rsidRDefault="008350E6" w:rsidP="00FA01E6">
            <w:pPr>
              <w:jc w:val="center"/>
              <w:rPr>
                <w:color w:val="000000" w:themeColor="text1"/>
              </w:rPr>
            </w:pPr>
            <w:r w:rsidRPr="00F4505B">
              <w:rPr>
                <w:rFonts w:cs="Arial"/>
                <w:color w:val="000000" w:themeColor="text1"/>
                <w:sz w:val="20"/>
                <w:szCs w:val="20"/>
              </w:rPr>
              <w:t>Critical</w:t>
            </w:r>
          </w:p>
        </w:tc>
      </w:tr>
      <w:tr w:rsidR="008350E6" w14:paraId="1B8F388A" w14:textId="77777777" w:rsidTr="00FA01E6">
        <w:tc>
          <w:tcPr>
            <w:tcW w:w="1957" w:type="dxa"/>
          </w:tcPr>
          <w:p w14:paraId="7CA390B7" w14:textId="77777777" w:rsidR="008350E6" w:rsidRPr="00F4505B" w:rsidRDefault="008350E6" w:rsidP="00FA01E6">
            <w:pPr>
              <w:rPr>
                <w:rFonts w:cs="Arial"/>
                <w:b/>
                <w:bCs/>
                <w:color w:val="000000" w:themeColor="text1"/>
                <w:sz w:val="20"/>
                <w:szCs w:val="20"/>
              </w:rPr>
            </w:pPr>
            <w:r w:rsidRPr="00F4505B">
              <w:rPr>
                <w:rFonts w:cs="Arial"/>
                <w:b/>
                <w:bCs/>
                <w:color w:val="000000" w:themeColor="text1"/>
                <w:sz w:val="20"/>
                <w:szCs w:val="20"/>
              </w:rPr>
              <w:t>Quality of life</w:t>
            </w:r>
          </w:p>
        </w:tc>
        <w:tc>
          <w:tcPr>
            <w:tcW w:w="4559" w:type="dxa"/>
          </w:tcPr>
          <w:p w14:paraId="29F3BC33"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 xml:space="preserve">A person's overall well-being (includes physical and mental well-being) and ability to enjoy normal life activities. </w:t>
            </w:r>
          </w:p>
        </w:tc>
        <w:tc>
          <w:tcPr>
            <w:tcW w:w="1530" w:type="dxa"/>
          </w:tcPr>
          <w:p w14:paraId="0687A834"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7</w:t>
            </w:r>
          </w:p>
        </w:tc>
        <w:tc>
          <w:tcPr>
            <w:tcW w:w="1530" w:type="dxa"/>
          </w:tcPr>
          <w:p w14:paraId="1D4C84CC" w14:textId="77777777" w:rsidR="008350E6" w:rsidRPr="00F4505B" w:rsidRDefault="008350E6" w:rsidP="00FA01E6">
            <w:pPr>
              <w:jc w:val="center"/>
              <w:rPr>
                <w:color w:val="000000" w:themeColor="text1"/>
              </w:rPr>
            </w:pPr>
            <w:r w:rsidRPr="00F4505B">
              <w:rPr>
                <w:rFonts w:cs="Arial"/>
                <w:color w:val="000000" w:themeColor="text1"/>
                <w:sz w:val="20"/>
                <w:szCs w:val="20"/>
              </w:rPr>
              <w:t>Critical</w:t>
            </w:r>
          </w:p>
        </w:tc>
      </w:tr>
      <w:tr w:rsidR="008350E6" w14:paraId="539AC42E" w14:textId="77777777" w:rsidTr="00FA01E6">
        <w:tc>
          <w:tcPr>
            <w:tcW w:w="1957" w:type="dxa"/>
          </w:tcPr>
          <w:p w14:paraId="6078C2F9"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 xml:space="preserve">   Thyroid-specific QoL</w:t>
            </w:r>
          </w:p>
        </w:tc>
        <w:tc>
          <w:tcPr>
            <w:tcW w:w="4559" w:type="dxa"/>
          </w:tcPr>
          <w:p w14:paraId="13DCB72E"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Quality of life related to thyroid disease symptoms (e.g. fatigue, depression, anxiety, weight gain/loss)</w:t>
            </w:r>
          </w:p>
        </w:tc>
        <w:tc>
          <w:tcPr>
            <w:tcW w:w="1530" w:type="dxa"/>
          </w:tcPr>
          <w:p w14:paraId="156C28B2"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7</w:t>
            </w:r>
          </w:p>
        </w:tc>
        <w:tc>
          <w:tcPr>
            <w:tcW w:w="1530" w:type="dxa"/>
          </w:tcPr>
          <w:p w14:paraId="7161E4FD" w14:textId="77777777" w:rsidR="008350E6" w:rsidRPr="00F4505B" w:rsidRDefault="008350E6" w:rsidP="00FA01E6">
            <w:pPr>
              <w:jc w:val="center"/>
              <w:rPr>
                <w:color w:val="000000" w:themeColor="text1"/>
              </w:rPr>
            </w:pPr>
            <w:r w:rsidRPr="00F4505B">
              <w:rPr>
                <w:rFonts w:cs="Arial"/>
                <w:color w:val="000000" w:themeColor="text1"/>
                <w:sz w:val="20"/>
                <w:szCs w:val="20"/>
              </w:rPr>
              <w:t>Critical</w:t>
            </w:r>
          </w:p>
        </w:tc>
      </w:tr>
      <w:tr w:rsidR="008350E6" w14:paraId="40D94135" w14:textId="77777777" w:rsidTr="00FA01E6">
        <w:tc>
          <w:tcPr>
            <w:tcW w:w="1957" w:type="dxa"/>
          </w:tcPr>
          <w:p w14:paraId="736505BB"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 xml:space="preserve">   Mental well-being</w:t>
            </w:r>
          </w:p>
        </w:tc>
        <w:tc>
          <w:tcPr>
            <w:tcW w:w="4559" w:type="dxa"/>
          </w:tcPr>
          <w:p w14:paraId="0599BBCA"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A person’s psychological and emotional well-being.</w:t>
            </w:r>
          </w:p>
        </w:tc>
        <w:tc>
          <w:tcPr>
            <w:tcW w:w="1530" w:type="dxa"/>
          </w:tcPr>
          <w:p w14:paraId="75C5FABD"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6.75</w:t>
            </w:r>
          </w:p>
        </w:tc>
        <w:tc>
          <w:tcPr>
            <w:tcW w:w="1530" w:type="dxa"/>
          </w:tcPr>
          <w:p w14:paraId="47311401"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Important</w:t>
            </w:r>
          </w:p>
        </w:tc>
      </w:tr>
      <w:tr w:rsidR="008350E6" w14:paraId="33F3D4F7" w14:textId="77777777" w:rsidTr="00FA01E6">
        <w:tc>
          <w:tcPr>
            <w:tcW w:w="1957" w:type="dxa"/>
          </w:tcPr>
          <w:p w14:paraId="69A755BC"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 xml:space="preserve">   Physical well-being</w:t>
            </w:r>
          </w:p>
        </w:tc>
        <w:tc>
          <w:tcPr>
            <w:tcW w:w="4559" w:type="dxa"/>
          </w:tcPr>
          <w:p w14:paraId="5390F213"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 xml:space="preserve">The general good health of the physical body (absence of disease). </w:t>
            </w:r>
          </w:p>
        </w:tc>
        <w:tc>
          <w:tcPr>
            <w:tcW w:w="1530" w:type="dxa"/>
          </w:tcPr>
          <w:p w14:paraId="7AA3A880"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6.5</w:t>
            </w:r>
          </w:p>
        </w:tc>
        <w:tc>
          <w:tcPr>
            <w:tcW w:w="1530" w:type="dxa"/>
          </w:tcPr>
          <w:p w14:paraId="73844263" w14:textId="77777777" w:rsidR="008350E6" w:rsidRPr="00F4505B" w:rsidRDefault="008350E6" w:rsidP="00FA01E6">
            <w:pPr>
              <w:jc w:val="center"/>
              <w:rPr>
                <w:color w:val="000000" w:themeColor="text1"/>
              </w:rPr>
            </w:pPr>
            <w:r w:rsidRPr="00F4505B">
              <w:rPr>
                <w:rFonts w:cs="Arial"/>
                <w:color w:val="000000" w:themeColor="text1"/>
                <w:sz w:val="20"/>
                <w:szCs w:val="20"/>
              </w:rPr>
              <w:t>Important</w:t>
            </w:r>
          </w:p>
        </w:tc>
      </w:tr>
      <w:tr w:rsidR="008350E6" w14:paraId="0B5ED233" w14:textId="77777777" w:rsidTr="00FA01E6">
        <w:tc>
          <w:tcPr>
            <w:tcW w:w="1957" w:type="dxa"/>
          </w:tcPr>
          <w:p w14:paraId="2C3DCB18"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 xml:space="preserve">   General well-being</w:t>
            </w:r>
          </w:p>
        </w:tc>
        <w:tc>
          <w:tcPr>
            <w:tcW w:w="4559" w:type="dxa"/>
          </w:tcPr>
          <w:p w14:paraId="59A51682"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A person's overall physical, mental, and social well-being</w:t>
            </w:r>
          </w:p>
        </w:tc>
        <w:tc>
          <w:tcPr>
            <w:tcW w:w="1530" w:type="dxa"/>
          </w:tcPr>
          <w:p w14:paraId="2D5D5B4F"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6.75</w:t>
            </w:r>
          </w:p>
        </w:tc>
        <w:tc>
          <w:tcPr>
            <w:tcW w:w="1530" w:type="dxa"/>
          </w:tcPr>
          <w:p w14:paraId="7184B69E" w14:textId="77777777" w:rsidR="008350E6" w:rsidRPr="00F4505B" w:rsidRDefault="008350E6" w:rsidP="00FA01E6">
            <w:pPr>
              <w:jc w:val="center"/>
              <w:rPr>
                <w:color w:val="000000" w:themeColor="text1"/>
              </w:rPr>
            </w:pPr>
            <w:r w:rsidRPr="00F4505B">
              <w:rPr>
                <w:rFonts w:cs="Arial"/>
                <w:color w:val="000000" w:themeColor="text1"/>
                <w:sz w:val="20"/>
                <w:szCs w:val="20"/>
              </w:rPr>
              <w:t>Important</w:t>
            </w:r>
          </w:p>
        </w:tc>
      </w:tr>
      <w:tr w:rsidR="008350E6" w14:paraId="681761B5" w14:textId="77777777" w:rsidTr="00FA01E6">
        <w:tc>
          <w:tcPr>
            <w:tcW w:w="1957" w:type="dxa"/>
          </w:tcPr>
          <w:p w14:paraId="4FB29950"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 xml:space="preserve">   Fatigue/tiredness</w:t>
            </w:r>
          </w:p>
        </w:tc>
        <w:tc>
          <w:tcPr>
            <w:tcW w:w="4559" w:type="dxa"/>
          </w:tcPr>
          <w:p w14:paraId="11B0610A"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Tiredness or extreme tiredness (fatigue), typically resulting from mental or physical exertion or illness.</w:t>
            </w:r>
          </w:p>
        </w:tc>
        <w:tc>
          <w:tcPr>
            <w:tcW w:w="1530" w:type="dxa"/>
          </w:tcPr>
          <w:p w14:paraId="36878158"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6.67</w:t>
            </w:r>
          </w:p>
        </w:tc>
        <w:tc>
          <w:tcPr>
            <w:tcW w:w="1530" w:type="dxa"/>
          </w:tcPr>
          <w:p w14:paraId="0779D61A" w14:textId="77777777" w:rsidR="008350E6" w:rsidRPr="00F4505B" w:rsidRDefault="008350E6" w:rsidP="00FA01E6">
            <w:pPr>
              <w:jc w:val="center"/>
              <w:rPr>
                <w:color w:val="000000" w:themeColor="text1"/>
              </w:rPr>
            </w:pPr>
            <w:r w:rsidRPr="00F4505B">
              <w:rPr>
                <w:rFonts w:cs="Arial"/>
                <w:color w:val="000000" w:themeColor="text1"/>
                <w:sz w:val="20"/>
                <w:szCs w:val="20"/>
              </w:rPr>
              <w:t>Important</w:t>
            </w:r>
          </w:p>
        </w:tc>
      </w:tr>
      <w:tr w:rsidR="008350E6" w14:paraId="18BA6005" w14:textId="77777777" w:rsidTr="00FA01E6">
        <w:tc>
          <w:tcPr>
            <w:tcW w:w="1957" w:type="dxa"/>
          </w:tcPr>
          <w:p w14:paraId="640C5AC8" w14:textId="77777777" w:rsidR="008350E6" w:rsidRPr="00F4505B" w:rsidRDefault="008350E6" w:rsidP="00FA01E6">
            <w:pPr>
              <w:rPr>
                <w:rFonts w:cs="Arial"/>
                <w:b/>
                <w:bCs/>
                <w:color w:val="000000" w:themeColor="text1"/>
                <w:sz w:val="20"/>
                <w:szCs w:val="20"/>
              </w:rPr>
            </w:pPr>
            <w:r w:rsidRPr="00F4505B">
              <w:rPr>
                <w:rFonts w:cs="Arial"/>
                <w:b/>
                <w:bCs/>
                <w:color w:val="000000" w:themeColor="text1"/>
                <w:sz w:val="20"/>
                <w:szCs w:val="20"/>
              </w:rPr>
              <w:t>Cognitive function</w:t>
            </w:r>
          </w:p>
        </w:tc>
        <w:tc>
          <w:tcPr>
            <w:tcW w:w="4559" w:type="dxa"/>
          </w:tcPr>
          <w:p w14:paraId="4903986D"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 xml:space="preserve">Mental functions that help us gather and process information. This includes memory, attention, language processing, decision-making and reasoning. </w:t>
            </w:r>
          </w:p>
        </w:tc>
        <w:tc>
          <w:tcPr>
            <w:tcW w:w="1530" w:type="dxa"/>
          </w:tcPr>
          <w:p w14:paraId="29FB6B69"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7.25</w:t>
            </w:r>
          </w:p>
        </w:tc>
        <w:tc>
          <w:tcPr>
            <w:tcW w:w="1530" w:type="dxa"/>
          </w:tcPr>
          <w:p w14:paraId="2D545E82"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Critical</w:t>
            </w:r>
          </w:p>
        </w:tc>
      </w:tr>
      <w:tr w:rsidR="008350E6" w:rsidRPr="00E977D2" w14:paraId="127E67B2" w14:textId="77777777" w:rsidTr="00FA01E6">
        <w:tc>
          <w:tcPr>
            <w:tcW w:w="9576" w:type="dxa"/>
            <w:gridSpan w:val="4"/>
            <w:shd w:val="clear" w:color="auto" w:fill="D9D9D9" w:themeFill="background1" w:themeFillShade="D9"/>
          </w:tcPr>
          <w:p w14:paraId="41025B89" w14:textId="77777777" w:rsidR="008350E6" w:rsidRPr="00F4505B" w:rsidRDefault="008350E6" w:rsidP="00FA01E6">
            <w:pPr>
              <w:rPr>
                <w:color w:val="000000" w:themeColor="text1"/>
                <w:sz w:val="20"/>
                <w:szCs w:val="20"/>
              </w:rPr>
            </w:pPr>
            <w:r w:rsidRPr="00F4505B">
              <w:rPr>
                <w:rFonts w:cs="Arial"/>
                <w:b/>
                <w:bCs/>
                <w:color w:val="000000" w:themeColor="text1"/>
                <w:sz w:val="20"/>
                <w:szCs w:val="20"/>
              </w:rPr>
              <w:t>Intermediate Outcomes</w:t>
            </w:r>
          </w:p>
        </w:tc>
      </w:tr>
      <w:tr w:rsidR="008350E6" w:rsidRPr="00E977D2" w14:paraId="559BC290" w14:textId="77777777" w:rsidTr="00FA01E6">
        <w:tc>
          <w:tcPr>
            <w:tcW w:w="1957" w:type="dxa"/>
          </w:tcPr>
          <w:p w14:paraId="165CD1BD" w14:textId="77777777" w:rsidR="008350E6" w:rsidRPr="00F4505B" w:rsidRDefault="008350E6" w:rsidP="00FA01E6">
            <w:pPr>
              <w:rPr>
                <w:rFonts w:cs="Arial"/>
                <w:b/>
                <w:bCs/>
                <w:color w:val="000000" w:themeColor="text1"/>
                <w:sz w:val="20"/>
                <w:szCs w:val="20"/>
              </w:rPr>
            </w:pPr>
            <w:r w:rsidRPr="00F4505B">
              <w:rPr>
                <w:rFonts w:cs="Arial"/>
                <w:b/>
                <w:bCs/>
                <w:color w:val="000000" w:themeColor="text1"/>
                <w:sz w:val="20"/>
                <w:szCs w:val="20"/>
              </w:rPr>
              <w:t>Bone mineral density</w:t>
            </w:r>
          </w:p>
        </w:tc>
        <w:tc>
          <w:tcPr>
            <w:tcW w:w="4559" w:type="dxa"/>
          </w:tcPr>
          <w:p w14:paraId="01E6EA60"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Bone mineral density (BMD) is a measure of the amount of minerals (e.g. calcium) in your bones. Low calcium levels may indicate osteoporosis or weakening of the bones. BMD is measured by X-ray of the hip and spine.</w:t>
            </w:r>
          </w:p>
        </w:tc>
        <w:tc>
          <w:tcPr>
            <w:tcW w:w="1530" w:type="dxa"/>
          </w:tcPr>
          <w:p w14:paraId="12BA0685"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5.25</w:t>
            </w:r>
          </w:p>
        </w:tc>
        <w:tc>
          <w:tcPr>
            <w:tcW w:w="1530" w:type="dxa"/>
          </w:tcPr>
          <w:p w14:paraId="0598E527" w14:textId="77777777" w:rsidR="008350E6" w:rsidRPr="00F4505B" w:rsidRDefault="008350E6" w:rsidP="00FA01E6">
            <w:pPr>
              <w:jc w:val="center"/>
              <w:rPr>
                <w:color w:val="000000" w:themeColor="text1"/>
              </w:rPr>
            </w:pPr>
            <w:r w:rsidRPr="00F4505B">
              <w:rPr>
                <w:rFonts w:cs="Arial"/>
                <w:color w:val="000000" w:themeColor="text1"/>
                <w:sz w:val="20"/>
                <w:szCs w:val="20"/>
              </w:rPr>
              <w:t>Important</w:t>
            </w:r>
          </w:p>
        </w:tc>
      </w:tr>
      <w:tr w:rsidR="008350E6" w:rsidRPr="00E977D2" w14:paraId="71C76B5D" w14:textId="77777777" w:rsidTr="00FA01E6">
        <w:tc>
          <w:tcPr>
            <w:tcW w:w="1957" w:type="dxa"/>
          </w:tcPr>
          <w:p w14:paraId="5383ED65" w14:textId="77777777" w:rsidR="008350E6" w:rsidRPr="00F4505B" w:rsidRDefault="008350E6" w:rsidP="00FA01E6">
            <w:pPr>
              <w:rPr>
                <w:rFonts w:cs="Arial"/>
                <w:b/>
                <w:bCs/>
                <w:color w:val="000000" w:themeColor="text1"/>
                <w:sz w:val="20"/>
                <w:szCs w:val="20"/>
              </w:rPr>
            </w:pPr>
            <w:r w:rsidRPr="00F4505B">
              <w:rPr>
                <w:rFonts w:cs="Arial"/>
                <w:b/>
                <w:bCs/>
                <w:color w:val="000000" w:themeColor="text1"/>
                <w:sz w:val="20"/>
                <w:szCs w:val="20"/>
              </w:rPr>
              <w:t>Cholesterol/Lipid Levels</w:t>
            </w:r>
          </w:p>
        </w:tc>
        <w:tc>
          <w:tcPr>
            <w:tcW w:w="4559" w:type="dxa"/>
          </w:tcPr>
          <w:p w14:paraId="073728CA"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A measurement of the cholesterol and lipid (fat) levels in the blood. This can be used to identify your risk of coronary heart disease. Includes measures of total cholesterol, low-density lipoprotein, high-density lipoprotein, and tr</w:t>
            </w:r>
            <w:r w:rsidR="00FA01E6" w:rsidRPr="00F4505B">
              <w:rPr>
                <w:rFonts w:cs="Arial"/>
                <w:color w:val="000000" w:themeColor="text1"/>
                <w:sz w:val="20"/>
                <w:szCs w:val="20"/>
              </w:rPr>
              <w:t>i</w:t>
            </w:r>
            <w:r w:rsidRPr="00F4505B">
              <w:rPr>
                <w:rFonts w:cs="Arial"/>
                <w:color w:val="000000" w:themeColor="text1"/>
                <w:sz w:val="20"/>
                <w:szCs w:val="20"/>
              </w:rPr>
              <w:t>glyceride levels in the blood.</w:t>
            </w:r>
          </w:p>
        </w:tc>
        <w:tc>
          <w:tcPr>
            <w:tcW w:w="1530" w:type="dxa"/>
          </w:tcPr>
          <w:p w14:paraId="6A2492D7"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4.75</w:t>
            </w:r>
          </w:p>
        </w:tc>
        <w:tc>
          <w:tcPr>
            <w:tcW w:w="1530" w:type="dxa"/>
          </w:tcPr>
          <w:p w14:paraId="18222A8F" w14:textId="77777777" w:rsidR="008350E6" w:rsidRPr="00F4505B" w:rsidRDefault="008350E6" w:rsidP="00FA01E6">
            <w:pPr>
              <w:jc w:val="center"/>
              <w:rPr>
                <w:color w:val="000000" w:themeColor="text1"/>
              </w:rPr>
            </w:pPr>
            <w:r w:rsidRPr="00F4505B">
              <w:rPr>
                <w:rFonts w:cs="Arial"/>
                <w:color w:val="000000" w:themeColor="text1"/>
                <w:sz w:val="20"/>
                <w:szCs w:val="20"/>
              </w:rPr>
              <w:t>Important</w:t>
            </w:r>
          </w:p>
        </w:tc>
      </w:tr>
      <w:tr w:rsidR="008350E6" w:rsidRPr="00E977D2" w14:paraId="5B64C0FF" w14:textId="77777777" w:rsidTr="00FA01E6">
        <w:tc>
          <w:tcPr>
            <w:tcW w:w="1957" w:type="dxa"/>
          </w:tcPr>
          <w:p w14:paraId="0A6ED091" w14:textId="77777777" w:rsidR="008350E6" w:rsidRPr="00F4505B" w:rsidRDefault="008350E6" w:rsidP="00FA01E6">
            <w:pPr>
              <w:rPr>
                <w:rFonts w:cs="Arial"/>
                <w:b/>
                <w:bCs/>
                <w:color w:val="000000" w:themeColor="text1"/>
                <w:sz w:val="20"/>
                <w:szCs w:val="20"/>
              </w:rPr>
            </w:pPr>
            <w:r w:rsidRPr="00F4505B">
              <w:rPr>
                <w:rFonts w:cs="Arial"/>
                <w:b/>
                <w:bCs/>
                <w:color w:val="000000" w:themeColor="text1"/>
                <w:sz w:val="20"/>
                <w:szCs w:val="20"/>
              </w:rPr>
              <w:lastRenderedPageBreak/>
              <w:t>Blood Pressure</w:t>
            </w:r>
          </w:p>
        </w:tc>
        <w:tc>
          <w:tcPr>
            <w:tcW w:w="4559" w:type="dxa"/>
          </w:tcPr>
          <w:p w14:paraId="5843EEDD"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Blood pressure is the strength of your blood pushing against the sides of your blood vessels. High blood pressure means that your heart is working harder to pump blood and it is a risk factor for cardiovascular disease. Includes measures for systolic and diastolic blood pressure.</w:t>
            </w:r>
          </w:p>
        </w:tc>
        <w:tc>
          <w:tcPr>
            <w:tcW w:w="1530" w:type="dxa"/>
          </w:tcPr>
          <w:p w14:paraId="412F8A39"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5.75</w:t>
            </w:r>
          </w:p>
        </w:tc>
        <w:tc>
          <w:tcPr>
            <w:tcW w:w="1530" w:type="dxa"/>
          </w:tcPr>
          <w:p w14:paraId="57D682CC" w14:textId="77777777" w:rsidR="008350E6" w:rsidRPr="00F4505B" w:rsidRDefault="008350E6" w:rsidP="00FA01E6">
            <w:pPr>
              <w:jc w:val="center"/>
              <w:rPr>
                <w:color w:val="000000" w:themeColor="text1"/>
              </w:rPr>
            </w:pPr>
            <w:r w:rsidRPr="00F4505B">
              <w:rPr>
                <w:rFonts w:cs="Arial"/>
                <w:color w:val="000000" w:themeColor="text1"/>
                <w:sz w:val="20"/>
                <w:szCs w:val="20"/>
              </w:rPr>
              <w:t>Important</w:t>
            </w:r>
          </w:p>
        </w:tc>
      </w:tr>
      <w:tr w:rsidR="008350E6" w:rsidRPr="00E977D2" w14:paraId="79C94410" w14:textId="77777777" w:rsidTr="00FA01E6">
        <w:tc>
          <w:tcPr>
            <w:tcW w:w="1957" w:type="dxa"/>
          </w:tcPr>
          <w:p w14:paraId="434CDE43" w14:textId="77777777" w:rsidR="008350E6" w:rsidRPr="00F4505B" w:rsidRDefault="008350E6" w:rsidP="00FA01E6">
            <w:pPr>
              <w:rPr>
                <w:rFonts w:cs="Arial"/>
                <w:b/>
                <w:bCs/>
                <w:color w:val="000000" w:themeColor="text1"/>
                <w:sz w:val="20"/>
                <w:szCs w:val="20"/>
              </w:rPr>
            </w:pPr>
            <w:r w:rsidRPr="00F4505B">
              <w:rPr>
                <w:rFonts w:cs="Arial"/>
                <w:b/>
                <w:bCs/>
                <w:color w:val="000000" w:themeColor="text1"/>
                <w:sz w:val="20"/>
                <w:szCs w:val="20"/>
              </w:rPr>
              <w:t>Weight Change</w:t>
            </w:r>
          </w:p>
        </w:tc>
        <w:tc>
          <w:tcPr>
            <w:tcW w:w="4559" w:type="dxa"/>
          </w:tcPr>
          <w:p w14:paraId="76F79231"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A change in body weight due to increased or decreased fat deposits, muscle mass or fluid, usually measured as changes in body mass index (BMI). There are many health effects associated with high weight gain and loss.</w:t>
            </w:r>
          </w:p>
        </w:tc>
        <w:tc>
          <w:tcPr>
            <w:tcW w:w="1530" w:type="dxa"/>
          </w:tcPr>
          <w:p w14:paraId="12B06A8C"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4.5</w:t>
            </w:r>
          </w:p>
        </w:tc>
        <w:tc>
          <w:tcPr>
            <w:tcW w:w="1530" w:type="dxa"/>
          </w:tcPr>
          <w:p w14:paraId="14F4435F"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Important</w:t>
            </w:r>
          </w:p>
        </w:tc>
      </w:tr>
      <w:tr w:rsidR="008350E6" w:rsidRPr="00E977D2" w14:paraId="547AEE81" w14:textId="77777777" w:rsidTr="00FA01E6">
        <w:tc>
          <w:tcPr>
            <w:tcW w:w="9576" w:type="dxa"/>
            <w:gridSpan w:val="4"/>
            <w:shd w:val="clear" w:color="auto" w:fill="D9D9D9" w:themeFill="background1" w:themeFillShade="D9"/>
          </w:tcPr>
          <w:p w14:paraId="39450EA0" w14:textId="77777777" w:rsidR="008350E6" w:rsidRPr="00F4505B" w:rsidRDefault="008350E6" w:rsidP="00FA01E6">
            <w:pPr>
              <w:rPr>
                <w:rFonts w:cs="Arial"/>
                <w:b/>
                <w:bCs/>
                <w:color w:val="000000" w:themeColor="text1"/>
                <w:sz w:val="20"/>
                <w:szCs w:val="20"/>
              </w:rPr>
            </w:pPr>
            <w:r w:rsidRPr="00F4505B">
              <w:rPr>
                <w:rFonts w:cs="Arial"/>
                <w:b/>
                <w:bCs/>
                <w:color w:val="000000" w:themeColor="text1"/>
                <w:sz w:val="20"/>
                <w:szCs w:val="20"/>
              </w:rPr>
              <w:t>Harms</w:t>
            </w:r>
          </w:p>
          <w:p w14:paraId="294EF0DC" w14:textId="77777777" w:rsidR="008350E6" w:rsidRPr="00F4505B" w:rsidRDefault="008350E6" w:rsidP="00FA01E6">
            <w:pPr>
              <w:rPr>
                <w:rFonts w:ascii="Arial" w:hAnsi="Arial" w:cs="Arial"/>
                <w:color w:val="000000" w:themeColor="text1"/>
              </w:rPr>
            </w:pPr>
            <w:r w:rsidRPr="00F4505B">
              <w:rPr>
                <w:rFonts w:ascii="Arial" w:hAnsi="Arial" w:cs="Arial"/>
                <w:color w:val="000000" w:themeColor="text1"/>
              </w:rPr>
              <w:t> </w:t>
            </w:r>
          </w:p>
        </w:tc>
      </w:tr>
      <w:tr w:rsidR="008350E6" w:rsidRPr="00E977D2" w14:paraId="6F689F93" w14:textId="77777777" w:rsidTr="00FA01E6">
        <w:tc>
          <w:tcPr>
            <w:tcW w:w="1957" w:type="dxa"/>
          </w:tcPr>
          <w:p w14:paraId="0B1CA8C1" w14:textId="77777777" w:rsidR="008350E6" w:rsidRPr="00F4505B" w:rsidRDefault="009F3018" w:rsidP="00FA01E6">
            <w:pPr>
              <w:rPr>
                <w:rFonts w:cs="Arial"/>
                <w:b/>
                <w:bCs/>
                <w:color w:val="000000" w:themeColor="text1"/>
                <w:sz w:val="20"/>
                <w:szCs w:val="20"/>
              </w:rPr>
            </w:pPr>
            <w:r>
              <w:rPr>
                <w:rFonts w:cs="Arial"/>
                <w:b/>
                <w:bCs/>
                <w:color w:val="000000" w:themeColor="text1"/>
                <w:sz w:val="20"/>
                <w:szCs w:val="20"/>
              </w:rPr>
              <w:t>Harms</w:t>
            </w:r>
            <w:r w:rsidR="008350E6" w:rsidRPr="00F4505B">
              <w:rPr>
                <w:rFonts w:cs="Arial"/>
                <w:b/>
                <w:bCs/>
                <w:color w:val="000000" w:themeColor="text1"/>
                <w:sz w:val="20"/>
                <w:szCs w:val="20"/>
              </w:rPr>
              <w:t xml:space="preserve"> due to Treatment</w:t>
            </w:r>
          </w:p>
        </w:tc>
        <w:tc>
          <w:tcPr>
            <w:tcW w:w="4559" w:type="dxa"/>
          </w:tcPr>
          <w:p w14:paraId="65829814"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Experiencing unpleasant or harmful side effects or symptoms due to treatment</w:t>
            </w:r>
          </w:p>
        </w:tc>
        <w:tc>
          <w:tcPr>
            <w:tcW w:w="1530" w:type="dxa"/>
          </w:tcPr>
          <w:p w14:paraId="5E11184C"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7</w:t>
            </w:r>
          </w:p>
        </w:tc>
        <w:tc>
          <w:tcPr>
            <w:tcW w:w="1530" w:type="dxa"/>
          </w:tcPr>
          <w:p w14:paraId="50DDFE10"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Critical</w:t>
            </w:r>
          </w:p>
        </w:tc>
      </w:tr>
      <w:tr w:rsidR="008350E6" w:rsidRPr="00E977D2" w14:paraId="5C0481FB" w14:textId="77777777" w:rsidTr="00FA01E6">
        <w:tc>
          <w:tcPr>
            <w:tcW w:w="1957" w:type="dxa"/>
          </w:tcPr>
          <w:p w14:paraId="1BBEBC98" w14:textId="77777777" w:rsidR="008350E6" w:rsidRPr="00F4505B" w:rsidRDefault="008350E6" w:rsidP="00FA01E6">
            <w:pPr>
              <w:rPr>
                <w:rFonts w:cs="Arial"/>
                <w:b/>
                <w:bCs/>
                <w:color w:val="000000" w:themeColor="text1"/>
                <w:sz w:val="20"/>
                <w:szCs w:val="20"/>
              </w:rPr>
            </w:pPr>
            <w:r w:rsidRPr="00F4505B">
              <w:rPr>
                <w:rFonts w:cs="Arial"/>
                <w:b/>
                <w:bCs/>
                <w:color w:val="000000" w:themeColor="text1"/>
                <w:sz w:val="20"/>
                <w:szCs w:val="20"/>
              </w:rPr>
              <w:t>Harms Due to Screening</w:t>
            </w:r>
          </w:p>
        </w:tc>
        <w:tc>
          <w:tcPr>
            <w:tcW w:w="4559" w:type="dxa"/>
          </w:tcPr>
          <w:p w14:paraId="7F55E629"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Adverse events due to the screening test and subsequent follow-up and treatment. These may include psychological effects, harms of workup, overdiagnosis and overtreatment.</w:t>
            </w:r>
          </w:p>
        </w:tc>
        <w:tc>
          <w:tcPr>
            <w:tcW w:w="1530" w:type="dxa"/>
          </w:tcPr>
          <w:p w14:paraId="1D6BB606"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6.75</w:t>
            </w:r>
          </w:p>
        </w:tc>
        <w:tc>
          <w:tcPr>
            <w:tcW w:w="1530" w:type="dxa"/>
          </w:tcPr>
          <w:p w14:paraId="4832B2DC"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Important</w:t>
            </w:r>
          </w:p>
        </w:tc>
      </w:tr>
      <w:tr w:rsidR="008350E6" w:rsidRPr="00E977D2" w14:paraId="4B0A04E7" w14:textId="77777777" w:rsidTr="00FA01E6">
        <w:tc>
          <w:tcPr>
            <w:tcW w:w="9576" w:type="dxa"/>
            <w:gridSpan w:val="4"/>
            <w:shd w:val="clear" w:color="auto" w:fill="D9D9D9" w:themeFill="background1" w:themeFillShade="D9"/>
          </w:tcPr>
          <w:p w14:paraId="33FB4EC7" w14:textId="77777777" w:rsidR="008350E6" w:rsidRPr="00F4505B" w:rsidRDefault="008350E6" w:rsidP="00FA01E6">
            <w:pPr>
              <w:rPr>
                <w:rFonts w:cs="Arial"/>
                <w:b/>
                <w:color w:val="000000" w:themeColor="text1"/>
                <w:sz w:val="20"/>
                <w:szCs w:val="20"/>
              </w:rPr>
            </w:pPr>
            <w:r w:rsidRPr="00F4505B">
              <w:rPr>
                <w:rFonts w:cs="Arial"/>
                <w:b/>
                <w:color w:val="000000" w:themeColor="text1"/>
                <w:sz w:val="20"/>
                <w:szCs w:val="20"/>
              </w:rPr>
              <w:t>Patient preferences and values towards screening</w:t>
            </w:r>
          </w:p>
        </w:tc>
      </w:tr>
      <w:tr w:rsidR="008350E6" w:rsidRPr="00E977D2" w14:paraId="3B149205" w14:textId="77777777" w:rsidTr="00FA01E6">
        <w:tc>
          <w:tcPr>
            <w:tcW w:w="1957" w:type="dxa"/>
          </w:tcPr>
          <w:p w14:paraId="5A6AFF3D" w14:textId="77777777" w:rsidR="008350E6" w:rsidRPr="00F4505B" w:rsidRDefault="008350E6" w:rsidP="00FA01E6">
            <w:pPr>
              <w:rPr>
                <w:rFonts w:cs="Arial"/>
                <w:b/>
                <w:bCs/>
                <w:color w:val="000000" w:themeColor="text1"/>
                <w:sz w:val="20"/>
                <w:szCs w:val="20"/>
              </w:rPr>
            </w:pPr>
            <w:r w:rsidRPr="00F4505B">
              <w:rPr>
                <w:rFonts w:cs="Arial"/>
                <w:b/>
                <w:bCs/>
                <w:color w:val="000000" w:themeColor="text1"/>
                <w:sz w:val="20"/>
                <w:szCs w:val="20"/>
              </w:rPr>
              <w:t>Patient Values and Preferences for Screening</w:t>
            </w:r>
          </w:p>
        </w:tc>
        <w:tc>
          <w:tcPr>
            <w:tcW w:w="4559" w:type="dxa"/>
          </w:tcPr>
          <w:p w14:paraId="55CEA186" w14:textId="77777777" w:rsidR="008350E6" w:rsidRPr="00F4505B" w:rsidRDefault="005C7EDD" w:rsidP="00FA01E6">
            <w:pPr>
              <w:rPr>
                <w:rFonts w:cs="Arial"/>
                <w:color w:val="000000" w:themeColor="text1"/>
                <w:sz w:val="20"/>
                <w:szCs w:val="20"/>
              </w:rPr>
            </w:pPr>
            <w:r w:rsidRPr="00F4505B">
              <w:rPr>
                <w:rFonts w:cs="Arial"/>
                <w:color w:val="000000" w:themeColor="text1"/>
                <w:sz w:val="20"/>
                <w:szCs w:val="20"/>
              </w:rPr>
              <w:t>Patient views of the</w:t>
            </w:r>
            <w:r w:rsidR="008350E6" w:rsidRPr="00F4505B">
              <w:rPr>
                <w:rFonts w:cs="Arial"/>
                <w:color w:val="000000" w:themeColor="text1"/>
                <w:sz w:val="20"/>
                <w:szCs w:val="20"/>
              </w:rPr>
              <w:t xml:space="preserve"> relative benefits and harms of screening, and what factors patients consider when deciding whether to undergo screening.</w:t>
            </w:r>
          </w:p>
        </w:tc>
        <w:tc>
          <w:tcPr>
            <w:tcW w:w="1530" w:type="dxa"/>
          </w:tcPr>
          <w:p w14:paraId="73176DC4"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N/A</w:t>
            </w:r>
          </w:p>
        </w:tc>
        <w:tc>
          <w:tcPr>
            <w:tcW w:w="1530" w:type="dxa"/>
          </w:tcPr>
          <w:p w14:paraId="64DADB1B" w14:textId="77777777" w:rsidR="008350E6" w:rsidRPr="00F4505B" w:rsidRDefault="008350E6" w:rsidP="00FA01E6">
            <w:pPr>
              <w:jc w:val="center"/>
              <w:rPr>
                <w:color w:val="000000" w:themeColor="text1"/>
              </w:rPr>
            </w:pPr>
            <w:r w:rsidRPr="00F4505B">
              <w:rPr>
                <w:rFonts w:cs="Arial"/>
                <w:color w:val="000000" w:themeColor="text1"/>
                <w:sz w:val="20"/>
                <w:szCs w:val="20"/>
              </w:rPr>
              <w:t>N/A</w:t>
            </w:r>
          </w:p>
        </w:tc>
      </w:tr>
      <w:tr w:rsidR="008350E6" w:rsidRPr="00E977D2" w14:paraId="60604E15" w14:textId="77777777" w:rsidTr="00FA01E6">
        <w:tc>
          <w:tcPr>
            <w:tcW w:w="1957" w:type="dxa"/>
          </w:tcPr>
          <w:p w14:paraId="1F32A348"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 xml:space="preserve">   Willingness to be screened</w:t>
            </w:r>
          </w:p>
        </w:tc>
        <w:tc>
          <w:tcPr>
            <w:tcW w:w="4559" w:type="dxa"/>
          </w:tcPr>
          <w:p w14:paraId="74AED659"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A patient's readiness or interest in being screened.</w:t>
            </w:r>
          </w:p>
        </w:tc>
        <w:tc>
          <w:tcPr>
            <w:tcW w:w="1530" w:type="dxa"/>
          </w:tcPr>
          <w:p w14:paraId="72620253"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N/A</w:t>
            </w:r>
          </w:p>
        </w:tc>
        <w:tc>
          <w:tcPr>
            <w:tcW w:w="1530" w:type="dxa"/>
          </w:tcPr>
          <w:p w14:paraId="35001CDE" w14:textId="77777777" w:rsidR="008350E6" w:rsidRPr="00F4505B" w:rsidRDefault="008350E6" w:rsidP="00FA01E6">
            <w:pPr>
              <w:jc w:val="center"/>
              <w:rPr>
                <w:color w:val="000000" w:themeColor="text1"/>
              </w:rPr>
            </w:pPr>
            <w:r w:rsidRPr="00F4505B">
              <w:rPr>
                <w:rFonts w:cs="Arial"/>
                <w:color w:val="000000" w:themeColor="text1"/>
                <w:sz w:val="20"/>
                <w:szCs w:val="20"/>
              </w:rPr>
              <w:t>N/A</w:t>
            </w:r>
          </w:p>
        </w:tc>
      </w:tr>
      <w:tr w:rsidR="008350E6" w:rsidRPr="00E977D2" w14:paraId="3E57423D" w14:textId="77777777" w:rsidTr="00FA01E6">
        <w:tc>
          <w:tcPr>
            <w:tcW w:w="1957" w:type="dxa"/>
          </w:tcPr>
          <w:p w14:paraId="69A068DF"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 xml:space="preserve">   Factors considered in decision to be screened </w:t>
            </w:r>
          </w:p>
        </w:tc>
        <w:tc>
          <w:tcPr>
            <w:tcW w:w="4559" w:type="dxa"/>
          </w:tcPr>
          <w:p w14:paraId="49E42CC5" w14:textId="77777777" w:rsidR="008350E6" w:rsidRPr="00F4505B" w:rsidRDefault="008350E6" w:rsidP="00FA01E6">
            <w:pPr>
              <w:rPr>
                <w:rFonts w:cs="Arial"/>
                <w:color w:val="000000" w:themeColor="text1"/>
                <w:sz w:val="20"/>
                <w:szCs w:val="20"/>
              </w:rPr>
            </w:pPr>
            <w:r w:rsidRPr="00F4505B">
              <w:rPr>
                <w:rFonts w:cs="Arial"/>
                <w:color w:val="000000" w:themeColor="text1"/>
                <w:sz w:val="20"/>
                <w:szCs w:val="20"/>
              </w:rPr>
              <w:t>What components of screening do patients place more value on when deciding whether to be screened or not.</w:t>
            </w:r>
          </w:p>
        </w:tc>
        <w:tc>
          <w:tcPr>
            <w:tcW w:w="1530" w:type="dxa"/>
          </w:tcPr>
          <w:p w14:paraId="519661C6" w14:textId="77777777" w:rsidR="008350E6" w:rsidRPr="00F4505B" w:rsidRDefault="008350E6" w:rsidP="00FA01E6">
            <w:pPr>
              <w:jc w:val="center"/>
              <w:rPr>
                <w:rFonts w:cs="Arial"/>
                <w:color w:val="000000" w:themeColor="text1"/>
                <w:sz w:val="20"/>
                <w:szCs w:val="20"/>
              </w:rPr>
            </w:pPr>
            <w:r w:rsidRPr="00F4505B">
              <w:rPr>
                <w:rFonts w:cs="Arial"/>
                <w:color w:val="000000" w:themeColor="text1"/>
                <w:sz w:val="20"/>
                <w:szCs w:val="20"/>
              </w:rPr>
              <w:t>N/A</w:t>
            </w:r>
          </w:p>
        </w:tc>
        <w:tc>
          <w:tcPr>
            <w:tcW w:w="1530" w:type="dxa"/>
          </w:tcPr>
          <w:p w14:paraId="1131CB77" w14:textId="77777777" w:rsidR="008350E6" w:rsidRPr="00F4505B" w:rsidRDefault="008350E6" w:rsidP="00FA01E6">
            <w:pPr>
              <w:jc w:val="center"/>
              <w:rPr>
                <w:color w:val="000000" w:themeColor="text1"/>
              </w:rPr>
            </w:pPr>
            <w:r w:rsidRPr="00F4505B">
              <w:rPr>
                <w:rFonts w:cs="Arial"/>
                <w:color w:val="000000" w:themeColor="text1"/>
                <w:sz w:val="20"/>
                <w:szCs w:val="20"/>
              </w:rPr>
              <w:t>N/A</w:t>
            </w:r>
          </w:p>
        </w:tc>
      </w:tr>
      <w:tr w:rsidR="008350E6" w:rsidRPr="00E977D2" w14:paraId="4F4348F8" w14:textId="77777777" w:rsidTr="00FA01E6">
        <w:tc>
          <w:tcPr>
            <w:tcW w:w="9576" w:type="dxa"/>
            <w:gridSpan w:val="4"/>
            <w:shd w:val="clear" w:color="auto" w:fill="D9D9D9" w:themeFill="background1" w:themeFillShade="D9"/>
          </w:tcPr>
          <w:p w14:paraId="3494E5DE" w14:textId="77777777" w:rsidR="008350E6" w:rsidRPr="003A3F9F" w:rsidRDefault="008350E6" w:rsidP="00FA01E6">
            <w:pPr>
              <w:rPr>
                <w:rFonts w:cs="Arial"/>
                <w:b/>
                <w:color w:val="000000" w:themeColor="text1"/>
                <w:sz w:val="20"/>
                <w:szCs w:val="20"/>
              </w:rPr>
            </w:pPr>
            <w:r w:rsidRPr="003A3F9F">
              <w:rPr>
                <w:rFonts w:cs="Arial"/>
                <w:b/>
                <w:color w:val="000000" w:themeColor="text1"/>
                <w:sz w:val="20"/>
                <w:szCs w:val="20"/>
              </w:rPr>
              <w:t>Cost effectiveness of screening</w:t>
            </w:r>
          </w:p>
        </w:tc>
      </w:tr>
      <w:tr w:rsidR="008350E6" w:rsidRPr="00E977D2" w14:paraId="56419ADE" w14:textId="77777777" w:rsidTr="00FA01E6">
        <w:tc>
          <w:tcPr>
            <w:tcW w:w="1957" w:type="dxa"/>
          </w:tcPr>
          <w:p w14:paraId="63532B55" w14:textId="77777777" w:rsidR="008350E6" w:rsidRPr="003A3F9F" w:rsidRDefault="008350E6" w:rsidP="00FA01E6">
            <w:pPr>
              <w:rPr>
                <w:rFonts w:cs="Arial"/>
                <w:b/>
                <w:bCs/>
                <w:color w:val="000000" w:themeColor="text1"/>
                <w:sz w:val="20"/>
                <w:szCs w:val="20"/>
              </w:rPr>
            </w:pPr>
            <w:r w:rsidRPr="003A3F9F">
              <w:rPr>
                <w:rFonts w:cs="Arial"/>
                <w:b/>
                <w:bCs/>
                <w:color w:val="000000" w:themeColor="text1"/>
                <w:sz w:val="20"/>
                <w:szCs w:val="20"/>
              </w:rPr>
              <w:t>Cost effectiveness of screening</w:t>
            </w:r>
          </w:p>
        </w:tc>
        <w:tc>
          <w:tcPr>
            <w:tcW w:w="4559" w:type="dxa"/>
          </w:tcPr>
          <w:p w14:paraId="08B24289" w14:textId="77777777" w:rsidR="008350E6" w:rsidRPr="003A3F9F" w:rsidRDefault="008350E6" w:rsidP="004F1625">
            <w:pPr>
              <w:rPr>
                <w:rFonts w:cs="Arial"/>
                <w:color w:val="000000" w:themeColor="text1"/>
                <w:sz w:val="20"/>
                <w:szCs w:val="20"/>
              </w:rPr>
            </w:pPr>
            <w:r w:rsidRPr="003A3F9F">
              <w:rPr>
                <w:rFonts w:cs="Arial"/>
                <w:color w:val="000000" w:themeColor="text1"/>
                <w:sz w:val="20"/>
                <w:szCs w:val="20"/>
              </w:rPr>
              <w:t xml:space="preserve">Cost effectiveness </w:t>
            </w:r>
            <w:r w:rsidR="005C7EDD" w:rsidRPr="003A3F9F">
              <w:rPr>
                <w:rFonts w:cs="Arial"/>
                <w:color w:val="000000" w:themeColor="text1"/>
                <w:sz w:val="20"/>
                <w:szCs w:val="20"/>
              </w:rPr>
              <w:t xml:space="preserve">analysis </w:t>
            </w:r>
            <w:r w:rsidRPr="003A3F9F">
              <w:rPr>
                <w:rFonts w:cs="Arial"/>
                <w:color w:val="000000" w:themeColor="text1"/>
                <w:sz w:val="20"/>
                <w:szCs w:val="20"/>
              </w:rPr>
              <w:t>compares the relative costs associated with screening</w:t>
            </w:r>
            <w:r w:rsidR="002E6AD8" w:rsidRPr="003A3F9F">
              <w:rPr>
                <w:rFonts w:cs="Arial"/>
                <w:color w:val="000000" w:themeColor="text1"/>
                <w:sz w:val="20"/>
                <w:szCs w:val="20"/>
              </w:rPr>
              <w:t xml:space="preserve"> to</w:t>
            </w:r>
            <w:r w:rsidRPr="003A3F9F">
              <w:rPr>
                <w:rFonts w:cs="Arial"/>
                <w:color w:val="000000" w:themeColor="text1"/>
                <w:sz w:val="20"/>
                <w:szCs w:val="20"/>
              </w:rPr>
              <w:t xml:space="preserve"> the health outcomes</w:t>
            </w:r>
            <w:r w:rsidR="002E6AD8" w:rsidRPr="003A3F9F">
              <w:rPr>
                <w:rFonts w:cs="Arial"/>
                <w:color w:val="000000" w:themeColor="text1"/>
                <w:sz w:val="20"/>
                <w:szCs w:val="20"/>
              </w:rPr>
              <w:t xml:space="preserve"> </w:t>
            </w:r>
          </w:p>
        </w:tc>
        <w:tc>
          <w:tcPr>
            <w:tcW w:w="1530" w:type="dxa"/>
          </w:tcPr>
          <w:p w14:paraId="39AF2F67" w14:textId="77777777" w:rsidR="008350E6" w:rsidRPr="003A3F9F" w:rsidRDefault="008350E6" w:rsidP="00FA01E6">
            <w:pPr>
              <w:jc w:val="center"/>
              <w:rPr>
                <w:rFonts w:cs="Arial"/>
                <w:color w:val="000000" w:themeColor="text1"/>
                <w:sz w:val="20"/>
                <w:szCs w:val="20"/>
              </w:rPr>
            </w:pPr>
            <w:r w:rsidRPr="003A3F9F">
              <w:rPr>
                <w:rFonts w:cs="Arial"/>
                <w:color w:val="000000" w:themeColor="text1"/>
                <w:sz w:val="20"/>
                <w:szCs w:val="20"/>
              </w:rPr>
              <w:t>N/A</w:t>
            </w:r>
          </w:p>
        </w:tc>
        <w:tc>
          <w:tcPr>
            <w:tcW w:w="1530" w:type="dxa"/>
          </w:tcPr>
          <w:p w14:paraId="10BA4DA6" w14:textId="77777777" w:rsidR="008350E6" w:rsidRPr="003A3F9F" w:rsidRDefault="008350E6" w:rsidP="00FA01E6">
            <w:pPr>
              <w:jc w:val="center"/>
              <w:rPr>
                <w:rFonts w:cs="Arial"/>
                <w:color w:val="000000" w:themeColor="text1"/>
                <w:sz w:val="20"/>
                <w:szCs w:val="20"/>
              </w:rPr>
            </w:pPr>
            <w:r w:rsidRPr="003A3F9F">
              <w:rPr>
                <w:rFonts w:cs="Arial"/>
                <w:color w:val="000000" w:themeColor="text1"/>
                <w:sz w:val="20"/>
                <w:szCs w:val="20"/>
              </w:rPr>
              <w:t>N/A</w:t>
            </w:r>
          </w:p>
        </w:tc>
      </w:tr>
    </w:tbl>
    <w:p w14:paraId="2DDF0E04" w14:textId="77777777" w:rsidR="00D2440A" w:rsidRDefault="00D2440A" w:rsidP="001328F0">
      <w:pPr>
        <w:spacing w:after="0" w:line="240" w:lineRule="auto"/>
        <w:rPr>
          <w:b/>
        </w:rPr>
      </w:pPr>
    </w:p>
    <w:p w14:paraId="61298159" w14:textId="77777777" w:rsidR="00A652A8" w:rsidRDefault="00A652A8" w:rsidP="00D2440A">
      <w:pPr>
        <w:sectPr w:rsidR="00A652A8" w:rsidSect="00FA01E6">
          <w:pgSz w:w="12240" w:h="15840"/>
          <w:pgMar w:top="1440" w:right="1440" w:bottom="1440" w:left="1440" w:header="708" w:footer="708" w:gutter="0"/>
          <w:lnNumType w:countBy="1" w:restart="continuous"/>
          <w:cols w:space="708"/>
          <w:docGrid w:linePitch="360"/>
        </w:sectPr>
      </w:pPr>
    </w:p>
    <w:p w14:paraId="105421A1" w14:textId="3A5BD2FF" w:rsidR="00A652A8" w:rsidRPr="00B94C53" w:rsidRDefault="00A652A8" w:rsidP="00B94C53">
      <w:pPr>
        <w:pStyle w:val="Heading1"/>
        <w:rPr>
          <w:rFonts w:cs="Arial"/>
          <w:sz w:val="24"/>
          <w:szCs w:val="24"/>
        </w:rPr>
      </w:pPr>
      <w:bookmarkStart w:id="3" w:name="_Toc532829299"/>
      <w:r w:rsidRPr="00B94C53">
        <w:rPr>
          <w:sz w:val="24"/>
          <w:szCs w:val="24"/>
        </w:rPr>
        <w:lastRenderedPageBreak/>
        <w:t xml:space="preserve">Appendix </w:t>
      </w:r>
      <w:r w:rsidR="00B50B35">
        <w:rPr>
          <w:sz w:val="24"/>
          <w:szCs w:val="24"/>
        </w:rPr>
        <w:t>4</w:t>
      </w:r>
      <w:r w:rsidRPr="00B94C53">
        <w:rPr>
          <w:sz w:val="24"/>
          <w:szCs w:val="24"/>
        </w:rPr>
        <w:t xml:space="preserve">. </w:t>
      </w:r>
      <w:r w:rsidRPr="00B94C53">
        <w:rPr>
          <w:rFonts w:cs="Arial"/>
          <w:sz w:val="24"/>
          <w:szCs w:val="24"/>
        </w:rPr>
        <w:t>Additional information used for interpretation of findings by outcome and any clinically important thresholds used to assess the GRADE domain of imprecision for this review</w:t>
      </w:r>
      <w:bookmarkEnd w:id="3"/>
    </w:p>
    <w:p w14:paraId="069ADF5B" w14:textId="77777777" w:rsidR="00A652A8" w:rsidRDefault="00A652A8" w:rsidP="00B94C53">
      <w:pPr>
        <w:spacing w:after="0"/>
      </w:pPr>
    </w:p>
    <w:p w14:paraId="7E774C91" w14:textId="77777777" w:rsidR="00A652A8" w:rsidRDefault="00A652A8" w:rsidP="00B94C53">
      <w:pPr>
        <w:spacing w:after="0"/>
        <w:rPr>
          <w:b/>
          <w:u w:val="single"/>
        </w:rPr>
      </w:pPr>
      <w:r>
        <w:rPr>
          <w:b/>
          <w:u w:val="single"/>
        </w:rPr>
        <w:t>Clinical Outcomes</w:t>
      </w:r>
    </w:p>
    <w:tbl>
      <w:tblPr>
        <w:tblW w:w="5000" w:type="pct"/>
        <w:tblCellMar>
          <w:top w:w="28" w:type="dxa"/>
          <w:left w:w="28" w:type="dxa"/>
          <w:bottom w:w="28" w:type="dxa"/>
          <w:right w:w="28" w:type="dxa"/>
        </w:tblCellMar>
        <w:tblLook w:val="04A0" w:firstRow="1" w:lastRow="0" w:firstColumn="1" w:lastColumn="0" w:noHBand="0" w:noVBand="1"/>
      </w:tblPr>
      <w:tblGrid>
        <w:gridCol w:w="2499"/>
        <w:gridCol w:w="1378"/>
        <w:gridCol w:w="1694"/>
        <w:gridCol w:w="2103"/>
        <w:gridCol w:w="5266"/>
      </w:tblGrid>
      <w:tr w:rsidR="00A652A8" w:rsidRPr="006913ED" w14:paraId="08021347" w14:textId="77777777" w:rsidTr="00B94C53">
        <w:trPr>
          <w:tblHeader/>
        </w:trPr>
        <w:tc>
          <w:tcPr>
            <w:tcW w:w="967" w:type="pct"/>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bottom"/>
            <w:hideMark/>
          </w:tcPr>
          <w:p w14:paraId="41C164D1" w14:textId="77777777" w:rsidR="00A652A8" w:rsidRPr="006913ED" w:rsidRDefault="00A652A8" w:rsidP="00B94C53">
            <w:pPr>
              <w:spacing w:after="0"/>
              <w:rPr>
                <w:rFonts w:cs="Arial"/>
                <w:b/>
                <w:bCs/>
                <w:sz w:val="20"/>
                <w:szCs w:val="20"/>
              </w:rPr>
            </w:pPr>
            <w:r w:rsidRPr="006913ED">
              <w:rPr>
                <w:rFonts w:cs="Arial"/>
                <w:b/>
                <w:bCs/>
                <w:sz w:val="20"/>
                <w:szCs w:val="20"/>
              </w:rPr>
              <w:t>Clinical outcomes</w:t>
            </w:r>
          </w:p>
        </w:tc>
        <w:tc>
          <w:tcPr>
            <w:tcW w:w="526" w:type="pct"/>
            <w:tcBorders>
              <w:top w:val="single" w:sz="8" w:space="0" w:color="auto"/>
              <w:left w:val="nil"/>
              <w:bottom w:val="single" w:sz="8" w:space="0" w:color="auto"/>
              <w:right w:val="single" w:sz="4" w:space="0" w:color="auto"/>
            </w:tcBorders>
            <w:shd w:val="clear" w:color="auto" w:fill="F2F2F2"/>
            <w:tcMar>
              <w:top w:w="0" w:type="dxa"/>
              <w:left w:w="108" w:type="dxa"/>
              <w:bottom w:w="0" w:type="dxa"/>
              <w:right w:w="108" w:type="dxa"/>
            </w:tcMar>
            <w:hideMark/>
          </w:tcPr>
          <w:p w14:paraId="33456F6E" w14:textId="77777777" w:rsidR="00A652A8" w:rsidRPr="006913ED" w:rsidRDefault="00A652A8" w:rsidP="00B94C53">
            <w:pPr>
              <w:spacing w:after="0"/>
              <w:jc w:val="center"/>
              <w:rPr>
                <w:rFonts w:cs="Arial"/>
                <w:b/>
                <w:bCs/>
                <w:sz w:val="20"/>
                <w:szCs w:val="20"/>
              </w:rPr>
            </w:pPr>
            <w:r w:rsidRPr="006913ED">
              <w:rPr>
                <w:rFonts w:cs="Arial"/>
                <w:b/>
                <w:bCs/>
                <w:sz w:val="20"/>
                <w:szCs w:val="20"/>
              </w:rPr>
              <w:t>Unit of measurement</w:t>
            </w:r>
          </w:p>
        </w:tc>
        <w:tc>
          <w:tcPr>
            <w:tcW w:w="656" w:type="pct"/>
            <w:tcBorders>
              <w:top w:val="single" w:sz="4" w:space="0" w:color="auto"/>
              <w:left w:val="single" w:sz="4" w:space="0" w:color="auto"/>
              <w:bottom w:val="single" w:sz="8" w:space="0" w:color="auto"/>
              <w:right w:val="single" w:sz="4" w:space="0" w:color="auto"/>
            </w:tcBorders>
            <w:shd w:val="clear" w:color="auto" w:fill="F2F2F2"/>
          </w:tcPr>
          <w:p w14:paraId="09D0B012" w14:textId="77777777" w:rsidR="00A652A8" w:rsidRPr="006913ED" w:rsidRDefault="00A652A8" w:rsidP="00B94C53">
            <w:pPr>
              <w:spacing w:after="0"/>
              <w:jc w:val="center"/>
              <w:rPr>
                <w:rFonts w:cs="Arial"/>
                <w:b/>
                <w:bCs/>
                <w:sz w:val="20"/>
                <w:szCs w:val="20"/>
              </w:rPr>
            </w:pPr>
            <w:r w:rsidRPr="006913ED">
              <w:rPr>
                <w:rFonts w:cs="Arial"/>
                <w:b/>
                <w:bCs/>
                <w:sz w:val="20"/>
                <w:szCs w:val="20"/>
              </w:rPr>
              <w:t>Range of possible values and/or directionality of effect</w:t>
            </w:r>
          </w:p>
        </w:tc>
        <w:tc>
          <w:tcPr>
            <w:tcW w:w="814" w:type="pct"/>
            <w:tcBorders>
              <w:top w:val="single" w:sz="8" w:space="0" w:color="auto"/>
              <w:left w:val="single" w:sz="4" w:space="0" w:color="auto"/>
              <w:bottom w:val="single" w:sz="8" w:space="0" w:color="auto"/>
              <w:right w:val="single" w:sz="8" w:space="0" w:color="auto"/>
            </w:tcBorders>
            <w:shd w:val="clear" w:color="auto" w:fill="F2F2F2"/>
            <w:tcMar>
              <w:top w:w="0" w:type="dxa"/>
              <w:left w:w="108" w:type="dxa"/>
              <w:bottom w:w="0" w:type="dxa"/>
              <w:right w:w="108" w:type="dxa"/>
            </w:tcMar>
            <w:hideMark/>
          </w:tcPr>
          <w:p w14:paraId="25FF659A" w14:textId="77777777" w:rsidR="00A652A8" w:rsidRPr="006913ED" w:rsidRDefault="00A652A8" w:rsidP="00B94C53">
            <w:pPr>
              <w:spacing w:after="0"/>
              <w:jc w:val="center"/>
              <w:rPr>
                <w:rFonts w:cs="Arial"/>
                <w:b/>
                <w:bCs/>
                <w:sz w:val="20"/>
                <w:szCs w:val="20"/>
              </w:rPr>
            </w:pPr>
            <w:r w:rsidRPr="006913ED">
              <w:rPr>
                <w:rFonts w:cs="Arial"/>
                <w:b/>
                <w:bCs/>
                <w:sz w:val="20"/>
                <w:szCs w:val="20"/>
              </w:rPr>
              <w:t>Clinically-important difference between treated and untreated groups</w:t>
            </w:r>
          </w:p>
        </w:tc>
        <w:tc>
          <w:tcPr>
            <w:tcW w:w="2036" w:type="pct"/>
            <w:tcBorders>
              <w:top w:val="single" w:sz="8" w:space="0" w:color="auto"/>
              <w:left w:val="nil"/>
              <w:bottom w:val="single" w:sz="8" w:space="0" w:color="auto"/>
              <w:right w:val="single" w:sz="8" w:space="0" w:color="auto"/>
            </w:tcBorders>
            <w:shd w:val="clear" w:color="auto" w:fill="F2F2F2"/>
          </w:tcPr>
          <w:p w14:paraId="51E98E39" w14:textId="77777777" w:rsidR="00A652A8" w:rsidRPr="006913ED" w:rsidRDefault="00A652A8" w:rsidP="00B94C53">
            <w:pPr>
              <w:spacing w:after="0"/>
              <w:jc w:val="center"/>
              <w:rPr>
                <w:rFonts w:cs="Arial"/>
                <w:b/>
                <w:bCs/>
                <w:sz w:val="20"/>
                <w:szCs w:val="20"/>
              </w:rPr>
            </w:pPr>
            <w:r w:rsidRPr="006913ED">
              <w:rPr>
                <w:rFonts w:cs="Arial"/>
                <w:b/>
                <w:bCs/>
                <w:sz w:val="20"/>
                <w:szCs w:val="20"/>
              </w:rPr>
              <w:t xml:space="preserve">Reference (if available) or justification for clinically important threshold </w:t>
            </w:r>
          </w:p>
        </w:tc>
      </w:tr>
      <w:tr w:rsidR="00A652A8" w:rsidRPr="006913ED" w14:paraId="7311F2E3" w14:textId="77777777" w:rsidTr="00B94C53">
        <w:tc>
          <w:tcPr>
            <w:tcW w:w="9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AA33DA" w14:textId="77777777" w:rsidR="00A652A8" w:rsidRPr="006913ED" w:rsidRDefault="00A652A8" w:rsidP="00B94C53">
            <w:pPr>
              <w:spacing w:after="0"/>
              <w:rPr>
                <w:rFonts w:cs="Arial"/>
                <w:b/>
                <w:bCs/>
                <w:sz w:val="20"/>
                <w:szCs w:val="20"/>
              </w:rPr>
            </w:pPr>
            <w:r w:rsidRPr="006913ED">
              <w:rPr>
                <w:rFonts w:cs="Arial"/>
                <w:b/>
                <w:bCs/>
                <w:sz w:val="20"/>
                <w:szCs w:val="20"/>
              </w:rPr>
              <w:t>Mortality</w:t>
            </w:r>
          </w:p>
        </w:tc>
        <w:tc>
          <w:tcPr>
            <w:tcW w:w="526" w:type="pct"/>
            <w:tcBorders>
              <w:top w:val="nil"/>
              <w:left w:val="nil"/>
              <w:bottom w:val="single" w:sz="8" w:space="0" w:color="auto"/>
              <w:right w:val="single" w:sz="4" w:space="0" w:color="auto"/>
            </w:tcBorders>
            <w:tcMar>
              <w:top w:w="0" w:type="dxa"/>
              <w:left w:w="108" w:type="dxa"/>
              <w:bottom w:w="0" w:type="dxa"/>
              <w:right w:w="108" w:type="dxa"/>
            </w:tcMar>
          </w:tcPr>
          <w:p w14:paraId="669420B6" w14:textId="77777777" w:rsidR="00A652A8" w:rsidRPr="006913ED" w:rsidRDefault="00A652A8" w:rsidP="00B94C53">
            <w:pPr>
              <w:spacing w:after="0"/>
              <w:jc w:val="center"/>
              <w:rPr>
                <w:rFonts w:cs="Arial"/>
                <w:b/>
                <w:bCs/>
                <w:sz w:val="20"/>
                <w:szCs w:val="20"/>
              </w:rPr>
            </w:pPr>
          </w:p>
        </w:tc>
        <w:tc>
          <w:tcPr>
            <w:tcW w:w="656" w:type="pct"/>
            <w:tcBorders>
              <w:top w:val="single" w:sz="8" w:space="0" w:color="auto"/>
              <w:left w:val="single" w:sz="4" w:space="0" w:color="auto"/>
              <w:bottom w:val="single" w:sz="8" w:space="0" w:color="auto"/>
              <w:right w:val="single" w:sz="4" w:space="0" w:color="auto"/>
            </w:tcBorders>
          </w:tcPr>
          <w:p w14:paraId="5BB7E33F" w14:textId="77777777" w:rsidR="00A652A8" w:rsidRPr="006913ED" w:rsidRDefault="00A652A8" w:rsidP="00B94C53">
            <w:pPr>
              <w:spacing w:after="0"/>
              <w:jc w:val="center"/>
              <w:rPr>
                <w:rFonts w:cs="Arial"/>
                <w:b/>
                <w:bCs/>
                <w:sz w:val="20"/>
                <w:szCs w:val="20"/>
              </w:rPr>
            </w:pPr>
          </w:p>
        </w:tc>
        <w:tc>
          <w:tcPr>
            <w:tcW w:w="814" w:type="pct"/>
            <w:tcBorders>
              <w:top w:val="nil"/>
              <w:left w:val="single" w:sz="4" w:space="0" w:color="auto"/>
              <w:bottom w:val="single" w:sz="8" w:space="0" w:color="auto"/>
              <w:right w:val="single" w:sz="8" w:space="0" w:color="auto"/>
            </w:tcBorders>
            <w:tcMar>
              <w:top w:w="0" w:type="dxa"/>
              <w:left w:w="108" w:type="dxa"/>
              <w:bottom w:w="0" w:type="dxa"/>
              <w:right w:w="108" w:type="dxa"/>
            </w:tcMar>
          </w:tcPr>
          <w:p w14:paraId="3895CEC4" w14:textId="77777777" w:rsidR="00A652A8" w:rsidRPr="006913ED" w:rsidRDefault="00A652A8" w:rsidP="00B94C53">
            <w:pPr>
              <w:spacing w:after="0"/>
              <w:jc w:val="center"/>
              <w:rPr>
                <w:rFonts w:cs="Arial"/>
                <w:bCs/>
                <w:i/>
                <w:sz w:val="20"/>
                <w:szCs w:val="20"/>
              </w:rPr>
            </w:pPr>
          </w:p>
        </w:tc>
        <w:tc>
          <w:tcPr>
            <w:tcW w:w="2036" w:type="pct"/>
            <w:tcBorders>
              <w:top w:val="nil"/>
              <w:left w:val="nil"/>
              <w:bottom w:val="single" w:sz="8" w:space="0" w:color="auto"/>
              <w:right w:val="single" w:sz="8" w:space="0" w:color="auto"/>
            </w:tcBorders>
          </w:tcPr>
          <w:p w14:paraId="6629F7BD" w14:textId="77777777" w:rsidR="00A652A8" w:rsidRPr="006913ED" w:rsidRDefault="00A652A8" w:rsidP="00B94C53">
            <w:pPr>
              <w:spacing w:after="0"/>
              <w:rPr>
                <w:rFonts w:cs="Arial"/>
                <w:b/>
                <w:bCs/>
                <w:sz w:val="20"/>
                <w:szCs w:val="20"/>
              </w:rPr>
            </w:pPr>
          </w:p>
        </w:tc>
      </w:tr>
      <w:tr w:rsidR="00A652A8" w:rsidRPr="006913ED" w14:paraId="5BBE69F6" w14:textId="77777777" w:rsidTr="00B94C53">
        <w:tc>
          <w:tcPr>
            <w:tcW w:w="9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9FD784" w14:textId="77777777" w:rsidR="00A652A8" w:rsidRPr="006913ED" w:rsidRDefault="00A652A8" w:rsidP="00B94C53">
            <w:pPr>
              <w:spacing w:after="0"/>
              <w:rPr>
                <w:rFonts w:cs="Arial"/>
                <w:sz w:val="20"/>
                <w:szCs w:val="20"/>
              </w:rPr>
            </w:pPr>
            <w:r w:rsidRPr="006913ED">
              <w:rPr>
                <w:rFonts w:cs="Arial"/>
                <w:sz w:val="20"/>
                <w:szCs w:val="20"/>
              </w:rPr>
              <w:t xml:space="preserve">   Includes all-cause mortality and deaths due to cardiovascular diseases</w:t>
            </w:r>
          </w:p>
        </w:tc>
        <w:tc>
          <w:tcPr>
            <w:tcW w:w="526" w:type="pct"/>
            <w:tcBorders>
              <w:top w:val="nil"/>
              <w:left w:val="nil"/>
              <w:bottom w:val="single" w:sz="8" w:space="0" w:color="auto"/>
              <w:right w:val="single" w:sz="4" w:space="0" w:color="auto"/>
            </w:tcBorders>
            <w:tcMar>
              <w:top w:w="0" w:type="dxa"/>
              <w:left w:w="108" w:type="dxa"/>
              <w:bottom w:w="0" w:type="dxa"/>
              <w:right w:w="108" w:type="dxa"/>
            </w:tcMar>
          </w:tcPr>
          <w:p w14:paraId="191BAFE8" w14:textId="77777777" w:rsidR="00A652A8" w:rsidRPr="006913ED" w:rsidRDefault="00A652A8" w:rsidP="00B94C53">
            <w:pPr>
              <w:spacing w:after="0"/>
              <w:jc w:val="center"/>
              <w:rPr>
                <w:rFonts w:cs="Arial"/>
                <w:sz w:val="20"/>
                <w:szCs w:val="20"/>
              </w:rPr>
            </w:pPr>
            <w:r w:rsidRPr="006913ED">
              <w:rPr>
                <w:rFonts w:cs="Arial"/>
                <w:sz w:val="20"/>
                <w:szCs w:val="20"/>
              </w:rPr>
              <w:t># events / 1000</w:t>
            </w:r>
          </w:p>
        </w:tc>
        <w:tc>
          <w:tcPr>
            <w:tcW w:w="656" w:type="pct"/>
            <w:tcBorders>
              <w:top w:val="single" w:sz="8" w:space="0" w:color="auto"/>
              <w:left w:val="single" w:sz="4" w:space="0" w:color="auto"/>
              <w:bottom w:val="single" w:sz="8" w:space="0" w:color="auto"/>
              <w:right w:val="single" w:sz="4" w:space="0" w:color="auto"/>
            </w:tcBorders>
          </w:tcPr>
          <w:p w14:paraId="56381FA9" w14:textId="77777777" w:rsidR="00A652A8" w:rsidRPr="006913ED" w:rsidRDefault="00A652A8" w:rsidP="00B94C53">
            <w:pPr>
              <w:spacing w:after="0"/>
              <w:jc w:val="center"/>
              <w:rPr>
                <w:rFonts w:cs="Arial"/>
                <w:sz w:val="20"/>
                <w:szCs w:val="20"/>
              </w:rPr>
            </w:pPr>
            <w:r w:rsidRPr="006913ED">
              <w:rPr>
                <w:rFonts w:cs="Arial"/>
                <w:sz w:val="20"/>
                <w:szCs w:val="20"/>
              </w:rPr>
              <w:t>0 to 1000</w:t>
            </w:r>
          </w:p>
        </w:tc>
        <w:tc>
          <w:tcPr>
            <w:tcW w:w="814" w:type="pct"/>
            <w:tcBorders>
              <w:top w:val="nil"/>
              <w:left w:val="single" w:sz="4" w:space="0" w:color="auto"/>
              <w:bottom w:val="single" w:sz="8" w:space="0" w:color="auto"/>
              <w:right w:val="single" w:sz="8" w:space="0" w:color="auto"/>
            </w:tcBorders>
            <w:tcMar>
              <w:top w:w="0" w:type="dxa"/>
              <w:left w:w="108" w:type="dxa"/>
              <w:bottom w:w="0" w:type="dxa"/>
              <w:right w:w="108" w:type="dxa"/>
            </w:tcMar>
          </w:tcPr>
          <w:p w14:paraId="42238211" w14:textId="77777777" w:rsidR="00A652A8" w:rsidRPr="006913ED" w:rsidRDefault="00A652A8" w:rsidP="00B94C53">
            <w:pPr>
              <w:spacing w:after="0"/>
              <w:jc w:val="center"/>
              <w:rPr>
                <w:rFonts w:cs="Arial"/>
                <w:sz w:val="20"/>
                <w:szCs w:val="20"/>
              </w:rPr>
            </w:pPr>
            <w:r w:rsidRPr="006913ED">
              <w:rPr>
                <w:rFonts w:cs="Arial"/>
                <w:sz w:val="20"/>
                <w:szCs w:val="20"/>
              </w:rPr>
              <w:t>An increase of ≥1 death</w:t>
            </w:r>
          </w:p>
        </w:tc>
        <w:tc>
          <w:tcPr>
            <w:tcW w:w="2036" w:type="pct"/>
            <w:tcBorders>
              <w:top w:val="nil"/>
              <w:left w:val="nil"/>
              <w:bottom w:val="single" w:sz="8" w:space="0" w:color="auto"/>
              <w:right w:val="single" w:sz="8" w:space="0" w:color="auto"/>
            </w:tcBorders>
          </w:tcPr>
          <w:p w14:paraId="6741A0B0" w14:textId="77777777" w:rsidR="00A652A8" w:rsidRPr="006913ED" w:rsidRDefault="00A652A8" w:rsidP="00B94C53">
            <w:pPr>
              <w:spacing w:after="0"/>
              <w:rPr>
                <w:rFonts w:cs="Arial"/>
                <w:sz w:val="20"/>
                <w:szCs w:val="20"/>
              </w:rPr>
            </w:pPr>
            <w:r w:rsidRPr="006913ED">
              <w:rPr>
                <w:rFonts w:cs="Arial"/>
                <w:sz w:val="20"/>
                <w:szCs w:val="20"/>
              </w:rPr>
              <w:t>Patients will not want to increase their chances of dying</w:t>
            </w:r>
          </w:p>
        </w:tc>
      </w:tr>
      <w:tr w:rsidR="00A652A8" w:rsidRPr="006913ED" w14:paraId="5C437DFC" w14:textId="77777777" w:rsidTr="00B94C53">
        <w:tc>
          <w:tcPr>
            <w:tcW w:w="9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F3DD08" w14:textId="77777777" w:rsidR="00A652A8" w:rsidRPr="006913ED" w:rsidRDefault="00A652A8" w:rsidP="00B94C53">
            <w:pPr>
              <w:spacing w:after="0"/>
              <w:rPr>
                <w:rFonts w:cs="Arial"/>
                <w:b/>
                <w:bCs/>
                <w:sz w:val="20"/>
                <w:szCs w:val="20"/>
              </w:rPr>
            </w:pPr>
            <w:r w:rsidRPr="006913ED">
              <w:rPr>
                <w:rFonts w:cs="Arial"/>
                <w:b/>
                <w:bCs/>
                <w:sz w:val="20"/>
                <w:szCs w:val="20"/>
              </w:rPr>
              <w:t>Cardiovascular events:</w:t>
            </w:r>
          </w:p>
        </w:tc>
        <w:tc>
          <w:tcPr>
            <w:tcW w:w="526" w:type="pct"/>
            <w:tcBorders>
              <w:top w:val="nil"/>
              <w:left w:val="nil"/>
              <w:bottom w:val="single" w:sz="8" w:space="0" w:color="auto"/>
              <w:right w:val="single" w:sz="4" w:space="0" w:color="auto"/>
            </w:tcBorders>
            <w:tcMar>
              <w:top w:w="0" w:type="dxa"/>
              <w:left w:w="108" w:type="dxa"/>
              <w:bottom w:w="0" w:type="dxa"/>
              <w:right w:w="108" w:type="dxa"/>
            </w:tcMar>
          </w:tcPr>
          <w:p w14:paraId="50734D81" w14:textId="77777777" w:rsidR="00A652A8" w:rsidRPr="006913ED" w:rsidRDefault="00A652A8" w:rsidP="00B94C53">
            <w:pPr>
              <w:spacing w:after="0"/>
              <w:jc w:val="center"/>
              <w:rPr>
                <w:rFonts w:cs="Arial"/>
                <w:b/>
                <w:bCs/>
                <w:sz w:val="20"/>
                <w:szCs w:val="20"/>
              </w:rPr>
            </w:pPr>
          </w:p>
        </w:tc>
        <w:tc>
          <w:tcPr>
            <w:tcW w:w="656" w:type="pct"/>
            <w:tcBorders>
              <w:top w:val="single" w:sz="8" w:space="0" w:color="auto"/>
              <w:left w:val="single" w:sz="4" w:space="0" w:color="auto"/>
              <w:bottom w:val="single" w:sz="8" w:space="0" w:color="auto"/>
              <w:right w:val="single" w:sz="4" w:space="0" w:color="auto"/>
            </w:tcBorders>
          </w:tcPr>
          <w:p w14:paraId="72712048" w14:textId="77777777" w:rsidR="00A652A8" w:rsidRPr="006913ED" w:rsidRDefault="00A652A8" w:rsidP="00B94C53">
            <w:pPr>
              <w:spacing w:after="0"/>
              <w:jc w:val="center"/>
              <w:rPr>
                <w:rFonts w:cs="Arial"/>
                <w:b/>
                <w:bCs/>
                <w:sz w:val="20"/>
                <w:szCs w:val="20"/>
              </w:rPr>
            </w:pPr>
          </w:p>
        </w:tc>
        <w:tc>
          <w:tcPr>
            <w:tcW w:w="814" w:type="pct"/>
            <w:tcBorders>
              <w:top w:val="nil"/>
              <w:left w:val="single" w:sz="4" w:space="0" w:color="auto"/>
              <w:bottom w:val="single" w:sz="8" w:space="0" w:color="auto"/>
              <w:right w:val="single" w:sz="8" w:space="0" w:color="auto"/>
            </w:tcBorders>
            <w:tcMar>
              <w:top w:w="0" w:type="dxa"/>
              <w:left w:w="108" w:type="dxa"/>
              <w:bottom w:w="0" w:type="dxa"/>
              <w:right w:w="108" w:type="dxa"/>
            </w:tcMar>
          </w:tcPr>
          <w:p w14:paraId="78F062DD" w14:textId="77777777" w:rsidR="00A652A8" w:rsidRPr="006913ED" w:rsidRDefault="00A652A8" w:rsidP="00B94C53">
            <w:pPr>
              <w:spacing w:after="0"/>
              <w:jc w:val="center"/>
              <w:rPr>
                <w:rFonts w:cs="Arial"/>
                <w:b/>
                <w:bCs/>
                <w:sz w:val="20"/>
                <w:szCs w:val="20"/>
              </w:rPr>
            </w:pPr>
          </w:p>
        </w:tc>
        <w:tc>
          <w:tcPr>
            <w:tcW w:w="2036" w:type="pct"/>
            <w:tcBorders>
              <w:top w:val="nil"/>
              <w:left w:val="nil"/>
              <w:bottom w:val="single" w:sz="8" w:space="0" w:color="auto"/>
              <w:right w:val="single" w:sz="8" w:space="0" w:color="auto"/>
            </w:tcBorders>
          </w:tcPr>
          <w:p w14:paraId="390DAA1A" w14:textId="77777777" w:rsidR="00A652A8" w:rsidRPr="006913ED" w:rsidRDefault="00A652A8" w:rsidP="00B94C53">
            <w:pPr>
              <w:spacing w:after="0"/>
              <w:rPr>
                <w:rFonts w:cs="Arial"/>
                <w:b/>
                <w:bCs/>
                <w:sz w:val="20"/>
                <w:szCs w:val="20"/>
              </w:rPr>
            </w:pPr>
          </w:p>
        </w:tc>
      </w:tr>
      <w:tr w:rsidR="00A652A8" w:rsidRPr="006913ED" w14:paraId="36D1F194" w14:textId="77777777" w:rsidTr="00B94C53">
        <w:tc>
          <w:tcPr>
            <w:tcW w:w="9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4524E2" w14:textId="77777777" w:rsidR="00A652A8" w:rsidRPr="006913ED" w:rsidRDefault="00A652A8" w:rsidP="00B94C53">
            <w:pPr>
              <w:spacing w:after="0"/>
              <w:rPr>
                <w:rFonts w:cs="Arial"/>
                <w:sz w:val="20"/>
                <w:szCs w:val="20"/>
              </w:rPr>
            </w:pPr>
            <w:r w:rsidRPr="006913ED">
              <w:rPr>
                <w:rFonts w:cs="Arial"/>
                <w:sz w:val="20"/>
                <w:szCs w:val="20"/>
              </w:rPr>
              <w:t xml:space="preserve">   Fatal and non-fatal cardiovascular events (not including atrial fibrillation)</w:t>
            </w:r>
          </w:p>
        </w:tc>
        <w:tc>
          <w:tcPr>
            <w:tcW w:w="526" w:type="pct"/>
            <w:tcBorders>
              <w:top w:val="nil"/>
              <w:left w:val="nil"/>
              <w:bottom w:val="single" w:sz="8" w:space="0" w:color="auto"/>
              <w:right w:val="single" w:sz="4" w:space="0" w:color="auto"/>
            </w:tcBorders>
            <w:tcMar>
              <w:top w:w="0" w:type="dxa"/>
              <w:left w:w="108" w:type="dxa"/>
              <w:bottom w:w="0" w:type="dxa"/>
              <w:right w:w="108" w:type="dxa"/>
            </w:tcMar>
          </w:tcPr>
          <w:p w14:paraId="0BA4C101" w14:textId="77777777" w:rsidR="00A652A8" w:rsidRPr="006913ED" w:rsidRDefault="00A652A8" w:rsidP="00B94C53">
            <w:pPr>
              <w:spacing w:after="0"/>
              <w:jc w:val="center"/>
              <w:rPr>
                <w:rFonts w:cs="Arial"/>
                <w:sz w:val="20"/>
                <w:szCs w:val="20"/>
              </w:rPr>
            </w:pPr>
            <w:r w:rsidRPr="006913ED">
              <w:rPr>
                <w:rFonts w:cs="Arial"/>
                <w:sz w:val="20"/>
                <w:szCs w:val="20"/>
              </w:rPr>
              <w:t># events / 1000</w:t>
            </w:r>
          </w:p>
        </w:tc>
        <w:tc>
          <w:tcPr>
            <w:tcW w:w="656" w:type="pct"/>
            <w:tcBorders>
              <w:top w:val="single" w:sz="8" w:space="0" w:color="auto"/>
              <w:left w:val="single" w:sz="4" w:space="0" w:color="auto"/>
              <w:bottom w:val="single" w:sz="8" w:space="0" w:color="auto"/>
              <w:right w:val="single" w:sz="4" w:space="0" w:color="auto"/>
            </w:tcBorders>
          </w:tcPr>
          <w:p w14:paraId="4A8D011B" w14:textId="77777777" w:rsidR="00A652A8" w:rsidRPr="006913ED" w:rsidRDefault="00A652A8" w:rsidP="00B94C53">
            <w:pPr>
              <w:spacing w:after="0"/>
              <w:jc w:val="center"/>
              <w:rPr>
                <w:sz w:val="20"/>
                <w:szCs w:val="20"/>
              </w:rPr>
            </w:pPr>
            <w:r w:rsidRPr="006913ED">
              <w:rPr>
                <w:rFonts w:cs="Arial"/>
                <w:sz w:val="20"/>
                <w:szCs w:val="20"/>
              </w:rPr>
              <w:t>0 to 1000</w:t>
            </w:r>
          </w:p>
        </w:tc>
        <w:tc>
          <w:tcPr>
            <w:tcW w:w="814" w:type="pct"/>
            <w:tcBorders>
              <w:top w:val="nil"/>
              <w:left w:val="single" w:sz="4" w:space="0" w:color="auto"/>
              <w:bottom w:val="single" w:sz="8" w:space="0" w:color="auto"/>
              <w:right w:val="single" w:sz="8" w:space="0" w:color="auto"/>
            </w:tcBorders>
            <w:tcMar>
              <w:top w:w="0" w:type="dxa"/>
              <w:left w:w="108" w:type="dxa"/>
              <w:bottom w:w="0" w:type="dxa"/>
              <w:right w:w="108" w:type="dxa"/>
            </w:tcMar>
          </w:tcPr>
          <w:p w14:paraId="1E703610" w14:textId="77777777" w:rsidR="00A652A8" w:rsidRPr="006913ED" w:rsidRDefault="00A652A8" w:rsidP="00B94C53">
            <w:pPr>
              <w:spacing w:after="0"/>
              <w:jc w:val="center"/>
              <w:rPr>
                <w:rFonts w:cs="Arial"/>
                <w:sz w:val="20"/>
                <w:szCs w:val="20"/>
              </w:rPr>
            </w:pPr>
            <w:r w:rsidRPr="006913ED">
              <w:rPr>
                <w:rFonts w:cs="Arial"/>
                <w:sz w:val="20"/>
                <w:szCs w:val="20"/>
              </w:rPr>
              <w:t>An increase of ≥1 event</w:t>
            </w:r>
          </w:p>
        </w:tc>
        <w:tc>
          <w:tcPr>
            <w:tcW w:w="2036" w:type="pct"/>
            <w:tcBorders>
              <w:top w:val="nil"/>
              <w:left w:val="nil"/>
              <w:bottom w:val="single" w:sz="8" w:space="0" w:color="auto"/>
              <w:right w:val="single" w:sz="8" w:space="0" w:color="auto"/>
            </w:tcBorders>
          </w:tcPr>
          <w:p w14:paraId="51D6C1B4" w14:textId="77777777" w:rsidR="00A652A8" w:rsidRPr="006913ED" w:rsidRDefault="00A652A8" w:rsidP="00B94C53">
            <w:pPr>
              <w:spacing w:after="0"/>
              <w:rPr>
                <w:rFonts w:cs="Arial"/>
                <w:sz w:val="20"/>
                <w:szCs w:val="20"/>
              </w:rPr>
            </w:pPr>
            <w:r w:rsidRPr="006913ED">
              <w:rPr>
                <w:rFonts w:cs="Arial"/>
                <w:sz w:val="20"/>
                <w:szCs w:val="20"/>
              </w:rPr>
              <w:t>Patients will not want to increase their chances of dying or experiencing a non-fatal cardiovascular event</w:t>
            </w:r>
          </w:p>
        </w:tc>
      </w:tr>
      <w:tr w:rsidR="00A652A8" w:rsidRPr="006913ED" w14:paraId="1712692A" w14:textId="77777777" w:rsidTr="00B94C53">
        <w:tc>
          <w:tcPr>
            <w:tcW w:w="9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2D96C7" w14:textId="77777777" w:rsidR="00A652A8" w:rsidRPr="006913ED" w:rsidRDefault="00A652A8" w:rsidP="00B94C53">
            <w:pPr>
              <w:spacing w:after="0"/>
              <w:rPr>
                <w:rFonts w:cs="Arial"/>
                <w:sz w:val="20"/>
                <w:szCs w:val="20"/>
              </w:rPr>
            </w:pPr>
            <w:r w:rsidRPr="006913ED">
              <w:rPr>
                <w:rFonts w:cs="Arial"/>
                <w:sz w:val="20"/>
                <w:szCs w:val="20"/>
              </w:rPr>
              <w:t xml:space="preserve">   Atrial fibrillation</w:t>
            </w:r>
          </w:p>
        </w:tc>
        <w:tc>
          <w:tcPr>
            <w:tcW w:w="526" w:type="pct"/>
            <w:tcBorders>
              <w:top w:val="nil"/>
              <w:left w:val="nil"/>
              <w:bottom w:val="single" w:sz="8" w:space="0" w:color="auto"/>
              <w:right w:val="single" w:sz="4" w:space="0" w:color="auto"/>
            </w:tcBorders>
            <w:tcMar>
              <w:top w:w="0" w:type="dxa"/>
              <w:left w:w="108" w:type="dxa"/>
              <w:bottom w:w="0" w:type="dxa"/>
              <w:right w:w="108" w:type="dxa"/>
            </w:tcMar>
          </w:tcPr>
          <w:p w14:paraId="02FE2C3C" w14:textId="77777777" w:rsidR="00A652A8" w:rsidRPr="006913ED" w:rsidRDefault="00A652A8" w:rsidP="00B94C53">
            <w:pPr>
              <w:spacing w:after="0"/>
              <w:jc w:val="center"/>
              <w:rPr>
                <w:rFonts w:cs="Arial"/>
                <w:sz w:val="20"/>
                <w:szCs w:val="20"/>
              </w:rPr>
            </w:pPr>
            <w:r w:rsidRPr="006913ED">
              <w:rPr>
                <w:rFonts w:cs="Arial"/>
                <w:sz w:val="20"/>
                <w:szCs w:val="20"/>
              </w:rPr>
              <w:t># events / 1000</w:t>
            </w:r>
          </w:p>
        </w:tc>
        <w:tc>
          <w:tcPr>
            <w:tcW w:w="656" w:type="pct"/>
            <w:tcBorders>
              <w:top w:val="single" w:sz="8" w:space="0" w:color="auto"/>
              <w:left w:val="single" w:sz="4" w:space="0" w:color="auto"/>
              <w:bottom w:val="single" w:sz="8" w:space="0" w:color="auto"/>
              <w:right w:val="single" w:sz="4" w:space="0" w:color="auto"/>
            </w:tcBorders>
          </w:tcPr>
          <w:p w14:paraId="6BF3A866" w14:textId="77777777" w:rsidR="00A652A8" w:rsidRPr="006913ED" w:rsidRDefault="00A652A8" w:rsidP="00B94C53">
            <w:pPr>
              <w:spacing w:after="0"/>
              <w:jc w:val="center"/>
              <w:rPr>
                <w:sz w:val="20"/>
                <w:szCs w:val="20"/>
              </w:rPr>
            </w:pPr>
            <w:r w:rsidRPr="006913ED">
              <w:rPr>
                <w:rFonts w:cs="Arial"/>
                <w:sz w:val="20"/>
                <w:szCs w:val="20"/>
              </w:rPr>
              <w:t>0 to 1000</w:t>
            </w:r>
          </w:p>
        </w:tc>
        <w:tc>
          <w:tcPr>
            <w:tcW w:w="814" w:type="pct"/>
            <w:tcBorders>
              <w:top w:val="nil"/>
              <w:left w:val="single" w:sz="4" w:space="0" w:color="auto"/>
              <w:bottom w:val="single" w:sz="8" w:space="0" w:color="auto"/>
              <w:right w:val="single" w:sz="8" w:space="0" w:color="auto"/>
            </w:tcBorders>
            <w:tcMar>
              <w:top w:w="0" w:type="dxa"/>
              <w:left w:w="108" w:type="dxa"/>
              <w:bottom w:w="0" w:type="dxa"/>
              <w:right w:w="108" w:type="dxa"/>
            </w:tcMar>
          </w:tcPr>
          <w:p w14:paraId="7D905082" w14:textId="77777777" w:rsidR="00A652A8" w:rsidRPr="006913ED" w:rsidRDefault="00A652A8" w:rsidP="00B94C53">
            <w:pPr>
              <w:spacing w:after="0"/>
              <w:jc w:val="center"/>
              <w:rPr>
                <w:rFonts w:cs="Arial"/>
                <w:sz w:val="20"/>
                <w:szCs w:val="20"/>
              </w:rPr>
            </w:pPr>
            <w:r w:rsidRPr="006913ED">
              <w:rPr>
                <w:rFonts w:cs="Arial"/>
                <w:sz w:val="20"/>
                <w:szCs w:val="20"/>
              </w:rPr>
              <w:t>Could not be determined</w:t>
            </w:r>
          </w:p>
        </w:tc>
        <w:tc>
          <w:tcPr>
            <w:tcW w:w="2036" w:type="pct"/>
            <w:tcBorders>
              <w:top w:val="nil"/>
              <w:left w:val="nil"/>
              <w:bottom w:val="single" w:sz="8" w:space="0" w:color="auto"/>
              <w:right w:val="single" w:sz="8" w:space="0" w:color="auto"/>
            </w:tcBorders>
          </w:tcPr>
          <w:p w14:paraId="246D7AF2" w14:textId="77777777" w:rsidR="00A652A8" w:rsidRPr="006913ED" w:rsidRDefault="00A652A8" w:rsidP="00B94C53">
            <w:pPr>
              <w:spacing w:after="0"/>
              <w:rPr>
                <w:rFonts w:cs="Arial"/>
                <w:sz w:val="20"/>
                <w:szCs w:val="20"/>
              </w:rPr>
            </w:pPr>
            <w:r w:rsidRPr="006913ED">
              <w:rPr>
                <w:rFonts w:cs="Arial"/>
                <w:sz w:val="20"/>
                <w:szCs w:val="20"/>
              </w:rPr>
              <w:t>The range of severity of symptoms or adverse consequences due to atrial fibrillation events can range from mild to severe. Information on what patients and clinicians would find as a clinically meaningful difference between the treated and untreated groups is lacking.</w:t>
            </w:r>
          </w:p>
        </w:tc>
      </w:tr>
      <w:tr w:rsidR="00A652A8" w:rsidRPr="006913ED" w14:paraId="738FB480" w14:textId="77777777" w:rsidTr="00B94C53">
        <w:tc>
          <w:tcPr>
            <w:tcW w:w="9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591C2B" w14:textId="77777777" w:rsidR="00A652A8" w:rsidRPr="006913ED" w:rsidRDefault="00A652A8" w:rsidP="00B94C53">
            <w:pPr>
              <w:spacing w:after="0"/>
              <w:rPr>
                <w:rFonts w:cs="Arial"/>
                <w:b/>
                <w:sz w:val="20"/>
                <w:szCs w:val="20"/>
              </w:rPr>
            </w:pPr>
            <w:r w:rsidRPr="006913ED">
              <w:rPr>
                <w:rFonts w:cs="Arial"/>
                <w:b/>
                <w:sz w:val="20"/>
                <w:szCs w:val="20"/>
              </w:rPr>
              <w:t>Fractures</w:t>
            </w:r>
          </w:p>
        </w:tc>
        <w:tc>
          <w:tcPr>
            <w:tcW w:w="526" w:type="pct"/>
            <w:tcBorders>
              <w:top w:val="nil"/>
              <w:left w:val="nil"/>
              <w:bottom w:val="single" w:sz="8" w:space="0" w:color="auto"/>
              <w:right w:val="single" w:sz="4" w:space="0" w:color="auto"/>
            </w:tcBorders>
            <w:tcMar>
              <w:top w:w="0" w:type="dxa"/>
              <w:left w:w="108" w:type="dxa"/>
              <w:bottom w:w="0" w:type="dxa"/>
              <w:right w:w="108" w:type="dxa"/>
            </w:tcMar>
          </w:tcPr>
          <w:p w14:paraId="4D9A6208" w14:textId="77777777" w:rsidR="00A652A8" w:rsidRPr="006913ED" w:rsidRDefault="00A652A8" w:rsidP="00B94C53">
            <w:pPr>
              <w:spacing w:after="0"/>
              <w:jc w:val="center"/>
              <w:rPr>
                <w:rFonts w:cs="Arial"/>
                <w:sz w:val="20"/>
                <w:szCs w:val="20"/>
              </w:rPr>
            </w:pPr>
            <w:r w:rsidRPr="006913ED">
              <w:rPr>
                <w:rFonts w:cs="Arial"/>
                <w:sz w:val="20"/>
                <w:szCs w:val="20"/>
              </w:rPr>
              <w:t># events / 1000</w:t>
            </w:r>
          </w:p>
        </w:tc>
        <w:tc>
          <w:tcPr>
            <w:tcW w:w="656" w:type="pct"/>
            <w:tcBorders>
              <w:top w:val="single" w:sz="8" w:space="0" w:color="auto"/>
              <w:left w:val="single" w:sz="4" w:space="0" w:color="auto"/>
              <w:bottom w:val="single" w:sz="8" w:space="0" w:color="auto"/>
              <w:right w:val="single" w:sz="4" w:space="0" w:color="auto"/>
            </w:tcBorders>
          </w:tcPr>
          <w:p w14:paraId="36AFA087" w14:textId="77777777" w:rsidR="00A652A8" w:rsidRPr="006913ED" w:rsidRDefault="00A652A8" w:rsidP="00B94C53">
            <w:pPr>
              <w:spacing w:after="0"/>
              <w:jc w:val="center"/>
              <w:rPr>
                <w:rFonts w:cs="Arial"/>
                <w:sz w:val="20"/>
                <w:szCs w:val="20"/>
              </w:rPr>
            </w:pPr>
            <w:r w:rsidRPr="006913ED">
              <w:rPr>
                <w:rFonts w:cs="Arial"/>
                <w:sz w:val="20"/>
                <w:szCs w:val="20"/>
              </w:rPr>
              <w:t>0 to 1000</w:t>
            </w:r>
          </w:p>
        </w:tc>
        <w:tc>
          <w:tcPr>
            <w:tcW w:w="814" w:type="pct"/>
            <w:tcBorders>
              <w:top w:val="nil"/>
              <w:left w:val="single" w:sz="4" w:space="0" w:color="auto"/>
              <w:bottom w:val="single" w:sz="8" w:space="0" w:color="auto"/>
              <w:right w:val="single" w:sz="8" w:space="0" w:color="auto"/>
            </w:tcBorders>
            <w:tcMar>
              <w:top w:w="0" w:type="dxa"/>
              <w:left w:w="108" w:type="dxa"/>
              <w:bottom w:w="0" w:type="dxa"/>
              <w:right w:w="108" w:type="dxa"/>
            </w:tcMar>
          </w:tcPr>
          <w:p w14:paraId="0AAE29CC" w14:textId="77777777" w:rsidR="00A652A8" w:rsidRPr="006913ED" w:rsidRDefault="00A652A8" w:rsidP="00B94C53">
            <w:pPr>
              <w:spacing w:after="0"/>
              <w:jc w:val="center"/>
              <w:rPr>
                <w:rFonts w:cs="Arial"/>
                <w:sz w:val="20"/>
                <w:szCs w:val="20"/>
              </w:rPr>
            </w:pPr>
            <w:r w:rsidRPr="006913ED">
              <w:rPr>
                <w:rFonts w:cs="Arial"/>
                <w:sz w:val="20"/>
                <w:szCs w:val="20"/>
              </w:rPr>
              <w:t>Could not be determined</w:t>
            </w:r>
          </w:p>
        </w:tc>
        <w:tc>
          <w:tcPr>
            <w:tcW w:w="2036" w:type="pct"/>
            <w:tcBorders>
              <w:top w:val="nil"/>
              <w:left w:val="nil"/>
              <w:bottom w:val="single" w:sz="8" w:space="0" w:color="auto"/>
              <w:right w:val="single" w:sz="8" w:space="0" w:color="auto"/>
            </w:tcBorders>
          </w:tcPr>
          <w:p w14:paraId="568626EA" w14:textId="77777777" w:rsidR="00A652A8" w:rsidRPr="006913ED" w:rsidRDefault="00A652A8" w:rsidP="00B94C53">
            <w:pPr>
              <w:spacing w:after="0"/>
              <w:rPr>
                <w:rFonts w:cs="Arial"/>
                <w:sz w:val="20"/>
                <w:szCs w:val="20"/>
              </w:rPr>
            </w:pPr>
            <w:r w:rsidRPr="006913ED">
              <w:rPr>
                <w:rFonts w:cs="Arial"/>
                <w:sz w:val="20"/>
                <w:szCs w:val="20"/>
              </w:rPr>
              <w:t>Information on what patients and clinicians would find as a clinically meaningful difference between the treated and untreated groups is lacking. A large majority of patients (perhaps between 95%-99%) may not want to increase their chances of having a fracture from treatment for thyroid dysfunction.</w:t>
            </w:r>
          </w:p>
        </w:tc>
      </w:tr>
      <w:tr w:rsidR="00A652A8" w:rsidRPr="006913ED" w14:paraId="50622CAE" w14:textId="77777777" w:rsidTr="00B94C53">
        <w:tc>
          <w:tcPr>
            <w:tcW w:w="9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0C7601" w14:textId="77777777" w:rsidR="00A652A8" w:rsidRPr="006913ED" w:rsidRDefault="00A652A8" w:rsidP="00B94C53">
            <w:pPr>
              <w:spacing w:after="0"/>
              <w:rPr>
                <w:rFonts w:cs="Arial"/>
                <w:b/>
                <w:bCs/>
                <w:sz w:val="20"/>
                <w:szCs w:val="20"/>
              </w:rPr>
            </w:pPr>
            <w:r w:rsidRPr="006913ED">
              <w:rPr>
                <w:rFonts w:cs="Arial"/>
                <w:b/>
                <w:bCs/>
                <w:sz w:val="20"/>
                <w:szCs w:val="20"/>
              </w:rPr>
              <w:t xml:space="preserve">Quality of life (QoL): </w:t>
            </w:r>
          </w:p>
        </w:tc>
        <w:tc>
          <w:tcPr>
            <w:tcW w:w="526" w:type="pct"/>
            <w:tcBorders>
              <w:top w:val="nil"/>
              <w:left w:val="nil"/>
              <w:bottom w:val="single" w:sz="8" w:space="0" w:color="auto"/>
              <w:right w:val="single" w:sz="4" w:space="0" w:color="auto"/>
            </w:tcBorders>
            <w:tcMar>
              <w:top w:w="0" w:type="dxa"/>
              <w:left w:w="108" w:type="dxa"/>
              <w:bottom w:w="0" w:type="dxa"/>
              <w:right w:w="108" w:type="dxa"/>
            </w:tcMar>
          </w:tcPr>
          <w:p w14:paraId="5817E698" w14:textId="77777777" w:rsidR="00A652A8" w:rsidRPr="006913ED" w:rsidRDefault="00A652A8" w:rsidP="00B94C53">
            <w:pPr>
              <w:spacing w:after="0"/>
              <w:jc w:val="center"/>
              <w:rPr>
                <w:rFonts w:cs="Arial"/>
                <w:sz w:val="20"/>
                <w:szCs w:val="20"/>
              </w:rPr>
            </w:pPr>
          </w:p>
        </w:tc>
        <w:tc>
          <w:tcPr>
            <w:tcW w:w="656" w:type="pct"/>
            <w:tcBorders>
              <w:top w:val="single" w:sz="8" w:space="0" w:color="auto"/>
              <w:left w:val="single" w:sz="4" w:space="0" w:color="auto"/>
              <w:bottom w:val="single" w:sz="8" w:space="0" w:color="auto"/>
              <w:right w:val="single" w:sz="4" w:space="0" w:color="auto"/>
            </w:tcBorders>
          </w:tcPr>
          <w:p w14:paraId="27F63428" w14:textId="77777777" w:rsidR="00A652A8" w:rsidRPr="006913ED" w:rsidRDefault="00A652A8" w:rsidP="00B94C53">
            <w:pPr>
              <w:spacing w:after="0"/>
              <w:jc w:val="center"/>
              <w:rPr>
                <w:rFonts w:cs="Arial"/>
                <w:sz w:val="20"/>
                <w:szCs w:val="20"/>
              </w:rPr>
            </w:pPr>
          </w:p>
        </w:tc>
        <w:tc>
          <w:tcPr>
            <w:tcW w:w="814" w:type="pct"/>
            <w:tcBorders>
              <w:top w:val="nil"/>
              <w:left w:val="single" w:sz="4" w:space="0" w:color="auto"/>
              <w:bottom w:val="single" w:sz="8" w:space="0" w:color="auto"/>
              <w:right w:val="single" w:sz="8" w:space="0" w:color="auto"/>
            </w:tcBorders>
            <w:tcMar>
              <w:top w:w="0" w:type="dxa"/>
              <w:left w:w="108" w:type="dxa"/>
              <w:bottom w:w="0" w:type="dxa"/>
              <w:right w:w="108" w:type="dxa"/>
            </w:tcMar>
          </w:tcPr>
          <w:p w14:paraId="2B3B9B54" w14:textId="77777777" w:rsidR="00A652A8" w:rsidRPr="006913ED" w:rsidRDefault="00A652A8" w:rsidP="00B94C53">
            <w:pPr>
              <w:spacing w:after="0"/>
              <w:jc w:val="center"/>
              <w:rPr>
                <w:rFonts w:cs="Arial"/>
                <w:i/>
                <w:sz w:val="20"/>
                <w:szCs w:val="20"/>
              </w:rPr>
            </w:pPr>
          </w:p>
        </w:tc>
        <w:tc>
          <w:tcPr>
            <w:tcW w:w="2036" w:type="pct"/>
            <w:tcBorders>
              <w:top w:val="nil"/>
              <w:left w:val="nil"/>
              <w:bottom w:val="single" w:sz="8" w:space="0" w:color="auto"/>
              <w:right w:val="single" w:sz="8" w:space="0" w:color="auto"/>
            </w:tcBorders>
          </w:tcPr>
          <w:p w14:paraId="28C2B338" w14:textId="77777777" w:rsidR="00A652A8" w:rsidRPr="006913ED" w:rsidRDefault="00A652A8" w:rsidP="00B94C53">
            <w:pPr>
              <w:spacing w:after="0"/>
              <w:rPr>
                <w:rFonts w:cs="Arial"/>
                <w:sz w:val="20"/>
                <w:szCs w:val="20"/>
              </w:rPr>
            </w:pPr>
          </w:p>
        </w:tc>
      </w:tr>
      <w:tr w:rsidR="00A652A8" w:rsidRPr="006913ED" w14:paraId="742EB0DA" w14:textId="77777777" w:rsidTr="00B94C53">
        <w:tc>
          <w:tcPr>
            <w:tcW w:w="96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158F809" w14:textId="77777777" w:rsidR="00A652A8" w:rsidRPr="006913ED" w:rsidRDefault="00A652A8" w:rsidP="00B94C53">
            <w:pPr>
              <w:spacing w:after="0"/>
              <w:rPr>
                <w:rFonts w:cs="Arial"/>
                <w:bCs/>
                <w:sz w:val="20"/>
                <w:szCs w:val="20"/>
              </w:rPr>
            </w:pPr>
            <w:r w:rsidRPr="006913ED">
              <w:rPr>
                <w:rFonts w:cs="Arial"/>
                <w:bCs/>
                <w:sz w:val="20"/>
                <w:szCs w:val="20"/>
              </w:rPr>
              <w:lastRenderedPageBreak/>
              <w:t xml:space="preserve">   Thyroid-related QoL (not including fatigue) and Fatigue/tiredness</w:t>
            </w:r>
          </w:p>
          <w:p w14:paraId="2D304F88" w14:textId="77777777" w:rsidR="00A652A8" w:rsidRPr="006913ED" w:rsidRDefault="00A652A8" w:rsidP="00B94C53">
            <w:pPr>
              <w:spacing w:after="0"/>
              <w:rPr>
                <w:rFonts w:cs="Arial"/>
                <w:bCs/>
                <w:i/>
                <w:sz w:val="20"/>
                <w:szCs w:val="20"/>
              </w:rPr>
            </w:pPr>
            <w:r w:rsidRPr="006913ED">
              <w:rPr>
                <w:rFonts w:cs="Arial"/>
                <w:bCs/>
                <w:i/>
                <w:sz w:val="20"/>
                <w:szCs w:val="20"/>
              </w:rPr>
              <w:t>Includes the following tests: Underactive Thyroid-dependent quality of life (ThyPRO) Hypothyroid symptom and fatigue/vitality domains, ThyPRO-39</w:t>
            </w:r>
          </w:p>
        </w:tc>
        <w:tc>
          <w:tcPr>
            <w:tcW w:w="526" w:type="pct"/>
            <w:tcBorders>
              <w:top w:val="nil"/>
              <w:left w:val="nil"/>
              <w:bottom w:val="single" w:sz="8" w:space="0" w:color="auto"/>
              <w:right w:val="single" w:sz="4" w:space="0" w:color="auto"/>
            </w:tcBorders>
            <w:tcMar>
              <w:top w:w="0" w:type="dxa"/>
              <w:left w:w="108" w:type="dxa"/>
              <w:bottom w:w="0" w:type="dxa"/>
              <w:right w:w="108" w:type="dxa"/>
            </w:tcMar>
          </w:tcPr>
          <w:p w14:paraId="3167DB37" w14:textId="77777777" w:rsidR="00A652A8" w:rsidRPr="006913ED" w:rsidRDefault="00A652A8" w:rsidP="00B94C53">
            <w:pPr>
              <w:spacing w:after="0"/>
              <w:jc w:val="center"/>
              <w:rPr>
                <w:rFonts w:cs="Arial"/>
                <w:sz w:val="20"/>
                <w:szCs w:val="20"/>
              </w:rPr>
            </w:pPr>
            <w:r w:rsidRPr="006913ED">
              <w:rPr>
                <w:rFonts w:cs="Arial"/>
                <w:sz w:val="20"/>
                <w:szCs w:val="20"/>
              </w:rPr>
              <w:t>Score</w:t>
            </w:r>
          </w:p>
        </w:tc>
        <w:tc>
          <w:tcPr>
            <w:tcW w:w="656" w:type="pct"/>
            <w:tcBorders>
              <w:top w:val="single" w:sz="8" w:space="0" w:color="auto"/>
              <w:left w:val="single" w:sz="4" w:space="0" w:color="auto"/>
              <w:bottom w:val="single" w:sz="8" w:space="0" w:color="auto"/>
              <w:right w:val="single" w:sz="4" w:space="0" w:color="auto"/>
            </w:tcBorders>
          </w:tcPr>
          <w:p w14:paraId="78519967" w14:textId="77777777" w:rsidR="00A652A8" w:rsidRPr="006913ED" w:rsidRDefault="00A652A8" w:rsidP="00B94C53">
            <w:pPr>
              <w:spacing w:after="0"/>
              <w:jc w:val="center"/>
              <w:rPr>
                <w:rFonts w:cs="Arial"/>
                <w:sz w:val="20"/>
                <w:szCs w:val="20"/>
              </w:rPr>
            </w:pPr>
            <w:r w:rsidRPr="006913ED">
              <w:rPr>
                <w:rFonts w:cs="Arial"/>
                <w:sz w:val="20"/>
                <w:szCs w:val="20"/>
              </w:rPr>
              <w:t>0 to 100 ↓</w:t>
            </w:r>
          </w:p>
          <w:p w14:paraId="6D770F1C" w14:textId="77777777" w:rsidR="00A652A8" w:rsidRPr="006913ED" w:rsidRDefault="00A652A8" w:rsidP="00B94C53">
            <w:pPr>
              <w:spacing w:after="0"/>
              <w:jc w:val="center"/>
              <w:rPr>
                <w:i/>
                <w:sz w:val="20"/>
                <w:szCs w:val="20"/>
              </w:rPr>
            </w:pPr>
            <w:r w:rsidRPr="006913ED">
              <w:rPr>
                <w:rFonts w:cs="Arial"/>
                <w:i/>
                <w:sz w:val="20"/>
                <w:szCs w:val="20"/>
              </w:rPr>
              <w:t>(higher scores are associated with poorer QoL)</w:t>
            </w:r>
          </w:p>
        </w:tc>
        <w:tc>
          <w:tcPr>
            <w:tcW w:w="814" w:type="pct"/>
            <w:tcBorders>
              <w:top w:val="nil"/>
              <w:left w:val="single" w:sz="4" w:space="0" w:color="auto"/>
              <w:bottom w:val="single" w:sz="8" w:space="0" w:color="auto"/>
              <w:right w:val="single" w:sz="8" w:space="0" w:color="auto"/>
            </w:tcBorders>
            <w:tcMar>
              <w:top w:w="0" w:type="dxa"/>
              <w:left w:w="108" w:type="dxa"/>
              <w:bottom w:w="0" w:type="dxa"/>
              <w:right w:w="108" w:type="dxa"/>
            </w:tcMar>
          </w:tcPr>
          <w:p w14:paraId="0B8B8768" w14:textId="77777777" w:rsidR="00A652A8" w:rsidRPr="006913ED" w:rsidRDefault="00A652A8" w:rsidP="00B94C53">
            <w:pPr>
              <w:spacing w:after="0"/>
              <w:jc w:val="center"/>
              <w:rPr>
                <w:rFonts w:cs="Arial"/>
                <w:sz w:val="20"/>
                <w:szCs w:val="20"/>
              </w:rPr>
            </w:pPr>
            <w:r w:rsidRPr="006913ED">
              <w:rPr>
                <w:rFonts w:cs="Arial"/>
                <w:sz w:val="20"/>
                <w:szCs w:val="20"/>
              </w:rPr>
              <w:t>± 9 points</w:t>
            </w:r>
          </w:p>
        </w:tc>
        <w:tc>
          <w:tcPr>
            <w:tcW w:w="2036" w:type="pct"/>
            <w:tcBorders>
              <w:top w:val="nil"/>
              <w:left w:val="nil"/>
              <w:bottom w:val="single" w:sz="8" w:space="0" w:color="auto"/>
              <w:right w:val="single" w:sz="8" w:space="0" w:color="auto"/>
            </w:tcBorders>
          </w:tcPr>
          <w:p w14:paraId="02D6595B" w14:textId="77777777" w:rsidR="00A652A8" w:rsidRPr="006913ED" w:rsidRDefault="00A652A8" w:rsidP="00B94C53">
            <w:pPr>
              <w:spacing w:after="0"/>
              <w:rPr>
                <w:rFonts w:cs="Arial"/>
                <w:sz w:val="20"/>
                <w:szCs w:val="20"/>
              </w:rPr>
            </w:pPr>
            <w:r w:rsidRPr="006913ED">
              <w:rPr>
                <w:rFonts w:cs="Arial"/>
                <w:sz w:val="20"/>
                <w:szCs w:val="20"/>
              </w:rPr>
              <w:t>The author of ThyPRO (T. Watt) indicated that a 9 point change would be a realistic and clinically meaningful effect size. [</w:t>
            </w:r>
            <w:r w:rsidRPr="006913ED">
              <w:rPr>
                <w:rFonts w:cs="Arial"/>
                <w:color w:val="303030"/>
                <w:sz w:val="20"/>
                <w:szCs w:val="20"/>
                <w:shd w:val="clear" w:color="auto" w:fill="FFFFFF"/>
              </w:rPr>
              <w:t>Stott DJ, Gussekloo J, Kearney PM, et al. Study protocol; Thyroid hormone Replacement for Untreated older adults with Subclinical hypothyroidism - a randomised placebo controlled Trial (TRUST). </w:t>
            </w:r>
            <w:r w:rsidRPr="006913ED">
              <w:rPr>
                <w:rFonts w:cs="Arial"/>
                <w:i/>
                <w:iCs/>
                <w:color w:val="303030"/>
                <w:sz w:val="20"/>
                <w:szCs w:val="20"/>
                <w:shd w:val="clear" w:color="auto" w:fill="FFFFFF"/>
              </w:rPr>
              <w:t>BMC Endocrine Disorders</w:t>
            </w:r>
            <w:r w:rsidRPr="006913ED">
              <w:rPr>
                <w:rFonts w:cs="Arial"/>
                <w:color w:val="303030"/>
                <w:sz w:val="20"/>
                <w:szCs w:val="20"/>
                <w:shd w:val="clear" w:color="auto" w:fill="FFFFFF"/>
              </w:rPr>
              <w:t>. 2017;17:6. doi:10.1186/s12902-017-0156-8.]</w:t>
            </w:r>
          </w:p>
        </w:tc>
      </w:tr>
      <w:tr w:rsidR="00A652A8" w:rsidRPr="006913ED" w14:paraId="395C4295" w14:textId="77777777" w:rsidTr="00B94C53">
        <w:tc>
          <w:tcPr>
            <w:tcW w:w="96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E438F43" w14:textId="77777777" w:rsidR="00A652A8" w:rsidRPr="006913ED" w:rsidRDefault="00A652A8" w:rsidP="00B94C53">
            <w:pPr>
              <w:spacing w:after="0"/>
              <w:rPr>
                <w:rFonts w:cs="Arial"/>
                <w:sz w:val="20"/>
                <w:szCs w:val="20"/>
              </w:rPr>
            </w:pPr>
            <w:r w:rsidRPr="006913ED">
              <w:rPr>
                <w:rFonts w:cs="Arial"/>
                <w:sz w:val="20"/>
                <w:szCs w:val="20"/>
              </w:rPr>
              <w:t xml:space="preserve">   Mental well-being</w:t>
            </w:r>
          </w:p>
          <w:p w14:paraId="40DBD5AE" w14:textId="77777777" w:rsidR="00A652A8" w:rsidRPr="006913ED" w:rsidRDefault="00A652A8" w:rsidP="00B94C53">
            <w:pPr>
              <w:spacing w:after="0"/>
              <w:rPr>
                <w:rFonts w:cs="Arial"/>
                <w:sz w:val="20"/>
                <w:szCs w:val="20"/>
              </w:rPr>
            </w:pPr>
            <w:r w:rsidRPr="006913ED">
              <w:rPr>
                <w:rFonts w:cs="Arial"/>
                <w:bCs/>
                <w:i/>
                <w:sz w:val="20"/>
                <w:szCs w:val="20"/>
              </w:rPr>
              <w:t xml:space="preserve">Includes the following tests: Beck Depression Inventory (BDI), Hamilton Scale for anxiety (HAM-A) and depression (HAM-D), hospital anxiety and depression scale (HADS) depression scale only </w:t>
            </w:r>
          </w:p>
        </w:tc>
        <w:tc>
          <w:tcPr>
            <w:tcW w:w="526" w:type="pct"/>
            <w:tcBorders>
              <w:top w:val="nil"/>
              <w:left w:val="nil"/>
              <w:bottom w:val="single" w:sz="8" w:space="0" w:color="auto"/>
              <w:right w:val="single" w:sz="4" w:space="0" w:color="auto"/>
            </w:tcBorders>
            <w:tcMar>
              <w:top w:w="0" w:type="dxa"/>
              <w:left w:w="108" w:type="dxa"/>
              <w:bottom w:w="0" w:type="dxa"/>
              <w:right w:w="108" w:type="dxa"/>
            </w:tcMar>
          </w:tcPr>
          <w:p w14:paraId="4CA153F8" w14:textId="77777777" w:rsidR="00A652A8" w:rsidRPr="006913ED" w:rsidRDefault="00A652A8" w:rsidP="00B94C53">
            <w:pPr>
              <w:spacing w:after="0"/>
              <w:jc w:val="center"/>
              <w:rPr>
                <w:rFonts w:cs="Arial"/>
                <w:sz w:val="20"/>
                <w:szCs w:val="20"/>
              </w:rPr>
            </w:pPr>
            <w:r w:rsidRPr="006913ED">
              <w:rPr>
                <w:rFonts w:cs="Arial"/>
                <w:sz w:val="20"/>
                <w:szCs w:val="20"/>
              </w:rPr>
              <w:t>Score</w:t>
            </w:r>
          </w:p>
        </w:tc>
        <w:tc>
          <w:tcPr>
            <w:tcW w:w="656" w:type="pct"/>
            <w:tcBorders>
              <w:top w:val="single" w:sz="8" w:space="0" w:color="auto"/>
              <w:left w:val="single" w:sz="4" w:space="0" w:color="auto"/>
              <w:bottom w:val="single" w:sz="8" w:space="0" w:color="auto"/>
              <w:right w:val="single" w:sz="4" w:space="0" w:color="auto"/>
            </w:tcBorders>
          </w:tcPr>
          <w:p w14:paraId="641F302D" w14:textId="77777777" w:rsidR="00A652A8" w:rsidRPr="006913ED" w:rsidRDefault="00A652A8" w:rsidP="00B94C53">
            <w:pPr>
              <w:spacing w:after="0"/>
              <w:jc w:val="center"/>
              <w:rPr>
                <w:rFonts w:cs="Arial"/>
                <w:sz w:val="20"/>
                <w:szCs w:val="20"/>
              </w:rPr>
            </w:pPr>
            <w:r w:rsidRPr="006913ED">
              <w:rPr>
                <w:rFonts w:cs="Arial"/>
                <w:sz w:val="20"/>
                <w:szCs w:val="20"/>
              </w:rPr>
              <w:t>Varies by test:</w:t>
            </w:r>
          </w:p>
          <w:p w14:paraId="1B881B72" w14:textId="77777777" w:rsidR="00A652A8" w:rsidRPr="006913ED" w:rsidRDefault="00A652A8" w:rsidP="00B94C53">
            <w:pPr>
              <w:spacing w:after="0"/>
              <w:jc w:val="center"/>
              <w:rPr>
                <w:rFonts w:cs="Arial"/>
                <w:sz w:val="20"/>
                <w:szCs w:val="20"/>
              </w:rPr>
            </w:pPr>
            <w:r w:rsidRPr="006913ED">
              <w:rPr>
                <w:rFonts w:cs="Arial"/>
                <w:sz w:val="20"/>
                <w:szCs w:val="20"/>
              </w:rPr>
              <w:t>BDI: 0-63 ↓</w:t>
            </w:r>
          </w:p>
          <w:p w14:paraId="4F91A9DF" w14:textId="77777777" w:rsidR="00A652A8" w:rsidRPr="006913ED" w:rsidRDefault="00A652A8" w:rsidP="00B94C53">
            <w:pPr>
              <w:spacing w:after="0"/>
              <w:jc w:val="center"/>
              <w:rPr>
                <w:rFonts w:cs="Arial"/>
                <w:sz w:val="20"/>
                <w:szCs w:val="20"/>
              </w:rPr>
            </w:pPr>
            <w:r w:rsidRPr="006913ED">
              <w:rPr>
                <w:rFonts w:cs="Arial"/>
                <w:sz w:val="20"/>
                <w:szCs w:val="20"/>
              </w:rPr>
              <w:t>HAM-A: 0-56 ↓</w:t>
            </w:r>
          </w:p>
          <w:p w14:paraId="222EB877" w14:textId="77777777" w:rsidR="00A652A8" w:rsidRPr="006913ED" w:rsidRDefault="00A652A8" w:rsidP="00B94C53">
            <w:pPr>
              <w:spacing w:after="0"/>
              <w:jc w:val="center"/>
              <w:rPr>
                <w:rFonts w:cs="Arial"/>
                <w:sz w:val="20"/>
                <w:szCs w:val="20"/>
              </w:rPr>
            </w:pPr>
            <w:r w:rsidRPr="006913ED">
              <w:rPr>
                <w:rFonts w:cs="Arial"/>
                <w:sz w:val="20"/>
                <w:szCs w:val="20"/>
              </w:rPr>
              <w:t>HAM-B: 0-52 ↓</w:t>
            </w:r>
          </w:p>
          <w:p w14:paraId="756768A5" w14:textId="77777777" w:rsidR="00A652A8" w:rsidRPr="006913ED" w:rsidRDefault="00A652A8" w:rsidP="00B94C53">
            <w:pPr>
              <w:spacing w:after="0"/>
              <w:jc w:val="center"/>
              <w:rPr>
                <w:rFonts w:cs="Arial"/>
                <w:sz w:val="20"/>
                <w:szCs w:val="20"/>
              </w:rPr>
            </w:pPr>
            <w:r w:rsidRPr="006913ED">
              <w:rPr>
                <w:rFonts w:cs="Arial"/>
                <w:sz w:val="20"/>
                <w:szCs w:val="20"/>
              </w:rPr>
              <w:t>HADS: 0-21 ↓</w:t>
            </w:r>
          </w:p>
          <w:p w14:paraId="1B2683B8" w14:textId="77777777" w:rsidR="00A652A8" w:rsidRPr="006913ED" w:rsidRDefault="00A652A8" w:rsidP="00B94C53">
            <w:pPr>
              <w:spacing w:after="0"/>
              <w:rPr>
                <w:rFonts w:cs="Arial"/>
                <w:sz w:val="20"/>
                <w:szCs w:val="20"/>
              </w:rPr>
            </w:pPr>
          </w:p>
        </w:tc>
        <w:tc>
          <w:tcPr>
            <w:tcW w:w="814" w:type="pct"/>
            <w:tcBorders>
              <w:top w:val="nil"/>
              <w:left w:val="single" w:sz="4" w:space="0" w:color="auto"/>
              <w:bottom w:val="single" w:sz="8" w:space="0" w:color="auto"/>
              <w:right w:val="single" w:sz="8" w:space="0" w:color="auto"/>
            </w:tcBorders>
            <w:tcMar>
              <w:top w:w="0" w:type="dxa"/>
              <w:left w:w="108" w:type="dxa"/>
              <w:bottom w:w="0" w:type="dxa"/>
              <w:right w:w="108" w:type="dxa"/>
            </w:tcMar>
          </w:tcPr>
          <w:p w14:paraId="2F97F466" w14:textId="77777777" w:rsidR="00A652A8" w:rsidRPr="006913ED" w:rsidRDefault="00A652A8" w:rsidP="00B94C53">
            <w:pPr>
              <w:spacing w:after="0"/>
              <w:jc w:val="center"/>
              <w:rPr>
                <w:rFonts w:cs="Arial"/>
                <w:sz w:val="20"/>
                <w:szCs w:val="20"/>
              </w:rPr>
            </w:pPr>
            <w:r w:rsidRPr="006913ED">
              <w:rPr>
                <w:rFonts w:cs="Arial"/>
                <w:sz w:val="20"/>
                <w:szCs w:val="20"/>
              </w:rPr>
              <w:t>Could not be determined</w:t>
            </w:r>
          </w:p>
        </w:tc>
        <w:tc>
          <w:tcPr>
            <w:tcW w:w="2036" w:type="pct"/>
            <w:tcBorders>
              <w:top w:val="nil"/>
              <w:left w:val="nil"/>
              <w:bottom w:val="single" w:sz="8" w:space="0" w:color="auto"/>
              <w:right w:val="single" w:sz="8" w:space="0" w:color="auto"/>
            </w:tcBorders>
          </w:tcPr>
          <w:p w14:paraId="7387BCA0" w14:textId="77777777" w:rsidR="00A652A8" w:rsidRPr="006913ED" w:rsidRDefault="00A652A8" w:rsidP="00B94C53">
            <w:pPr>
              <w:spacing w:after="0"/>
              <w:rPr>
                <w:rFonts w:cs="Arial"/>
                <w:sz w:val="20"/>
                <w:szCs w:val="20"/>
              </w:rPr>
            </w:pPr>
            <w:r w:rsidRPr="006913ED">
              <w:rPr>
                <w:rFonts w:cs="Arial"/>
                <w:sz w:val="20"/>
                <w:szCs w:val="20"/>
              </w:rPr>
              <w:t>Information on what patients and clinicians would find as a clinically meaningful difference between the treated and untreated groups for each test is lacking. In addition, because various test results were included in the assessment of this outcome, each with a potentially different clinically meaningful threshold, then a clinically important difference between the treated and untreated groups for this outcome as a whole could not be determined.</w:t>
            </w:r>
          </w:p>
        </w:tc>
      </w:tr>
      <w:tr w:rsidR="00A652A8" w:rsidRPr="006913ED" w14:paraId="323B9338" w14:textId="77777777" w:rsidTr="00B94C53">
        <w:tc>
          <w:tcPr>
            <w:tcW w:w="96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3731CBB" w14:textId="77777777" w:rsidR="00A652A8" w:rsidRPr="006913ED" w:rsidRDefault="00A652A8" w:rsidP="00B94C53">
            <w:pPr>
              <w:spacing w:after="0"/>
              <w:rPr>
                <w:rFonts w:cs="Arial"/>
                <w:sz w:val="20"/>
                <w:szCs w:val="20"/>
              </w:rPr>
            </w:pPr>
            <w:r w:rsidRPr="006913ED">
              <w:rPr>
                <w:rFonts w:cs="Arial"/>
                <w:sz w:val="20"/>
                <w:szCs w:val="20"/>
              </w:rPr>
              <w:t xml:space="preserve">   Physical well-being</w:t>
            </w:r>
          </w:p>
          <w:p w14:paraId="1221FA2B" w14:textId="77777777" w:rsidR="00A652A8" w:rsidRPr="006913ED" w:rsidRDefault="00A652A8" w:rsidP="00B94C53">
            <w:pPr>
              <w:spacing w:after="0"/>
              <w:rPr>
                <w:rFonts w:cs="Arial"/>
                <w:i/>
                <w:sz w:val="20"/>
                <w:szCs w:val="20"/>
              </w:rPr>
            </w:pPr>
            <w:r w:rsidRPr="006913ED">
              <w:rPr>
                <w:rFonts w:cs="Arial"/>
                <w:i/>
                <w:sz w:val="20"/>
                <w:szCs w:val="20"/>
              </w:rPr>
              <w:t xml:space="preserve">Includes the following tests: Barthel Index – basic activities of daily living (BI-ADL) and the Older American Resources and Services – instrumental activities of daily living (OARS-ADL) </w:t>
            </w:r>
          </w:p>
        </w:tc>
        <w:tc>
          <w:tcPr>
            <w:tcW w:w="526" w:type="pct"/>
            <w:tcBorders>
              <w:top w:val="nil"/>
              <w:left w:val="nil"/>
              <w:bottom w:val="single" w:sz="8" w:space="0" w:color="auto"/>
              <w:right w:val="single" w:sz="4" w:space="0" w:color="auto"/>
            </w:tcBorders>
            <w:tcMar>
              <w:top w:w="0" w:type="dxa"/>
              <w:left w:w="108" w:type="dxa"/>
              <w:bottom w:w="0" w:type="dxa"/>
              <w:right w:w="108" w:type="dxa"/>
            </w:tcMar>
          </w:tcPr>
          <w:p w14:paraId="3C86FAFE" w14:textId="77777777" w:rsidR="00A652A8" w:rsidRPr="006913ED" w:rsidRDefault="00A652A8" w:rsidP="00B94C53">
            <w:pPr>
              <w:spacing w:after="0"/>
              <w:jc w:val="center"/>
              <w:rPr>
                <w:rFonts w:cs="Arial"/>
                <w:sz w:val="20"/>
                <w:szCs w:val="20"/>
              </w:rPr>
            </w:pPr>
            <w:r w:rsidRPr="006913ED">
              <w:rPr>
                <w:rFonts w:cs="Arial"/>
                <w:sz w:val="20"/>
                <w:szCs w:val="20"/>
              </w:rPr>
              <w:t>Score</w:t>
            </w:r>
          </w:p>
        </w:tc>
        <w:tc>
          <w:tcPr>
            <w:tcW w:w="656" w:type="pct"/>
            <w:tcBorders>
              <w:top w:val="single" w:sz="8" w:space="0" w:color="auto"/>
              <w:left w:val="single" w:sz="4" w:space="0" w:color="auto"/>
              <w:bottom w:val="single" w:sz="8" w:space="0" w:color="auto"/>
              <w:right w:val="single" w:sz="4" w:space="0" w:color="auto"/>
            </w:tcBorders>
          </w:tcPr>
          <w:p w14:paraId="2157C508" w14:textId="77777777" w:rsidR="00A652A8" w:rsidRPr="006913ED" w:rsidRDefault="00A652A8" w:rsidP="00B94C53">
            <w:pPr>
              <w:spacing w:after="0"/>
              <w:jc w:val="center"/>
              <w:rPr>
                <w:rFonts w:cs="Arial"/>
                <w:sz w:val="20"/>
                <w:szCs w:val="20"/>
              </w:rPr>
            </w:pPr>
            <w:r w:rsidRPr="006913ED">
              <w:rPr>
                <w:rFonts w:cs="Arial"/>
                <w:sz w:val="20"/>
                <w:szCs w:val="20"/>
              </w:rPr>
              <w:t>Varies by test:</w:t>
            </w:r>
          </w:p>
          <w:p w14:paraId="3F2E86D1" w14:textId="77777777" w:rsidR="00A652A8" w:rsidRPr="006913ED" w:rsidRDefault="00A652A8" w:rsidP="00B94C53">
            <w:pPr>
              <w:spacing w:after="0"/>
              <w:jc w:val="center"/>
              <w:rPr>
                <w:rFonts w:cs="Arial"/>
                <w:sz w:val="20"/>
                <w:szCs w:val="20"/>
              </w:rPr>
            </w:pPr>
            <w:r w:rsidRPr="006913ED">
              <w:rPr>
                <w:rFonts w:cs="Arial"/>
                <w:sz w:val="20"/>
                <w:szCs w:val="20"/>
              </w:rPr>
              <w:t>BI-ADL: 0-20 ↑</w:t>
            </w:r>
          </w:p>
          <w:p w14:paraId="76F6E1A1" w14:textId="77777777" w:rsidR="00A652A8" w:rsidRPr="006913ED" w:rsidRDefault="00A652A8" w:rsidP="00B94C53">
            <w:pPr>
              <w:spacing w:after="0"/>
              <w:jc w:val="center"/>
              <w:rPr>
                <w:rFonts w:cs="Arial"/>
                <w:sz w:val="20"/>
                <w:szCs w:val="20"/>
              </w:rPr>
            </w:pPr>
            <w:r w:rsidRPr="006913ED">
              <w:rPr>
                <w:rFonts w:cs="Arial"/>
                <w:sz w:val="20"/>
                <w:szCs w:val="20"/>
              </w:rPr>
              <w:t xml:space="preserve">OARS-ADL: 0-14 </w:t>
            </w:r>
            <w:r w:rsidRPr="006913ED">
              <w:rPr>
                <w:rFonts w:cs="Arial"/>
                <w:sz w:val="20"/>
                <w:szCs w:val="20"/>
                <w:lang w:val="fr-CA"/>
              </w:rPr>
              <w:t>↑</w:t>
            </w:r>
          </w:p>
          <w:p w14:paraId="783AD84B" w14:textId="77777777" w:rsidR="00A652A8" w:rsidRPr="006913ED" w:rsidRDefault="00A652A8" w:rsidP="00B94C53">
            <w:pPr>
              <w:spacing w:after="0"/>
              <w:jc w:val="center"/>
              <w:rPr>
                <w:rFonts w:cs="Arial"/>
                <w:sz w:val="20"/>
                <w:szCs w:val="20"/>
              </w:rPr>
            </w:pPr>
          </w:p>
        </w:tc>
        <w:tc>
          <w:tcPr>
            <w:tcW w:w="814" w:type="pct"/>
            <w:tcBorders>
              <w:top w:val="nil"/>
              <w:left w:val="single" w:sz="4" w:space="0" w:color="auto"/>
              <w:bottom w:val="single" w:sz="8" w:space="0" w:color="auto"/>
              <w:right w:val="single" w:sz="8" w:space="0" w:color="auto"/>
            </w:tcBorders>
            <w:tcMar>
              <w:top w:w="0" w:type="dxa"/>
              <w:left w:w="108" w:type="dxa"/>
              <w:bottom w:w="0" w:type="dxa"/>
              <w:right w:w="108" w:type="dxa"/>
            </w:tcMar>
          </w:tcPr>
          <w:p w14:paraId="0488AA5D" w14:textId="77777777" w:rsidR="00A652A8" w:rsidRPr="006913ED" w:rsidRDefault="00A652A8" w:rsidP="00B94C53">
            <w:pPr>
              <w:spacing w:after="0"/>
              <w:jc w:val="center"/>
              <w:rPr>
                <w:rFonts w:cs="Arial"/>
                <w:sz w:val="20"/>
                <w:szCs w:val="20"/>
              </w:rPr>
            </w:pPr>
            <w:r w:rsidRPr="006913ED">
              <w:rPr>
                <w:rFonts w:cs="Arial"/>
                <w:sz w:val="20"/>
                <w:szCs w:val="20"/>
              </w:rPr>
              <w:t>Could not be determined</w:t>
            </w:r>
          </w:p>
        </w:tc>
        <w:tc>
          <w:tcPr>
            <w:tcW w:w="2036" w:type="pct"/>
            <w:tcBorders>
              <w:top w:val="nil"/>
              <w:left w:val="nil"/>
              <w:bottom w:val="single" w:sz="8" w:space="0" w:color="auto"/>
              <w:right w:val="single" w:sz="8" w:space="0" w:color="auto"/>
            </w:tcBorders>
          </w:tcPr>
          <w:p w14:paraId="09FC61AB" w14:textId="77777777" w:rsidR="00A652A8" w:rsidRPr="006913ED" w:rsidRDefault="00A652A8" w:rsidP="00B94C53">
            <w:pPr>
              <w:spacing w:after="0"/>
              <w:rPr>
                <w:rFonts w:cs="Arial"/>
                <w:sz w:val="20"/>
                <w:szCs w:val="20"/>
              </w:rPr>
            </w:pPr>
            <w:r w:rsidRPr="006913ED">
              <w:rPr>
                <w:rFonts w:cs="Arial"/>
                <w:sz w:val="20"/>
                <w:szCs w:val="20"/>
              </w:rPr>
              <w:t>Information on what patients and clinicians would find as a clinically meaningful difference between the treated and untreated groups for each test is lacking. In addition, because various test results were included in the assessment of this outcome, each with a potentially different clinically meaningful threshold, then a clinically important difference between the treated and untreated groups for this outcome as a whole could not be determined.</w:t>
            </w:r>
          </w:p>
        </w:tc>
      </w:tr>
      <w:tr w:rsidR="00A652A8" w:rsidRPr="006913ED" w14:paraId="63EBE206" w14:textId="77777777" w:rsidTr="00B94C53">
        <w:tc>
          <w:tcPr>
            <w:tcW w:w="96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28BAABB" w14:textId="77777777" w:rsidR="00A652A8" w:rsidRPr="006913ED" w:rsidRDefault="00A652A8" w:rsidP="00B94C53">
            <w:pPr>
              <w:spacing w:after="0"/>
              <w:rPr>
                <w:rFonts w:cs="Arial"/>
                <w:sz w:val="20"/>
                <w:szCs w:val="20"/>
              </w:rPr>
            </w:pPr>
            <w:r w:rsidRPr="006913ED">
              <w:rPr>
                <w:rFonts w:cs="Arial"/>
                <w:sz w:val="20"/>
                <w:szCs w:val="20"/>
              </w:rPr>
              <w:lastRenderedPageBreak/>
              <w:t xml:space="preserve">   General well-being</w:t>
            </w:r>
          </w:p>
          <w:p w14:paraId="3321842D" w14:textId="77777777" w:rsidR="00A652A8" w:rsidRPr="006913ED" w:rsidRDefault="00A652A8" w:rsidP="00B94C53">
            <w:pPr>
              <w:spacing w:after="0"/>
              <w:rPr>
                <w:rFonts w:cs="Arial"/>
                <w:i/>
                <w:sz w:val="20"/>
                <w:szCs w:val="20"/>
              </w:rPr>
            </w:pPr>
            <w:r w:rsidRPr="006913ED">
              <w:rPr>
                <w:rFonts w:cs="Arial"/>
                <w:i/>
                <w:sz w:val="20"/>
                <w:szCs w:val="20"/>
              </w:rPr>
              <w:t xml:space="preserve">Includes the following tests: EUROQUOL Group-5 Dimension report questionnaire descriptive score (EQ-5D DES) and visual analogue scale score (EQ-5D VAS),General Health Questionnaire-30 (GHQ-30) and the Medical Outcomes Study 36-item Short Form Health Survey (SF-36) </w:t>
            </w:r>
          </w:p>
        </w:tc>
        <w:tc>
          <w:tcPr>
            <w:tcW w:w="526" w:type="pct"/>
            <w:tcBorders>
              <w:top w:val="nil"/>
              <w:left w:val="nil"/>
              <w:bottom w:val="single" w:sz="8" w:space="0" w:color="auto"/>
              <w:right w:val="single" w:sz="4" w:space="0" w:color="auto"/>
            </w:tcBorders>
            <w:tcMar>
              <w:top w:w="0" w:type="dxa"/>
              <w:left w:w="108" w:type="dxa"/>
              <w:bottom w:w="0" w:type="dxa"/>
              <w:right w:w="108" w:type="dxa"/>
            </w:tcMar>
          </w:tcPr>
          <w:p w14:paraId="27D88DB0" w14:textId="77777777" w:rsidR="00A652A8" w:rsidRPr="006913ED" w:rsidRDefault="00A652A8" w:rsidP="00B94C53">
            <w:pPr>
              <w:spacing w:after="0"/>
              <w:jc w:val="center"/>
              <w:rPr>
                <w:rFonts w:cs="Arial"/>
                <w:sz w:val="20"/>
                <w:szCs w:val="20"/>
              </w:rPr>
            </w:pPr>
            <w:r w:rsidRPr="006913ED">
              <w:rPr>
                <w:rFonts w:cs="Arial"/>
                <w:sz w:val="20"/>
                <w:szCs w:val="20"/>
              </w:rPr>
              <w:t>Score or standardized combined score</w:t>
            </w:r>
          </w:p>
        </w:tc>
        <w:tc>
          <w:tcPr>
            <w:tcW w:w="656" w:type="pct"/>
            <w:tcBorders>
              <w:top w:val="single" w:sz="8" w:space="0" w:color="auto"/>
              <w:left w:val="single" w:sz="4" w:space="0" w:color="auto"/>
              <w:bottom w:val="single" w:sz="8" w:space="0" w:color="auto"/>
              <w:right w:val="single" w:sz="4" w:space="0" w:color="auto"/>
            </w:tcBorders>
          </w:tcPr>
          <w:p w14:paraId="39C05C86" w14:textId="77777777" w:rsidR="00A652A8" w:rsidRPr="006913ED" w:rsidRDefault="00A652A8" w:rsidP="00B94C53">
            <w:pPr>
              <w:spacing w:after="0"/>
              <w:jc w:val="center"/>
              <w:rPr>
                <w:rFonts w:cs="Arial"/>
                <w:sz w:val="20"/>
                <w:szCs w:val="20"/>
              </w:rPr>
            </w:pPr>
            <w:r w:rsidRPr="006913ED">
              <w:rPr>
                <w:rFonts w:cs="Arial"/>
                <w:sz w:val="20"/>
                <w:szCs w:val="20"/>
              </w:rPr>
              <w:t>Varies by test:</w:t>
            </w:r>
          </w:p>
          <w:p w14:paraId="23AA5460" w14:textId="77777777" w:rsidR="00A652A8" w:rsidRPr="000E53DD" w:rsidRDefault="00A652A8" w:rsidP="00B94C53">
            <w:pPr>
              <w:spacing w:after="0"/>
              <w:jc w:val="center"/>
              <w:rPr>
                <w:rFonts w:cs="Arial"/>
                <w:sz w:val="20"/>
                <w:szCs w:val="20"/>
              </w:rPr>
            </w:pPr>
            <w:r w:rsidRPr="009A7805">
              <w:rPr>
                <w:rFonts w:cs="Arial"/>
                <w:sz w:val="20"/>
                <w:szCs w:val="20"/>
              </w:rPr>
              <w:t xml:space="preserve">EQ-5D DES: -0.59-1.0 </w:t>
            </w:r>
            <w:r w:rsidR="00943AF8" w:rsidRPr="009A7805">
              <w:rPr>
                <w:rFonts w:cs="Arial"/>
                <w:sz w:val="20"/>
                <w:szCs w:val="20"/>
              </w:rPr>
              <w:t>↑</w:t>
            </w:r>
          </w:p>
          <w:p w14:paraId="5873BC98" w14:textId="77777777" w:rsidR="00A652A8" w:rsidRPr="009A7805" w:rsidRDefault="00A652A8" w:rsidP="00B94C53">
            <w:pPr>
              <w:spacing w:after="0"/>
              <w:jc w:val="center"/>
              <w:rPr>
                <w:rFonts w:cs="Arial"/>
                <w:sz w:val="20"/>
                <w:szCs w:val="20"/>
              </w:rPr>
            </w:pPr>
            <w:r w:rsidRPr="000E23C4">
              <w:rPr>
                <w:rFonts w:cs="Arial"/>
                <w:sz w:val="20"/>
                <w:szCs w:val="20"/>
              </w:rPr>
              <w:t xml:space="preserve">EQ-5D VAS: 0-100 </w:t>
            </w:r>
            <w:r w:rsidR="00DB5CEB" w:rsidRPr="009A7805">
              <w:rPr>
                <w:rFonts w:cs="Arial"/>
                <w:sz w:val="20"/>
                <w:szCs w:val="20"/>
              </w:rPr>
              <w:t>↑</w:t>
            </w:r>
          </w:p>
          <w:p w14:paraId="6B16E543" w14:textId="77777777" w:rsidR="00A652A8" w:rsidRPr="006913ED" w:rsidRDefault="00A652A8" w:rsidP="00B94C53">
            <w:pPr>
              <w:spacing w:after="0"/>
              <w:jc w:val="center"/>
              <w:rPr>
                <w:rFonts w:cs="Arial"/>
                <w:sz w:val="20"/>
                <w:szCs w:val="20"/>
              </w:rPr>
            </w:pPr>
            <w:r w:rsidRPr="006913ED">
              <w:rPr>
                <w:rFonts w:cs="Arial"/>
                <w:sz w:val="20"/>
                <w:szCs w:val="20"/>
              </w:rPr>
              <w:t>GHQ-30: 0-90 ↓</w:t>
            </w:r>
          </w:p>
          <w:p w14:paraId="68663792" w14:textId="77777777" w:rsidR="00A652A8" w:rsidRPr="006913ED" w:rsidRDefault="00A652A8" w:rsidP="00B94C53">
            <w:pPr>
              <w:spacing w:after="0"/>
              <w:jc w:val="center"/>
              <w:rPr>
                <w:rFonts w:cs="Arial"/>
                <w:sz w:val="20"/>
                <w:szCs w:val="20"/>
              </w:rPr>
            </w:pPr>
            <w:r w:rsidRPr="006913ED">
              <w:rPr>
                <w:rFonts w:cs="Arial"/>
                <w:sz w:val="20"/>
                <w:szCs w:val="20"/>
              </w:rPr>
              <w:t>SF-36: mean of 50, SD of 10 ↑</w:t>
            </w:r>
          </w:p>
          <w:p w14:paraId="346EBC2C" w14:textId="77777777" w:rsidR="00A652A8" w:rsidRPr="006913ED" w:rsidRDefault="00A652A8" w:rsidP="00B94C53">
            <w:pPr>
              <w:spacing w:after="0"/>
              <w:jc w:val="center"/>
              <w:rPr>
                <w:rFonts w:cs="Arial"/>
                <w:i/>
                <w:sz w:val="20"/>
                <w:szCs w:val="20"/>
              </w:rPr>
            </w:pPr>
          </w:p>
        </w:tc>
        <w:tc>
          <w:tcPr>
            <w:tcW w:w="814" w:type="pct"/>
            <w:tcBorders>
              <w:top w:val="nil"/>
              <w:left w:val="single" w:sz="4" w:space="0" w:color="auto"/>
              <w:bottom w:val="single" w:sz="8" w:space="0" w:color="auto"/>
              <w:right w:val="single" w:sz="8" w:space="0" w:color="auto"/>
            </w:tcBorders>
            <w:tcMar>
              <w:top w:w="0" w:type="dxa"/>
              <w:left w:w="108" w:type="dxa"/>
              <w:bottom w:w="0" w:type="dxa"/>
              <w:right w:w="108" w:type="dxa"/>
            </w:tcMar>
          </w:tcPr>
          <w:p w14:paraId="1735BF8D" w14:textId="77777777" w:rsidR="00A652A8" w:rsidRPr="006913ED" w:rsidRDefault="00A652A8" w:rsidP="00B94C53">
            <w:pPr>
              <w:spacing w:after="0"/>
              <w:jc w:val="center"/>
              <w:rPr>
                <w:rFonts w:cs="Arial"/>
                <w:sz w:val="20"/>
                <w:szCs w:val="20"/>
              </w:rPr>
            </w:pPr>
            <w:r w:rsidRPr="006913ED">
              <w:rPr>
                <w:rFonts w:cs="Arial"/>
                <w:sz w:val="20"/>
                <w:szCs w:val="20"/>
              </w:rPr>
              <w:t>Could not be determined, however a minimally important difference for EQ-5D DES was estimated to be between 0.037±0.001 and 0.056±0.011 for Canada</w:t>
            </w:r>
          </w:p>
        </w:tc>
        <w:tc>
          <w:tcPr>
            <w:tcW w:w="2036" w:type="pct"/>
            <w:tcBorders>
              <w:top w:val="nil"/>
              <w:left w:val="nil"/>
              <w:bottom w:val="single" w:sz="8" w:space="0" w:color="auto"/>
              <w:right w:val="single" w:sz="8" w:space="0" w:color="auto"/>
            </w:tcBorders>
          </w:tcPr>
          <w:p w14:paraId="0402365B" w14:textId="77777777" w:rsidR="00A652A8" w:rsidRPr="006913ED" w:rsidRDefault="00A652A8" w:rsidP="00B94C53">
            <w:pPr>
              <w:spacing w:after="0"/>
              <w:rPr>
                <w:rFonts w:cs="Arial"/>
                <w:sz w:val="20"/>
                <w:szCs w:val="20"/>
              </w:rPr>
            </w:pPr>
            <w:r w:rsidRPr="006913ED">
              <w:rPr>
                <w:rFonts w:cs="Arial"/>
                <w:sz w:val="20"/>
                <w:szCs w:val="20"/>
              </w:rPr>
              <w:t>Information on what patients and clinicians would find as a clinically meaningful difference between the treated and untreated groups for each test is lacking, except for EQ-5D DES [</w:t>
            </w:r>
            <w:r w:rsidRPr="006913ED">
              <w:rPr>
                <w:sz w:val="20"/>
                <w:szCs w:val="20"/>
              </w:rPr>
              <w:t>McClure NS, Sayah FA, Xie F, Luo N, Johnson JA. Instrument-defined estimates of the minimally important difference for EQ-5D-5L index scores. Value Health. 2017;20(4):644–650]</w:t>
            </w:r>
            <w:r w:rsidRPr="006913ED">
              <w:rPr>
                <w:rFonts w:cs="Arial"/>
                <w:sz w:val="20"/>
                <w:szCs w:val="20"/>
              </w:rPr>
              <w:t>. In addition, because various test results were included in the assessment of this outcome, each with a potentially different clinically meaningful threshold, then a clinically important difference between the treated and untreated groups for this outcome as a whole could not be determined.</w:t>
            </w:r>
          </w:p>
        </w:tc>
      </w:tr>
      <w:tr w:rsidR="00A652A8" w:rsidRPr="006913ED" w14:paraId="215333B3" w14:textId="77777777" w:rsidTr="00B94C53">
        <w:tc>
          <w:tcPr>
            <w:tcW w:w="9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4AFD62" w14:textId="77777777" w:rsidR="00A652A8" w:rsidRPr="006913ED" w:rsidRDefault="00A652A8" w:rsidP="00B94C53">
            <w:pPr>
              <w:spacing w:after="0"/>
              <w:rPr>
                <w:rFonts w:cs="Arial"/>
                <w:b/>
                <w:bCs/>
                <w:sz w:val="20"/>
                <w:szCs w:val="20"/>
              </w:rPr>
            </w:pPr>
            <w:r w:rsidRPr="006913ED">
              <w:rPr>
                <w:rFonts w:cs="Arial"/>
                <w:b/>
                <w:bCs/>
                <w:sz w:val="20"/>
                <w:szCs w:val="20"/>
              </w:rPr>
              <w:t>Cognitive function</w:t>
            </w:r>
          </w:p>
        </w:tc>
        <w:tc>
          <w:tcPr>
            <w:tcW w:w="526" w:type="pct"/>
            <w:tcBorders>
              <w:top w:val="nil"/>
              <w:left w:val="nil"/>
              <w:bottom w:val="single" w:sz="8" w:space="0" w:color="auto"/>
              <w:right w:val="single" w:sz="4" w:space="0" w:color="auto"/>
            </w:tcBorders>
            <w:tcMar>
              <w:top w:w="0" w:type="dxa"/>
              <w:left w:w="108" w:type="dxa"/>
              <w:bottom w:w="0" w:type="dxa"/>
              <w:right w:w="108" w:type="dxa"/>
            </w:tcMar>
          </w:tcPr>
          <w:p w14:paraId="36E78673" w14:textId="77777777" w:rsidR="00A652A8" w:rsidRPr="006913ED" w:rsidRDefault="00A652A8" w:rsidP="00B94C53">
            <w:pPr>
              <w:spacing w:after="0"/>
              <w:jc w:val="center"/>
              <w:rPr>
                <w:rFonts w:cs="Arial"/>
                <w:sz w:val="20"/>
                <w:szCs w:val="20"/>
              </w:rPr>
            </w:pPr>
          </w:p>
        </w:tc>
        <w:tc>
          <w:tcPr>
            <w:tcW w:w="656" w:type="pct"/>
            <w:tcBorders>
              <w:top w:val="single" w:sz="8" w:space="0" w:color="auto"/>
              <w:left w:val="single" w:sz="4" w:space="0" w:color="auto"/>
              <w:bottom w:val="single" w:sz="8" w:space="0" w:color="auto"/>
              <w:right w:val="single" w:sz="4" w:space="0" w:color="auto"/>
            </w:tcBorders>
          </w:tcPr>
          <w:p w14:paraId="6B1DA857" w14:textId="77777777" w:rsidR="00A652A8" w:rsidRPr="006913ED" w:rsidRDefault="00A652A8" w:rsidP="00B94C53">
            <w:pPr>
              <w:spacing w:after="0"/>
              <w:jc w:val="center"/>
              <w:rPr>
                <w:rFonts w:cs="Arial"/>
                <w:sz w:val="20"/>
                <w:szCs w:val="20"/>
              </w:rPr>
            </w:pPr>
          </w:p>
        </w:tc>
        <w:tc>
          <w:tcPr>
            <w:tcW w:w="814" w:type="pct"/>
            <w:tcBorders>
              <w:top w:val="nil"/>
              <w:left w:val="single" w:sz="4" w:space="0" w:color="auto"/>
              <w:bottom w:val="single" w:sz="8" w:space="0" w:color="auto"/>
              <w:right w:val="single" w:sz="8" w:space="0" w:color="auto"/>
            </w:tcBorders>
            <w:tcMar>
              <w:top w:w="0" w:type="dxa"/>
              <w:left w:w="108" w:type="dxa"/>
              <w:bottom w:w="0" w:type="dxa"/>
              <w:right w:w="108" w:type="dxa"/>
            </w:tcMar>
          </w:tcPr>
          <w:p w14:paraId="6BD00524" w14:textId="77777777" w:rsidR="00A652A8" w:rsidRPr="006913ED" w:rsidRDefault="00A652A8" w:rsidP="00B94C53">
            <w:pPr>
              <w:spacing w:after="0"/>
              <w:jc w:val="center"/>
              <w:rPr>
                <w:rFonts w:cs="Arial"/>
                <w:sz w:val="20"/>
                <w:szCs w:val="20"/>
              </w:rPr>
            </w:pPr>
          </w:p>
        </w:tc>
        <w:tc>
          <w:tcPr>
            <w:tcW w:w="2036" w:type="pct"/>
            <w:tcBorders>
              <w:top w:val="nil"/>
              <w:left w:val="nil"/>
              <w:bottom w:val="single" w:sz="8" w:space="0" w:color="auto"/>
              <w:right w:val="single" w:sz="8" w:space="0" w:color="auto"/>
            </w:tcBorders>
          </w:tcPr>
          <w:p w14:paraId="266239E1" w14:textId="77777777" w:rsidR="00A652A8" w:rsidRPr="006913ED" w:rsidRDefault="00A652A8" w:rsidP="00B94C53">
            <w:pPr>
              <w:spacing w:after="0"/>
              <w:rPr>
                <w:rFonts w:cs="Arial"/>
                <w:sz w:val="20"/>
                <w:szCs w:val="20"/>
              </w:rPr>
            </w:pPr>
          </w:p>
        </w:tc>
      </w:tr>
      <w:tr w:rsidR="00A652A8" w:rsidRPr="006913ED" w14:paraId="7A7B9A2C" w14:textId="77777777" w:rsidTr="00B94C53">
        <w:tc>
          <w:tcPr>
            <w:tcW w:w="9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F30E08" w14:textId="77777777" w:rsidR="00A652A8" w:rsidRPr="006913ED" w:rsidRDefault="00A652A8" w:rsidP="00B94C53">
            <w:pPr>
              <w:spacing w:after="0"/>
              <w:rPr>
                <w:rFonts w:cs="Arial"/>
                <w:bCs/>
                <w:sz w:val="20"/>
                <w:szCs w:val="20"/>
              </w:rPr>
            </w:pPr>
            <w:r w:rsidRPr="006913ED">
              <w:rPr>
                <w:rFonts w:cs="Arial"/>
                <w:bCs/>
                <w:sz w:val="20"/>
                <w:szCs w:val="20"/>
              </w:rPr>
              <w:t xml:space="preserve">   Overall cognitive function</w:t>
            </w:r>
          </w:p>
          <w:p w14:paraId="7A6DFEA0" w14:textId="77777777" w:rsidR="00A652A8" w:rsidRPr="006913ED" w:rsidRDefault="00A652A8" w:rsidP="00B94C53">
            <w:pPr>
              <w:spacing w:after="0"/>
              <w:rPr>
                <w:rFonts w:cs="Arial"/>
                <w:bCs/>
                <w:i/>
                <w:sz w:val="20"/>
                <w:szCs w:val="20"/>
              </w:rPr>
            </w:pPr>
            <w:r w:rsidRPr="006913ED">
              <w:rPr>
                <w:rFonts w:cs="Arial"/>
                <w:bCs/>
                <w:i/>
                <w:sz w:val="20"/>
                <w:szCs w:val="20"/>
              </w:rPr>
              <w:t xml:space="preserve">Includes the following tests: California Computerized Assessment Package (CalCAP), Composite cognitive score (CCS), Controlled word association test (CWA), Letter digit coding test (LDC), Middlesex elderly assessment of mental state (MEAMS), Mini-mental state examination (MMSE), Seashore rhythm test (SR), Speed and capacity of </w:t>
            </w:r>
            <w:r w:rsidRPr="006913ED">
              <w:rPr>
                <w:rFonts w:cs="Arial"/>
                <w:bCs/>
                <w:i/>
                <w:sz w:val="20"/>
                <w:szCs w:val="20"/>
              </w:rPr>
              <w:lastRenderedPageBreak/>
              <w:t>language processing test (SCOLP), Trail making test A (TM-A) B (TM-B) and B-A (TM-BA), Vocabulary – Wechsler intelligence scale (VWI) and Word list test (WL)</w:t>
            </w:r>
          </w:p>
        </w:tc>
        <w:tc>
          <w:tcPr>
            <w:tcW w:w="526" w:type="pct"/>
            <w:tcBorders>
              <w:top w:val="nil"/>
              <w:left w:val="nil"/>
              <w:bottom w:val="single" w:sz="8" w:space="0" w:color="auto"/>
              <w:right w:val="single" w:sz="4" w:space="0" w:color="auto"/>
            </w:tcBorders>
            <w:tcMar>
              <w:top w:w="0" w:type="dxa"/>
              <w:left w:w="108" w:type="dxa"/>
              <w:bottom w:w="0" w:type="dxa"/>
              <w:right w:w="108" w:type="dxa"/>
            </w:tcMar>
          </w:tcPr>
          <w:p w14:paraId="68CE4964" w14:textId="77777777" w:rsidR="00A652A8" w:rsidRPr="006913ED" w:rsidRDefault="00A652A8" w:rsidP="00B94C53">
            <w:pPr>
              <w:spacing w:after="0"/>
              <w:jc w:val="center"/>
              <w:rPr>
                <w:rFonts w:cs="Arial"/>
                <w:sz w:val="20"/>
                <w:szCs w:val="20"/>
              </w:rPr>
            </w:pPr>
            <w:r w:rsidRPr="006913ED">
              <w:rPr>
                <w:rFonts w:cs="Arial"/>
                <w:sz w:val="20"/>
                <w:szCs w:val="20"/>
              </w:rPr>
              <w:lastRenderedPageBreak/>
              <w:t>Score, discrepancy score or standardized combined score</w:t>
            </w:r>
          </w:p>
        </w:tc>
        <w:tc>
          <w:tcPr>
            <w:tcW w:w="656" w:type="pct"/>
            <w:tcBorders>
              <w:top w:val="single" w:sz="8" w:space="0" w:color="auto"/>
              <w:left w:val="single" w:sz="4" w:space="0" w:color="auto"/>
              <w:bottom w:val="single" w:sz="8" w:space="0" w:color="auto"/>
              <w:right w:val="single" w:sz="4" w:space="0" w:color="auto"/>
            </w:tcBorders>
          </w:tcPr>
          <w:p w14:paraId="4CE2788A" w14:textId="77777777" w:rsidR="00A652A8" w:rsidRPr="006913ED" w:rsidRDefault="00A652A8" w:rsidP="00B94C53">
            <w:pPr>
              <w:spacing w:after="0"/>
              <w:jc w:val="center"/>
              <w:rPr>
                <w:rFonts w:cs="Arial"/>
                <w:sz w:val="20"/>
                <w:szCs w:val="20"/>
              </w:rPr>
            </w:pPr>
            <w:r w:rsidRPr="006913ED">
              <w:rPr>
                <w:rFonts w:cs="Arial"/>
                <w:sz w:val="20"/>
                <w:szCs w:val="20"/>
              </w:rPr>
              <w:t>Varies by test:</w:t>
            </w:r>
          </w:p>
          <w:p w14:paraId="27371F99" w14:textId="77777777" w:rsidR="00A652A8" w:rsidRPr="006913ED" w:rsidRDefault="00A652A8" w:rsidP="00B94C53">
            <w:pPr>
              <w:spacing w:after="0"/>
              <w:jc w:val="center"/>
              <w:rPr>
                <w:rFonts w:cs="Arial"/>
                <w:sz w:val="20"/>
                <w:szCs w:val="20"/>
              </w:rPr>
            </w:pPr>
            <w:r w:rsidRPr="006913ED">
              <w:rPr>
                <w:rFonts w:cs="Arial"/>
                <w:sz w:val="20"/>
                <w:szCs w:val="20"/>
              </w:rPr>
              <w:t>CalCAP ↓</w:t>
            </w:r>
          </w:p>
          <w:p w14:paraId="08C405C7" w14:textId="77777777" w:rsidR="00A652A8" w:rsidRPr="006913ED" w:rsidRDefault="00A652A8" w:rsidP="00B94C53">
            <w:pPr>
              <w:spacing w:after="0"/>
              <w:jc w:val="center"/>
              <w:rPr>
                <w:rFonts w:cs="Arial"/>
                <w:sz w:val="20"/>
                <w:szCs w:val="20"/>
              </w:rPr>
            </w:pPr>
            <w:r w:rsidRPr="006913ED">
              <w:rPr>
                <w:rFonts w:cs="Arial"/>
                <w:sz w:val="20"/>
                <w:szCs w:val="20"/>
              </w:rPr>
              <w:t>CCS ↑</w:t>
            </w:r>
            <w:r w:rsidRPr="006913ED">
              <w:rPr>
                <w:rFonts w:cs="Arial"/>
                <w:sz w:val="20"/>
                <w:szCs w:val="20"/>
                <w:vertAlign w:val="superscript"/>
              </w:rPr>
              <w:t>α</w:t>
            </w:r>
          </w:p>
          <w:p w14:paraId="631E6AEC" w14:textId="77777777" w:rsidR="00A652A8" w:rsidRPr="006913ED" w:rsidRDefault="00A652A8" w:rsidP="00B94C53">
            <w:pPr>
              <w:spacing w:after="0"/>
              <w:jc w:val="center"/>
              <w:rPr>
                <w:rFonts w:cs="Arial"/>
                <w:sz w:val="20"/>
                <w:szCs w:val="20"/>
              </w:rPr>
            </w:pPr>
            <w:r w:rsidRPr="006913ED">
              <w:rPr>
                <w:rFonts w:cs="Arial"/>
                <w:sz w:val="20"/>
                <w:szCs w:val="20"/>
              </w:rPr>
              <w:t>CWA↑</w:t>
            </w:r>
          </w:p>
          <w:p w14:paraId="20F8D274" w14:textId="77777777" w:rsidR="00A652A8" w:rsidRPr="006913ED" w:rsidRDefault="00A652A8" w:rsidP="00B94C53">
            <w:pPr>
              <w:spacing w:after="0"/>
              <w:jc w:val="center"/>
              <w:rPr>
                <w:rFonts w:cs="Arial"/>
                <w:sz w:val="20"/>
                <w:szCs w:val="20"/>
              </w:rPr>
            </w:pPr>
            <w:r w:rsidRPr="006913ED">
              <w:rPr>
                <w:rFonts w:cs="Arial"/>
                <w:sz w:val="20"/>
                <w:szCs w:val="20"/>
              </w:rPr>
              <w:t>LDC↑</w:t>
            </w:r>
          </w:p>
          <w:p w14:paraId="04AE6324" w14:textId="77777777" w:rsidR="00A652A8" w:rsidRPr="006913ED" w:rsidRDefault="00A652A8" w:rsidP="00B94C53">
            <w:pPr>
              <w:spacing w:after="0"/>
              <w:jc w:val="center"/>
              <w:rPr>
                <w:rFonts w:cs="Arial"/>
                <w:sz w:val="20"/>
                <w:szCs w:val="20"/>
              </w:rPr>
            </w:pPr>
            <w:r w:rsidRPr="006913ED">
              <w:rPr>
                <w:rFonts w:cs="Arial"/>
                <w:sz w:val="20"/>
                <w:szCs w:val="20"/>
              </w:rPr>
              <w:t>MEAMS: 0-12 ↑</w:t>
            </w:r>
          </w:p>
          <w:p w14:paraId="311E1BFE" w14:textId="77777777" w:rsidR="00A652A8" w:rsidRPr="006913ED" w:rsidRDefault="00A652A8" w:rsidP="00B94C53">
            <w:pPr>
              <w:spacing w:after="0"/>
              <w:jc w:val="center"/>
              <w:rPr>
                <w:rFonts w:cs="Arial"/>
                <w:sz w:val="20"/>
                <w:szCs w:val="20"/>
              </w:rPr>
            </w:pPr>
            <w:r w:rsidRPr="006913ED">
              <w:rPr>
                <w:rFonts w:cs="Arial"/>
                <w:sz w:val="20"/>
                <w:szCs w:val="20"/>
              </w:rPr>
              <w:t>MMSE: 0-30 ↑</w:t>
            </w:r>
          </w:p>
          <w:p w14:paraId="6B24B6CA" w14:textId="77777777" w:rsidR="00A652A8" w:rsidRPr="006913ED" w:rsidRDefault="00A652A8" w:rsidP="00B94C53">
            <w:pPr>
              <w:spacing w:after="0"/>
              <w:jc w:val="center"/>
              <w:rPr>
                <w:rFonts w:cs="Arial"/>
                <w:sz w:val="20"/>
                <w:szCs w:val="20"/>
              </w:rPr>
            </w:pPr>
            <w:r w:rsidRPr="006913ED">
              <w:rPr>
                <w:rFonts w:cs="Arial"/>
                <w:sz w:val="20"/>
                <w:szCs w:val="20"/>
              </w:rPr>
              <w:t>SR ↑</w:t>
            </w:r>
          </w:p>
          <w:p w14:paraId="7A854336" w14:textId="77777777" w:rsidR="00A652A8" w:rsidRPr="006913ED" w:rsidRDefault="00A652A8" w:rsidP="00B94C53">
            <w:pPr>
              <w:spacing w:after="0"/>
              <w:jc w:val="center"/>
              <w:rPr>
                <w:rFonts w:cs="Arial"/>
                <w:sz w:val="20"/>
                <w:szCs w:val="20"/>
              </w:rPr>
            </w:pPr>
            <w:r w:rsidRPr="006913ED">
              <w:rPr>
                <w:rFonts w:cs="Arial"/>
                <w:sz w:val="20"/>
                <w:szCs w:val="20"/>
              </w:rPr>
              <w:t>SCOLP: -1-12 (≥4 is severe) ↓</w:t>
            </w:r>
          </w:p>
          <w:p w14:paraId="65707B1B" w14:textId="77777777" w:rsidR="00A652A8" w:rsidRPr="006913ED" w:rsidRDefault="00A652A8" w:rsidP="00B94C53">
            <w:pPr>
              <w:spacing w:after="0"/>
              <w:jc w:val="center"/>
              <w:rPr>
                <w:rFonts w:cs="Arial"/>
                <w:sz w:val="20"/>
                <w:szCs w:val="20"/>
              </w:rPr>
            </w:pPr>
            <w:r w:rsidRPr="006913ED">
              <w:rPr>
                <w:rFonts w:cs="Arial"/>
                <w:sz w:val="20"/>
                <w:szCs w:val="20"/>
              </w:rPr>
              <w:t>TM-A ↓</w:t>
            </w:r>
          </w:p>
          <w:p w14:paraId="272FAAD4" w14:textId="77777777" w:rsidR="00A652A8" w:rsidRPr="006913ED" w:rsidRDefault="00A652A8" w:rsidP="00B94C53">
            <w:pPr>
              <w:spacing w:after="0"/>
              <w:jc w:val="center"/>
              <w:rPr>
                <w:rFonts w:cs="Arial"/>
                <w:sz w:val="20"/>
                <w:szCs w:val="20"/>
              </w:rPr>
            </w:pPr>
            <w:r w:rsidRPr="006913ED">
              <w:rPr>
                <w:rFonts w:cs="Arial"/>
                <w:sz w:val="20"/>
                <w:szCs w:val="20"/>
              </w:rPr>
              <w:t>TM-B ↓</w:t>
            </w:r>
          </w:p>
          <w:p w14:paraId="6AB94FB2" w14:textId="77777777" w:rsidR="00A652A8" w:rsidRPr="006913ED" w:rsidRDefault="00A652A8" w:rsidP="00B94C53">
            <w:pPr>
              <w:spacing w:after="0"/>
              <w:jc w:val="center"/>
              <w:rPr>
                <w:rFonts w:cs="Arial"/>
                <w:sz w:val="20"/>
                <w:szCs w:val="20"/>
              </w:rPr>
            </w:pPr>
            <w:r w:rsidRPr="006913ED">
              <w:rPr>
                <w:rFonts w:cs="Arial"/>
                <w:sz w:val="20"/>
                <w:szCs w:val="20"/>
              </w:rPr>
              <w:t>TM-BA ↓</w:t>
            </w:r>
          </w:p>
          <w:p w14:paraId="623340D8" w14:textId="77777777" w:rsidR="00A652A8" w:rsidRPr="006913ED" w:rsidRDefault="00A652A8" w:rsidP="00B94C53">
            <w:pPr>
              <w:spacing w:after="0"/>
              <w:jc w:val="center"/>
              <w:rPr>
                <w:rFonts w:cs="Arial"/>
                <w:sz w:val="20"/>
                <w:szCs w:val="20"/>
              </w:rPr>
            </w:pPr>
            <w:r w:rsidRPr="006913ED">
              <w:rPr>
                <w:rFonts w:cs="Arial"/>
                <w:sz w:val="20"/>
                <w:szCs w:val="20"/>
              </w:rPr>
              <w:t>VWI ↑</w:t>
            </w:r>
          </w:p>
          <w:p w14:paraId="634B8EDC" w14:textId="77777777" w:rsidR="00A652A8" w:rsidRPr="006913ED" w:rsidRDefault="00A652A8" w:rsidP="00B94C53">
            <w:pPr>
              <w:spacing w:after="0"/>
              <w:jc w:val="center"/>
              <w:rPr>
                <w:rFonts w:cs="Arial"/>
                <w:sz w:val="20"/>
                <w:szCs w:val="20"/>
              </w:rPr>
            </w:pPr>
            <w:r w:rsidRPr="006913ED">
              <w:rPr>
                <w:rFonts w:cs="Arial"/>
                <w:sz w:val="20"/>
                <w:szCs w:val="20"/>
              </w:rPr>
              <w:t>WL ↑</w:t>
            </w:r>
          </w:p>
        </w:tc>
        <w:tc>
          <w:tcPr>
            <w:tcW w:w="814" w:type="pct"/>
            <w:tcBorders>
              <w:top w:val="nil"/>
              <w:left w:val="single" w:sz="4" w:space="0" w:color="auto"/>
              <w:bottom w:val="single" w:sz="8" w:space="0" w:color="auto"/>
              <w:right w:val="single" w:sz="8" w:space="0" w:color="auto"/>
            </w:tcBorders>
            <w:tcMar>
              <w:top w:w="0" w:type="dxa"/>
              <w:left w:w="108" w:type="dxa"/>
              <w:bottom w:w="0" w:type="dxa"/>
              <w:right w:w="108" w:type="dxa"/>
            </w:tcMar>
          </w:tcPr>
          <w:p w14:paraId="64B47971" w14:textId="77777777" w:rsidR="00A652A8" w:rsidRPr="006913ED" w:rsidRDefault="00A652A8" w:rsidP="00B94C53">
            <w:pPr>
              <w:spacing w:after="0"/>
              <w:jc w:val="center"/>
              <w:rPr>
                <w:rFonts w:cs="Arial"/>
                <w:sz w:val="20"/>
                <w:szCs w:val="20"/>
              </w:rPr>
            </w:pPr>
            <w:r w:rsidRPr="006913ED">
              <w:rPr>
                <w:rFonts w:cs="Arial"/>
                <w:sz w:val="20"/>
                <w:szCs w:val="20"/>
              </w:rPr>
              <w:t>Could not be determined</w:t>
            </w:r>
          </w:p>
        </w:tc>
        <w:tc>
          <w:tcPr>
            <w:tcW w:w="2036" w:type="pct"/>
            <w:tcBorders>
              <w:top w:val="nil"/>
              <w:left w:val="nil"/>
              <w:bottom w:val="single" w:sz="8" w:space="0" w:color="auto"/>
              <w:right w:val="single" w:sz="8" w:space="0" w:color="auto"/>
            </w:tcBorders>
          </w:tcPr>
          <w:p w14:paraId="7AA3D6FD" w14:textId="77777777" w:rsidR="00A652A8" w:rsidRPr="006913ED" w:rsidRDefault="00A652A8" w:rsidP="00B94C53">
            <w:pPr>
              <w:spacing w:after="0"/>
              <w:rPr>
                <w:rFonts w:cs="Arial"/>
                <w:sz w:val="20"/>
                <w:szCs w:val="20"/>
              </w:rPr>
            </w:pPr>
            <w:r w:rsidRPr="006913ED">
              <w:rPr>
                <w:rFonts w:cs="Arial"/>
                <w:sz w:val="20"/>
                <w:szCs w:val="20"/>
              </w:rPr>
              <w:t>Information on what patients and clinicians would find as a clinically meaningful difference between the treated and untreated groups for each test is lacking. In addition, because various test results were included in the assessment of this outcome, each with a potentially different clinically meaningful threshold, then a clinically important difference between the treated and untreated groups for this outcome as a whole could not be determined.</w:t>
            </w:r>
          </w:p>
        </w:tc>
      </w:tr>
    </w:tbl>
    <w:p w14:paraId="72D68A55" w14:textId="77777777" w:rsidR="00A652A8" w:rsidRPr="00A34449" w:rsidRDefault="00A652A8" w:rsidP="00A652A8">
      <w:pPr>
        <w:rPr>
          <w:rFonts w:cs="Arial"/>
          <w:sz w:val="20"/>
          <w:szCs w:val="20"/>
        </w:rPr>
      </w:pPr>
      <w:r>
        <w:rPr>
          <w:rFonts w:cs="Arial"/>
          <w:sz w:val="18"/>
          <w:szCs w:val="18"/>
        </w:rPr>
        <w:t xml:space="preserve">↓ </w:t>
      </w:r>
      <w:r w:rsidRPr="00A34449">
        <w:rPr>
          <w:rFonts w:cs="Arial"/>
          <w:sz w:val="20"/>
          <w:szCs w:val="20"/>
        </w:rPr>
        <w:t xml:space="preserve">higher scores are associated with poorer QoL or cognitive function. </w:t>
      </w:r>
      <w:r>
        <w:rPr>
          <w:rFonts w:cs="Arial"/>
          <w:sz w:val="18"/>
          <w:szCs w:val="18"/>
        </w:rPr>
        <w:t xml:space="preserve">↑ </w:t>
      </w:r>
      <w:r w:rsidRPr="00A34449">
        <w:rPr>
          <w:rFonts w:cs="Arial"/>
          <w:sz w:val="20"/>
          <w:szCs w:val="20"/>
        </w:rPr>
        <w:t xml:space="preserve">higher scores are associated with better QoL or cognitive function. </w:t>
      </w:r>
      <w:r w:rsidRPr="00A34449">
        <w:rPr>
          <w:rFonts w:cs="Arial"/>
          <w:sz w:val="20"/>
          <w:szCs w:val="20"/>
          <w:vertAlign w:val="superscript"/>
        </w:rPr>
        <w:t>α</w:t>
      </w:r>
      <w:r w:rsidRPr="00A34449">
        <w:rPr>
          <w:rFonts w:cs="Arial"/>
          <w:sz w:val="20"/>
          <w:szCs w:val="20"/>
        </w:rPr>
        <w:t xml:space="preserve">Composite </w:t>
      </w:r>
      <w:r>
        <w:rPr>
          <w:rFonts w:cs="Arial"/>
          <w:sz w:val="20"/>
          <w:szCs w:val="20"/>
        </w:rPr>
        <w:t xml:space="preserve">score </w:t>
      </w:r>
      <w:r w:rsidRPr="00A34449">
        <w:rPr>
          <w:rFonts w:cs="Arial"/>
          <w:sz w:val="20"/>
          <w:szCs w:val="20"/>
        </w:rPr>
        <w:t>made by adding the z-scores for these 7 tests: Digit Span forward &amp; backward, Stroop parts 1-3, Digit Symbol, verbal and visual recall.</w:t>
      </w:r>
    </w:p>
    <w:p w14:paraId="2B85E4ED" w14:textId="77777777" w:rsidR="00A652A8" w:rsidRDefault="00A652A8" w:rsidP="00A652A8">
      <w:pPr>
        <w:spacing w:after="0"/>
        <w:rPr>
          <w:b/>
          <w:u w:val="single"/>
        </w:rPr>
      </w:pPr>
    </w:p>
    <w:p w14:paraId="4AAC304A" w14:textId="77777777" w:rsidR="00A652A8" w:rsidRDefault="00A652A8" w:rsidP="00A652A8">
      <w:pPr>
        <w:spacing w:after="0"/>
        <w:rPr>
          <w:b/>
          <w:u w:val="single"/>
        </w:rPr>
      </w:pPr>
      <w:r>
        <w:rPr>
          <w:b/>
          <w:u w:val="single"/>
        </w:rPr>
        <w:t>Intermediate Outcomes</w:t>
      </w: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2541"/>
        <w:gridCol w:w="1418"/>
        <w:gridCol w:w="1561"/>
        <w:gridCol w:w="2125"/>
        <w:gridCol w:w="5295"/>
      </w:tblGrid>
      <w:tr w:rsidR="00A5561C" w:rsidRPr="006913ED" w14:paraId="0066FAAF" w14:textId="77777777" w:rsidTr="007D1B37">
        <w:trPr>
          <w:tblHeader/>
        </w:trPr>
        <w:tc>
          <w:tcPr>
            <w:tcW w:w="982" w:type="pct"/>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bottom"/>
            <w:hideMark/>
          </w:tcPr>
          <w:p w14:paraId="4AC558B4" w14:textId="77777777" w:rsidR="00A652A8" w:rsidRPr="006913ED" w:rsidRDefault="00A652A8" w:rsidP="00A5561C">
            <w:pPr>
              <w:spacing w:after="0"/>
              <w:rPr>
                <w:rFonts w:cs="Arial"/>
                <w:b/>
                <w:bCs/>
                <w:sz w:val="20"/>
                <w:szCs w:val="20"/>
              </w:rPr>
            </w:pPr>
            <w:r w:rsidRPr="006913ED">
              <w:rPr>
                <w:rFonts w:cs="Arial"/>
                <w:b/>
                <w:bCs/>
                <w:sz w:val="20"/>
                <w:szCs w:val="20"/>
              </w:rPr>
              <w:t xml:space="preserve">Intermediate outcomes </w:t>
            </w:r>
          </w:p>
        </w:tc>
        <w:tc>
          <w:tcPr>
            <w:tcW w:w="548" w:type="pct"/>
            <w:tcBorders>
              <w:top w:val="single" w:sz="8" w:space="0" w:color="auto"/>
              <w:left w:val="nil"/>
              <w:bottom w:val="single" w:sz="8" w:space="0" w:color="auto"/>
              <w:right w:val="single" w:sz="4" w:space="0" w:color="auto"/>
            </w:tcBorders>
            <w:shd w:val="clear" w:color="auto" w:fill="F2F2F2"/>
            <w:tcMar>
              <w:top w:w="0" w:type="dxa"/>
              <w:left w:w="108" w:type="dxa"/>
              <w:bottom w:w="0" w:type="dxa"/>
              <w:right w:w="108" w:type="dxa"/>
            </w:tcMar>
            <w:hideMark/>
          </w:tcPr>
          <w:p w14:paraId="0FE8D8B8" w14:textId="77777777" w:rsidR="00A652A8" w:rsidRPr="006913ED" w:rsidRDefault="00A652A8" w:rsidP="00EF7D49">
            <w:pPr>
              <w:jc w:val="center"/>
              <w:rPr>
                <w:rFonts w:cs="Arial"/>
                <w:b/>
                <w:bCs/>
                <w:sz w:val="20"/>
                <w:szCs w:val="20"/>
              </w:rPr>
            </w:pPr>
            <w:r w:rsidRPr="006913ED">
              <w:rPr>
                <w:rFonts w:cs="Arial"/>
                <w:b/>
                <w:bCs/>
                <w:sz w:val="20"/>
                <w:szCs w:val="20"/>
              </w:rPr>
              <w:t xml:space="preserve">Unit of measurement </w:t>
            </w:r>
          </w:p>
          <w:p w14:paraId="72CED0D3" w14:textId="77777777" w:rsidR="00A652A8" w:rsidRPr="006913ED" w:rsidRDefault="00A652A8" w:rsidP="00EF7D49">
            <w:pPr>
              <w:jc w:val="center"/>
              <w:rPr>
                <w:rFonts w:cs="Arial"/>
                <w:bCs/>
                <w:sz w:val="20"/>
                <w:szCs w:val="20"/>
              </w:rPr>
            </w:pPr>
          </w:p>
        </w:tc>
        <w:tc>
          <w:tcPr>
            <w:tcW w:w="603" w:type="pct"/>
            <w:tcBorders>
              <w:top w:val="single" w:sz="4" w:space="0" w:color="auto"/>
              <w:left w:val="single" w:sz="4" w:space="0" w:color="auto"/>
              <w:bottom w:val="single" w:sz="8" w:space="0" w:color="auto"/>
              <w:right w:val="single" w:sz="4" w:space="0" w:color="auto"/>
            </w:tcBorders>
            <w:shd w:val="clear" w:color="auto" w:fill="F2F2F2"/>
          </w:tcPr>
          <w:p w14:paraId="032E2185" w14:textId="0A78B2AA" w:rsidR="00A652A8" w:rsidRPr="006913ED" w:rsidRDefault="00916146" w:rsidP="00EF7D49">
            <w:pPr>
              <w:jc w:val="center"/>
              <w:rPr>
                <w:rFonts w:cs="Arial"/>
                <w:b/>
                <w:bCs/>
                <w:sz w:val="20"/>
                <w:szCs w:val="20"/>
              </w:rPr>
            </w:pPr>
            <w:r>
              <w:rPr>
                <w:rFonts w:cs="Arial"/>
                <w:b/>
                <w:bCs/>
                <w:sz w:val="20"/>
                <w:szCs w:val="20"/>
              </w:rPr>
              <w:t>S</w:t>
            </w:r>
            <w:r w:rsidR="00A652A8" w:rsidRPr="006913ED">
              <w:rPr>
                <w:rFonts w:cs="Arial"/>
                <w:b/>
                <w:bCs/>
                <w:sz w:val="20"/>
                <w:szCs w:val="20"/>
              </w:rPr>
              <w:t>tandard reference ranges</w:t>
            </w:r>
          </w:p>
        </w:tc>
        <w:tc>
          <w:tcPr>
            <w:tcW w:w="821" w:type="pct"/>
            <w:tcBorders>
              <w:top w:val="single" w:sz="8" w:space="0" w:color="auto"/>
              <w:left w:val="single" w:sz="4" w:space="0" w:color="auto"/>
              <w:bottom w:val="single" w:sz="8" w:space="0" w:color="auto"/>
              <w:right w:val="single" w:sz="8" w:space="0" w:color="auto"/>
            </w:tcBorders>
            <w:shd w:val="clear" w:color="auto" w:fill="F2F2F2"/>
            <w:tcMar>
              <w:top w:w="0" w:type="dxa"/>
              <w:left w:w="108" w:type="dxa"/>
              <w:bottom w:w="0" w:type="dxa"/>
              <w:right w:w="108" w:type="dxa"/>
            </w:tcMar>
            <w:hideMark/>
          </w:tcPr>
          <w:p w14:paraId="1BC8B054" w14:textId="77777777" w:rsidR="00A652A8" w:rsidRPr="006913ED" w:rsidRDefault="00A652A8" w:rsidP="00A5561C">
            <w:pPr>
              <w:spacing w:after="0"/>
              <w:jc w:val="center"/>
              <w:rPr>
                <w:rFonts w:cs="Arial"/>
                <w:b/>
                <w:bCs/>
                <w:sz w:val="20"/>
                <w:szCs w:val="20"/>
              </w:rPr>
            </w:pPr>
            <w:r w:rsidRPr="006913ED">
              <w:rPr>
                <w:rFonts w:cs="Arial"/>
                <w:b/>
                <w:bCs/>
                <w:sz w:val="20"/>
                <w:szCs w:val="20"/>
              </w:rPr>
              <w:t>Clinically-important difference between treated and untreated groups</w:t>
            </w:r>
          </w:p>
        </w:tc>
        <w:tc>
          <w:tcPr>
            <w:tcW w:w="2046" w:type="pct"/>
            <w:tcBorders>
              <w:top w:val="single" w:sz="8" w:space="0" w:color="auto"/>
              <w:left w:val="nil"/>
              <w:bottom w:val="single" w:sz="8" w:space="0" w:color="auto"/>
              <w:right w:val="single" w:sz="8" w:space="0" w:color="auto"/>
            </w:tcBorders>
            <w:shd w:val="clear" w:color="auto" w:fill="F2F2F2"/>
          </w:tcPr>
          <w:p w14:paraId="7D214528" w14:textId="04A28470" w:rsidR="00A652A8" w:rsidRPr="006913ED" w:rsidRDefault="00A652A8" w:rsidP="00916146">
            <w:pPr>
              <w:jc w:val="center"/>
              <w:rPr>
                <w:rFonts w:cs="Arial"/>
                <w:b/>
                <w:bCs/>
                <w:sz w:val="20"/>
                <w:szCs w:val="20"/>
              </w:rPr>
            </w:pPr>
            <w:r w:rsidRPr="006913ED">
              <w:rPr>
                <w:rFonts w:cs="Arial"/>
                <w:b/>
                <w:bCs/>
                <w:sz w:val="20"/>
                <w:szCs w:val="20"/>
              </w:rPr>
              <w:t>Reference (if available</w:t>
            </w:r>
            <w:r w:rsidR="00916146">
              <w:rPr>
                <w:rFonts w:cs="Arial"/>
                <w:b/>
                <w:bCs/>
                <w:sz w:val="20"/>
                <w:szCs w:val="20"/>
              </w:rPr>
              <w:t>)</w:t>
            </w:r>
            <w:r w:rsidRPr="006913ED">
              <w:rPr>
                <w:rFonts w:cs="Arial"/>
                <w:b/>
                <w:bCs/>
                <w:sz w:val="20"/>
                <w:szCs w:val="20"/>
              </w:rPr>
              <w:t xml:space="preserve"> </w:t>
            </w:r>
          </w:p>
        </w:tc>
      </w:tr>
      <w:tr w:rsidR="00A5561C" w:rsidRPr="006913ED" w14:paraId="1CFAC618" w14:textId="77777777" w:rsidTr="007D1B37">
        <w:trPr>
          <w:tblHeader/>
        </w:trPr>
        <w:tc>
          <w:tcPr>
            <w:tcW w:w="982"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14:paraId="09ABB576" w14:textId="41F52509" w:rsidR="00870FB5" w:rsidRPr="006913ED" w:rsidRDefault="00870FB5" w:rsidP="00A5561C">
            <w:pPr>
              <w:rPr>
                <w:rFonts w:cs="Arial"/>
                <w:b/>
                <w:bCs/>
                <w:sz w:val="20"/>
                <w:szCs w:val="20"/>
              </w:rPr>
            </w:pPr>
            <w:r w:rsidRPr="006913ED">
              <w:rPr>
                <w:rFonts w:cs="Arial"/>
                <w:b/>
                <w:bCs/>
                <w:sz w:val="20"/>
                <w:szCs w:val="20"/>
              </w:rPr>
              <w:t xml:space="preserve">Cholesterol/Lipid Levels: </w:t>
            </w:r>
          </w:p>
        </w:tc>
        <w:tc>
          <w:tcPr>
            <w:tcW w:w="548"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14:paraId="1B5D37F4" w14:textId="59CD41F3" w:rsidR="00870FB5" w:rsidRPr="006913ED" w:rsidRDefault="00870FB5" w:rsidP="00EF7D49">
            <w:pPr>
              <w:jc w:val="center"/>
              <w:rPr>
                <w:rFonts w:cs="Arial"/>
                <w:bCs/>
                <w:sz w:val="20"/>
                <w:szCs w:val="20"/>
              </w:rPr>
            </w:pPr>
            <w:r>
              <w:rPr>
                <w:rFonts w:cs="Arial"/>
                <w:bCs/>
                <w:sz w:val="20"/>
                <w:szCs w:val="20"/>
              </w:rPr>
              <w:t>N/A</w:t>
            </w:r>
          </w:p>
        </w:tc>
        <w:tc>
          <w:tcPr>
            <w:tcW w:w="603" w:type="pct"/>
            <w:tcBorders>
              <w:top w:val="single" w:sz="4" w:space="0" w:color="auto"/>
              <w:left w:val="single" w:sz="4" w:space="0" w:color="auto"/>
              <w:bottom w:val="single" w:sz="8" w:space="0" w:color="auto"/>
              <w:right w:val="single" w:sz="4" w:space="0" w:color="auto"/>
            </w:tcBorders>
            <w:shd w:val="clear" w:color="auto" w:fill="auto"/>
          </w:tcPr>
          <w:p w14:paraId="62384373" w14:textId="69A671CF" w:rsidR="00870FB5" w:rsidRPr="006913ED" w:rsidRDefault="00916146" w:rsidP="00EF7D49">
            <w:pPr>
              <w:jc w:val="center"/>
              <w:rPr>
                <w:rFonts w:cs="Arial"/>
                <w:bCs/>
                <w:sz w:val="20"/>
                <w:szCs w:val="20"/>
              </w:rPr>
            </w:pPr>
            <w:r>
              <w:rPr>
                <w:rFonts w:cs="Arial"/>
                <w:bCs/>
                <w:sz w:val="20"/>
                <w:szCs w:val="20"/>
              </w:rPr>
              <w:t>Cholesterol (LCL, Total, HDL, TG) Normal r</w:t>
            </w:r>
            <w:r w:rsidR="00870FB5">
              <w:rPr>
                <w:rFonts w:cs="Arial"/>
                <w:bCs/>
                <w:sz w:val="20"/>
                <w:szCs w:val="20"/>
              </w:rPr>
              <w:t>anges depend on individual patient factors</w:t>
            </w:r>
          </w:p>
        </w:tc>
        <w:tc>
          <w:tcPr>
            <w:tcW w:w="821" w:type="pct"/>
            <w:tcBorders>
              <w:top w:val="single" w:sz="8" w:space="0" w:color="auto"/>
              <w:left w:val="single" w:sz="4" w:space="0" w:color="auto"/>
              <w:bottom w:val="single" w:sz="8" w:space="0" w:color="auto"/>
              <w:right w:val="single" w:sz="8" w:space="0" w:color="auto"/>
            </w:tcBorders>
            <w:shd w:val="clear" w:color="auto" w:fill="auto"/>
            <w:tcMar>
              <w:top w:w="0" w:type="dxa"/>
              <w:left w:w="108" w:type="dxa"/>
              <w:bottom w:w="0" w:type="dxa"/>
              <w:right w:w="108" w:type="dxa"/>
            </w:tcMar>
          </w:tcPr>
          <w:p w14:paraId="23809019" w14:textId="575380A3" w:rsidR="00870FB5" w:rsidRPr="006913ED" w:rsidRDefault="00870FB5" w:rsidP="00EF7D49">
            <w:pPr>
              <w:jc w:val="center"/>
              <w:rPr>
                <w:rFonts w:cs="Arial"/>
                <w:bCs/>
                <w:sz w:val="20"/>
                <w:szCs w:val="20"/>
              </w:rPr>
            </w:pPr>
            <w:r>
              <w:rPr>
                <w:rFonts w:cs="Arial"/>
                <w:bCs/>
                <w:sz w:val="20"/>
                <w:szCs w:val="20"/>
              </w:rPr>
              <w:t>Could not be determined</w:t>
            </w:r>
          </w:p>
        </w:tc>
        <w:tc>
          <w:tcPr>
            <w:tcW w:w="2046" w:type="pct"/>
            <w:tcBorders>
              <w:top w:val="single" w:sz="8" w:space="0" w:color="auto"/>
              <w:left w:val="nil"/>
              <w:bottom w:val="single" w:sz="8" w:space="0" w:color="auto"/>
              <w:right w:val="single" w:sz="8" w:space="0" w:color="auto"/>
            </w:tcBorders>
            <w:shd w:val="clear" w:color="auto" w:fill="auto"/>
          </w:tcPr>
          <w:p w14:paraId="397AD07F" w14:textId="213BC682" w:rsidR="00870FB5" w:rsidRDefault="00870FB5" w:rsidP="00870FB5">
            <w:pPr>
              <w:rPr>
                <w:rFonts w:cs="Arial"/>
                <w:bCs/>
                <w:sz w:val="20"/>
                <w:szCs w:val="20"/>
              </w:rPr>
            </w:pPr>
            <w:r w:rsidRPr="00870FB5">
              <w:rPr>
                <w:rFonts w:cs="Arial"/>
                <w:bCs/>
                <w:sz w:val="20"/>
                <w:szCs w:val="20"/>
              </w:rPr>
              <w:t>Harrison's Principles of Internal Medicine, 19e, 2015 &gt; Laboratory Values of Clinical Importance</w:t>
            </w:r>
            <w:r>
              <w:rPr>
                <w:rFonts w:cs="Arial"/>
                <w:bCs/>
                <w:sz w:val="20"/>
                <w:szCs w:val="20"/>
              </w:rPr>
              <w:t xml:space="preserve">.  Accessed from: </w:t>
            </w:r>
            <w:r w:rsidRPr="00870FB5">
              <w:rPr>
                <w:rFonts w:cs="Arial"/>
                <w:bCs/>
                <w:sz w:val="20"/>
                <w:szCs w:val="20"/>
              </w:rPr>
              <w:t>https://accessmedicine.mhmedical.com/ViewLarge.aspx?figid=98720108&amp;gbosContainerID=0&amp;gbosid=0</w:t>
            </w:r>
          </w:p>
          <w:p w14:paraId="1624CDE0" w14:textId="5D0C7D3B" w:rsidR="00870FB5" w:rsidRPr="006913ED" w:rsidRDefault="00870FB5" w:rsidP="00EF7D49">
            <w:pPr>
              <w:rPr>
                <w:rFonts w:cs="Arial"/>
                <w:bCs/>
                <w:sz w:val="20"/>
                <w:szCs w:val="20"/>
              </w:rPr>
            </w:pPr>
          </w:p>
        </w:tc>
      </w:tr>
      <w:tr w:rsidR="00A5561C" w:rsidRPr="006913ED" w14:paraId="0218DB21" w14:textId="77777777" w:rsidTr="007D1B37">
        <w:tc>
          <w:tcPr>
            <w:tcW w:w="9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8DDCB2" w14:textId="77777777" w:rsidR="00870FB5" w:rsidRPr="006913ED" w:rsidRDefault="00870FB5" w:rsidP="00EF7D49">
            <w:pPr>
              <w:rPr>
                <w:rFonts w:cs="Arial"/>
                <w:b/>
                <w:bCs/>
                <w:sz w:val="20"/>
                <w:szCs w:val="20"/>
              </w:rPr>
            </w:pPr>
            <w:r w:rsidRPr="006913ED">
              <w:rPr>
                <w:rFonts w:cs="Arial"/>
                <w:b/>
                <w:bCs/>
                <w:sz w:val="20"/>
                <w:szCs w:val="20"/>
              </w:rPr>
              <w:t>Blood Pressure (BP):</w:t>
            </w:r>
          </w:p>
        </w:tc>
        <w:tc>
          <w:tcPr>
            <w:tcW w:w="548" w:type="pct"/>
            <w:tcBorders>
              <w:top w:val="nil"/>
              <w:left w:val="nil"/>
              <w:bottom w:val="single" w:sz="8" w:space="0" w:color="auto"/>
              <w:right w:val="single" w:sz="4" w:space="0" w:color="auto"/>
            </w:tcBorders>
            <w:tcMar>
              <w:top w:w="0" w:type="dxa"/>
              <w:left w:w="108" w:type="dxa"/>
              <w:bottom w:w="0" w:type="dxa"/>
              <w:right w:w="108" w:type="dxa"/>
            </w:tcMar>
          </w:tcPr>
          <w:p w14:paraId="18588EC1" w14:textId="77777777" w:rsidR="00870FB5" w:rsidRPr="006913ED" w:rsidRDefault="00870FB5" w:rsidP="00EF7D49">
            <w:pPr>
              <w:jc w:val="center"/>
              <w:rPr>
                <w:rFonts w:cs="Arial"/>
                <w:sz w:val="20"/>
                <w:szCs w:val="20"/>
              </w:rPr>
            </w:pPr>
          </w:p>
        </w:tc>
        <w:tc>
          <w:tcPr>
            <w:tcW w:w="603" w:type="pct"/>
            <w:tcBorders>
              <w:top w:val="single" w:sz="8" w:space="0" w:color="auto"/>
              <w:left w:val="single" w:sz="4" w:space="0" w:color="auto"/>
              <w:bottom w:val="single" w:sz="8" w:space="0" w:color="auto"/>
              <w:right w:val="single" w:sz="4" w:space="0" w:color="auto"/>
            </w:tcBorders>
          </w:tcPr>
          <w:p w14:paraId="18693FC8" w14:textId="77777777" w:rsidR="00870FB5" w:rsidRPr="006913ED" w:rsidRDefault="00870FB5" w:rsidP="00EF7D49">
            <w:pPr>
              <w:jc w:val="center"/>
              <w:rPr>
                <w:rFonts w:cs="Arial"/>
                <w:sz w:val="20"/>
                <w:szCs w:val="20"/>
              </w:rPr>
            </w:pPr>
          </w:p>
        </w:tc>
        <w:tc>
          <w:tcPr>
            <w:tcW w:w="821" w:type="pct"/>
            <w:tcBorders>
              <w:top w:val="nil"/>
              <w:left w:val="single" w:sz="4" w:space="0" w:color="auto"/>
              <w:bottom w:val="single" w:sz="8" w:space="0" w:color="auto"/>
              <w:right w:val="single" w:sz="8" w:space="0" w:color="auto"/>
            </w:tcBorders>
            <w:tcMar>
              <w:top w:w="0" w:type="dxa"/>
              <w:left w:w="108" w:type="dxa"/>
              <w:bottom w:w="0" w:type="dxa"/>
              <w:right w:w="108" w:type="dxa"/>
            </w:tcMar>
          </w:tcPr>
          <w:p w14:paraId="18C0A1F1" w14:textId="77777777" w:rsidR="00870FB5" w:rsidRPr="006913ED" w:rsidRDefault="00870FB5" w:rsidP="00EF7D49">
            <w:pPr>
              <w:jc w:val="center"/>
              <w:rPr>
                <w:rFonts w:cs="Arial"/>
                <w:sz w:val="20"/>
                <w:szCs w:val="20"/>
              </w:rPr>
            </w:pPr>
          </w:p>
        </w:tc>
        <w:tc>
          <w:tcPr>
            <w:tcW w:w="2046" w:type="pct"/>
            <w:tcBorders>
              <w:top w:val="nil"/>
              <w:left w:val="nil"/>
              <w:bottom w:val="single" w:sz="8" w:space="0" w:color="auto"/>
              <w:right w:val="single" w:sz="8" w:space="0" w:color="auto"/>
            </w:tcBorders>
          </w:tcPr>
          <w:p w14:paraId="31115C90" w14:textId="5FC26E5C" w:rsidR="003B321E" w:rsidRPr="006913ED" w:rsidRDefault="003B321E" w:rsidP="003B321E">
            <w:pPr>
              <w:rPr>
                <w:rFonts w:cs="Arial"/>
                <w:sz w:val="20"/>
                <w:szCs w:val="20"/>
              </w:rPr>
            </w:pPr>
            <w:r w:rsidRPr="00870FB5">
              <w:rPr>
                <w:rFonts w:cs="Arial"/>
                <w:bCs/>
                <w:sz w:val="20"/>
                <w:szCs w:val="20"/>
              </w:rPr>
              <w:t>Harrison's Principles of Internal Medicine, 19e, 2015 &gt; Laboratory Values of Clinical Importance</w:t>
            </w:r>
            <w:r>
              <w:rPr>
                <w:rFonts w:cs="Arial"/>
                <w:bCs/>
                <w:sz w:val="20"/>
                <w:szCs w:val="20"/>
              </w:rPr>
              <w:t>.  Accessed from:</w:t>
            </w:r>
            <w:r>
              <w:rPr>
                <w:rFonts w:cs="Arial"/>
                <w:bCs/>
                <w:sz w:val="20"/>
                <w:szCs w:val="20"/>
              </w:rPr>
              <w:br/>
            </w:r>
            <w:r w:rsidRPr="003B321E">
              <w:rPr>
                <w:rFonts w:cs="Arial"/>
                <w:sz w:val="20"/>
                <w:szCs w:val="20"/>
              </w:rPr>
              <w:t>https://accessmedicine.mhmedical.com/content.aspx?bookid=331&amp;sectionid=40727026#9104902</w:t>
            </w:r>
          </w:p>
        </w:tc>
      </w:tr>
      <w:tr w:rsidR="00A5561C" w:rsidRPr="006913ED" w14:paraId="3054F650" w14:textId="77777777" w:rsidTr="007D1B37">
        <w:tc>
          <w:tcPr>
            <w:tcW w:w="9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9B3A29" w14:textId="77777777" w:rsidR="00870FB5" w:rsidRPr="006913ED" w:rsidRDefault="00870FB5" w:rsidP="00EF7D49">
            <w:pPr>
              <w:rPr>
                <w:rFonts w:cs="Arial"/>
                <w:sz w:val="20"/>
                <w:szCs w:val="20"/>
              </w:rPr>
            </w:pPr>
            <w:r w:rsidRPr="006913ED">
              <w:rPr>
                <w:rFonts w:cs="Arial"/>
                <w:sz w:val="20"/>
                <w:szCs w:val="20"/>
              </w:rPr>
              <w:lastRenderedPageBreak/>
              <w:t xml:space="preserve">   Systolic BP</w:t>
            </w:r>
          </w:p>
        </w:tc>
        <w:tc>
          <w:tcPr>
            <w:tcW w:w="548" w:type="pct"/>
            <w:tcBorders>
              <w:top w:val="nil"/>
              <w:left w:val="nil"/>
              <w:bottom w:val="single" w:sz="8" w:space="0" w:color="auto"/>
              <w:right w:val="single" w:sz="4" w:space="0" w:color="auto"/>
            </w:tcBorders>
            <w:tcMar>
              <w:top w:w="0" w:type="dxa"/>
              <w:left w:w="108" w:type="dxa"/>
              <w:bottom w:w="0" w:type="dxa"/>
              <w:right w:w="108" w:type="dxa"/>
            </w:tcMar>
            <w:hideMark/>
          </w:tcPr>
          <w:p w14:paraId="74130113" w14:textId="77777777" w:rsidR="00870FB5" w:rsidRPr="006913ED" w:rsidRDefault="00870FB5" w:rsidP="00EF7D49">
            <w:pPr>
              <w:jc w:val="center"/>
              <w:rPr>
                <w:rFonts w:cs="Arial"/>
                <w:sz w:val="20"/>
                <w:szCs w:val="20"/>
              </w:rPr>
            </w:pPr>
            <w:r w:rsidRPr="006913ED">
              <w:rPr>
                <w:rFonts w:cs="Arial"/>
                <w:sz w:val="20"/>
                <w:szCs w:val="20"/>
              </w:rPr>
              <w:t>mm Hg</w:t>
            </w:r>
          </w:p>
        </w:tc>
        <w:tc>
          <w:tcPr>
            <w:tcW w:w="603" w:type="pct"/>
            <w:tcBorders>
              <w:top w:val="single" w:sz="8" w:space="0" w:color="auto"/>
              <w:left w:val="single" w:sz="4" w:space="0" w:color="auto"/>
              <w:bottom w:val="single" w:sz="8" w:space="0" w:color="auto"/>
              <w:right w:val="single" w:sz="4" w:space="0" w:color="auto"/>
            </w:tcBorders>
          </w:tcPr>
          <w:p w14:paraId="181D2001" w14:textId="2DF1C6DA" w:rsidR="00870FB5" w:rsidRPr="006913ED" w:rsidRDefault="003B321E" w:rsidP="00EF7D49">
            <w:pPr>
              <w:jc w:val="center"/>
              <w:rPr>
                <w:rFonts w:cs="Arial"/>
                <w:sz w:val="20"/>
                <w:szCs w:val="20"/>
              </w:rPr>
            </w:pPr>
            <w:r>
              <w:rPr>
                <w:rFonts w:cs="Arial"/>
                <w:sz w:val="20"/>
                <w:szCs w:val="20"/>
              </w:rPr>
              <w:t xml:space="preserve">Hypertension </w:t>
            </w:r>
            <w:r w:rsidRPr="003B321E">
              <w:rPr>
                <w:rFonts w:cs="Arial"/>
                <w:sz w:val="20"/>
                <w:szCs w:val="20"/>
                <w:u w:val="single"/>
              </w:rPr>
              <w:t>&gt;</w:t>
            </w:r>
            <w:r>
              <w:rPr>
                <w:rFonts w:cs="Arial"/>
                <w:sz w:val="20"/>
                <w:szCs w:val="20"/>
              </w:rPr>
              <w:t>135</w:t>
            </w:r>
          </w:p>
        </w:tc>
        <w:tc>
          <w:tcPr>
            <w:tcW w:w="821" w:type="pct"/>
            <w:tcBorders>
              <w:top w:val="nil"/>
              <w:left w:val="single" w:sz="4" w:space="0" w:color="auto"/>
              <w:bottom w:val="single" w:sz="8" w:space="0" w:color="auto"/>
              <w:right w:val="single" w:sz="8" w:space="0" w:color="auto"/>
            </w:tcBorders>
            <w:tcMar>
              <w:top w:w="0" w:type="dxa"/>
              <w:left w:w="108" w:type="dxa"/>
              <w:bottom w:w="0" w:type="dxa"/>
              <w:right w:w="108" w:type="dxa"/>
            </w:tcMar>
          </w:tcPr>
          <w:p w14:paraId="306181A2" w14:textId="77777777" w:rsidR="00870FB5" w:rsidRPr="006913ED" w:rsidRDefault="00870FB5" w:rsidP="00EF7D49">
            <w:pPr>
              <w:jc w:val="center"/>
              <w:rPr>
                <w:rFonts w:cs="Arial"/>
                <w:sz w:val="20"/>
                <w:szCs w:val="20"/>
              </w:rPr>
            </w:pPr>
            <w:r w:rsidRPr="006913ED">
              <w:rPr>
                <w:rFonts w:cs="Arial"/>
                <w:sz w:val="20"/>
                <w:szCs w:val="20"/>
              </w:rPr>
              <w:t>Could not be determined</w:t>
            </w:r>
          </w:p>
        </w:tc>
        <w:tc>
          <w:tcPr>
            <w:tcW w:w="2046" w:type="pct"/>
            <w:tcBorders>
              <w:top w:val="nil"/>
              <w:left w:val="nil"/>
              <w:bottom w:val="single" w:sz="8" w:space="0" w:color="auto"/>
              <w:right w:val="single" w:sz="8" w:space="0" w:color="auto"/>
            </w:tcBorders>
          </w:tcPr>
          <w:p w14:paraId="27B6F154" w14:textId="77777777" w:rsidR="00870FB5" w:rsidRPr="006913ED" w:rsidRDefault="00870FB5" w:rsidP="00EF7D49">
            <w:pPr>
              <w:rPr>
                <w:sz w:val="20"/>
                <w:szCs w:val="20"/>
              </w:rPr>
            </w:pPr>
            <w:r w:rsidRPr="006913ED">
              <w:rPr>
                <w:rFonts w:cs="Arial"/>
                <w:sz w:val="20"/>
                <w:szCs w:val="20"/>
              </w:rPr>
              <w:t>Information on what patients and clinicians would find as a clinically meaningful difference between the treated and untreated groups is lacking.</w:t>
            </w:r>
          </w:p>
        </w:tc>
      </w:tr>
      <w:tr w:rsidR="00A5561C" w:rsidRPr="006913ED" w14:paraId="64A2279D" w14:textId="77777777" w:rsidTr="007D1B37">
        <w:tc>
          <w:tcPr>
            <w:tcW w:w="9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7A29E3" w14:textId="77777777" w:rsidR="00870FB5" w:rsidRPr="006913ED" w:rsidRDefault="00870FB5" w:rsidP="00EF7D49">
            <w:pPr>
              <w:rPr>
                <w:rFonts w:cs="Arial"/>
                <w:sz w:val="20"/>
                <w:szCs w:val="20"/>
              </w:rPr>
            </w:pPr>
            <w:r w:rsidRPr="006913ED">
              <w:rPr>
                <w:rFonts w:cs="Arial"/>
                <w:sz w:val="20"/>
                <w:szCs w:val="20"/>
              </w:rPr>
              <w:t xml:space="preserve">   Diastolic BP</w:t>
            </w:r>
          </w:p>
        </w:tc>
        <w:tc>
          <w:tcPr>
            <w:tcW w:w="548" w:type="pct"/>
            <w:tcBorders>
              <w:top w:val="nil"/>
              <w:left w:val="nil"/>
              <w:bottom w:val="single" w:sz="8" w:space="0" w:color="auto"/>
              <w:right w:val="single" w:sz="4" w:space="0" w:color="auto"/>
            </w:tcBorders>
            <w:tcMar>
              <w:top w:w="0" w:type="dxa"/>
              <w:left w:w="108" w:type="dxa"/>
              <w:bottom w:w="0" w:type="dxa"/>
              <w:right w:w="108" w:type="dxa"/>
            </w:tcMar>
            <w:hideMark/>
          </w:tcPr>
          <w:p w14:paraId="57A5C699" w14:textId="77777777" w:rsidR="00870FB5" w:rsidRPr="006913ED" w:rsidRDefault="00870FB5" w:rsidP="00EF7D49">
            <w:pPr>
              <w:jc w:val="center"/>
              <w:rPr>
                <w:rFonts w:cs="Arial"/>
                <w:sz w:val="20"/>
                <w:szCs w:val="20"/>
              </w:rPr>
            </w:pPr>
            <w:r w:rsidRPr="006913ED">
              <w:rPr>
                <w:rFonts w:cs="Arial"/>
                <w:sz w:val="20"/>
                <w:szCs w:val="20"/>
              </w:rPr>
              <w:t>mm Hg</w:t>
            </w:r>
          </w:p>
        </w:tc>
        <w:tc>
          <w:tcPr>
            <w:tcW w:w="603" w:type="pct"/>
            <w:tcBorders>
              <w:top w:val="single" w:sz="8" w:space="0" w:color="auto"/>
              <w:left w:val="single" w:sz="4" w:space="0" w:color="auto"/>
              <w:bottom w:val="single" w:sz="8" w:space="0" w:color="auto"/>
              <w:right w:val="single" w:sz="4" w:space="0" w:color="auto"/>
            </w:tcBorders>
          </w:tcPr>
          <w:p w14:paraId="0DC0D352" w14:textId="2F6666D3" w:rsidR="00870FB5" w:rsidRPr="006913ED" w:rsidRDefault="003B321E" w:rsidP="00EF7D49">
            <w:pPr>
              <w:jc w:val="center"/>
              <w:rPr>
                <w:rFonts w:cs="Arial"/>
                <w:sz w:val="20"/>
                <w:szCs w:val="20"/>
              </w:rPr>
            </w:pPr>
            <w:r>
              <w:rPr>
                <w:rFonts w:cs="Arial"/>
                <w:sz w:val="20"/>
                <w:szCs w:val="20"/>
              </w:rPr>
              <w:t xml:space="preserve">Hypertension </w:t>
            </w:r>
            <w:r w:rsidRPr="003B321E">
              <w:rPr>
                <w:rFonts w:cs="Arial"/>
                <w:sz w:val="20"/>
                <w:szCs w:val="20"/>
                <w:u w:val="single"/>
              </w:rPr>
              <w:t>&gt;</w:t>
            </w:r>
            <w:r w:rsidR="00870FB5" w:rsidRPr="006913ED">
              <w:rPr>
                <w:rFonts w:cs="Arial"/>
                <w:sz w:val="20"/>
                <w:szCs w:val="20"/>
              </w:rPr>
              <w:t>85</w:t>
            </w:r>
          </w:p>
        </w:tc>
        <w:tc>
          <w:tcPr>
            <w:tcW w:w="821" w:type="pct"/>
            <w:tcBorders>
              <w:top w:val="nil"/>
              <w:left w:val="single" w:sz="4" w:space="0" w:color="auto"/>
              <w:bottom w:val="single" w:sz="8" w:space="0" w:color="auto"/>
              <w:right w:val="single" w:sz="8" w:space="0" w:color="auto"/>
            </w:tcBorders>
            <w:tcMar>
              <w:top w:w="0" w:type="dxa"/>
              <w:left w:w="108" w:type="dxa"/>
              <w:bottom w:w="0" w:type="dxa"/>
              <w:right w:w="108" w:type="dxa"/>
            </w:tcMar>
          </w:tcPr>
          <w:p w14:paraId="3977AE4E" w14:textId="77777777" w:rsidR="00870FB5" w:rsidRPr="006913ED" w:rsidRDefault="00870FB5" w:rsidP="00EF7D49">
            <w:pPr>
              <w:jc w:val="center"/>
              <w:rPr>
                <w:rFonts w:cs="Arial"/>
                <w:sz w:val="20"/>
                <w:szCs w:val="20"/>
              </w:rPr>
            </w:pPr>
            <w:r w:rsidRPr="006913ED">
              <w:rPr>
                <w:rFonts w:cs="Arial"/>
                <w:sz w:val="20"/>
                <w:szCs w:val="20"/>
              </w:rPr>
              <w:t>Could not be determined</w:t>
            </w:r>
          </w:p>
        </w:tc>
        <w:tc>
          <w:tcPr>
            <w:tcW w:w="2046" w:type="pct"/>
            <w:tcBorders>
              <w:top w:val="nil"/>
              <w:left w:val="nil"/>
              <w:bottom w:val="single" w:sz="8" w:space="0" w:color="auto"/>
              <w:right w:val="single" w:sz="8" w:space="0" w:color="auto"/>
            </w:tcBorders>
          </w:tcPr>
          <w:p w14:paraId="3F66C50C" w14:textId="77777777" w:rsidR="00870FB5" w:rsidRPr="006913ED" w:rsidRDefault="00870FB5" w:rsidP="00EF7D49">
            <w:pPr>
              <w:rPr>
                <w:sz w:val="20"/>
                <w:szCs w:val="20"/>
              </w:rPr>
            </w:pPr>
            <w:r w:rsidRPr="006913ED">
              <w:rPr>
                <w:rFonts w:cs="Arial"/>
                <w:sz w:val="20"/>
                <w:szCs w:val="20"/>
              </w:rPr>
              <w:t>Information on what patients and clinicians would find as a clinically meaningful difference between the treated and untreated groups is lacking.</w:t>
            </w:r>
          </w:p>
        </w:tc>
      </w:tr>
      <w:tr w:rsidR="00A5561C" w:rsidRPr="006913ED" w14:paraId="1D26BC40" w14:textId="77777777" w:rsidTr="007D1B37">
        <w:tc>
          <w:tcPr>
            <w:tcW w:w="9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D68C19" w14:textId="77777777" w:rsidR="00870FB5" w:rsidRPr="006913ED" w:rsidRDefault="00870FB5" w:rsidP="00EF7D49">
            <w:pPr>
              <w:rPr>
                <w:rFonts w:cs="Arial"/>
                <w:b/>
                <w:bCs/>
                <w:sz w:val="20"/>
                <w:szCs w:val="20"/>
              </w:rPr>
            </w:pPr>
            <w:r w:rsidRPr="006913ED">
              <w:rPr>
                <w:rFonts w:cs="Arial"/>
                <w:b/>
                <w:bCs/>
                <w:sz w:val="20"/>
                <w:szCs w:val="20"/>
              </w:rPr>
              <w:t>BMI</w:t>
            </w:r>
          </w:p>
        </w:tc>
        <w:tc>
          <w:tcPr>
            <w:tcW w:w="548" w:type="pct"/>
            <w:tcBorders>
              <w:top w:val="nil"/>
              <w:left w:val="nil"/>
              <w:bottom w:val="single" w:sz="8" w:space="0" w:color="auto"/>
              <w:right w:val="single" w:sz="4" w:space="0" w:color="auto"/>
            </w:tcBorders>
            <w:tcMar>
              <w:top w:w="0" w:type="dxa"/>
              <w:left w:w="108" w:type="dxa"/>
              <w:bottom w:w="0" w:type="dxa"/>
              <w:right w:w="108" w:type="dxa"/>
            </w:tcMar>
            <w:hideMark/>
          </w:tcPr>
          <w:p w14:paraId="30C981A9" w14:textId="77777777" w:rsidR="00870FB5" w:rsidRPr="006913ED" w:rsidRDefault="00870FB5" w:rsidP="00EF7D49">
            <w:pPr>
              <w:jc w:val="center"/>
              <w:rPr>
                <w:rFonts w:cs="Arial"/>
                <w:sz w:val="20"/>
                <w:szCs w:val="20"/>
              </w:rPr>
            </w:pPr>
            <w:r w:rsidRPr="006913ED">
              <w:rPr>
                <w:rFonts w:cs="Arial"/>
                <w:sz w:val="20"/>
                <w:szCs w:val="20"/>
              </w:rPr>
              <w:t>kg/m</w:t>
            </w:r>
            <w:r w:rsidRPr="006913ED">
              <w:rPr>
                <w:rFonts w:cs="Arial"/>
                <w:sz w:val="20"/>
                <w:szCs w:val="20"/>
                <w:vertAlign w:val="superscript"/>
              </w:rPr>
              <w:t>2</w:t>
            </w:r>
          </w:p>
        </w:tc>
        <w:tc>
          <w:tcPr>
            <w:tcW w:w="603" w:type="pct"/>
            <w:tcBorders>
              <w:top w:val="single" w:sz="8" w:space="0" w:color="auto"/>
              <w:left w:val="single" w:sz="4" w:space="0" w:color="auto"/>
              <w:bottom w:val="single" w:sz="8" w:space="0" w:color="auto"/>
              <w:right w:val="single" w:sz="4" w:space="0" w:color="auto"/>
            </w:tcBorders>
          </w:tcPr>
          <w:p w14:paraId="3D7FFD6C" w14:textId="77777777" w:rsidR="00870FB5" w:rsidRPr="006913ED" w:rsidRDefault="00870FB5" w:rsidP="00EF7D49">
            <w:pPr>
              <w:jc w:val="center"/>
              <w:rPr>
                <w:rFonts w:cs="Arial"/>
                <w:sz w:val="20"/>
                <w:szCs w:val="20"/>
              </w:rPr>
            </w:pPr>
            <w:r w:rsidRPr="006913ED">
              <w:rPr>
                <w:rFonts w:cs="Arial"/>
                <w:sz w:val="20"/>
                <w:szCs w:val="20"/>
              </w:rPr>
              <w:t>Normal: 18.5 to 24.9</w:t>
            </w:r>
          </w:p>
        </w:tc>
        <w:tc>
          <w:tcPr>
            <w:tcW w:w="821" w:type="pct"/>
            <w:tcBorders>
              <w:top w:val="nil"/>
              <w:left w:val="single" w:sz="4" w:space="0" w:color="auto"/>
              <w:bottom w:val="single" w:sz="8" w:space="0" w:color="auto"/>
              <w:right w:val="single" w:sz="8" w:space="0" w:color="auto"/>
            </w:tcBorders>
            <w:tcMar>
              <w:top w:w="0" w:type="dxa"/>
              <w:left w:w="108" w:type="dxa"/>
              <w:bottom w:w="0" w:type="dxa"/>
              <w:right w:w="108" w:type="dxa"/>
            </w:tcMar>
          </w:tcPr>
          <w:p w14:paraId="7229E795" w14:textId="77777777" w:rsidR="00870FB5" w:rsidRPr="006913ED" w:rsidRDefault="00870FB5" w:rsidP="00EF7D49">
            <w:pPr>
              <w:jc w:val="center"/>
              <w:rPr>
                <w:rFonts w:cs="Arial"/>
                <w:sz w:val="20"/>
                <w:szCs w:val="20"/>
              </w:rPr>
            </w:pPr>
            <w:r w:rsidRPr="006913ED">
              <w:rPr>
                <w:rFonts w:cs="Arial"/>
                <w:sz w:val="20"/>
                <w:szCs w:val="20"/>
              </w:rPr>
              <w:t>Could not be determined</w:t>
            </w:r>
          </w:p>
        </w:tc>
        <w:tc>
          <w:tcPr>
            <w:tcW w:w="2046" w:type="pct"/>
            <w:tcBorders>
              <w:top w:val="nil"/>
              <w:left w:val="nil"/>
              <w:bottom w:val="single" w:sz="8" w:space="0" w:color="auto"/>
              <w:right w:val="single" w:sz="8" w:space="0" w:color="auto"/>
            </w:tcBorders>
          </w:tcPr>
          <w:p w14:paraId="4CA626AE" w14:textId="36314EED" w:rsidR="00870FB5" w:rsidRPr="006913ED" w:rsidRDefault="00870FB5" w:rsidP="00EF7D49">
            <w:pPr>
              <w:rPr>
                <w:rFonts w:cs="Arial"/>
                <w:sz w:val="20"/>
                <w:szCs w:val="20"/>
              </w:rPr>
            </w:pPr>
            <w:r w:rsidRPr="006913ED">
              <w:rPr>
                <w:rFonts w:cs="Arial"/>
                <w:sz w:val="20"/>
                <w:szCs w:val="20"/>
              </w:rPr>
              <w:t>Information on what patients and clinicians would find as a clinically meaningful difference between the treated and untreated groups is lacking. [</w:t>
            </w:r>
            <w:r w:rsidRPr="006913ED">
              <w:rPr>
                <w:rFonts w:cs="Arial"/>
                <w:bCs/>
                <w:sz w:val="20"/>
                <w:szCs w:val="20"/>
              </w:rPr>
              <w:t xml:space="preserve">Source of standard reference values obtained from Health Canada: </w:t>
            </w:r>
            <w:r w:rsidR="003B321E" w:rsidRPr="003B321E">
              <w:rPr>
                <w:rFonts w:cs="Arial"/>
                <w:bCs/>
                <w:sz w:val="20"/>
                <w:szCs w:val="20"/>
              </w:rPr>
              <w:t>https://www.canada.ca/en/health-canada/services/food-nutrition/healthy-eating/healthy-weights/canadian-guidelines-body-weight-classification-adults/quick-reference-tool-professionals.html?wbdisable=true</w:t>
            </w:r>
            <w:r w:rsidRPr="006913ED">
              <w:rPr>
                <w:rFonts w:cs="Arial"/>
                <w:bCs/>
                <w:sz w:val="20"/>
                <w:szCs w:val="20"/>
              </w:rPr>
              <w:t xml:space="preserve">] </w:t>
            </w:r>
          </w:p>
        </w:tc>
      </w:tr>
    </w:tbl>
    <w:p w14:paraId="7210B153" w14:textId="77777777" w:rsidR="00A652A8" w:rsidRDefault="00A652A8" w:rsidP="00B94C53">
      <w:pPr>
        <w:spacing w:after="0"/>
        <w:rPr>
          <w:b/>
          <w:u w:val="single"/>
        </w:rPr>
      </w:pPr>
    </w:p>
    <w:p w14:paraId="056FA156" w14:textId="77777777" w:rsidR="00AC3375" w:rsidRDefault="00AC3375" w:rsidP="00AC3375">
      <w:pPr>
        <w:spacing w:after="0"/>
        <w:rPr>
          <w:b/>
          <w:u w:val="single"/>
        </w:rPr>
      </w:pPr>
      <w:r>
        <w:rPr>
          <w:b/>
          <w:u w:val="single"/>
        </w:rPr>
        <w:t>Harms due to Treatment</w:t>
      </w:r>
    </w:p>
    <w:tbl>
      <w:tblPr>
        <w:tblW w:w="5000" w:type="pct"/>
        <w:tblCellMar>
          <w:top w:w="28" w:type="dxa"/>
          <w:left w:w="28" w:type="dxa"/>
          <w:bottom w:w="28" w:type="dxa"/>
          <w:right w:w="28" w:type="dxa"/>
        </w:tblCellMar>
        <w:tblLook w:val="04A0" w:firstRow="1" w:lastRow="0" w:firstColumn="1" w:lastColumn="0" w:noHBand="0" w:noVBand="1"/>
      </w:tblPr>
      <w:tblGrid>
        <w:gridCol w:w="2516"/>
        <w:gridCol w:w="1378"/>
        <w:gridCol w:w="1678"/>
        <w:gridCol w:w="2100"/>
        <w:gridCol w:w="5268"/>
      </w:tblGrid>
      <w:tr w:rsidR="00AC3375" w:rsidRPr="006913ED" w14:paraId="5A37E9C9" w14:textId="77777777" w:rsidTr="00A5561C">
        <w:trPr>
          <w:tblHeader/>
        </w:trPr>
        <w:tc>
          <w:tcPr>
            <w:tcW w:w="982" w:type="pct"/>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bottom"/>
            <w:hideMark/>
          </w:tcPr>
          <w:p w14:paraId="268D0E2D" w14:textId="77777777" w:rsidR="00AC3375" w:rsidRPr="006913ED" w:rsidRDefault="00AC3375" w:rsidP="00A5561C">
            <w:pPr>
              <w:spacing w:after="0"/>
              <w:rPr>
                <w:rFonts w:ascii="Calibri" w:hAnsi="Calibri" w:cs="Arial"/>
                <w:b/>
                <w:bCs/>
                <w:sz w:val="20"/>
                <w:szCs w:val="20"/>
              </w:rPr>
            </w:pPr>
            <w:r w:rsidRPr="006913ED">
              <w:rPr>
                <w:rFonts w:ascii="Calibri" w:hAnsi="Calibri" w:cs="Arial"/>
                <w:b/>
                <w:bCs/>
                <w:sz w:val="20"/>
                <w:szCs w:val="20"/>
              </w:rPr>
              <w:lastRenderedPageBreak/>
              <w:t xml:space="preserve">Harms due to treatment </w:t>
            </w:r>
          </w:p>
        </w:tc>
        <w:tc>
          <w:tcPr>
            <w:tcW w:w="494" w:type="pct"/>
            <w:tcBorders>
              <w:top w:val="single" w:sz="8" w:space="0" w:color="auto"/>
              <w:left w:val="nil"/>
              <w:bottom w:val="single" w:sz="8" w:space="0" w:color="auto"/>
              <w:right w:val="single" w:sz="4" w:space="0" w:color="auto"/>
            </w:tcBorders>
            <w:shd w:val="clear" w:color="auto" w:fill="F2F2F2"/>
            <w:tcMar>
              <w:top w:w="0" w:type="dxa"/>
              <w:left w:w="108" w:type="dxa"/>
              <w:bottom w:w="0" w:type="dxa"/>
              <w:right w:w="108" w:type="dxa"/>
            </w:tcMar>
            <w:hideMark/>
          </w:tcPr>
          <w:p w14:paraId="0C659517" w14:textId="77777777" w:rsidR="00AC3375" w:rsidRPr="006913ED" w:rsidRDefault="00AC3375" w:rsidP="00EF7D49">
            <w:pPr>
              <w:jc w:val="center"/>
              <w:rPr>
                <w:rFonts w:ascii="Calibri" w:hAnsi="Calibri" w:cs="Arial"/>
                <w:b/>
                <w:bCs/>
                <w:sz w:val="20"/>
                <w:szCs w:val="20"/>
              </w:rPr>
            </w:pPr>
            <w:r w:rsidRPr="006913ED">
              <w:rPr>
                <w:rFonts w:ascii="Calibri" w:hAnsi="Calibri" w:cs="Arial"/>
                <w:b/>
                <w:bCs/>
                <w:sz w:val="20"/>
                <w:szCs w:val="20"/>
              </w:rPr>
              <w:t xml:space="preserve">Unit of measurement </w:t>
            </w:r>
          </w:p>
          <w:p w14:paraId="3015446F" w14:textId="77777777" w:rsidR="00AC3375" w:rsidRPr="006913ED" w:rsidRDefault="00AC3375" w:rsidP="00EF7D49">
            <w:pPr>
              <w:jc w:val="center"/>
              <w:rPr>
                <w:rFonts w:ascii="Calibri" w:hAnsi="Calibri" w:cs="Arial"/>
                <w:bCs/>
                <w:sz w:val="20"/>
                <w:szCs w:val="20"/>
              </w:rPr>
            </w:pPr>
          </w:p>
        </w:tc>
        <w:tc>
          <w:tcPr>
            <w:tcW w:w="658" w:type="pct"/>
            <w:tcBorders>
              <w:top w:val="single" w:sz="4" w:space="0" w:color="auto"/>
              <w:left w:val="single" w:sz="4" w:space="0" w:color="auto"/>
              <w:bottom w:val="single" w:sz="8" w:space="0" w:color="auto"/>
              <w:right w:val="single" w:sz="4" w:space="0" w:color="auto"/>
            </w:tcBorders>
            <w:shd w:val="clear" w:color="auto" w:fill="F2F2F2"/>
          </w:tcPr>
          <w:p w14:paraId="3AEF2F31" w14:textId="77777777" w:rsidR="00AC3375" w:rsidRPr="006913ED" w:rsidRDefault="00AC3375" w:rsidP="00EF7D49">
            <w:pPr>
              <w:jc w:val="center"/>
              <w:rPr>
                <w:rFonts w:ascii="Calibri" w:hAnsi="Calibri" w:cs="Arial"/>
                <w:b/>
                <w:bCs/>
                <w:sz w:val="20"/>
                <w:szCs w:val="20"/>
              </w:rPr>
            </w:pPr>
            <w:r w:rsidRPr="006913ED">
              <w:rPr>
                <w:rFonts w:ascii="Calibri" w:hAnsi="Calibri" w:cs="Arial"/>
                <w:b/>
                <w:bCs/>
                <w:sz w:val="20"/>
                <w:szCs w:val="20"/>
              </w:rPr>
              <w:t>Range of possible values</w:t>
            </w:r>
          </w:p>
        </w:tc>
        <w:tc>
          <w:tcPr>
            <w:tcW w:w="821" w:type="pct"/>
            <w:tcBorders>
              <w:top w:val="single" w:sz="8" w:space="0" w:color="auto"/>
              <w:left w:val="single" w:sz="4" w:space="0" w:color="auto"/>
              <w:bottom w:val="single" w:sz="8" w:space="0" w:color="auto"/>
              <w:right w:val="single" w:sz="8" w:space="0" w:color="auto"/>
            </w:tcBorders>
            <w:shd w:val="clear" w:color="auto" w:fill="F2F2F2"/>
            <w:tcMar>
              <w:top w:w="0" w:type="dxa"/>
              <w:left w:w="108" w:type="dxa"/>
              <w:bottom w:w="0" w:type="dxa"/>
              <w:right w:w="108" w:type="dxa"/>
            </w:tcMar>
            <w:hideMark/>
          </w:tcPr>
          <w:p w14:paraId="04F22E9D" w14:textId="77777777" w:rsidR="00AC3375" w:rsidRPr="006913ED" w:rsidRDefault="00AC3375" w:rsidP="00EF7D49">
            <w:pPr>
              <w:jc w:val="center"/>
              <w:rPr>
                <w:rFonts w:ascii="Calibri" w:hAnsi="Calibri" w:cs="Arial"/>
                <w:b/>
                <w:bCs/>
                <w:sz w:val="20"/>
                <w:szCs w:val="20"/>
              </w:rPr>
            </w:pPr>
            <w:r w:rsidRPr="006913ED">
              <w:rPr>
                <w:rFonts w:ascii="Calibri" w:hAnsi="Calibri" w:cs="Arial"/>
                <w:b/>
                <w:bCs/>
                <w:sz w:val="20"/>
                <w:szCs w:val="20"/>
              </w:rPr>
              <w:t>Clinically-important difference between treated and untreated groups*</w:t>
            </w:r>
          </w:p>
        </w:tc>
        <w:tc>
          <w:tcPr>
            <w:tcW w:w="2045" w:type="pct"/>
            <w:tcBorders>
              <w:top w:val="single" w:sz="8" w:space="0" w:color="auto"/>
              <w:left w:val="nil"/>
              <w:bottom w:val="single" w:sz="8" w:space="0" w:color="auto"/>
              <w:right w:val="single" w:sz="8" w:space="0" w:color="auto"/>
            </w:tcBorders>
            <w:shd w:val="clear" w:color="auto" w:fill="F2F2F2"/>
          </w:tcPr>
          <w:p w14:paraId="59F2FF45" w14:textId="77777777" w:rsidR="00AC3375" w:rsidRPr="006913ED" w:rsidRDefault="00AC3375" w:rsidP="00EF7D49">
            <w:pPr>
              <w:jc w:val="center"/>
              <w:rPr>
                <w:rFonts w:ascii="Calibri" w:hAnsi="Calibri" w:cs="Arial"/>
                <w:b/>
                <w:bCs/>
                <w:sz w:val="20"/>
                <w:szCs w:val="20"/>
              </w:rPr>
            </w:pPr>
            <w:r w:rsidRPr="006913ED">
              <w:rPr>
                <w:rFonts w:ascii="Calibri" w:hAnsi="Calibri" w:cs="Arial"/>
                <w:b/>
                <w:bCs/>
                <w:sz w:val="20"/>
                <w:szCs w:val="20"/>
              </w:rPr>
              <w:t>Reference (if available) for clinically important threshold</w:t>
            </w:r>
          </w:p>
        </w:tc>
      </w:tr>
      <w:tr w:rsidR="00AC3375" w:rsidRPr="006913ED" w14:paraId="32A67E15" w14:textId="77777777" w:rsidTr="00A5561C">
        <w:tc>
          <w:tcPr>
            <w:tcW w:w="98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E109731" w14:textId="77777777" w:rsidR="00AC3375" w:rsidRPr="006913ED" w:rsidRDefault="00AC3375" w:rsidP="000C4843">
            <w:pPr>
              <w:rPr>
                <w:rFonts w:ascii="Calibri" w:hAnsi="Calibri" w:cs="Arial"/>
                <w:bCs/>
                <w:sz w:val="20"/>
                <w:szCs w:val="20"/>
              </w:rPr>
            </w:pPr>
            <w:r w:rsidRPr="006913ED">
              <w:rPr>
                <w:rFonts w:ascii="Calibri" w:hAnsi="Calibri" w:cs="Arial"/>
                <w:bCs/>
                <w:sz w:val="20"/>
                <w:szCs w:val="20"/>
              </w:rPr>
              <w:t xml:space="preserve">Number of individuals reporting adverse </w:t>
            </w:r>
            <w:r w:rsidR="000C4843">
              <w:rPr>
                <w:rFonts w:ascii="Calibri" w:hAnsi="Calibri" w:cs="Arial"/>
                <w:bCs/>
                <w:sz w:val="20"/>
                <w:szCs w:val="20"/>
              </w:rPr>
              <w:t>outcomes</w:t>
            </w:r>
          </w:p>
        </w:tc>
        <w:tc>
          <w:tcPr>
            <w:tcW w:w="494" w:type="pct"/>
            <w:tcBorders>
              <w:top w:val="nil"/>
              <w:left w:val="nil"/>
              <w:bottom w:val="single" w:sz="8" w:space="0" w:color="auto"/>
              <w:right w:val="single" w:sz="4" w:space="0" w:color="auto"/>
            </w:tcBorders>
            <w:tcMar>
              <w:top w:w="0" w:type="dxa"/>
              <w:left w:w="108" w:type="dxa"/>
              <w:bottom w:w="0" w:type="dxa"/>
              <w:right w:w="108" w:type="dxa"/>
            </w:tcMar>
          </w:tcPr>
          <w:p w14:paraId="4D84FE1A" w14:textId="77777777" w:rsidR="00AC3375" w:rsidRPr="006913ED" w:rsidRDefault="00AC3375" w:rsidP="000C4843">
            <w:pPr>
              <w:jc w:val="center"/>
              <w:rPr>
                <w:rFonts w:ascii="Calibri" w:hAnsi="Calibri" w:cs="Arial"/>
                <w:sz w:val="20"/>
                <w:szCs w:val="20"/>
              </w:rPr>
            </w:pPr>
            <w:r w:rsidRPr="006913ED">
              <w:rPr>
                <w:rFonts w:ascii="Calibri" w:hAnsi="Calibri" w:cs="Arial"/>
                <w:sz w:val="20"/>
                <w:szCs w:val="20"/>
              </w:rPr>
              <w:t xml:space="preserve"># </w:t>
            </w:r>
            <w:r w:rsidR="000C4843">
              <w:rPr>
                <w:rFonts w:ascii="Calibri" w:hAnsi="Calibri" w:cs="Arial"/>
                <w:sz w:val="20"/>
                <w:szCs w:val="20"/>
              </w:rPr>
              <w:t>outcome</w:t>
            </w:r>
            <w:r w:rsidRPr="006913ED">
              <w:rPr>
                <w:rFonts w:ascii="Calibri" w:hAnsi="Calibri" w:cs="Arial"/>
                <w:sz w:val="20"/>
                <w:szCs w:val="20"/>
              </w:rPr>
              <w:t>s / 1000</w:t>
            </w:r>
          </w:p>
        </w:tc>
        <w:tc>
          <w:tcPr>
            <w:tcW w:w="658" w:type="pct"/>
            <w:tcBorders>
              <w:top w:val="single" w:sz="8" w:space="0" w:color="auto"/>
              <w:left w:val="single" w:sz="4" w:space="0" w:color="auto"/>
              <w:bottom w:val="single" w:sz="8" w:space="0" w:color="auto"/>
              <w:right w:val="single" w:sz="4" w:space="0" w:color="auto"/>
            </w:tcBorders>
          </w:tcPr>
          <w:p w14:paraId="02151A58" w14:textId="77777777" w:rsidR="00AC3375" w:rsidRPr="006913ED" w:rsidRDefault="00AC3375" w:rsidP="00EF7D49">
            <w:pPr>
              <w:jc w:val="center"/>
              <w:rPr>
                <w:rFonts w:ascii="Calibri" w:hAnsi="Calibri" w:cs="Arial"/>
                <w:sz w:val="20"/>
                <w:szCs w:val="20"/>
              </w:rPr>
            </w:pPr>
            <w:r w:rsidRPr="006913ED">
              <w:rPr>
                <w:rFonts w:ascii="Calibri" w:hAnsi="Calibri" w:cs="Arial"/>
                <w:sz w:val="20"/>
                <w:szCs w:val="20"/>
              </w:rPr>
              <w:t>0 to 1000</w:t>
            </w:r>
          </w:p>
        </w:tc>
        <w:tc>
          <w:tcPr>
            <w:tcW w:w="821" w:type="pct"/>
            <w:tcBorders>
              <w:top w:val="nil"/>
              <w:left w:val="single" w:sz="4" w:space="0" w:color="auto"/>
              <w:bottom w:val="single" w:sz="8" w:space="0" w:color="auto"/>
              <w:right w:val="single" w:sz="8" w:space="0" w:color="auto"/>
            </w:tcBorders>
            <w:tcMar>
              <w:top w:w="0" w:type="dxa"/>
              <w:left w:w="108" w:type="dxa"/>
              <w:bottom w:w="0" w:type="dxa"/>
              <w:right w:w="108" w:type="dxa"/>
            </w:tcMar>
          </w:tcPr>
          <w:p w14:paraId="7EA04ED9" w14:textId="77777777" w:rsidR="00AC3375" w:rsidRPr="006913ED" w:rsidRDefault="00AC3375" w:rsidP="00EF7D49">
            <w:pPr>
              <w:jc w:val="center"/>
              <w:rPr>
                <w:rFonts w:ascii="Calibri" w:hAnsi="Calibri" w:cs="Arial"/>
                <w:sz w:val="20"/>
                <w:szCs w:val="20"/>
              </w:rPr>
            </w:pPr>
            <w:r w:rsidRPr="006913ED">
              <w:rPr>
                <w:rFonts w:ascii="Calibri" w:hAnsi="Calibri" w:cs="Arial"/>
                <w:sz w:val="20"/>
                <w:szCs w:val="20"/>
              </w:rPr>
              <w:t>Could not be determined</w:t>
            </w:r>
          </w:p>
        </w:tc>
        <w:tc>
          <w:tcPr>
            <w:tcW w:w="2045" w:type="pct"/>
            <w:tcBorders>
              <w:top w:val="nil"/>
              <w:left w:val="nil"/>
              <w:bottom w:val="single" w:sz="8" w:space="0" w:color="auto"/>
              <w:right w:val="single" w:sz="8" w:space="0" w:color="auto"/>
            </w:tcBorders>
          </w:tcPr>
          <w:p w14:paraId="66FDD378" w14:textId="77777777" w:rsidR="00AC3375" w:rsidRPr="006913ED" w:rsidRDefault="00AC3375" w:rsidP="00EF7D49">
            <w:pPr>
              <w:rPr>
                <w:rFonts w:ascii="Calibri" w:hAnsi="Calibri" w:cs="Arial"/>
                <w:sz w:val="20"/>
                <w:szCs w:val="20"/>
              </w:rPr>
            </w:pPr>
            <w:r w:rsidRPr="006913ED">
              <w:rPr>
                <w:rFonts w:ascii="Calibri" w:hAnsi="Calibri" w:cs="Arial"/>
                <w:sz w:val="20"/>
                <w:szCs w:val="20"/>
              </w:rPr>
              <w:t xml:space="preserve">The range of severity of symptoms or adverse events due to treatment included in this outcomes range from mild to severe. Information on what patients and clinicians would find as a clinically meaningful difference between the treated and untreated groups is lacking. </w:t>
            </w:r>
          </w:p>
        </w:tc>
      </w:tr>
      <w:tr w:rsidR="00AC3375" w:rsidRPr="006913ED" w14:paraId="12CDA987" w14:textId="77777777" w:rsidTr="00A5561C">
        <w:tc>
          <w:tcPr>
            <w:tcW w:w="98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83FBD27" w14:textId="77777777" w:rsidR="00AC3375" w:rsidRPr="006913ED" w:rsidRDefault="00AC3375" w:rsidP="000C4843">
            <w:pPr>
              <w:rPr>
                <w:rFonts w:ascii="Calibri" w:hAnsi="Calibri" w:cs="Arial"/>
                <w:bCs/>
                <w:sz w:val="20"/>
                <w:szCs w:val="20"/>
              </w:rPr>
            </w:pPr>
            <w:r w:rsidRPr="006913ED">
              <w:rPr>
                <w:rFonts w:ascii="Calibri" w:hAnsi="Calibri" w:cs="Arial"/>
                <w:bCs/>
                <w:sz w:val="20"/>
                <w:szCs w:val="20"/>
              </w:rPr>
              <w:t xml:space="preserve">Withdrawals due to </w:t>
            </w:r>
            <w:r w:rsidR="000C4843">
              <w:rPr>
                <w:rFonts w:ascii="Calibri" w:hAnsi="Calibri" w:cs="Arial"/>
                <w:bCs/>
                <w:sz w:val="20"/>
                <w:szCs w:val="20"/>
              </w:rPr>
              <w:t>adverse outcomes</w:t>
            </w:r>
          </w:p>
        </w:tc>
        <w:tc>
          <w:tcPr>
            <w:tcW w:w="494" w:type="pct"/>
            <w:tcBorders>
              <w:top w:val="nil"/>
              <w:left w:val="nil"/>
              <w:bottom w:val="single" w:sz="8" w:space="0" w:color="auto"/>
              <w:right w:val="single" w:sz="4" w:space="0" w:color="auto"/>
            </w:tcBorders>
            <w:tcMar>
              <w:top w:w="0" w:type="dxa"/>
              <w:left w:w="108" w:type="dxa"/>
              <w:bottom w:w="0" w:type="dxa"/>
              <w:right w:w="108" w:type="dxa"/>
            </w:tcMar>
          </w:tcPr>
          <w:p w14:paraId="00484CA0" w14:textId="77777777" w:rsidR="00AC3375" w:rsidRPr="006913ED" w:rsidRDefault="00AC3375" w:rsidP="000C4843">
            <w:pPr>
              <w:jc w:val="center"/>
              <w:rPr>
                <w:rFonts w:ascii="Calibri" w:hAnsi="Calibri" w:cs="Arial"/>
                <w:sz w:val="20"/>
                <w:szCs w:val="20"/>
              </w:rPr>
            </w:pPr>
            <w:r w:rsidRPr="006913ED">
              <w:rPr>
                <w:rFonts w:ascii="Calibri" w:hAnsi="Calibri" w:cs="Arial"/>
                <w:sz w:val="20"/>
                <w:szCs w:val="20"/>
              </w:rPr>
              <w:t xml:space="preserve"># </w:t>
            </w:r>
            <w:r w:rsidR="000C4843">
              <w:rPr>
                <w:rFonts w:ascii="Calibri" w:hAnsi="Calibri" w:cs="Arial"/>
                <w:sz w:val="20"/>
                <w:szCs w:val="20"/>
              </w:rPr>
              <w:t>withdrawals</w:t>
            </w:r>
            <w:r w:rsidRPr="006913ED">
              <w:rPr>
                <w:rFonts w:ascii="Calibri" w:hAnsi="Calibri" w:cs="Arial"/>
                <w:sz w:val="20"/>
                <w:szCs w:val="20"/>
              </w:rPr>
              <w:t xml:space="preserve"> / 1000</w:t>
            </w:r>
          </w:p>
        </w:tc>
        <w:tc>
          <w:tcPr>
            <w:tcW w:w="658" w:type="pct"/>
            <w:tcBorders>
              <w:top w:val="single" w:sz="8" w:space="0" w:color="auto"/>
              <w:left w:val="single" w:sz="4" w:space="0" w:color="auto"/>
              <w:bottom w:val="single" w:sz="8" w:space="0" w:color="auto"/>
              <w:right w:val="single" w:sz="4" w:space="0" w:color="auto"/>
            </w:tcBorders>
          </w:tcPr>
          <w:p w14:paraId="70B0463A" w14:textId="77777777" w:rsidR="00AC3375" w:rsidRPr="006913ED" w:rsidRDefault="00AC3375" w:rsidP="00EF7D49">
            <w:pPr>
              <w:jc w:val="center"/>
              <w:rPr>
                <w:rFonts w:ascii="Calibri" w:hAnsi="Calibri" w:cs="Arial"/>
                <w:sz w:val="20"/>
                <w:szCs w:val="20"/>
              </w:rPr>
            </w:pPr>
            <w:r w:rsidRPr="006913ED">
              <w:rPr>
                <w:rFonts w:ascii="Calibri" w:hAnsi="Calibri" w:cs="Arial"/>
                <w:sz w:val="20"/>
                <w:szCs w:val="20"/>
              </w:rPr>
              <w:t>0 to 1000</w:t>
            </w:r>
          </w:p>
        </w:tc>
        <w:tc>
          <w:tcPr>
            <w:tcW w:w="821" w:type="pct"/>
            <w:tcBorders>
              <w:top w:val="nil"/>
              <w:left w:val="single" w:sz="4" w:space="0" w:color="auto"/>
              <w:bottom w:val="single" w:sz="8" w:space="0" w:color="auto"/>
              <w:right w:val="single" w:sz="8" w:space="0" w:color="auto"/>
            </w:tcBorders>
            <w:tcMar>
              <w:top w:w="0" w:type="dxa"/>
              <w:left w:w="108" w:type="dxa"/>
              <w:bottom w:w="0" w:type="dxa"/>
              <w:right w:w="108" w:type="dxa"/>
            </w:tcMar>
          </w:tcPr>
          <w:p w14:paraId="35831070" w14:textId="77777777" w:rsidR="00AC3375" w:rsidRPr="006913ED" w:rsidRDefault="00AC3375" w:rsidP="00EF7D49">
            <w:pPr>
              <w:jc w:val="center"/>
              <w:rPr>
                <w:rFonts w:ascii="Calibri" w:hAnsi="Calibri" w:cs="Arial"/>
                <w:sz w:val="20"/>
                <w:szCs w:val="20"/>
              </w:rPr>
            </w:pPr>
            <w:r w:rsidRPr="006913ED">
              <w:rPr>
                <w:rFonts w:ascii="Calibri" w:hAnsi="Calibri" w:cs="Arial"/>
                <w:sz w:val="20"/>
                <w:szCs w:val="20"/>
              </w:rPr>
              <w:t>Could not be determined</w:t>
            </w:r>
          </w:p>
        </w:tc>
        <w:tc>
          <w:tcPr>
            <w:tcW w:w="2045" w:type="pct"/>
            <w:tcBorders>
              <w:top w:val="nil"/>
              <w:left w:val="nil"/>
              <w:bottom w:val="single" w:sz="8" w:space="0" w:color="auto"/>
              <w:right w:val="single" w:sz="8" w:space="0" w:color="auto"/>
            </w:tcBorders>
          </w:tcPr>
          <w:p w14:paraId="001A7A2C" w14:textId="77777777" w:rsidR="00AC3375" w:rsidRPr="006913ED" w:rsidRDefault="00AC3375" w:rsidP="00EF7D49">
            <w:pPr>
              <w:rPr>
                <w:rFonts w:ascii="Calibri" w:hAnsi="Calibri" w:cs="Arial"/>
                <w:sz w:val="20"/>
                <w:szCs w:val="20"/>
              </w:rPr>
            </w:pPr>
            <w:r w:rsidRPr="006913ED">
              <w:rPr>
                <w:rFonts w:ascii="Calibri" w:hAnsi="Calibri" w:cs="Arial"/>
                <w:sz w:val="20"/>
                <w:szCs w:val="20"/>
              </w:rPr>
              <w:t>Information on what patients and clinicians would find as a clinically meaningful difference between the treated and untreated groups is lacking. A large majority of patients (perhaps between 95%-99%) may not want to experience an adverse event serious enough to require them to withdraw from a trial or discontinue treatment for subclinical hypothyroidism.</w:t>
            </w:r>
          </w:p>
        </w:tc>
      </w:tr>
    </w:tbl>
    <w:p w14:paraId="76ED54B7" w14:textId="77777777" w:rsidR="00AC3375" w:rsidRPr="00B94C53" w:rsidRDefault="00AC3375" w:rsidP="00B94C53">
      <w:pPr>
        <w:spacing w:after="0"/>
        <w:rPr>
          <w:b/>
          <w:u w:val="single"/>
        </w:rPr>
      </w:pPr>
    </w:p>
    <w:p w14:paraId="3C9D1ED9" w14:textId="77777777" w:rsidR="00A652A8" w:rsidRDefault="00A652A8" w:rsidP="00D2440A">
      <w:pPr>
        <w:sectPr w:rsidR="00A652A8" w:rsidSect="00B94C53">
          <w:pgSz w:w="15840" w:h="12240" w:orient="landscape"/>
          <w:pgMar w:top="1440" w:right="1440" w:bottom="1440" w:left="1440" w:header="708" w:footer="708" w:gutter="0"/>
          <w:lnNumType w:countBy="1" w:restart="continuous"/>
          <w:cols w:space="708"/>
          <w:docGrid w:linePitch="360"/>
        </w:sectPr>
      </w:pPr>
    </w:p>
    <w:p w14:paraId="7DFF4487" w14:textId="0073E4B1" w:rsidR="000504F6" w:rsidRPr="000504F6" w:rsidRDefault="000504F6" w:rsidP="000504F6">
      <w:pPr>
        <w:pStyle w:val="Heading1"/>
        <w:rPr>
          <w:sz w:val="22"/>
          <w:szCs w:val="22"/>
        </w:rPr>
      </w:pPr>
      <w:bookmarkStart w:id="4" w:name="_Toc532829300"/>
      <w:r w:rsidRPr="000504F6">
        <w:rPr>
          <w:sz w:val="22"/>
          <w:szCs w:val="22"/>
        </w:rPr>
        <w:lastRenderedPageBreak/>
        <w:t xml:space="preserve">Appendix </w:t>
      </w:r>
      <w:r w:rsidR="00B50B35">
        <w:rPr>
          <w:sz w:val="22"/>
          <w:szCs w:val="22"/>
        </w:rPr>
        <w:t>5</w:t>
      </w:r>
      <w:r w:rsidRPr="000504F6">
        <w:rPr>
          <w:sz w:val="22"/>
          <w:szCs w:val="22"/>
        </w:rPr>
        <w:t>: List of Excluded Studies for KQ1-4 after Full-text Screening</w:t>
      </w:r>
      <w:bookmarkEnd w:id="4"/>
    </w:p>
    <w:p w14:paraId="44F4EDF9" w14:textId="77777777" w:rsidR="000504F6" w:rsidRDefault="000504F6" w:rsidP="000504F6">
      <w:pPr>
        <w:rPr>
          <w:b/>
          <w:u w:val="single"/>
        </w:rPr>
      </w:pPr>
    </w:p>
    <w:p w14:paraId="035A37E9" w14:textId="6B763C8A" w:rsidR="000504F6" w:rsidRDefault="000504F6" w:rsidP="000504F6">
      <w:pPr>
        <w:rPr>
          <w:b/>
        </w:rPr>
      </w:pPr>
      <w:r w:rsidRPr="00174635">
        <w:rPr>
          <w:b/>
          <w:u w:val="single"/>
        </w:rPr>
        <w:t>Non-English Article</w:t>
      </w:r>
      <w:r>
        <w:rPr>
          <w:b/>
          <w:u w:val="single"/>
        </w:rPr>
        <w:t xml:space="preserve"> </w:t>
      </w:r>
      <w:r>
        <w:rPr>
          <w:b/>
        </w:rPr>
        <w:t xml:space="preserve">: n = </w:t>
      </w:r>
      <w:r w:rsidR="005D45A8">
        <w:rPr>
          <w:b/>
        </w:rPr>
        <w:t>28</w:t>
      </w:r>
    </w:p>
    <w:p w14:paraId="0450194B" w14:textId="77777777" w:rsidR="005D45A8" w:rsidRPr="005D45A8" w:rsidRDefault="005D45A8" w:rsidP="005D45A8">
      <w:pPr>
        <w:rPr>
          <w:rFonts w:eastAsia="Times New Roman"/>
          <w:bCs/>
        </w:rPr>
      </w:pPr>
      <w:r w:rsidRPr="005D45A8">
        <w:rPr>
          <w:rFonts w:eastAsia="Times New Roman"/>
          <w:bCs/>
        </w:rPr>
        <w:t>Baghbani-Oskouei A, Akbarpour S, Tohidi M, Amouzegar A, Mehran L, Hadaegh F, Azizi F. Subclinical thyroid dysfunction and incident cardiovascular disease: Tehran thyroid study. Iranian Journal of Endocrinology and Metabolism. 2018. 20:1</w:t>
      </w:r>
    </w:p>
    <w:p w14:paraId="0FE7036C" w14:textId="77777777" w:rsidR="005D45A8" w:rsidRPr="005D45A8" w:rsidRDefault="005D45A8" w:rsidP="005D45A8">
      <w:pPr>
        <w:rPr>
          <w:rFonts w:eastAsia="Times New Roman"/>
          <w:bCs/>
        </w:rPr>
      </w:pPr>
      <w:r w:rsidRPr="005D45A8">
        <w:rPr>
          <w:rFonts w:eastAsia="Times New Roman"/>
          <w:bCs/>
        </w:rPr>
        <w:t>De Pedro S, Benozzi S, Becerra H, Bonacorsi SM, Jouffré G, et al. Cardiovascular risk factors in patients with subclinical hypothiroidism. Revista argentina de endocrinologia y metabolismo. 2012. 49:183</w:t>
      </w:r>
    </w:p>
    <w:p w14:paraId="2C7AF7DB" w14:textId="77777777" w:rsidR="005D45A8" w:rsidRPr="005D45A8" w:rsidRDefault="005D45A8" w:rsidP="005D45A8">
      <w:pPr>
        <w:rPr>
          <w:rFonts w:eastAsia="Times New Roman"/>
          <w:bCs/>
        </w:rPr>
      </w:pPr>
      <w:r w:rsidRPr="005D45A8">
        <w:rPr>
          <w:rFonts w:eastAsia="Times New Roman"/>
          <w:bCs/>
        </w:rPr>
        <w:t>Derakhshan S, Shahsavari S. Effect of oral anti-thyroid therapy on bone density in premenopausal women with endogenous subclinical hyperthyroidism. Scientific Journal of Kurdistan University of Medical Sciences. 2014. 19:1</w:t>
      </w:r>
    </w:p>
    <w:p w14:paraId="048367FE" w14:textId="77777777" w:rsidR="005D45A8" w:rsidRPr="00260933" w:rsidRDefault="005D45A8" w:rsidP="005D45A8">
      <w:pPr>
        <w:rPr>
          <w:rFonts w:eastAsia="Times New Roman"/>
          <w:bCs/>
        </w:rPr>
      </w:pPr>
      <w:r w:rsidRPr="005D45A8">
        <w:rPr>
          <w:rFonts w:eastAsia="Times New Roman"/>
          <w:bCs/>
        </w:rPr>
        <w:t xml:space="preserve">Dominguez LJ, Di Bella G, Damiani P, Belvedere M, Barbagallo M. Hypothyroidism in older persons: Importance of an adequate thyroid hormone replacement therapy. </w:t>
      </w:r>
      <w:r w:rsidRPr="00260933">
        <w:rPr>
          <w:rFonts w:eastAsia="Times New Roman"/>
          <w:bCs/>
        </w:rPr>
        <w:t>Giornale di gerontologia. 2013. 61:173</w:t>
      </w:r>
    </w:p>
    <w:p w14:paraId="40393DF6" w14:textId="77777777" w:rsidR="005D45A8" w:rsidRPr="005D45A8" w:rsidRDefault="005D45A8" w:rsidP="005D45A8">
      <w:pPr>
        <w:rPr>
          <w:rFonts w:eastAsia="Times New Roman"/>
          <w:bCs/>
        </w:rPr>
      </w:pPr>
      <w:r w:rsidRPr="007D1B37">
        <w:rPr>
          <w:rFonts w:eastAsia="Times New Roman"/>
          <w:bCs/>
        </w:rPr>
        <w:t xml:space="preserve">Gussekloo J, Van Exel E, De Craen AJM, Meinders AE, Frölich M, et al. </w:t>
      </w:r>
      <w:r w:rsidRPr="005D45A8">
        <w:rPr>
          <w:rFonts w:eastAsia="Times New Roman"/>
          <w:bCs/>
        </w:rPr>
        <w:t>Thyroid function, activities of daily living and survival in extreme old age: The 'Leiden 85-plus Study'. Nederlands tijdschrift voor geneeskunde. 2006. 150:90</w:t>
      </w:r>
    </w:p>
    <w:p w14:paraId="6F0AD32B" w14:textId="77777777" w:rsidR="005D45A8" w:rsidRPr="005D45A8" w:rsidRDefault="005D45A8" w:rsidP="005D45A8">
      <w:pPr>
        <w:rPr>
          <w:rFonts w:eastAsia="Times New Roman"/>
          <w:bCs/>
        </w:rPr>
      </w:pPr>
      <w:r w:rsidRPr="005D45A8">
        <w:rPr>
          <w:rFonts w:eastAsia="Times New Roman"/>
          <w:bCs/>
        </w:rPr>
        <w:t>Hong TP. Reinforcing research on the subclinical state of autoimmune thyroid disease. National Medical Journal of China. 2008. 88:2809</w:t>
      </w:r>
    </w:p>
    <w:p w14:paraId="0D53F96F" w14:textId="77777777" w:rsidR="005D45A8" w:rsidRPr="00B415B2" w:rsidRDefault="005D45A8" w:rsidP="005D45A8">
      <w:pPr>
        <w:rPr>
          <w:rFonts w:eastAsia="Times New Roman"/>
          <w:bCs/>
          <w:lang w:val="fr-CA"/>
        </w:rPr>
      </w:pPr>
      <w:r w:rsidRPr="005D45A8">
        <w:rPr>
          <w:rFonts w:eastAsia="Times New Roman"/>
          <w:bCs/>
        </w:rPr>
        <w:t xml:space="preserve">Krysicki M, ͆lusarczyk E, Popowicz B, Jankiewicz-Wika J, Klencki M, et al. Effect of subclinical hypothyroidism treatment on selected cardiovascular parameters. Polski Merkuriusz Lekarski. </w:t>
      </w:r>
      <w:r w:rsidRPr="007D1B37">
        <w:rPr>
          <w:rFonts w:eastAsia="Times New Roman"/>
          <w:bCs/>
        </w:rPr>
        <w:t xml:space="preserve">2014. </w:t>
      </w:r>
      <w:r w:rsidRPr="00B415B2">
        <w:rPr>
          <w:rFonts w:eastAsia="Times New Roman"/>
          <w:bCs/>
          <w:lang w:val="fr-CA"/>
        </w:rPr>
        <w:t>37:17</w:t>
      </w:r>
    </w:p>
    <w:p w14:paraId="6994BE82" w14:textId="77777777" w:rsidR="005D45A8" w:rsidRPr="005D45A8" w:rsidRDefault="005D45A8" w:rsidP="005D45A8">
      <w:pPr>
        <w:rPr>
          <w:rFonts w:eastAsia="Times New Roman"/>
          <w:bCs/>
        </w:rPr>
      </w:pPr>
      <w:r w:rsidRPr="00B415B2">
        <w:rPr>
          <w:rFonts w:eastAsia="Times New Roman"/>
          <w:bCs/>
          <w:lang w:val="fr-CA"/>
        </w:rPr>
        <w:t xml:space="preserve">La Viola M, Greco A, Mazzoccoli G, Carughi S, Puzzolante F, et al. </w:t>
      </w:r>
      <w:r w:rsidRPr="005D45A8">
        <w:rPr>
          <w:rFonts w:eastAsia="Times New Roman"/>
          <w:bCs/>
        </w:rPr>
        <w:t>Hemodynamic evaluation by bioimpedance in patients with subclinical hypothyroidism before and after levothyroxine treatment. Recenti progressi in medicina. 2003. 94:549</w:t>
      </w:r>
    </w:p>
    <w:p w14:paraId="0A5D815C" w14:textId="77777777" w:rsidR="005D45A8" w:rsidRPr="005D45A8" w:rsidRDefault="005D45A8" w:rsidP="005D45A8">
      <w:pPr>
        <w:rPr>
          <w:rFonts w:eastAsia="Times New Roman"/>
          <w:bCs/>
        </w:rPr>
      </w:pPr>
      <w:r w:rsidRPr="005D45A8">
        <w:rPr>
          <w:rFonts w:eastAsia="Times New Roman"/>
          <w:bCs/>
        </w:rPr>
        <w:t>Lipp RW, Scherer T, Krebs M. Is Thyroxine Therapy Indicated in Any Case of Subclinical Hypothyroidism?. Austrian Journal of Clinical Endocrinology and Metabolism. 2013. 6:12</w:t>
      </w:r>
    </w:p>
    <w:p w14:paraId="40384AC3" w14:textId="77777777" w:rsidR="005D45A8" w:rsidRPr="00B415B2" w:rsidRDefault="005D45A8" w:rsidP="005D45A8">
      <w:pPr>
        <w:rPr>
          <w:rFonts w:eastAsia="Times New Roman"/>
          <w:bCs/>
          <w:lang w:val="fr-CA"/>
        </w:rPr>
      </w:pPr>
      <w:r w:rsidRPr="005D45A8">
        <w:rPr>
          <w:rFonts w:eastAsia="Times New Roman"/>
          <w:bCs/>
        </w:rPr>
        <w:t xml:space="preserve">Loor M, Giet D. Subclinical primary hypothyroidism in family practice. </w:t>
      </w:r>
      <w:r w:rsidRPr="00B415B2">
        <w:rPr>
          <w:rFonts w:eastAsia="Times New Roman"/>
          <w:bCs/>
          <w:lang w:val="fr-CA"/>
        </w:rPr>
        <w:t>Revue medicale de Liege. 2008. 63:600</w:t>
      </w:r>
    </w:p>
    <w:p w14:paraId="4A98F85A" w14:textId="77777777" w:rsidR="005D45A8" w:rsidRPr="00B415B2" w:rsidRDefault="005D45A8" w:rsidP="005D45A8">
      <w:pPr>
        <w:rPr>
          <w:rFonts w:eastAsia="Times New Roman"/>
          <w:bCs/>
          <w:lang w:val="fr-CA"/>
        </w:rPr>
      </w:pPr>
      <w:r w:rsidRPr="007D1B37">
        <w:rPr>
          <w:rFonts w:eastAsia="Times New Roman"/>
          <w:bCs/>
        </w:rPr>
        <w:t xml:space="preserve">Mainenti MRM, P. F. S. Teixeira, F. P. Oliveira, M. Vaisman. </w:t>
      </w:r>
      <w:r w:rsidRPr="005D45A8">
        <w:rPr>
          <w:rFonts w:eastAsia="Times New Roman"/>
          <w:bCs/>
        </w:rPr>
        <w:t xml:space="preserve">Impact of subclinical hypothyroidism in cardiopulmonary response during effort and its recovery. </w:t>
      </w:r>
      <w:r w:rsidRPr="00B415B2">
        <w:rPr>
          <w:rFonts w:eastAsia="Times New Roman"/>
          <w:bCs/>
          <w:lang w:val="fr-CA"/>
        </w:rPr>
        <w:t>Arquivos Brasileiros de Endocrinologia e Metabologia. 2007. 51:1485</w:t>
      </w:r>
    </w:p>
    <w:p w14:paraId="697C628B" w14:textId="77777777" w:rsidR="005D45A8" w:rsidRPr="005D45A8" w:rsidRDefault="005D45A8" w:rsidP="005D45A8">
      <w:pPr>
        <w:rPr>
          <w:rFonts w:eastAsia="Times New Roman"/>
          <w:bCs/>
        </w:rPr>
      </w:pPr>
      <w:r w:rsidRPr="00B415B2">
        <w:rPr>
          <w:rFonts w:eastAsia="Times New Roman"/>
          <w:bCs/>
          <w:lang w:val="fr-CA"/>
        </w:rPr>
        <w:lastRenderedPageBreak/>
        <w:t xml:space="preserve">Merchante-Alfaro AÁ, Civera-Andrés M, Atiénzar-Herráez N, Tenías-Burillo JM, Ochoa-Ávila E, et al. </w:t>
      </w:r>
      <w:r w:rsidRPr="005D45A8">
        <w:rPr>
          <w:rFonts w:eastAsia="Times New Roman"/>
          <w:bCs/>
        </w:rPr>
        <w:t>Effects of levothyroxine replacement on lipid profile in patients with mild subclinical hypothyroidism. Medicina clinica. 2006. 126:246</w:t>
      </w:r>
    </w:p>
    <w:p w14:paraId="63DD6422" w14:textId="77777777" w:rsidR="005D45A8" w:rsidRPr="00EA2A99" w:rsidRDefault="005D45A8" w:rsidP="005D45A8">
      <w:pPr>
        <w:rPr>
          <w:rFonts w:eastAsia="Times New Roman"/>
          <w:bCs/>
          <w:lang w:val="fr-CA"/>
        </w:rPr>
      </w:pPr>
      <w:r w:rsidRPr="005D45A8">
        <w:rPr>
          <w:rFonts w:eastAsia="Times New Roman"/>
          <w:bCs/>
        </w:rPr>
        <w:t xml:space="preserve">Neumann I, -A Juan Carlos Claro G. Surrogate outcomes. </w:t>
      </w:r>
      <w:r w:rsidRPr="00EA2A99">
        <w:rPr>
          <w:rFonts w:eastAsia="Times New Roman"/>
          <w:bCs/>
          <w:lang w:val="fr-CA"/>
        </w:rPr>
        <w:t>Revista medica de Chile. 2012. 140:113</w:t>
      </w:r>
    </w:p>
    <w:p w14:paraId="3F574CEF" w14:textId="77777777" w:rsidR="005D45A8" w:rsidRPr="005D45A8" w:rsidRDefault="005D45A8" w:rsidP="005D45A8">
      <w:pPr>
        <w:rPr>
          <w:rFonts w:eastAsia="Times New Roman"/>
          <w:bCs/>
        </w:rPr>
      </w:pPr>
      <w:r w:rsidRPr="00B415B2">
        <w:rPr>
          <w:rFonts w:eastAsia="Times New Roman"/>
          <w:bCs/>
          <w:lang w:val="fr-CA"/>
        </w:rPr>
        <w:t xml:space="preserve">Noguerol álvarez M, Odriozola Sánchez J, Ávila Londoño DA, Corcuera Martínez AI, Rabanal Basalo A, et al. </w:t>
      </w:r>
      <w:r w:rsidRPr="005D45A8">
        <w:rPr>
          <w:rFonts w:eastAsia="Times New Roman"/>
          <w:bCs/>
        </w:rPr>
        <w:t>How we treat subclinical hypothyroidism in our daily clinical practice. Semergen. 2012. 38:483</w:t>
      </w:r>
    </w:p>
    <w:p w14:paraId="132F4BD6" w14:textId="77777777" w:rsidR="005D45A8" w:rsidRPr="005D45A8" w:rsidRDefault="005D45A8" w:rsidP="005D45A8">
      <w:pPr>
        <w:rPr>
          <w:rFonts w:eastAsia="Times New Roman"/>
          <w:bCs/>
        </w:rPr>
      </w:pPr>
      <w:r w:rsidRPr="005D45A8">
        <w:rPr>
          <w:rFonts w:eastAsia="Times New Roman"/>
          <w:bCs/>
        </w:rPr>
        <w:t>Nyström E, B. Hallengren, G. Lindstedt, B. Winsa. Primary hypothyroidism - An increasingly widespread disease: A common and simple to treat disease in women. Lakartidningen. 2003. 100:610</w:t>
      </w:r>
    </w:p>
    <w:p w14:paraId="187D1082" w14:textId="77777777" w:rsidR="005D45A8" w:rsidRPr="005D45A8" w:rsidRDefault="005D45A8" w:rsidP="005D45A8">
      <w:pPr>
        <w:rPr>
          <w:rFonts w:eastAsia="Times New Roman"/>
          <w:bCs/>
        </w:rPr>
      </w:pPr>
      <w:r w:rsidRPr="007D1B37">
        <w:rPr>
          <w:rFonts w:eastAsia="Times New Roman"/>
          <w:bCs/>
          <w:lang w:val="fr-CA"/>
        </w:rPr>
        <w:t xml:space="preserve">Önder E, Aydin Y, Güngör A, Celbek G, Kir S, et al. </w:t>
      </w:r>
      <w:r w:rsidRPr="005D45A8">
        <w:rPr>
          <w:rFonts w:eastAsia="Times New Roman"/>
          <w:bCs/>
        </w:rPr>
        <w:t>Carotis intima media thickness in female patiens with subclinical hypothyroidism. Turkish Journal of Endocrinology and Metabolism. 2010. 14:89</w:t>
      </w:r>
    </w:p>
    <w:p w14:paraId="10EF14CF" w14:textId="77777777" w:rsidR="005D45A8" w:rsidRPr="005D45A8" w:rsidRDefault="005D45A8" w:rsidP="005D45A8">
      <w:pPr>
        <w:rPr>
          <w:rFonts w:eastAsia="Times New Roman"/>
          <w:bCs/>
        </w:rPr>
      </w:pPr>
      <w:r w:rsidRPr="005D45A8">
        <w:rPr>
          <w:rFonts w:eastAsia="Times New Roman"/>
          <w:bCs/>
        </w:rPr>
        <w:t>Peng L, -J Gu M. Influence of thyroxine treatment on serum lipid levels in patients with subclinical hypothyroidism: A meta-analysis. Academic Journal of Second Military Medical University. 2007. 28:519</w:t>
      </w:r>
    </w:p>
    <w:p w14:paraId="3EFE0AE9" w14:textId="77777777" w:rsidR="005D45A8" w:rsidRPr="005D45A8" w:rsidRDefault="005D45A8" w:rsidP="005D45A8">
      <w:pPr>
        <w:rPr>
          <w:rFonts w:eastAsia="Times New Roman"/>
          <w:bCs/>
        </w:rPr>
      </w:pPr>
      <w:r w:rsidRPr="005D45A8">
        <w:rPr>
          <w:rFonts w:eastAsia="Times New Roman"/>
          <w:bCs/>
        </w:rPr>
        <w:t>Rodondi N, D. Nanchen. Medical overconsumption and lipid-lowering treatments in 2018. Revue Medicale Suisse. 2018. 14:451</w:t>
      </w:r>
    </w:p>
    <w:p w14:paraId="32F571F3" w14:textId="77777777" w:rsidR="005D45A8" w:rsidRPr="005D45A8" w:rsidRDefault="005D45A8" w:rsidP="005D45A8">
      <w:pPr>
        <w:rPr>
          <w:rFonts w:eastAsia="Times New Roman"/>
          <w:bCs/>
        </w:rPr>
      </w:pPr>
      <w:r w:rsidRPr="005D45A8">
        <w:rPr>
          <w:rFonts w:eastAsia="Times New Roman"/>
          <w:bCs/>
        </w:rPr>
        <w:t>Rogala N, Zdrojowy-Wełna A, Zatońska K, Bednarek-Tupikowska G. Management of subclinical hypothyroidism in adults. Family Medicine and Primary Care Review. 2015. 17:55</w:t>
      </w:r>
    </w:p>
    <w:p w14:paraId="0D2140EF" w14:textId="77777777" w:rsidR="005D45A8" w:rsidRPr="005D45A8" w:rsidRDefault="005D45A8" w:rsidP="005D45A8">
      <w:pPr>
        <w:rPr>
          <w:rFonts w:eastAsia="Times New Roman"/>
          <w:bCs/>
        </w:rPr>
      </w:pPr>
      <w:r w:rsidRPr="007D1B37">
        <w:rPr>
          <w:rFonts w:eastAsia="Times New Roman"/>
          <w:bCs/>
          <w:lang w:val="fr-CA"/>
        </w:rPr>
        <w:t xml:space="preserve">Sampaolo G, Campanella N, Catozzo V, Ferretti M, Vichi G, et al. </w:t>
      </w:r>
      <w:r w:rsidRPr="005D45A8">
        <w:rPr>
          <w:rFonts w:eastAsia="Times New Roman"/>
          <w:bCs/>
        </w:rPr>
        <w:t>Relationship between hypothyroidism and cholesterol out of the records of 1756 patients. Recenti progressi in medicina. 2014. 105:79</w:t>
      </w:r>
    </w:p>
    <w:p w14:paraId="4FC4D981" w14:textId="77777777" w:rsidR="005D45A8" w:rsidRPr="005D45A8" w:rsidRDefault="005D45A8" w:rsidP="005D45A8">
      <w:pPr>
        <w:rPr>
          <w:rFonts w:eastAsia="Times New Roman"/>
          <w:bCs/>
        </w:rPr>
      </w:pPr>
      <w:r w:rsidRPr="005D45A8">
        <w:rPr>
          <w:rFonts w:eastAsia="Times New Roman"/>
          <w:bCs/>
        </w:rPr>
        <w:t>Scherbaum W, D. Führer. TRUST trial: Differentiated consideration leads to another interpretation. Deutsches Arzteblatt International. 2017. 114:A1052</w:t>
      </w:r>
    </w:p>
    <w:p w14:paraId="4DD90B0B" w14:textId="77777777" w:rsidR="005D45A8" w:rsidRPr="005D45A8" w:rsidRDefault="005D45A8" w:rsidP="005D45A8">
      <w:pPr>
        <w:rPr>
          <w:rFonts w:eastAsia="Times New Roman"/>
          <w:bCs/>
        </w:rPr>
      </w:pPr>
      <w:r w:rsidRPr="005D45A8">
        <w:rPr>
          <w:rFonts w:eastAsia="Times New Roman"/>
          <w:bCs/>
        </w:rPr>
        <w:t>Schlienger JL, Vinzio S, Grunenberger F, Luca F, Goichot B. Is subclinical hypothyroidism a cardiovascular risk factor?. Revue de Medecine Interne. 2006. 27:927</w:t>
      </w:r>
    </w:p>
    <w:p w14:paraId="1A899564" w14:textId="77777777" w:rsidR="005D45A8" w:rsidRPr="005D45A8" w:rsidRDefault="005D45A8" w:rsidP="005D45A8">
      <w:pPr>
        <w:rPr>
          <w:rFonts w:eastAsia="Times New Roman"/>
          <w:bCs/>
        </w:rPr>
      </w:pPr>
      <w:r w:rsidRPr="005D45A8">
        <w:rPr>
          <w:rFonts w:eastAsia="Times New Roman"/>
          <w:bCs/>
        </w:rPr>
        <w:t>Sönnichsen A. Replacement therapy with l-thyroxine in subclinical hypothyroidism. Zeitschrift fur Allgemeinmedizin. 2018. 94:51</w:t>
      </w:r>
    </w:p>
    <w:p w14:paraId="2B34E27D" w14:textId="77777777" w:rsidR="005D45A8" w:rsidRPr="005D45A8" w:rsidRDefault="005D45A8" w:rsidP="005D45A8">
      <w:pPr>
        <w:rPr>
          <w:rFonts w:eastAsia="Times New Roman"/>
          <w:bCs/>
        </w:rPr>
      </w:pPr>
      <w:r w:rsidRPr="005D45A8">
        <w:rPr>
          <w:rFonts w:eastAsia="Times New Roman"/>
          <w:bCs/>
        </w:rPr>
        <w:t>Van Harten AC, Leue C, Verhey FRJ. Should depressive symptoms in patients with subclinical hypothyroidism be treated with thyroid hormone?. Tijdschrift voor Psychiatrie. 2008. 50:539</w:t>
      </w:r>
    </w:p>
    <w:p w14:paraId="26E1A1FD" w14:textId="77777777" w:rsidR="005D45A8" w:rsidRPr="005D45A8" w:rsidRDefault="005D45A8" w:rsidP="005D45A8">
      <w:pPr>
        <w:rPr>
          <w:rFonts w:eastAsia="Times New Roman"/>
          <w:bCs/>
        </w:rPr>
      </w:pPr>
      <w:r w:rsidRPr="005D45A8">
        <w:rPr>
          <w:rFonts w:eastAsia="Times New Roman"/>
          <w:bCs/>
        </w:rPr>
        <w:t>Vera-Lastra OL, Medina-García G, Guadalupe-Reséndiz-Pérez L, Ángeles-Garay U, Torres-Ambriz P, et al. Prevalence of hypothyroidism and anti-thyroglobuline antibodies among Mexican patients with systematic sclerosis. Gaceta medica de Mexico. 2007. 143:471</w:t>
      </w:r>
    </w:p>
    <w:p w14:paraId="391032D0" w14:textId="77777777" w:rsidR="005D45A8" w:rsidRPr="005D45A8" w:rsidRDefault="005D45A8" w:rsidP="005D45A8">
      <w:pPr>
        <w:rPr>
          <w:rFonts w:eastAsia="Times New Roman"/>
          <w:bCs/>
        </w:rPr>
      </w:pPr>
      <w:r w:rsidRPr="005D45A8">
        <w:rPr>
          <w:rFonts w:eastAsia="Times New Roman"/>
          <w:bCs/>
        </w:rPr>
        <w:t>Vinzio S, A. Trinh, J. -L Schlienger, B. Goichot. Cardiac consequences of subclinical dysthyroidism: Experimental, clinical, and epidemiologic data. Presse Medicale. 2005. 34:1161</w:t>
      </w:r>
    </w:p>
    <w:p w14:paraId="3D7A2F7A" w14:textId="77777777" w:rsidR="005D45A8" w:rsidRPr="005D45A8" w:rsidRDefault="005D45A8" w:rsidP="005D45A8">
      <w:pPr>
        <w:rPr>
          <w:rFonts w:eastAsia="Times New Roman"/>
          <w:bCs/>
        </w:rPr>
      </w:pPr>
      <w:r w:rsidRPr="00AD2254">
        <w:rPr>
          <w:rFonts w:eastAsia="Times New Roman"/>
          <w:bCs/>
          <w:lang w:val="fr-CA"/>
        </w:rPr>
        <w:lastRenderedPageBreak/>
        <w:t xml:space="preserve">Yazidi M, M. Chihaoui, I. Mezghani, I. Oueslati, O. Rejeb, F. Chaker, H. Slimane. </w:t>
      </w:r>
      <w:r w:rsidRPr="005D45A8">
        <w:rPr>
          <w:rFonts w:eastAsia="Times New Roman"/>
          <w:bCs/>
        </w:rPr>
        <w:t>Metabolic and cardiovascular impact of uncomplicated hypothyroidism: Myth or reality?. Medecine Therapeutique. 2017. 23:288</w:t>
      </w:r>
    </w:p>
    <w:p w14:paraId="5347A02A" w14:textId="26DB8CDC" w:rsidR="000504F6" w:rsidRPr="00174635" w:rsidRDefault="005D45A8" w:rsidP="000504F6">
      <w:r w:rsidRPr="005D45A8">
        <w:rPr>
          <w:rFonts w:eastAsia="Times New Roman"/>
          <w:bCs/>
        </w:rPr>
        <w:t>Yetmiş M, Kazancioǧlu R, Erkoç R, Tükek T, Peru C, et al. Changes in lipid profile and body mass index in patients with subclinical hypothyroidism: Evaluation of L-Thyroxine treatment. Haseki Tip Bulteni. 2011. 49:131</w:t>
      </w:r>
      <w:r w:rsidR="000504F6">
        <w:rPr>
          <w:rFonts w:eastAsia="Times New Roman"/>
        </w:rPr>
        <w:br/>
      </w:r>
    </w:p>
    <w:p w14:paraId="7DD84D43" w14:textId="3CAB8C4B" w:rsidR="000504F6" w:rsidRDefault="000504F6" w:rsidP="000504F6">
      <w:pPr>
        <w:rPr>
          <w:b/>
        </w:rPr>
      </w:pPr>
      <w:r w:rsidRPr="00174635">
        <w:rPr>
          <w:b/>
          <w:u w:val="single"/>
        </w:rPr>
        <w:t>Wrong study</w:t>
      </w:r>
      <w:r>
        <w:rPr>
          <w:b/>
          <w:u w:val="single"/>
        </w:rPr>
        <w:t xml:space="preserve"> design</w:t>
      </w:r>
      <w:r>
        <w:rPr>
          <w:b/>
        </w:rPr>
        <w:t xml:space="preserve"> : n = </w:t>
      </w:r>
      <w:r w:rsidR="008568C0">
        <w:rPr>
          <w:b/>
        </w:rPr>
        <w:t>205</w:t>
      </w:r>
    </w:p>
    <w:p w14:paraId="759FD13A" w14:textId="77777777" w:rsidR="008568C0" w:rsidRPr="008568C0" w:rsidRDefault="008568C0" w:rsidP="008568C0">
      <w:pPr>
        <w:rPr>
          <w:rFonts w:eastAsia="Times New Roman"/>
          <w:bCs/>
        </w:rPr>
      </w:pPr>
      <w:r w:rsidRPr="008568C0">
        <w:rPr>
          <w:rFonts w:eastAsia="Times New Roman"/>
          <w:bCs/>
        </w:rPr>
        <w:t>Abdel Hamid AmrMS, Borg TamerF, Madkour WaelAI. Prevalence of hyperprolactinemia and thyroid disorders among patients with abnormal uterine bleeding. International Journal of Gynaecology &amp; Obstetrics. 2015. 131:273</w:t>
      </w:r>
    </w:p>
    <w:p w14:paraId="0F2AA7CB" w14:textId="77777777" w:rsidR="008568C0" w:rsidRPr="008568C0" w:rsidRDefault="008568C0" w:rsidP="008568C0">
      <w:pPr>
        <w:rPr>
          <w:rFonts w:eastAsia="Times New Roman"/>
          <w:bCs/>
        </w:rPr>
      </w:pPr>
      <w:r w:rsidRPr="008568C0">
        <w:rPr>
          <w:rFonts w:eastAsia="Times New Roman"/>
          <w:bCs/>
        </w:rPr>
        <w:t>Abreu IsabelM,​ Eva Lau,​ Bernardo de Sousa Pinto,​ Davide Carvalho. Subclinical hypothyroidism: to treat or not to treat,​ that is the question! A systematic review with meta-analysis on lipid profile. Endocrine Connections. 2017. 6:188</w:t>
      </w:r>
    </w:p>
    <w:p w14:paraId="7273C4D3" w14:textId="77777777" w:rsidR="008568C0" w:rsidRPr="008568C0" w:rsidRDefault="008568C0" w:rsidP="008568C0">
      <w:pPr>
        <w:rPr>
          <w:rFonts w:eastAsia="Times New Roman"/>
          <w:bCs/>
        </w:rPr>
      </w:pPr>
      <w:r w:rsidRPr="008568C0">
        <w:rPr>
          <w:rFonts w:eastAsia="Times New Roman"/>
          <w:bCs/>
        </w:rPr>
        <w:t>Aggarwal N, Razvi S. Thyroid and aging or the aging thyroid? An evidence-based analysis of the literature. Journal of Thyroid Research. 2013.</w:t>
      </w:r>
    </w:p>
    <w:p w14:paraId="5E52C7B0" w14:textId="77777777" w:rsidR="008568C0" w:rsidRPr="008568C0" w:rsidRDefault="008568C0" w:rsidP="008568C0">
      <w:pPr>
        <w:rPr>
          <w:rFonts w:eastAsia="Times New Roman"/>
          <w:bCs/>
        </w:rPr>
      </w:pPr>
      <w:r w:rsidRPr="008568C0">
        <w:rPr>
          <w:rFonts w:eastAsia="Times New Roman"/>
          <w:bCs/>
        </w:rPr>
        <w:t>Akter N, Qureshi NK, Ferdous HS. Subclinical hypothyroidism:A review on clinical consequences and management strategies. Journal of Medicine (Bangladesh). 2017. 18:30</w:t>
      </w:r>
    </w:p>
    <w:p w14:paraId="28C3A0A7" w14:textId="77777777" w:rsidR="008568C0" w:rsidRPr="008568C0" w:rsidRDefault="008568C0" w:rsidP="008568C0">
      <w:pPr>
        <w:rPr>
          <w:rFonts w:eastAsia="Times New Roman"/>
          <w:bCs/>
        </w:rPr>
      </w:pPr>
      <w:r w:rsidRPr="008568C0">
        <w:rPr>
          <w:rFonts w:eastAsia="Times New Roman"/>
          <w:bCs/>
        </w:rPr>
        <w:t>Alghalayini K. Prevalence of hypothyroidism in a cohort of saudi women with heart failure and effect on systolic and diastolic function. Journal of the Pakistan Medical Association. 2015. 65:1300</w:t>
      </w:r>
    </w:p>
    <w:p w14:paraId="73F6E7DA" w14:textId="77777777" w:rsidR="008568C0" w:rsidRPr="008568C0" w:rsidRDefault="008568C0" w:rsidP="008568C0">
      <w:pPr>
        <w:rPr>
          <w:rFonts w:eastAsia="Times New Roman"/>
          <w:bCs/>
        </w:rPr>
      </w:pPr>
      <w:r w:rsidRPr="008568C0">
        <w:rPr>
          <w:rFonts w:eastAsia="Times New Roman"/>
          <w:bCs/>
        </w:rPr>
        <w:t>Al-Mahdili HA, Hooper AJ, Sullivan DR, Stewart PM, Burnett JR. A mild case of abetalipoproteinaemia in association with subclinical hypothyroidism. Annals of Clinical Biochemistry. 2006. 43:516</w:t>
      </w:r>
    </w:p>
    <w:p w14:paraId="62299772" w14:textId="77777777" w:rsidR="008568C0" w:rsidRPr="008568C0" w:rsidRDefault="008568C0" w:rsidP="008568C0">
      <w:pPr>
        <w:rPr>
          <w:rFonts w:eastAsia="Times New Roman"/>
          <w:bCs/>
        </w:rPr>
      </w:pPr>
      <w:r w:rsidRPr="007D1B37">
        <w:rPr>
          <w:rFonts w:eastAsia="Times New Roman"/>
          <w:bCs/>
          <w:lang w:val="fr-CA"/>
        </w:rPr>
        <w:t xml:space="preserve">Anagnostis P, Efstathiadou ZA, Slavakis A, Selalmatzidou D, Poulasouchidou M, et al. </w:t>
      </w:r>
      <w:r w:rsidRPr="008568C0">
        <w:rPr>
          <w:rFonts w:eastAsia="Times New Roman"/>
          <w:bCs/>
        </w:rPr>
        <w:t>The effect of L-thyroxine substitution on lipid profile, glucose homeostasis, inflammation and coagulation in patients with subclinical hypothyroidism. International journal of clinical practice. 2014. 68:857</w:t>
      </w:r>
    </w:p>
    <w:p w14:paraId="70A3D6FD" w14:textId="77777777" w:rsidR="008568C0" w:rsidRPr="008568C0" w:rsidRDefault="008568C0" w:rsidP="008568C0">
      <w:pPr>
        <w:rPr>
          <w:rFonts w:eastAsia="Times New Roman"/>
          <w:bCs/>
        </w:rPr>
      </w:pPr>
      <w:r w:rsidRPr="008568C0">
        <w:rPr>
          <w:rFonts w:eastAsia="Times New Roman"/>
          <w:bCs/>
        </w:rPr>
        <w:t>Anagnostis P, Karras SN, Gotsis E, Gouni-Berthold I. Thyroid dysfunction and arterial stiffness. does the restoration of thyroid function tests offer any benefit?. Open Hypertension Journal. 2013. 5:87</w:t>
      </w:r>
    </w:p>
    <w:p w14:paraId="587B9B4C" w14:textId="77777777" w:rsidR="008568C0" w:rsidRPr="008568C0" w:rsidRDefault="008568C0" w:rsidP="008568C0">
      <w:pPr>
        <w:rPr>
          <w:rFonts w:eastAsia="Times New Roman"/>
          <w:bCs/>
        </w:rPr>
      </w:pPr>
      <w:r w:rsidRPr="008568C0">
        <w:rPr>
          <w:rFonts w:eastAsia="Times New Roman"/>
          <w:bCs/>
        </w:rPr>
        <w:t>Anagnostis P, Karras SN, Katsiki N, Athyros VG, Karagiannis A. The interplay between TSH and lipids. What should clinicians know?. Current Vascular Pharmacology. 2015. 13:91</w:t>
      </w:r>
    </w:p>
    <w:p w14:paraId="1901A853" w14:textId="77777777" w:rsidR="008568C0" w:rsidRPr="008568C0" w:rsidRDefault="008568C0" w:rsidP="008568C0">
      <w:pPr>
        <w:rPr>
          <w:rFonts w:eastAsia="Times New Roman"/>
          <w:bCs/>
        </w:rPr>
      </w:pPr>
      <w:r w:rsidRPr="008568C0">
        <w:rPr>
          <w:rFonts w:eastAsia="Times New Roman"/>
          <w:bCs/>
        </w:rPr>
        <w:t>Arinzon Z, Zuta A, Peisakh A, Feldman J, Berner Y. Evaluation response and effectiveness of thyroid hormone replacement treatment on lipid profile and function in elderly patients with subclinical hypothyroidism. Archives of Gerontology and Geriatrics. 2007. 44:13</w:t>
      </w:r>
    </w:p>
    <w:p w14:paraId="6FA33956" w14:textId="77777777" w:rsidR="008568C0" w:rsidRPr="008568C0" w:rsidRDefault="008568C0" w:rsidP="008568C0">
      <w:pPr>
        <w:rPr>
          <w:rFonts w:eastAsia="Times New Roman"/>
          <w:bCs/>
        </w:rPr>
      </w:pPr>
      <w:r w:rsidRPr="008568C0">
        <w:rPr>
          <w:rFonts w:eastAsia="Times New Roman"/>
          <w:bCs/>
        </w:rPr>
        <w:lastRenderedPageBreak/>
        <w:t>Åsvold BO, Bjøro T, Platou C, Vatten LJ. Thyroid function and the risk of coronary heart disease: 12-year follow-up of the HUNT Study in Norway. Clinical endocrinology. 2012. 77:911</w:t>
      </w:r>
    </w:p>
    <w:p w14:paraId="63DB997E" w14:textId="77777777" w:rsidR="008568C0" w:rsidRPr="008568C0" w:rsidRDefault="008568C0" w:rsidP="008568C0">
      <w:pPr>
        <w:rPr>
          <w:rFonts w:eastAsia="Times New Roman"/>
          <w:bCs/>
        </w:rPr>
      </w:pPr>
      <w:r w:rsidRPr="008568C0">
        <w:rPr>
          <w:rFonts w:eastAsia="Times New Roman"/>
          <w:bCs/>
        </w:rPr>
        <w:t>Aziz Khan F, Patil SKB, Thakur AS, Fareed Khan M, Murugan K. Lipid profile in thyroid dysfunction: A study on patients of bastar. Journal of Clinical and Analytical Medicine. 2014. 5:12</w:t>
      </w:r>
    </w:p>
    <w:p w14:paraId="7A9C5D59" w14:textId="77777777" w:rsidR="008568C0" w:rsidRPr="008568C0" w:rsidRDefault="008568C0" w:rsidP="008568C0">
      <w:pPr>
        <w:rPr>
          <w:rFonts w:eastAsia="Times New Roman"/>
          <w:bCs/>
        </w:rPr>
      </w:pPr>
      <w:r w:rsidRPr="008568C0">
        <w:rPr>
          <w:rFonts w:eastAsia="Times New Roman"/>
          <w:bCs/>
        </w:rPr>
        <w:t>Bailey ErinB, Tantravahi SrinivasK, Austin Poole, Agarwal ArchanaM, Straubhar AlliM, et al. Correlation of degree of hypothyroidism with survival outcomes in patients with metastatic renal cell carcinoma receiving vascular endothelial growth factor receptor tyrosine kinase inhibitors.. Clinical Genitourinary Cancer. 2015. 13:e131</w:t>
      </w:r>
    </w:p>
    <w:p w14:paraId="5BB612B8" w14:textId="77777777" w:rsidR="008568C0" w:rsidRPr="008568C0" w:rsidRDefault="008568C0" w:rsidP="008568C0">
      <w:pPr>
        <w:rPr>
          <w:rFonts w:eastAsia="Times New Roman"/>
          <w:bCs/>
        </w:rPr>
      </w:pPr>
      <w:r w:rsidRPr="008568C0">
        <w:rPr>
          <w:rFonts w:eastAsia="Times New Roman"/>
          <w:bCs/>
        </w:rPr>
        <w:t>Baycan S, D. Erdogan, M. Caliskan, B. O. Pamuk, O. Ciftci, H. Gullu, A. Yildirir, N. D. Guvener, H. Muderrisoglu. Coronary flow reserve is impaired in subclinical hypothyroidism. Clinical cardiology. 2007. 30:562</w:t>
      </w:r>
    </w:p>
    <w:p w14:paraId="72F9128E" w14:textId="77777777" w:rsidR="008568C0" w:rsidRPr="008568C0" w:rsidRDefault="008568C0" w:rsidP="008568C0">
      <w:pPr>
        <w:rPr>
          <w:rFonts w:eastAsia="Times New Roman"/>
          <w:bCs/>
        </w:rPr>
      </w:pPr>
      <w:r w:rsidRPr="008568C0">
        <w:rPr>
          <w:rFonts w:eastAsia="Times New Roman"/>
          <w:bCs/>
        </w:rPr>
        <w:t>Bello VD. Use of Myocardial Imaging to Identify and Manage Subclinical Heart Disease in Thyroid and Other Endocrine Diseases. Myocardial Imaging: Tissue Doppler and Speckle Tracking. 2008. #volume#:209</w:t>
      </w:r>
    </w:p>
    <w:p w14:paraId="5849B923" w14:textId="77777777" w:rsidR="008568C0" w:rsidRPr="008568C0" w:rsidRDefault="008568C0" w:rsidP="008568C0">
      <w:pPr>
        <w:rPr>
          <w:rFonts w:eastAsia="Times New Roman"/>
          <w:bCs/>
        </w:rPr>
      </w:pPr>
      <w:r w:rsidRPr="008568C0">
        <w:rPr>
          <w:rFonts w:eastAsia="Times New Roman"/>
          <w:bCs/>
        </w:rPr>
        <w:t>Benetti-Pinto CL, Berini Piccolo VRS, Garmes HM, Teatin Juliato CR. Subclinical hypothyroidism in young women with polycystic ovary syndrome: An analysis of clinical, hormonal, and metabolic parameters. Fertility and sterility. 2013. 99:588</w:t>
      </w:r>
    </w:p>
    <w:p w14:paraId="1F504EC1" w14:textId="77777777" w:rsidR="008568C0" w:rsidRPr="008568C0" w:rsidRDefault="008568C0" w:rsidP="008568C0">
      <w:pPr>
        <w:rPr>
          <w:rFonts w:eastAsia="Times New Roman"/>
          <w:bCs/>
        </w:rPr>
      </w:pPr>
      <w:r w:rsidRPr="008568C0">
        <w:rPr>
          <w:rFonts w:eastAsia="Times New Roman"/>
          <w:bCs/>
        </w:rPr>
        <w:t>Beyhan Z, Ertürk K, Üçkaya G, Bolu E, Yaman H, et al. Restoration of euthyroidism does not improve cardiovascular risk factors in patients with subclinical hypothyroidism in the short term. Journal of endocrinological investigation. 2006. 29:505</w:t>
      </w:r>
    </w:p>
    <w:p w14:paraId="66EA1030" w14:textId="77777777" w:rsidR="008568C0" w:rsidRPr="008568C0" w:rsidRDefault="008568C0" w:rsidP="008568C0">
      <w:pPr>
        <w:rPr>
          <w:rFonts w:eastAsia="Times New Roman"/>
          <w:bCs/>
        </w:rPr>
      </w:pPr>
      <w:r w:rsidRPr="008568C0">
        <w:rPr>
          <w:rFonts w:eastAsia="Times New Roman"/>
          <w:bCs/>
        </w:rPr>
        <w:t>Biondi B. Natural history, diagnosis and management of subclinical thyroid dysfunction. Best Practice and Research: Clinical Endocrinology and Metabolism. 2012. 26:431</w:t>
      </w:r>
    </w:p>
    <w:p w14:paraId="3C7BE59E" w14:textId="77777777" w:rsidR="008568C0" w:rsidRPr="008568C0" w:rsidRDefault="008568C0" w:rsidP="008568C0">
      <w:pPr>
        <w:rPr>
          <w:rFonts w:eastAsia="Times New Roman"/>
          <w:bCs/>
        </w:rPr>
      </w:pPr>
      <w:r w:rsidRPr="008568C0">
        <w:rPr>
          <w:rFonts w:eastAsia="Times New Roman"/>
          <w:bCs/>
        </w:rPr>
        <w:t>Blum MR, Bauer DC, Collet TH, Fink HA, Cappola AR, et al. Subclinical thyroid dysfunction and fracture risk: a meta-analysis.. JAMA. 2015. 313:2055.</w:t>
      </w:r>
    </w:p>
    <w:p w14:paraId="7824B29D" w14:textId="77777777" w:rsidR="008568C0" w:rsidRPr="008568C0" w:rsidRDefault="008568C0" w:rsidP="008568C0">
      <w:pPr>
        <w:rPr>
          <w:rFonts w:eastAsia="Times New Roman"/>
          <w:bCs/>
        </w:rPr>
      </w:pPr>
      <w:r w:rsidRPr="008568C0">
        <w:rPr>
          <w:rFonts w:eastAsia="Times New Roman"/>
          <w:bCs/>
        </w:rPr>
        <w:t>Boelaert K. Thyroid dysfunction in the elderly. Nature Reviews Endocrinology. 2013. 9:194</w:t>
      </w:r>
    </w:p>
    <w:p w14:paraId="32E53788" w14:textId="77777777" w:rsidR="008568C0" w:rsidRPr="008568C0" w:rsidRDefault="008568C0" w:rsidP="008568C0">
      <w:pPr>
        <w:rPr>
          <w:rFonts w:eastAsia="Times New Roman"/>
          <w:bCs/>
        </w:rPr>
      </w:pPr>
      <w:r w:rsidRPr="008568C0">
        <w:rPr>
          <w:rFonts w:eastAsia="Times New Roman"/>
          <w:bCs/>
        </w:rPr>
        <w:t>Boeving A, Paz-Filho G, Radominski RB, Graf H, De Carvalho GA. Low-normal or high-normal thyrotropin target levels during treatment of hypothyroidism: A prospective, comparative study. Thyroid. 2011. 21:355</w:t>
      </w:r>
    </w:p>
    <w:p w14:paraId="1E90380C" w14:textId="77777777" w:rsidR="008568C0" w:rsidRPr="00EA2A99" w:rsidRDefault="008568C0" w:rsidP="008568C0">
      <w:pPr>
        <w:rPr>
          <w:rFonts w:eastAsia="Times New Roman"/>
          <w:bCs/>
          <w:lang w:val="fr-CA"/>
        </w:rPr>
      </w:pPr>
      <w:r w:rsidRPr="008568C0">
        <w:rPr>
          <w:rFonts w:eastAsia="Times New Roman"/>
          <w:bCs/>
        </w:rPr>
        <w:t xml:space="preserve">Braithwaite SS. Thyroid Disorders. Critical Care Medicine: Principles of Diagnosis and Management in the Adult. </w:t>
      </w:r>
      <w:r w:rsidRPr="00EA2A99">
        <w:rPr>
          <w:rFonts w:eastAsia="Times New Roman"/>
          <w:bCs/>
          <w:lang w:val="fr-CA"/>
        </w:rPr>
        <w:t>2008. #volume#:1281</w:t>
      </w:r>
    </w:p>
    <w:p w14:paraId="1DC2DD75" w14:textId="77777777" w:rsidR="008568C0" w:rsidRPr="008568C0" w:rsidRDefault="008568C0" w:rsidP="008568C0">
      <w:pPr>
        <w:rPr>
          <w:rFonts w:eastAsia="Times New Roman"/>
          <w:bCs/>
        </w:rPr>
      </w:pPr>
      <w:r w:rsidRPr="00B415B2">
        <w:rPr>
          <w:rFonts w:eastAsia="Times New Roman"/>
          <w:bCs/>
          <w:lang w:val="fr-CA"/>
        </w:rPr>
        <w:t xml:space="preserve">Brenta G, Vaisman M, Sgarbi JA, Bergoglio LM, de Andrada NC, et al. </w:t>
      </w:r>
      <w:r w:rsidRPr="008568C0">
        <w:rPr>
          <w:rFonts w:eastAsia="Times New Roman"/>
          <w:bCs/>
        </w:rPr>
        <w:t>Clinical practice guidelines for the management of hypothyroidism. Arquivos Brasileiros de Endocrinologia e Metabologia. 2013. 57:265</w:t>
      </w:r>
    </w:p>
    <w:p w14:paraId="57B694B7" w14:textId="77777777" w:rsidR="008568C0" w:rsidRPr="008568C0" w:rsidRDefault="008568C0" w:rsidP="008568C0">
      <w:pPr>
        <w:rPr>
          <w:rFonts w:eastAsia="Times New Roman"/>
          <w:bCs/>
        </w:rPr>
      </w:pPr>
      <w:r w:rsidRPr="008568C0">
        <w:rPr>
          <w:rFonts w:eastAsia="Times New Roman"/>
          <w:bCs/>
        </w:rPr>
        <w:lastRenderedPageBreak/>
        <w:t>Burns RB, Bates CK, Hartzband P, Smetana GW. Should we treat for subclinical hypothyroidism?: Grand rounds discussion from beth Israel deaconess medical center. Annals of Internal Medicine. 2016. 164:764</w:t>
      </w:r>
    </w:p>
    <w:p w14:paraId="127407B3" w14:textId="77777777" w:rsidR="008568C0" w:rsidRPr="008568C0" w:rsidRDefault="008568C0" w:rsidP="008568C0">
      <w:pPr>
        <w:rPr>
          <w:rFonts w:eastAsia="Times New Roman"/>
          <w:bCs/>
        </w:rPr>
      </w:pPr>
      <w:r w:rsidRPr="008568C0">
        <w:rPr>
          <w:rFonts w:eastAsia="Times New Roman"/>
          <w:bCs/>
        </w:rPr>
        <w:t>Cakmak G, T. Saler, Z. A. Saglam, M. Yenigun, E. Ataoglu, T. Demir, L. U. Temiz. Pulmonary functions in patients with subclinical hypothyroidism. Journal of the Pakistan Medical Association. 2011. 61:951</w:t>
      </w:r>
    </w:p>
    <w:p w14:paraId="085821FE" w14:textId="77777777" w:rsidR="008568C0" w:rsidRPr="008568C0" w:rsidRDefault="008568C0" w:rsidP="008568C0">
      <w:pPr>
        <w:rPr>
          <w:rFonts w:eastAsia="Times New Roman"/>
          <w:bCs/>
        </w:rPr>
      </w:pPr>
      <w:r w:rsidRPr="008568C0">
        <w:rPr>
          <w:rFonts w:eastAsia="Times New Roman"/>
          <w:bCs/>
        </w:rPr>
        <w:t>Canat L, Akif Erbin, Masum Canat, Mehmet Dinek, Turhan Caskurlu. Assessment of hormonal activity in patients with premature ejaculation.. International Braz J Urol. 2017. 43:311</w:t>
      </w:r>
    </w:p>
    <w:p w14:paraId="381CB716" w14:textId="77777777" w:rsidR="008568C0" w:rsidRPr="008568C0" w:rsidRDefault="008568C0" w:rsidP="008568C0">
      <w:pPr>
        <w:rPr>
          <w:rFonts w:eastAsia="Times New Roman"/>
          <w:bCs/>
        </w:rPr>
      </w:pPr>
      <w:r w:rsidRPr="007D1B37">
        <w:rPr>
          <w:rFonts w:eastAsia="Times New Roman"/>
          <w:bCs/>
        </w:rPr>
        <w:t xml:space="preserve">Ceresini G, Lauretani F, Maggio M, Ceda GP, Morganti S, et al. </w:t>
      </w:r>
      <w:r w:rsidRPr="008568C0">
        <w:rPr>
          <w:rFonts w:eastAsia="Times New Roman"/>
          <w:bCs/>
        </w:rPr>
        <w:t>Thyroid function abnormalities and cognitive impairment in elderly people: Results of the invecchiare in chianti study. Journal of the American Geriatrics Society. 2009. 57:89</w:t>
      </w:r>
    </w:p>
    <w:p w14:paraId="40A8881B" w14:textId="77777777" w:rsidR="008568C0" w:rsidRPr="008568C0" w:rsidRDefault="008568C0" w:rsidP="008568C0">
      <w:pPr>
        <w:rPr>
          <w:rFonts w:eastAsia="Times New Roman"/>
          <w:bCs/>
        </w:rPr>
      </w:pPr>
      <w:r w:rsidRPr="008568C0">
        <w:rPr>
          <w:rFonts w:eastAsia="Times New Roman"/>
          <w:bCs/>
        </w:rPr>
        <w:t>Chaker L, Baumgartner C, den Elzen WP, Ikram MA, Blum MR, et al. Subclinical Hypothyroidism and the Risk of Stroke Events and Fatal Stroke: An Individual Participant Data Analysis. Journal of Clinical Endocrinology &amp; Metabolism. 2015. 100:2181.</w:t>
      </w:r>
    </w:p>
    <w:p w14:paraId="1C7A47BB" w14:textId="77777777" w:rsidR="008568C0" w:rsidRPr="008568C0" w:rsidRDefault="008568C0" w:rsidP="008568C0">
      <w:pPr>
        <w:rPr>
          <w:rFonts w:eastAsia="Times New Roman"/>
          <w:bCs/>
        </w:rPr>
      </w:pPr>
      <w:r w:rsidRPr="008568C0">
        <w:rPr>
          <w:rFonts w:eastAsia="Times New Roman"/>
          <w:bCs/>
        </w:rPr>
        <w:t>Chen D, Y. Yan, H. Huang, Q. Dong, H. Tian. The association between subclinical hypothyroidism and erectile dysfunction. Pakistan Journal of Medical Sciences. 2018. 34:621</w:t>
      </w:r>
    </w:p>
    <w:p w14:paraId="1A1E9532" w14:textId="77777777" w:rsidR="008568C0" w:rsidRPr="008568C0" w:rsidRDefault="008568C0" w:rsidP="008568C0">
      <w:pPr>
        <w:rPr>
          <w:rFonts w:eastAsia="Times New Roman"/>
          <w:bCs/>
        </w:rPr>
      </w:pPr>
      <w:r w:rsidRPr="007D1B37">
        <w:rPr>
          <w:rFonts w:eastAsia="Times New Roman"/>
          <w:bCs/>
          <w:lang w:val="fr-CA"/>
        </w:rPr>
        <w:t xml:space="preserve">Chen HS, Wu T-EJ, -S Jap T, -A Lu R, -L Wang M, et al. </w:t>
      </w:r>
      <w:r w:rsidRPr="008568C0">
        <w:rPr>
          <w:rFonts w:eastAsia="Times New Roman"/>
          <w:bCs/>
        </w:rPr>
        <w:t>Subclinical hypothyroidism is a risk factor for nephropathy and cardiovascular diseases in Type 2 diabetic patients. Diabetic Medicine. 2007. 24:1336</w:t>
      </w:r>
    </w:p>
    <w:p w14:paraId="224E64D9" w14:textId="77777777" w:rsidR="008568C0" w:rsidRPr="008568C0" w:rsidRDefault="008568C0" w:rsidP="008568C0">
      <w:pPr>
        <w:rPr>
          <w:rFonts w:eastAsia="Times New Roman"/>
          <w:bCs/>
        </w:rPr>
      </w:pPr>
      <w:r w:rsidRPr="008568C0">
        <w:rPr>
          <w:rFonts w:eastAsia="Times New Roman"/>
          <w:bCs/>
        </w:rPr>
        <w:t>Cohen BM, B. R. Sommer, A. Vuckovic. Antidepressant-resistant depression in patients with comorbid subclinical hypothyroidism or high-normal TSH levels. American Journal of Psychiatry. 2018. 175:598</w:t>
      </w:r>
    </w:p>
    <w:p w14:paraId="347FAFD3" w14:textId="77777777" w:rsidR="008568C0" w:rsidRPr="008568C0" w:rsidRDefault="008568C0" w:rsidP="008568C0">
      <w:pPr>
        <w:rPr>
          <w:rFonts w:eastAsia="Times New Roman"/>
          <w:bCs/>
        </w:rPr>
      </w:pPr>
      <w:r w:rsidRPr="008568C0">
        <w:rPr>
          <w:rFonts w:eastAsia="Times New Roman"/>
          <w:bCs/>
        </w:rPr>
        <w:t>Cooper DS, Biondi B. Subclinical thyroid disease. The Lancet. 2012. 379:1142</w:t>
      </w:r>
    </w:p>
    <w:p w14:paraId="21890713" w14:textId="77777777" w:rsidR="008568C0" w:rsidRPr="008568C0" w:rsidRDefault="008568C0" w:rsidP="008568C0">
      <w:pPr>
        <w:rPr>
          <w:rFonts w:eastAsia="Times New Roman"/>
          <w:bCs/>
        </w:rPr>
      </w:pPr>
      <w:r w:rsidRPr="008568C0">
        <w:rPr>
          <w:rFonts w:eastAsia="Times New Roman"/>
          <w:bCs/>
        </w:rPr>
        <w:t>Daniel Morell-Garcia, Josep Miquel Bauca, Miguel Angel Elorza, Antonia Barcelo. Two-step thyroid screening strategy in the critical patient. Clinical biochemistry. 2016. 49:925</w:t>
      </w:r>
    </w:p>
    <w:p w14:paraId="20E11A14" w14:textId="77777777" w:rsidR="008568C0" w:rsidRPr="008568C0" w:rsidRDefault="008568C0" w:rsidP="008568C0">
      <w:pPr>
        <w:rPr>
          <w:rFonts w:eastAsia="Times New Roman"/>
          <w:bCs/>
        </w:rPr>
      </w:pPr>
      <w:r w:rsidRPr="008568C0">
        <w:rPr>
          <w:rFonts w:eastAsia="Times New Roman"/>
          <w:bCs/>
        </w:rPr>
        <w:t>Dardano A, Caraccio N, Monzani F. Evaluation of endothelial function in subclinical thyroid dysfunction [2]. Thyroid. 2006. 16:200</w:t>
      </w:r>
    </w:p>
    <w:p w14:paraId="76B23140" w14:textId="77777777" w:rsidR="008568C0" w:rsidRPr="008568C0" w:rsidRDefault="008568C0" w:rsidP="008568C0">
      <w:pPr>
        <w:rPr>
          <w:rFonts w:eastAsia="Times New Roman"/>
          <w:bCs/>
        </w:rPr>
      </w:pPr>
      <w:r w:rsidRPr="008568C0">
        <w:rPr>
          <w:rFonts w:eastAsia="Times New Roman"/>
          <w:bCs/>
        </w:rPr>
        <w:t>Dave JA, Klisiewicz A, Bayat Z, Mohamed NA, Stevens Z, et al. SEMDSA/ACE-SA guideline for the management of hypothyroidism in adults. Journal of Endocrinology, Metabolism and Diabetes of South Africa. 2015. 20:18</w:t>
      </w:r>
    </w:p>
    <w:p w14:paraId="2D186919" w14:textId="77777777" w:rsidR="008568C0" w:rsidRPr="008568C0" w:rsidRDefault="008568C0" w:rsidP="008568C0">
      <w:pPr>
        <w:rPr>
          <w:rFonts w:eastAsia="Times New Roman"/>
          <w:bCs/>
        </w:rPr>
      </w:pPr>
      <w:r w:rsidRPr="008568C0">
        <w:rPr>
          <w:rFonts w:eastAsia="Times New Roman"/>
          <w:bCs/>
        </w:rPr>
        <w:t>Dave JA, Klisiewicz A, Bayat Z, Mohamed NA, Stevens Z, et al. SEMDSA/ACE-SA guideline for the management of hypothyroidism in adults. SA Pharmaceutical Journal. 2016. 83:34</w:t>
      </w:r>
    </w:p>
    <w:p w14:paraId="1C84BFDF" w14:textId="77777777" w:rsidR="008568C0" w:rsidRPr="008568C0" w:rsidRDefault="008568C0" w:rsidP="008568C0">
      <w:pPr>
        <w:rPr>
          <w:rFonts w:eastAsia="Times New Roman"/>
          <w:bCs/>
        </w:rPr>
      </w:pPr>
      <w:r w:rsidRPr="008568C0">
        <w:rPr>
          <w:rFonts w:eastAsia="Times New Roman"/>
          <w:bCs/>
        </w:rPr>
        <w:t>Delitala AP, Fanciulli G, Maioli M, Delitala G. Subclinical hypothyroidism, lipid metabolism and cardiovascular disease. European journal of internal medicine. 2017. 38:17</w:t>
      </w:r>
    </w:p>
    <w:p w14:paraId="2BC1950C" w14:textId="77777777" w:rsidR="008568C0" w:rsidRPr="008568C0" w:rsidRDefault="008568C0" w:rsidP="008568C0">
      <w:pPr>
        <w:rPr>
          <w:rFonts w:eastAsia="Times New Roman"/>
          <w:bCs/>
        </w:rPr>
      </w:pPr>
      <w:r w:rsidRPr="008568C0">
        <w:rPr>
          <w:rFonts w:eastAsia="Times New Roman"/>
          <w:bCs/>
        </w:rPr>
        <w:lastRenderedPageBreak/>
        <w:t>Delitala AP, Filigheddu F, Orru M, AlGhatrif M, Steri M, et al. No evidence of association between subclinical thyroid disorders and common carotid intima medial thickness or atherosclerotic plaque.Nutrition Metabolism &amp; Cardiovascular Diseases. 2015. 25:1104</w:t>
      </w:r>
    </w:p>
    <w:p w14:paraId="3C7FA854" w14:textId="77777777" w:rsidR="008568C0" w:rsidRPr="008568C0" w:rsidRDefault="008568C0" w:rsidP="008568C0">
      <w:pPr>
        <w:rPr>
          <w:rFonts w:eastAsia="Times New Roman"/>
          <w:bCs/>
        </w:rPr>
      </w:pPr>
      <w:r w:rsidRPr="008568C0">
        <w:rPr>
          <w:rFonts w:eastAsia="Times New Roman"/>
          <w:bCs/>
        </w:rPr>
        <w:t>Delshad H, Mehran L, Tohidi M, Assadi M, Azizi F. The incidence of thyroid function abnormalities and natural course of subclinical thyroid disorders, Tehran, I.R. Iran. Journal of endocrinological investigation. 2012. 35:516</w:t>
      </w:r>
    </w:p>
    <w:p w14:paraId="0869767C" w14:textId="77777777" w:rsidR="008568C0" w:rsidRPr="008568C0" w:rsidRDefault="008568C0" w:rsidP="008568C0">
      <w:pPr>
        <w:rPr>
          <w:rFonts w:eastAsia="Times New Roman"/>
          <w:bCs/>
        </w:rPr>
      </w:pPr>
      <w:r w:rsidRPr="008568C0">
        <w:rPr>
          <w:rFonts w:eastAsia="Times New Roman"/>
          <w:bCs/>
        </w:rPr>
        <w:t>den Elzen WendyPJ, Lefebre-van de Fliert AnneA, Vanessa Virgini, Mooijaart SimonP, Peter Frey, et al. International variation in GP treatment strategies for subclinical hypothyroidism in older adults: a case-based survey. British Journal of General Practice. 2015. 65:e121</w:t>
      </w:r>
    </w:p>
    <w:p w14:paraId="50F32FF6" w14:textId="77777777" w:rsidR="008568C0" w:rsidRPr="008568C0" w:rsidRDefault="008568C0" w:rsidP="008568C0">
      <w:pPr>
        <w:rPr>
          <w:rFonts w:eastAsia="Times New Roman"/>
          <w:bCs/>
        </w:rPr>
      </w:pPr>
      <w:r w:rsidRPr="008568C0">
        <w:rPr>
          <w:rFonts w:eastAsia="Times New Roman"/>
          <w:bCs/>
        </w:rPr>
        <w:t>Dev N, Sahoo R, Kulshreshtha B, Gadpayle AK, Sharma SC. Prevalence of thyroid dysfunction and its correlation with CD4 count in newly-diagnosed HIV-positive adults – a cross-sectional study. International Journal of STD and AIDS. 2015. 26:965</w:t>
      </w:r>
    </w:p>
    <w:p w14:paraId="1C83E40F" w14:textId="77777777" w:rsidR="008568C0" w:rsidRPr="008568C0" w:rsidRDefault="008568C0" w:rsidP="008568C0">
      <w:pPr>
        <w:rPr>
          <w:rFonts w:eastAsia="Times New Roman"/>
          <w:bCs/>
        </w:rPr>
      </w:pPr>
      <w:r w:rsidRPr="008568C0">
        <w:rPr>
          <w:rFonts w:eastAsia="Times New Roman"/>
          <w:bCs/>
        </w:rPr>
        <w:t>Di Conza P, Affuso F, Fazio S. Thyroid Hormones and Cardiovascular System: From Bench to Bedside. Current Drug Therapy. 2010. 5:36</w:t>
      </w:r>
    </w:p>
    <w:p w14:paraId="0AD0D850" w14:textId="77777777" w:rsidR="008568C0" w:rsidRPr="008568C0" w:rsidRDefault="008568C0" w:rsidP="008568C0">
      <w:pPr>
        <w:rPr>
          <w:rFonts w:eastAsia="Times New Roman"/>
          <w:bCs/>
        </w:rPr>
      </w:pPr>
      <w:r w:rsidRPr="008568C0">
        <w:rPr>
          <w:rFonts w:eastAsia="Times New Roman"/>
          <w:bCs/>
        </w:rPr>
        <w:t>Diaz-Olmosi R, Nogueirai A, Penalva DQF, Lotufo PA, Benseñor IM. Frequency of subclinical thyroid dysfunction and risk factors for cardiovascular disease among women at a workplace. Sao Paulo Medical Journal. 2010. 128:18</w:t>
      </w:r>
    </w:p>
    <w:p w14:paraId="090725C5" w14:textId="77777777" w:rsidR="008568C0" w:rsidRPr="008568C0" w:rsidRDefault="008568C0" w:rsidP="008568C0">
      <w:pPr>
        <w:rPr>
          <w:rFonts w:eastAsia="Times New Roman"/>
          <w:bCs/>
        </w:rPr>
      </w:pPr>
      <w:r w:rsidRPr="008568C0">
        <w:rPr>
          <w:rFonts w:eastAsia="Times New Roman"/>
          <w:bCs/>
        </w:rPr>
        <w:t>Dietrich EA, K. Davis. Treating subclinical hypothyroidism with levothyroxine: Is there evidence of benefit?. Consultant. 2017. 57:#pages#</w:t>
      </w:r>
    </w:p>
    <w:p w14:paraId="7240AC96" w14:textId="77777777" w:rsidR="008568C0" w:rsidRPr="008568C0" w:rsidRDefault="008568C0" w:rsidP="008568C0">
      <w:pPr>
        <w:rPr>
          <w:rFonts w:eastAsia="Times New Roman"/>
          <w:bCs/>
        </w:rPr>
      </w:pPr>
      <w:r w:rsidRPr="008568C0">
        <w:rPr>
          <w:rFonts w:eastAsia="Times New Roman"/>
          <w:bCs/>
        </w:rPr>
        <w:t>Díez JJ, Iglesias P, Burman KD. Spontaneous normalization of thyrotropin concentrations in patients with subclinical hypothyroidism. Journal of Clinical Endocrinology and Metabolism. 2005. 90:4124</w:t>
      </w:r>
    </w:p>
    <w:p w14:paraId="3629F546" w14:textId="77777777" w:rsidR="008568C0" w:rsidRPr="008568C0" w:rsidRDefault="008568C0" w:rsidP="008568C0">
      <w:pPr>
        <w:rPr>
          <w:rFonts w:eastAsia="Times New Roman"/>
          <w:bCs/>
        </w:rPr>
      </w:pPr>
      <w:r w:rsidRPr="008568C0">
        <w:rPr>
          <w:rFonts w:eastAsia="Times New Roman"/>
          <w:bCs/>
        </w:rPr>
        <w:t>Díez JJ, Iglesias P. Spontaneous subclinical hypothyroidism in patients older than 55 years: An analysis of natural course and risk factors for the development of overt thyroid failure. Journal of Clinical Endocrinology and Metabolism. 2004. 89:4890</w:t>
      </w:r>
    </w:p>
    <w:p w14:paraId="02B33ECC" w14:textId="77777777" w:rsidR="008568C0" w:rsidRPr="008568C0" w:rsidRDefault="008568C0" w:rsidP="008568C0">
      <w:pPr>
        <w:rPr>
          <w:rFonts w:eastAsia="Times New Roman"/>
          <w:bCs/>
        </w:rPr>
      </w:pPr>
      <w:r w:rsidRPr="008568C0">
        <w:rPr>
          <w:rFonts w:eastAsia="Times New Roman"/>
          <w:bCs/>
        </w:rPr>
        <w:t>Duntas LH, Biondi B. New insights into subclinical hypothyroidism and cardiovascular risk. Seminars in thrombosis and hemostasis. 2011. 37:27</w:t>
      </w:r>
    </w:p>
    <w:p w14:paraId="317CCCB6" w14:textId="77777777" w:rsidR="008568C0" w:rsidRPr="008568C0" w:rsidRDefault="008568C0" w:rsidP="008568C0">
      <w:pPr>
        <w:rPr>
          <w:rFonts w:eastAsia="Times New Roman"/>
          <w:bCs/>
        </w:rPr>
      </w:pPr>
      <w:r w:rsidRPr="008568C0">
        <w:rPr>
          <w:rFonts w:eastAsia="Times New Roman"/>
          <w:bCs/>
        </w:rPr>
        <w:t>Fabiana Pani, Francesco Atzori, Germana Baghino, Francesco Boi, Luciana Tanca, et al. Thyroid Dysfunction in Patients with Metastatic Carcinoma Treated with Sunitinib: Is Thyroid Autoimmunity Involved?. Thyroid. 2015. 25:1255</w:t>
      </w:r>
    </w:p>
    <w:p w14:paraId="1BC6293B" w14:textId="77777777" w:rsidR="008568C0" w:rsidRPr="00451864" w:rsidRDefault="008568C0" w:rsidP="008568C0">
      <w:pPr>
        <w:rPr>
          <w:rFonts w:eastAsia="Times New Roman"/>
          <w:bCs/>
        </w:rPr>
      </w:pPr>
      <w:r w:rsidRPr="008568C0">
        <w:rPr>
          <w:rFonts w:eastAsia="Times New Roman"/>
          <w:bCs/>
        </w:rPr>
        <w:t xml:space="preserve">Fatourechi V, Lankarani M, Schryver PG, Vanness DJ, Long KH, et al. Factors influencing clinical decisions to initiate thyroxine therapy for patients with mildly increased serum thyrotropin (5.1-10.0 mIU/L). Mayo Clinic proceedings. </w:t>
      </w:r>
      <w:r w:rsidRPr="00451864">
        <w:rPr>
          <w:rFonts w:eastAsia="Times New Roman"/>
          <w:bCs/>
        </w:rPr>
        <w:t>2003. 78:554</w:t>
      </w:r>
    </w:p>
    <w:p w14:paraId="1C286F03" w14:textId="77777777" w:rsidR="008568C0" w:rsidRPr="00B415B2" w:rsidRDefault="008568C0" w:rsidP="008568C0">
      <w:pPr>
        <w:rPr>
          <w:rFonts w:eastAsia="Times New Roman"/>
          <w:bCs/>
          <w:lang w:val="fr-CA"/>
        </w:rPr>
      </w:pPr>
      <w:r w:rsidRPr="007D1B37">
        <w:rPr>
          <w:rFonts w:eastAsia="Times New Roman"/>
          <w:bCs/>
          <w:lang w:val="fr-CA"/>
        </w:rPr>
        <w:lastRenderedPageBreak/>
        <w:t xml:space="preserve">Ferreira MM, P. D. F. D. S. Teixeira, V. A. R. Mansur, V. S. Reuters, C. P. Almeida, M. Vaisman. </w:t>
      </w:r>
      <w:r w:rsidRPr="008568C0">
        <w:rPr>
          <w:rFonts w:eastAsia="Times New Roman"/>
          <w:bCs/>
        </w:rPr>
        <w:t xml:space="preserve">Ambulatory blood pressure monitoring in normotensive patients with subclinical hypothyroidism. </w:t>
      </w:r>
      <w:r w:rsidRPr="00B415B2">
        <w:rPr>
          <w:rFonts w:eastAsia="Times New Roman"/>
          <w:bCs/>
          <w:lang w:val="fr-CA"/>
        </w:rPr>
        <w:t>Arquivos Brasileiros de Cardiologia. 2010. 94:806</w:t>
      </w:r>
    </w:p>
    <w:p w14:paraId="563790DE" w14:textId="77777777" w:rsidR="008568C0" w:rsidRPr="008568C0" w:rsidRDefault="008568C0" w:rsidP="008568C0">
      <w:pPr>
        <w:rPr>
          <w:rFonts w:eastAsia="Times New Roman"/>
          <w:bCs/>
        </w:rPr>
      </w:pPr>
      <w:r w:rsidRPr="00B415B2">
        <w:rPr>
          <w:rFonts w:eastAsia="Times New Roman"/>
          <w:bCs/>
          <w:lang w:val="fr-CA"/>
        </w:rPr>
        <w:t xml:space="preserve">Fonseca RHA, P. F. S. Teixeira, M. M. Ferreira, M. M. T. Duarte, V. S. Reuters, C. P. Almeida, M. Vaisman. </w:t>
      </w:r>
      <w:r w:rsidRPr="008568C0">
        <w:rPr>
          <w:rFonts w:eastAsia="Times New Roman"/>
          <w:bCs/>
        </w:rPr>
        <w:t>Echocardiographic evaluation of left and right ventricular function in subclinical hypothyroidism. Experimental and Clinical Endocrinology and Diabetes. 2009. 117:324</w:t>
      </w:r>
    </w:p>
    <w:p w14:paraId="2CBD7921" w14:textId="77777777" w:rsidR="008568C0" w:rsidRPr="008568C0" w:rsidRDefault="008568C0" w:rsidP="008568C0">
      <w:pPr>
        <w:rPr>
          <w:rFonts w:eastAsia="Times New Roman"/>
          <w:bCs/>
        </w:rPr>
      </w:pPr>
      <w:r w:rsidRPr="00EA2A99">
        <w:rPr>
          <w:rFonts w:eastAsia="Times New Roman"/>
          <w:bCs/>
          <w:lang w:val="fr-CA"/>
        </w:rPr>
        <w:t xml:space="preserve">Fontes R, Patricia de Fatima Dos Santos Teixeira, Mario Vaisman. </w:t>
      </w:r>
      <w:r w:rsidRPr="008568C0">
        <w:rPr>
          <w:rFonts w:eastAsia="Times New Roman"/>
          <w:bCs/>
        </w:rPr>
        <w:t>Screening of Undiagnosed Hypothyroidism in Elderly Persons with Diabetes according to Age-Specific Reference Intervals for Serum Thyroid Stimulating Hormone and the Impact of Antidiabetes Drugs.. Journal of Diabetes Research. 2016. 2016:1417408</w:t>
      </w:r>
    </w:p>
    <w:p w14:paraId="7BDCB0B7" w14:textId="77777777" w:rsidR="008568C0" w:rsidRPr="008568C0" w:rsidRDefault="008568C0" w:rsidP="008568C0">
      <w:pPr>
        <w:rPr>
          <w:rFonts w:eastAsia="Times New Roman"/>
          <w:bCs/>
        </w:rPr>
      </w:pPr>
      <w:r w:rsidRPr="008568C0">
        <w:rPr>
          <w:rFonts w:eastAsia="Times New Roman"/>
          <w:bCs/>
        </w:rPr>
        <w:t>Franklyn JA. The Thyroid - Too much and too little across the ages. the consequences of subclinical thyroid dysfunction. Clinical endocrinology. 2013. 78:1</w:t>
      </w:r>
    </w:p>
    <w:p w14:paraId="5C74527E" w14:textId="77777777" w:rsidR="008568C0" w:rsidRPr="00B415B2" w:rsidRDefault="008568C0" w:rsidP="008568C0">
      <w:pPr>
        <w:rPr>
          <w:rFonts w:eastAsia="Times New Roman"/>
          <w:bCs/>
          <w:lang w:val="fr-CA"/>
        </w:rPr>
      </w:pPr>
      <w:r w:rsidRPr="008568C0">
        <w:rPr>
          <w:rFonts w:eastAsia="Times New Roman"/>
          <w:bCs/>
        </w:rPr>
        <w:t xml:space="preserve">Furukawa S, Yamamoto S, Todo Y, Maruyama K, Miyake T, et al. Association between subclinical hypothyroidism and diabetic nephropathy in patients with type 2 diabetes mellitus. </w:t>
      </w:r>
      <w:r w:rsidRPr="007D1B37">
        <w:rPr>
          <w:rFonts w:eastAsia="Times New Roman"/>
          <w:bCs/>
        </w:rPr>
        <w:t xml:space="preserve">Endocrine journal. 2014. </w:t>
      </w:r>
      <w:r w:rsidRPr="00B415B2">
        <w:rPr>
          <w:rFonts w:eastAsia="Times New Roman"/>
          <w:bCs/>
          <w:lang w:val="fr-CA"/>
        </w:rPr>
        <w:t>61:1011</w:t>
      </w:r>
    </w:p>
    <w:p w14:paraId="758D88E8" w14:textId="77777777" w:rsidR="008568C0" w:rsidRPr="008568C0" w:rsidRDefault="008568C0" w:rsidP="008568C0">
      <w:pPr>
        <w:rPr>
          <w:rFonts w:eastAsia="Times New Roman"/>
          <w:bCs/>
        </w:rPr>
      </w:pPr>
      <w:r w:rsidRPr="00B415B2">
        <w:rPr>
          <w:rFonts w:eastAsia="Times New Roman"/>
          <w:bCs/>
          <w:lang w:val="fr-CA"/>
        </w:rPr>
        <w:t xml:space="preserve">Gabriela Brenta, Gabriela Berg, Veronica Miksztowicz, Graciela Lopez, Diego Lucero, et al. </w:t>
      </w:r>
      <w:r w:rsidRPr="008568C0">
        <w:rPr>
          <w:rFonts w:eastAsia="Times New Roman"/>
          <w:bCs/>
        </w:rPr>
        <w:t>Atherogenic Lipoproteins in Subclinical Hypothyroidism and Their Relationship with Hepatic Lipase Activity: Response to Replacement Treatment with Levothyroxine. Thyroid. 2016. 26:365</w:t>
      </w:r>
    </w:p>
    <w:p w14:paraId="51CA2404" w14:textId="77777777" w:rsidR="008568C0" w:rsidRPr="008568C0" w:rsidRDefault="008568C0" w:rsidP="008568C0">
      <w:pPr>
        <w:rPr>
          <w:rFonts w:eastAsia="Times New Roman"/>
          <w:bCs/>
        </w:rPr>
      </w:pPr>
      <w:r w:rsidRPr="008568C0">
        <w:rPr>
          <w:rFonts w:eastAsia="Times New Roman"/>
          <w:bCs/>
        </w:rPr>
        <w:t>Garber JR, Cobin RH, Gharib H, Hennessey JV, Klein I, et al. Clinical practice guidelines for hypothyroidism in adults: Cosponsored by the American Association of clinical endocrinologists and the American Thyroid Association. Thyroid. 2012. 22:1200</w:t>
      </w:r>
    </w:p>
    <w:p w14:paraId="52D4917B" w14:textId="77777777" w:rsidR="008568C0" w:rsidRPr="008568C0" w:rsidRDefault="008568C0" w:rsidP="008568C0">
      <w:pPr>
        <w:rPr>
          <w:rFonts w:eastAsia="Times New Roman"/>
          <w:bCs/>
        </w:rPr>
      </w:pPr>
      <w:r w:rsidRPr="008568C0">
        <w:rPr>
          <w:rFonts w:eastAsia="Times New Roman"/>
          <w:bCs/>
        </w:rPr>
        <w:t>Gencer B, T. -H Collet, V. Virgini, D. C. Bauer, J. Gussekloo, A. R. Cappola, D. Nanchen, W. P. J. Den Elzen, P. Balmer, R. N. Luben, M. Iacoviello, V. Triggiani, J. Cornuz, A. B. Newman, K. -T Khaw, J. W. Jukema, R. G. J. Westendorp, E. Vittinghoff, D. Aujesky, N. Rodondi. Subclinical thyroid dysfunction and the risk of heart failure events an individual participant data analysis from 6 prospective cohorts. Circulation. 2012. 126:1040</w:t>
      </w:r>
    </w:p>
    <w:p w14:paraId="3FDE0854" w14:textId="77777777" w:rsidR="008568C0" w:rsidRPr="008568C0" w:rsidRDefault="008568C0" w:rsidP="008568C0">
      <w:pPr>
        <w:rPr>
          <w:rFonts w:eastAsia="Times New Roman"/>
          <w:bCs/>
        </w:rPr>
      </w:pPr>
      <w:r w:rsidRPr="008568C0">
        <w:rPr>
          <w:rFonts w:eastAsia="Times New Roman"/>
          <w:bCs/>
        </w:rPr>
        <w:t>Gunduz M, E. Gunduz, F. Kircelli, N. Okur, M. Ozkaya. Role of surrogate markers of atherosclerosis in clinical and subclinical thyroidism. International Journal of Endocrinology. 2012. 2012:#pages#</w:t>
      </w:r>
    </w:p>
    <w:p w14:paraId="43F266E4" w14:textId="77777777" w:rsidR="008568C0" w:rsidRPr="008568C0" w:rsidRDefault="008568C0" w:rsidP="008568C0">
      <w:pPr>
        <w:rPr>
          <w:rFonts w:eastAsia="Times New Roman"/>
          <w:bCs/>
        </w:rPr>
      </w:pPr>
      <w:r w:rsidRPr="008568C0">
        <w:rPr>
          <w:rFonts w:eastAsia="Times New Roman"/>
          <w:bCs/>
        </w:rPr>
        <w:t>Gupta HR, Sheth SP, Vaishnav BS. Association of subclinical hypothyroidism with metabolic syndrome: A cross-sectional study from Western India. Asian Journal of Pharmaceutical and Clinical Research. 2016. 9:265</w:t>
      </w:r>
    </w:p>
    <w:p w14:paraId="456213A4" w14:textId="77777777" w:rsidR="008568C0" w:rsidRPr="008568C0" w:rsidRDefault="008568C0" w:rsidP="008568C0">
      <w:pPr>
        <w:rPr>
          <w:rFonts w:eastAsia="Times New Roman"/>
          <w:bCs/>
        </w:rPr>
      </w:pPr>
      <w:r w:rsidRPr="008568C0">
        <w:rPr>
          <w:rFonts w:eastAsia="Times New Roman"/>
          <w:bCs/>
        </w:rPr>
        <w:t>Gurgel MHC, R. M. Montenegro Junior, C. M. Melo Ponte, T. C. S. Sousa, P. G. B. Silva, L. De Sousa Belém, F. L. B. Furtado, L. A. De Araújo Batista, A. C. Pereira, R. D. Santos. Metabolic syndrome, diabetes and inadequate lifestyle in first-degree relatives of acute myocardial infarction survivors younger than 45 years old. Lipids in Health and Disease. 2017. 16:#pages#</w:t>
      </w:r>
    </w:p>
    <w:p w14:paraId="5E985A1C" w14:textId="77777777" w:rsidR="008568C0" w:rsidRPr="008568C0" w:rsidRDefault="008568C0" w:rsidP="008568C0">
      <w:pPr>
        <w:rPr>
          <w:rFonts w:eastAsia="Times New Roman"/>
          <w:bCs/>
        </w:rPr>
      </w:pPr>
      <w:r w:rsidRPr="008568C0">
        <w:rPr>
          <w:rFonts w:eastAsia="Times New Roman"/>
          <w:bCs/>
        </w:rPr>
        <w:lastRenderedPageBreak/>
        <w:t>Gussekloo J, Van Exel E, De Craen AJM, Meinders AE, Frölich M, et al. Thyroid status, disability and cognitive function, and survival in old age. Journal of the American Medical Association. 2004. 292:2591</w:t>
      </w:r>
    </w:p>
    <w:p w14:paraId="15C5D4B8" w14:textId="77777777" w:rsidR="008568C0" w:rsidRPr="008568C0" w:rsidRDefault="008568C0" w:rsidP="008568C0">
      <w:pPr>
        <w:rPr>
          <w:rFonts w:eastAsia="Times New Roman"/>
          <w:bCs/>
        </w:rPr>
      </w:pPr>
      <w:r w:rsidRPr="008568C0">
        <w:rPr>
          <w:rFonts w:eastAsia="Times New Roman"/>
          <w:bCs/>
        </w:rPr>
        <w:t>Haddow JE. Preventing, identifying and managing thyroid deficiency in prenatal practice. Expert Review of Obstetrics and Gynecology. 2013. 8:213</w:t>
      </w:r>
    </w:p>
    <w:p w14:paraId="617E4393" w14:textId="77777777" w:rsidR="008568C0" w:rsidRPr="00B415B2" w:rsidRDefault="008568C0" w:rsidP="008568C0">
      <w:pPr>
        <w:rPr>
          <w:rFonts w:eastAsia="Times New Roman"/>
          <w:bCs/>
          <w:lang w:val="fr-CA"/>
        </w:rPr>
      </w:pPr>
      <w:r w:rsidRPr="008568C0">
        <w:rPr>
          <w:rFonts w:eastAsia="Times New Roman"/>
          <w:bCs/>
        </w:rPr>
        <w:t xml:space="preserve">Hassan A. Subclinical hypothyroidism. Thyroid Disorders: Basic Science and Clinical Practice. </w:t>
      </w:r>
      <w:r w:rsidRPr="00B415B2">
        <w:rPr>
          <w:rFonts w:eastAsia="Times New Roman"/>
          <w:bCs/>
          <w:lang w:val="fr-CA"/>
        </w:rPr>
        <w:t>2016. #volume#:203</w:t>
      </w:r>
    </w:p>
    <w:p w14:paraId="43F3491A" w14:textId="77777777" w:rsidR="008568C0" w:rsidRPr="008568C0" w:rsidRDefault="008568C0" w:rsidP="008568C0">
      <w:pPr>
        <w:rPr>
          <w:rFonts w:eastAsia="Times New Roman"/>
          <w:bCs/>
        </w:rPr>
      </w:pPr>
      <w:r w:rsidRPr="00B415B2">
        <w:rPr>
          <w:rFonts w:eastAsia="Times New Roman"/>
          <w:bCs/>
          <w:lang w:val="fr-CA"/>
        </w:rPr>
        <w:t xml:space="preserve">Hauser AC, Gessl A, Lorenz M, Voigtländer T, Födinger M, et al. </w:t>
      </w:r>
      <w:r w:rsidRPr="008568C0">
        <w:rPr>
          <w:rFonts w:eastAsia="Times New Roman"/>
          <w:bCs/>
        </w:rPr>
        <w:t>High prevalence of subclinical hypothyroidism in patients with Anderson-Fabry disease. Journal of inherited metabolic disease. 2005. 28:715</w:t>
      </w:r>
    </w:p>
    <w:p w14:paraId="67483718" w14:textId="77777777" w:rsidR="008568C0" w:rsidRPr="008568C0" w:rsidRDefault="008568C0" w:rsidP="008568C0">
      <w:pPr>
        <w:rPr>
          <w:rFonts w:eastAsia="Times New Roman"/>
          <w:bCs/>
        </w:rPr>
      </w:pPr>
      <w:r w:rsidRPr="008568C0">
        <w:rPr>
          <w:rFonts w:eastAsia="Times New Roman"/>
          <w:bCs/>
        </w:rPr>
        <w:t>Helfand M. Screening for Subclinical Thyroid Dysfunction in Nonpregnant Adults: A Summary of the Evidence for the U.S. Preventive Services Task Force. Annals of Internal Medicine. 2004. 140:128</w:t>
      </w:r>
    </w:p>
    <w:p w14:paraId="58768CF4" w14:textId="77777777" w:rsidR="008568C0" w:rsidRPr="008568C0" w:rsidRDefault="008568C0" w:rsidP="008568C0">
      <w:pPr>
        <w:rPr>
          <w:rFonts w:eastAsia="Times New Roman"/>
          <w:bCs/>
        </w:rPr>
      </w:pPr>
      <w:r w:rsidRPr="008568C0">
        <w:rPr>
          <w:rFonts w:eastAsia="Times New Roman"/>
          <w:bCs/>
        </w:rPr>
        <w:t>Hennessey JamesV, Garber JeffreyR, Woeber KennethA, Rhoda Cobin, Irwin Klein, et al. AMERICAN ASSOCIATION OF CLINICAL ENDOCRINOLOGISTS AND AMERICAN COLLEGE OF ENDOCRINOLOGY POSITION STATEMENT ON THYROID DYSFUNCTION CASE FINDING.. Endocrine Practice. 2016. 22:262</w:t>
      </w:r>
    </w:p>
    <w:p w14:paraId="570A426F" w14:textId="77777777" w:rsidR="008568C0" w:rsidRPr="008568C0" w:rsidRDefault="008568C0" w:rsidP="008568C0">
      <w:pPr>
        <w:rPr>
          <w:rFonts w:eastAsia="Times New Roman"/>
          <w:bCs/>
        </w:rPr>
      </w:pPr>
      <w:r w:rsidRPr="008568C0">
        <w:rPr>
          <w:rFonts w:eastAsia="Times New Roman"/>
          <w:bCs/>
        </w:rPr>
        <w:t>Hennessey JV, Espaillat R. Diagnosis and Management of Subclinical Hypothyroidism in Elderly Adults: A Review of the Literature. Journal of the American Geriatrics Society. 2015. 63:1663</w:t>
      </w:r>
    </w:p>
    <w:p w14:paraId="3FA37557" w14:textId="77777777" w:rsidR="008568C0" w:rsidRPr="008568C0" w:rsidRDefault="008568C0" w:rsidP="008568C0">
      <w:pPr>
        <w:rPr>
          <w:rFonts w:eastAsia="Times New Roman"/>
          <w:bCs/>
        </w:rPr>
      </w:pPr>
      <w:r w:rsidRPr="008568C0">
        <w:rPr>
          <w:rFonts w:eastAsia="Times New Roman"/>
          <w:bCs/>
        </w:rPr>
        <w:t>Hennessey JV, Espaillat R. Reversible morbidity markers in subclinical hypothyroidism. Postgraduate medicine. 2015. 127:78</w:t>
      </w:r>
    </w:p>
    <w:p w14:paraId="7CD95C59" w14:textId="77777777" w:rsidR="008568C0" w:rsidRPr="008568C0" w:rsidRDefault="008568C0" w:rsidP="008568C0">
      <w:pPr>
        <w:rPr>
          <w:rFonts w:eastAsia="Times New Roman"/>
          <w:bCs/>
        </w:rPr>
      </w:pPr>
      <w:r w:rsidRPr="008568C0">
        <w:rPr>
          <w:rFonts w:eastAsia="Times New Roman"/>
          <w:bCs/>
        </w:rPr>
        <w:t>Hypothyroidism in adults: Levothyroxine if warranted by clinical and laboratory findings, not for simple TSH elevation. Prescrire international. 2015. 24:241</w:t>
      </w:r>
    </w:p>
    <w:p w14:paraId="39B8C90E" w14:textId="77777777" w:rsidR="008568C0" w:rsidRPr="008568C0" w:rsidRDefault="008568C0" w:rsidP="008568C0">
      <w:pPr>
        <w:rPr>
          <w:rFonts w:eastAsia="Times New Roman"/>
          <w:bCs/>
        </w:rPr>
      </w:pPr>
      <w:r w:rsidRPr="008568C0">
        <w:rPr>
          <w:rFonts w:eastAsia="Times New Roman"/>
          <w:bCs/>
        </w:rPr>
        <w:t>Iacoviello M, Guida P, Guastamacchia E, Triggiani V, Forleo C, et al. Prognostic role of sub-clinical hypothyroidism in chronic heart failure outpatients. Current pharmaceutical design. 2008. 14:2686</w:t>
      </w:r>
    </w:p>
    <w:p w14:paraId="0105E858" w14:textId="77777777" w:rsidR="008568C0" w:rsidRPr="008568C0" w:rsidRDefault="008568C0" w:rsidP="008568C0">
      <w:pPr>
        <w:rPr>
          <w:rFonts w:eastAsia="Times New Roman"/>
          <w:bCs/>
        </w:rPr>
      </w:pPr>
      <w:r w:rsidRPr="008568C0">
        <w:rPr>
          <w:rFonts w:eastAsia="Times New Roman"/>
          <w:bCs/>
        </w:rPr>
        <w:t>Ineck BA, Ng TMH. Effects of subclinical hypothyroidism and its treatment on serum lipids. Annals of Pharmacotherapy. 2003. 37:725</w:t>
      </w:r>
    </w:p>
    <w:p w14:paraId="5AAF2BAB" w14:textId="77777777" w:rsidR="008568C0" w:rsidRPr="008568C0" w:rsidRDefault="008568C0" w:rsidP="008568C0">
      <w:pPr>
        <w:rPr>
          <w:rFonts w:eastAsia="Times New Roman"/>
          <w:bCs/>
        </w:rPr>
      </w:pPr>
      <w:r w:rsidRPr="008568C0">
        <w:rPr>
          <w:rFonts w:eastAsia="Times New Roman"/>
          <w:bCs/>
        </w:rPr>
        <w:t>Ittermann T, S. Gläser, R. Ewert, S. Felix, H. Völzke, M. Dörr. Serum thyroid-stimulating hormone levels are not associated with exercise capacity and lung function parameters in two population-based studies. BMC Pulmonary Medicine. 2014. 14:#pages#</w:t>
      </w:r>
    </w:p>
    <w:p w14:paraId="0D2B25B4" w14:textId="77777777" w:rsidR="008568C0" w:rsidRPr="008568C0" w:rsidRDefault="008568C0" w:rsidP="008568C0">
      <w:pPr>
        <w:rPr>
          <w:rFonts w:eastAsia="Times New Roman"/>
          <w:bCs/>
        </w:rPr>
      </w:pPr>
      <w:r w:rsidRPr="008568C0">
        <w:rPr>
          <w:rFonts w:eastAsia="Times New Roman"/>
          <w:bCs/>
        </w:rPr>
        <w:t>Jabbar A, Pingitore A, Pearce SHS, Zaman A, Iervasi G, et al. Thyroid hormones and cardiovascular disease. Nature Reviews Cardiology. 2016. 14:39</w:t>
      </w:r>
    </w:p>
    <w:p w14:paraId="4B521C84" w14:textId="77777777" w:rsidR="008568C0" w:rsidRPr="008568C0" w:rsidRDefault="008568C0" w:rsidP="008568C0">
      <w:pPr>
        <w:rPr>
          <w:rFonts w:eastAsia="Times New Roman"/>
          <w:bCs/>
        </w:rPr>
      </w:pPr>
      <w:r w:rsidRPr="008568C0">
        <w:rPr>
          <w:rFonts w:eastAsia="Times New Roman"/>
          <w:bCs/>
        </w:rPr>
        <w:t>Jaiswal P, Y. Saxena, R. Gupta, R. M. Kaushik. Assessment of heart rate recovery and chronotropic incompetence in subclinical hypothyroid adults. Indian journal of physiology and pharmacology. 2018. 62:132</w:t>
      </w:r>
    </w:p>
    <w:p w14:paraId="281CE1A6" w14:textId="77777777" w:rsidR="008568C0" w:rsidRPr="008568C0" w:rsidRDefault="008568C0" w:rsidP="008568C0">
      <w:pPr>
        <w:rPr>
          <w:rFonts w:eastAsia="Times New Roman"/>
          <w:bCs/>
        </w:rPr>
      </w:pPr>
      <w:r w:rsidRPr="008568C0">
        <w:rPr>
          <w:rFonts w:eastAsia="Times New Roman"/>
          <w:bCs/>
        </w:rPr>
        <w:lastRenderedPageBreak/>
        <w:t>Jaseem T, A. Hegde, M. Chakrapani, S. Rao, P. Manjrekar, M. S. Rukmini. Lipids and ischemia-modified albumin in mild subclinical hypothyroidism: Response to levothyroxine replacement. Asian Journal of Pharmaceutical and Clinical Research. 2017. 10:336</w:t>
      </w:r>
    </w:p>
    <w:p w14:paraId="77097425" w14:textId="77777777" w:rsidR="008568C0" w:rsidRPr="008568C0" w:rsidRDefault="008568C0" w:rsidP="008568C0">
      <w:pPr>
        <w:rPr>
          <w:rFonts w:eastAsia="Times New Roman"/>
          <w:bCs/>
        </w:rPr>
      </w:pPr>
      <w:r w:rsidRPr="008568C0">
        <w:rPr>
          <w:rFonts w:eastAsia="Times New Roman"/>
          <w:bCs/>
        </w:rPr>
        <w:t>Javed Z, Sathyapalan T. Levothyroxine treatment of mild subclinical hypothyroidism: a review of potential risks and benefits. Therapeutic Advances in Endocrinology and Metabolism. 2016. 7:12</w:t>
      </w:r>
    </w:p>
    <w:p w14:paraId="40B99D49" w14:textId="77777777" w:rsidR="008568C0" w:rsidRPr="008568C0" w:rsidRDefault="008568C0" w:rsidP="008568C0">
      <w:pPr>
        <w:rPr>
          <w:rFonts w:eastAsia="Times New Roman"/>
          <w:bCs/>
        </w:rPr>
      </w:pPr>
      <w:r w:rsidRPr="008568C0">
        <w:rPr>
          <w:rFonts w:eastAsia="Times New Roman"/>
          <w:bCs/>
        </w:rPr>
        <w:t>Jia F, Tian J, Deng F, Yang G, Long M, et al. Subclinical hypothyroidism and the associations with macrovascular complications and chronic kidney disease in patients with Type 2 diabetes. Diabetic Medicine. 2015. 32:1097</w:t>
      </w:r>
    </w:p>
    <w:p w14:paraId="2BD3DE73" w14:textId="77777777" w:rsidR="008568C0" w:rsidRPr="008568C0" w:rsidRDefault="008568C0" w:rsidP="008568C0">
      <w:pPr>
        <w:rPr>
          <w:rFonts w:eastAsia="Times New Roman"/>
          <w:bCs/>
        </w:rPr>
      </w:pPr>
      <w:r w:rsidRPr="007D1B37">
        <w:rPr>
          <w:rFonts w:eastAsia="Times New Roman"/>
          <w:bCs/>
          <w:lang w:val="fr-CA"/>
        </w:rPr>
        <w:t xml:space="preserve">Jonklaas J, Bianco AC, Bauer AJ, Burman KD, Cappola AR, et al. </w:t>
      </w:r>
      <w:r w:rsidRPr="008568C0">
        <w:rPr>
          <w:rFonts w:eastAsia="Times New Roman"/>
          <w:bCs/>
        </w:rPr>
        <w:t>Guidelines for the treatment of hypothyroidism: Prepared by the American thyroid association task force on thyroid hormone replacement. Thyroid. 2014. 24:1670</w:t>
      </w:r>
    </w:p>
    <w:p w14:paraId="7A09AEF3" w14:textId="77777777" w:rsidR="008568C0" w:rsidRPr="008568C0" w:rsidRDefault="008568C0" w:rsidP="008568C0">
      <w:pPr>
        <w:rPr>
          <w:rFonts w:eastAsia="Times New Roman"/>
          <w:bCs/>
        </w:rPr>
      </w:pPr>
      <w:r w:rsidRPr="008568C0">
        <w:rPr>
          <w:rFonts w:eastAsia="Times New Roman"/>
          <w:bCs/>
        </w:rPr>
        <w:t>Jorde R, Joakimsen O, Stensland E, Mathiesen EB. Lack of significant association between intima-media thickness in the carotid artery and serum TSH level. The Tromsø Study. Thyroid. 2008. 18:21</w:t>
      </w:r>
    </w:p>
    <w:p w14:paraId="6089A3ED" w14:textId="77777777" w:rsidR="008568C0" w:rsidRPr="008568C0" w:rsidRDefault="008568C0" w:rsidP="008568C0">
      <w:pPr>
        <w:rPr>
          <w:rFonts w:eastAsia="Times New Roman"/>
          <w:bCs/>
        </w:rPr>
      </w:pPr>
      <w:r w:rsidRPr="008568C0">
        <w:rPr>
          <w:rFonts w:eastAsia="Times New Roman"/>
          <w:bCs/>
        </w:rPr>
        <w:t>Kaminski G, Michalkiewicz D, Makowski K, Podgajny Z, Szalus N, et al. Prospective echocardiographic evaluation of patients with endogenous subclinical hyperthyroidism and after restoring euthyroidism. Clinical endocrinology. 2011. 74:501</w:t>
      </w:r>
    </w:p>
    <w:p w14:paraId="1B629A7C" w14:textId="77777777" w:rsidR="008568C0" w:rsidRPr="008568C0" w:rsidRDefault="008568C0" w:rsidP="008568C0">
      <w:pPr>
        <w:rPr>
          <w:rFonts w:eastAsia="Times New Roman"/>
          <w:bCs/>
        </w:rPr>
      </w:pPr>
      <w:r w:rsidRPr="008568C0">
        <w:rPr>
          <w:rFonts w:eastAsia="Times New Roman"/>
          <w:bCs/>
        </w:rPr>
        <w:t>Kang EW, J. Y. Nam, T. -H Yoo, S. K. Shin, S. -W Kang, D. -S Han, S. H. Han. Clinical implications of subclinical hypothyroidism in continuous ambulatory peritoneal dialysis patients. American Journal of Nephrology. 2008. 28:908</w:t>
      </w:r>
    </w:p>
    <w:p w14:paraId="30CD434A" w14:textId="77777777" w:rsidR="008568C0" w:rsidRPr="008568C0" w:rsidRDefault="008568C0" w:rsidP="008568C0">
      <w:pPr>
        <w:rPr>
          <w:rFonts w:eastAsia="Times New Roman"/>
          <w:bCs/>
        </w:rPr>
      </w:pPr>
      <w:r w:rsidRPr="008568C0">
        <w:rPr>
          <w:rFonts w:eastAsia="Times New Roman"/>
          <w:bCs/>
        </w:rPr>
        <w:t>Kapoor K, Saha A, Dubey NK, Goyal P, Suresh CP, et al. Subclinical non-autoimmune hypothyroidism in children with steroid resistant nephrotic syndrome. Clinical and Experimental Nephrology. 2014. 18:113</w:t>
      </w:r>
    </w:p>
    <w:p w14:paraId="4D9B4938" w14:textId="77777777" w:rsidR="008568C0" w:rsidRPr="008568C0" w:rsidRDefault="008568C0" w:rsidP="008568C0">
      <w:pPr>
        <w:rPr>
          <w:rFonts w:eastAsia="Times New Roman"/>
          <w:bCs/>
        </w:rPr>
      </w:pPr>
      <w:r w:rsidRPr="008568C0">
        <w:rPr>
          <w:rFonts w:eastAsia="Times New Roman"/>
          <w:bCs/>
        </w:rPr>
        <w:t>Karabag T, S. M. Dogan, T. Bayraktaroglu, M. R. Sayin, C. Buyukuysal, I. Akpinar, M. Aydin. Assessment of left atrial mechanical functions in thyroid dysfunction. Polskie archiwum medycyny wewnetrznej. 2013. 123:596</w:t>
      </w:r>
    </w:p>
    <w:p w14:paraId="5954D34B" w14:textId="77777777" w:rsidR="008568C0" w:rsidRPr="008568C0" w:rsidRDefault="008568C0" w:rsidP="008568C0">
      <w:pPr>
        <w:rPr>
          <w:rFonts w:eastAsia="Times New Roman"/>
          <w:bCs/>
        </w:rPr>
      </w:pPr>
      <w:r w:rsidRPr="008568C0">
        <w:rPr>
          <w:rFonts w:eastAsia="Times New Roman"/>
          <w:bCs/>
        </w:rPr>
        <w:t>Karabulut A, A. Doğan, A. K. Tuzcu. Myocardial performance index for patients with overt and subclinical hypothyroidism. Medical Science Monitor. 2017. 23:2519</w:t>
      </w:r>
    </w:p>
    <w:p w14:paraId="263AB7F1" w14:textId="77777777" w:rsidR="008568C0" w:rsidRPr="00B415B2" w:rsidRDefault="008568C0" w:rsidP="008568C0">
      <w:pPr>
        <w:rPr>
          <w:rFonts w:eastAsia="Times New Roman"/>
          <w:bCs/>
          <w:lang w:val="fr-CA"/>
        </w:rPr>
      </w:pPr>
      <w:r w:rsidRPr="008568C0">
        <w:rPr>
          <w:rFonts w:eastAsia="Times New Roman"/>
          <w:bCs/>
        </w:rPr>
        <w:t xml:space="preserve">Karimi F, Kalantarhormozi MR, Dabbaghmanesh MH, Omrani GR. Thyroid disorders and the prevalence of antithyroid antibodies in shiraz population. Archives of Iranian Medicine. 2014. </w:t>
      </w:r>
      <w:r w:rsidRPr="00B415B2">
        <w:rPr>
          <w:rFonts w:eastAsia="Times New Roman"/>
          <w:bCs/>
          <w:lang w:val="fr-CA"/>
        </w:rPr>
        <w:t>17:347</w:t>
      </w:r>
    </w:p>
    <w:p w14:paraId="35AF6E45" w14:textId="77777777" w:rsidR="008568C0" w:rsidRPr="008568C0" w:rsidRDefault="008568C0" w:rsidP="008568C0">
      <w:pPr>
        <w:rPr>
          <w:rFonts w:eastAsia="Times New Roman"/>
          <w:bCs/>
        </w:rPr>
      </w:pPr>
      <w:r w:rsidRPr="00B415B2">
        <w:rPr>
          <w:rFonts w:eastAsia="Times New Roman"/>
          <w:bCs/>
          <w:lang w:val="fr-CA"/>
        </w:rPr>
        <w:t xml:space="preserve">Kasagi K, Takahashi N, Inoue G, Honda T, Kawachi Y, et al. </w:t>
      </w:r>
      <w:r w:rsidRPr="008568C0">
        <w:rPr>
          <w:rFonts w:eastAsia="Times New Roman"/>
          <w:bCs/>
        </w:rPr>
        <w:t>Thyroid function in japanese adults as assessed by a general health checkup system in relation with thyroid-related antibodies and other clinical parameters. Thyroid. 2009. 19:937</w:t>
      </w:r>
    </w:p>
    <w:p w14:paraId="26261F1D" w14:textId="77777777" w:rsidR="008568C0" w:rsidRPr="008568C0" w:rsidRDefault="008568C0" w:rsidP="008568C0">
      <w:pPr>
        <w:rPr>
          <w:rFonts w:eastAsia="Times New Roman"/>
          <w:bCs/>
        </w:rPr>
      </w:pPr>
      <w:r w:rsidRPr="008568C0">
        <w:rPr>
          <w:rFonts w:eastAsia="Times New Roman"/>
          <w:bCs/>
        </w:rPr>
        <w:t>Khan MA, T. Ahsan, U. L. Rehman, R. Jabeen, S. Farouq. Subclinical Hypothyroidism: Frequency, clinical presentations and treatment indications. Pakistan Journal of Medical Sciences. 2017. 33:818</w:t>
      </w:r>
    </w:p>
    <w:p w14:paraId="1F847168" w14:textId="77777777" w:rsidR="008568C0" w:rsidRPr="008568C0" w:rsidRDefault="008568C0" w:rsidP="008568C0">
      <w:pPr>
        <w:rPr>
          <w:rFonts w:eastAsia="Times New Roman"/>
          <w:bCs/>
        </w:rPr>
      </w:pPr>
      <w:r w:rsidRPr="008568C0">
        <w:rPr>
          <w:rFonts w:eastAsia="Times New Roman"/>
          <w:bCs/>
        </w:rPr>
        <w:lastRenderedPageBreak/>
        <w:t>Khan SH, Nadeem Fazal, Aamir Ijaz, Syed Mohsin Manzoor, Naveed Asif, Tariq Rafi, Muhammad Yasir, Najmusaquib Khan Niazi. Insulin Resistance and Glucose Levels in Subjects with Subclinical Hypothyroidism.. Jcpsp, Journal of the College of Physicians &amp; Surgeons - Pakistan. 2017. 27:329</w:t>
      </w:r>
    </w:p>
    <w:p w14:paraId="36FF5C67" w14:textId="77777777" w:rsidR="008568C0" w:rsidRPr="008568C0" w:rsidRDefault="008568C0" w:rsidP="008568C0">
      <w:pPr>
        <w:rPr>
          <w:rFonts w:eastAsia="Times New Roman"/>
          <w:bCs/>
        </w:rPr>
      </w:pPr>
      <w:r w:rsidRPr="008568C0">
        <w:rPr>
          <w:rFonts w:eastAsia="Times New Roman"/>
          <w:bCs/>
        </w:rPr>
        <w:t>Kiliçaslan B, M. K. Tigen, A. S. Tekin, H. Çiftçi. Cardiac changes with subclinical hypothyroidism in obese women. Turk Kardiyoloji Dernegi Arsivi. 2013. 41:471</w:t>
      </w:r>
    </w:p>
    <w:p w14:paraId="7D88A90A" w14:textId="77777777" w:rsidR="008568C0" w:rsidRPr="008568C0" w:rsidRDefault="008568C0" w:rsidP="008568C0">
      <w:pPr>
        <w:rPr>
          <w:rFonts w:eastAsia="Times New Roman"/>
          <w:bCs/>
        </w:rPr>
      </w:pPr>
      <w:r w:rsidRPr="008568C0">
        <w:rPr>
          <w:rFonts w:eastAsia="Times New Roman"/>
          <w:bCs/>
        </w:rPr>
        <w:t>Kim BJ, S. H. Lee, S. J. Bae, H. K. Kim, J. W. Choe, H. Y. Kim, J. -M Koh, G. S. Kim. The association between serum thyrotropin (TSH) levels and bone mineral density in healthy euthyroid men. Clinical endocrinology. 2010. 73:396</w:t>
      </w:r>
    </w:p>
    <w:p w14:paraId="7EC9EBBA" w14:textId="77777777" w:rsidR="008568C0" w:rsidRPr="008568C0" w:rsidRDefault="008568C0" w:rsidP="008568C0">
      <w:pPr>
        <w:rPr>
          <w:rFonts w:eastAsia="Times New Roman"/>
          <w:bCs/>
        </w:rPr>
      </w:pPr>
      <w:r w:rsidRPr="008568C0">
        <w:rPr>
          <w:rFonts w:eastAsia="Times New Roman"/>
          <w:bCs/>
        </w:rPr>
        <w:t>Knudsen N, Laurberg P, Rasmussen LB, Bülow I, Perrild H, et al. Small differences in thyroid function may be important for body mass index and the occurrence of obesity in the population. Journal of Clinical Endocrinology and Metabolism. 2005. 90:4019</w:t>
      </w:r>
    </w:p>
    <w:p w14:paraId="23652B98" w14:textId="77777777" w:rsidR="008568C0" w:rsidRPr="008568C0" w:rsidRDefault="008568C0" w:rsidP="008568C0">
      <w:pPr>
        <w:rPr>
          <w:rFonts w:eastAsia="Times New Roman"/>
          <w:bCs/>
        </w:rPr>
      </w:pPr>
      <w:r w:rsidRPr="008568C0">
        <w:rPr>
          <w:rFonts w:eastAsia="Times New Roman"/>
          <w:bCs/>
        </w:rPr>
        <w:t>Koren Peleg R, Efrati S, Benbassat C, Fygenzo M, Golik A. The effect of levothyroxine on arterial stiffness and lipid profile in patients with subclinical hypothyroidism. Thyroid. 2008. 18:825</w:t>
      </w:r>
    </w:p>
    <w:p w14:paraId="7B4624C8" w14:textId="77777777" w:rsidR="008568C0" w:rsidRPr="008568C0" w:rsidRDefault="008568C0" w:rsidP="008568C0">
      <w:pPr>
        <w:rPr>
          <w:rFonts w:eastAsia="Times New Roman"/>
          <w:bCs/>
        </w:rPr>
      </w:pPr>
      <w:r w:rsidRPr="008568C0">
        <w:rPr>
          <w:rFonts w:eastAsia="Times New Roman"/>
          <w:bCs/>
        </w:rPr>
        <w:t>Kosar F, I. Sahin, N. Turan, E. Topal, Y. Aksoy, C. Taskapan. Evaluation of right and left ventricular function using pulsed-wave tissue Doppler echocardiography in patients with subclinical hypothyroidism. Journal of endocrinological investigation. 2005. 28:704</w:t>
      </w:r>
    </w:p>
    <w:p w14:paraId="4CFE0032" w14:textId="77777777" w:rsidR="008568C0" w:rsidRPr="008568C0" w:rsidRDefault="008568C0" w:rsidP="008568C0">
      <w:pPr>
        <w:rPr>
          <w:rFonts w:eastAsia="Times New Roman"/>
          <w:bCs/>
        </w:rPr>
      </w:pPr>
      <w:r w:rsidRPr="008568C0">
        <w:rPr>
          <w:rFonts w:eastAsia="Times New Roman"/>
          <w:bCs/>
        </w:rPr>
        <w:t>Kowalska I, Borawski J, Nikołajuk A, Budlewski T, Otziomek E, et al. Insulin sensitivity, plasma adiponectin and sICAM-1 concentrations in patients with subclinical hypothyroidism: Response to levothyroxine therapy. Endocrine. 2011. 40:95</w:t>
      </w:r>
    </w:p>
    <w:p w14:paraId="475A5B99" w14:textId="77777777" w:rsidR="008568C0" w:rsidRPr="008568C0" w:rsidRDefault="008568C0" w:rsidP="008568C0">
      <w:pPr>
        <w:rPr>
          <w:rFonts w:eastAsia="Times New Roman"/>
          <w:bCs/>
        </w:rPr>
      </w:pPr>
      <w:r w:rsidRPr="008568C0">
        <w:rPr>
          <w:rFonts w:eastAsia="Times New Roman"/>
          <w:bCs/>
        </w:rPr>
        <w:t>Lago-Sampedro AM, Gutiérrez-Repiso C, Valdés S, Maldonado C, Colomo N, et al. Changes in thyroid function with age: Results from the Pizarra population-based longitudinal study. International journal of clinical practice. 2015. 69:577</w:t>
      </w:r>
    </w:p>
    <w:p w14:paraId="7078E9D3" w14:textId="77777777" w:rsidR="008568C0" w:rsidRPr="008568C0" w:rsidRDefault="008568C0" w:rsidP="008568C0">
      <w:pPr>
        <w:rPr>
          <w:rFonts w:eastAsia="Times New Roman"/>
          <w:bCs/>
        </w:rPr>
      </w:pPr>
      <w:r w:rsidRPr="008568C0">
        <w:rPr>
          <w:rFonts w:eastAsia="Times New Roman"/>
          <w:bCs/>
        </w:rPr>
        <w:t>Lai CC, S. -H Tang, D. Pei, C. -Y Wang, Y. -L Chen, C. -Z Wu, F. -C Hsiao, H. -S Chen, J. -Y Wang. The prevalence of subclinical thyroid dysfunction and its association with metabolic syndrome in Taiwanese elderly. International Journal of Gerontology. 2011. 5:25</w:t>
      </w:r>
    </w:p>
    <w:p w14:paraId="69AF3D69" w14:textId="77777777" w:rsidR="008568C0" w:rsidRPr="008568C0" w:rsidRDefault="008568C0" w:rsidP="008568C0">
      <w:pPr>
        <w:rPr>
          <w:rFonts w:eastAsia="Times New Roman"/>
          <w:bCs/>
        </w:rPr>
      </w:pPr>
      <w:r w:rsidRPr="008568C0">
        <w:rPr>
          <w:rFonts w:eastAsia="Times New Roman"/>
          <w:bCs/>
        </w:rPr>
        <w:t>Lazarus JH. Aspects of treatment of subclinical hypothyroidism. Thyroid. 2007. 17:313</w:t>
      </w:r>
    </w:p>
    <w:p w14:paraId="02D3C56E" w14:textId="77777777" w:rsidR="008568C0" w:rsidRPr="008568C0" w:rsidRDefault="008568C0" w:rsidP="008568C0">
      <w:pPr>
        <w:rPr>
          <w:rFonts w:eastAsia="Times New Roman"/>
          <w:bCs/>
        </w:rPr>
      </w:pPr>
      <w:r w:rsidRPr="008568C0">
        <w:rPr>
          <w:rFonts w:eastAsia="Times New Roman"/>
          <w:bCs/>
        </w:rPr>
        <w:t>Lee YK, Kim JE, Oh HJ, Park KS, Kim SK, et al. Serum TSH level in healthy koreans and the association of TSH with serum lipid concentration and metabolic syndrome. Korean Journal of Internal Medicine. 2011. 26:432</w:t>
      </w:r>
    </w:p>
    <w:p w14:paraId="1149D01A" w14:textId="77777777" w:rsidR="008568C0" w:rsidRPr="008568C0" w:rsidRDefault="008568C0" w:rsidP="008568C0">
      <w:pPr>
        <w:rPr>
          <w:rFonts w:eastAsia="Times New Roman"/>
          <w:bCs/>
        </w:rPr>
      </w:pPr>
      <w:r w:rsidRPr="008568C0">
        <w:rPr>
          <w:rFonts w:eastAsia="Times New Roman"/>
          <w:bCs/>
        </w:rPr>
        <w:t>LeFevre ML, Siu AL, Bibbins-Domingo K, Baumann LC, Karina WD, et al. Screening for thyroid dysfunction: U.S. Preventive Services Task Force recommendation statement. Annals of Internal Medicine. 2015. 162:641</w:t>
      </w:r>
    </w:p>
    <w:p w14:paraId="57C11F55" w14:textId="77777777" w:rsidR="008568C0" w:rsidRPr="008568C0" w:rsidRDefault="008568C0" w:rsidP="008568C0">
      <w:pPr>
        <w:rPr>
          <w:rFonts w:eastAsia="Times New Roman"/>
          <w:bCs/>
        </w:rPr>
      </w:pPr>
      <w:r w:rsidRPr="008568C0">
        <w:rPr>
          <w:rFonts w:eastAsia="Times New Roman"/>
          <w:bCs/>
        </w:rPr>
        <w:lastRenderedPageBreak/>
        <w:t>Li X,​ Wang Y,​ Guan Q,​ Zhao J,​ Gao L. The lipid-lowering effect of levothyroxine in patients with subclinical hypothyroidism: A systematic review and meta-analysis of randomized controlled trials. Clinical endocrinology. 2017.</w:t>
      </w:r>
    </w:p>
    <w:p w14:paraId="26DBDEF7" w14:textId="77777777" w:rsidR="008568C0" w:rsidRPr="008568C0" w:rsidRDefault="008568C0" w:rsidP="008568C0">
      <w:pPr>
        <w:rPr>
          <w:rFonts w:eastAsia="Times New Roman"/>
          <w:bCs/>
        </w:rPr>
      </w:pPr>
      <w:r w:rsidRPr="008568C0">
        <w:rPr>
          <w:rFonts w:eastAsia="Times New Roman"/>
          <w:bCs/>
        </w:rPr>
        <w:t>Lin HJ, T. -D Wang. Nocturnal non-dipping: An overlooked clinical manifestation of subclinical hypothyroidism linking to increased cardiovascular risk. Acta Cardiologica Sinica. 2017. 33:495</w:t>
      </w:r>
    </w:p>
    <w:p w14:paraId="5C057076" w14:textId="77777777" w:rsidR="008568C0" w:rsidRPr="008568C0" w:rsidRDefault="008568C0" w:rsidP="008568C0">
      <w:pPr>
        <w:rPr>
          <w:rFonts w:eastAsia="Times New Roman"/>
          <w:bCs/>
        </w:rPr>
      </w:pPr>
      <w:r w:rsidRPr="008568C0">
        <w:rPr>
          <w:rFonts w:eastAsia="Times New Roman"/>
          <w:bCs/>
        </w:rPr>
        <w:t>Lingad-Sayas RC, C. N. Montano, M. J. C. Isidro. Prevalence of elevated TSH and its association with dyslipidemia and NAFLD among Filipino adult executive check-up patients in a Tertiary hospital. Phillippine Journal of Internal Medicine. 2017. 55:#pages#</w:t>
      </w:r>
    </w:p>
    <w:p w14:paraId="57B84AB0" w14:textId="77777777" w:rsidR="008568C0" w:rsidRPr="008568C0" w:rsidRDefault="008568C0" w:rsidP="008568C0">
      <w:pPr>
        <w:rPr>
          <w:rFonts w:eastAsia="Times New Roman"/>
          <w:bCs/>
        </w:rPr>
      </w:pPr>
      <w:r w:rsidRPr="008568C0">
        <w:rPr>
          <w:rFonts w:eastAsia="Times New Roman"/>
          <w:bCs/>
        </w:rPr>
        <w:t>Lioudaki E, Mavroeidi NG, Mikhailidis DP, Ganotakis ES. Subclinical hypothyroidism and vascular risk: An update. Hormones. 2013. 12:495</w:t>
      </w:r>
    </w:p>
    <w:p w14:paraId="54162A63" w14:textId="77777777" w:rsidR="008568C0" w:rsidRPr="008568C0" w:rsidRDefault="008568C0" w:rsidP="008568C0">
      <w:pPr>
        <w:rPr>
          <w:rFonts w:eastAsia="Times New Roman"/>
          <w:bCs/>
        </w:rPr>
      </w:pPr>
      <w:r w:rsidRPr="008568C0">
        <w:rPr>
          <w:rFonts w:eastAsia="Times New Roman"/>
          <w:bCs/>
        </w:rPr>
        <w:t>Liu C, Scherbaum WA, Schott M, Schinner S. Subclinical hypothyroidism and the prevalence of the metabolic syndrome. Hormone and Metabolic Research. 2011. 43:417</w:t>
      </w:r>
    </w:p>
    <w:p w14:paraId="7164F9BE" w14:textId="77777777" w:rsidR="008568C0" w:rsidRPr="008568C0" w:rsidRDefault="008568C0" w:rsidP="008568C0">
      <w:pPr>
        <w:rPr>
          <w:rFonts w:eastAsia="Times New Roman"/>
          <w:bCs/>
        </w:rPr>
      </w:pPr>
      <w:r w:rsidRPr="008568C0">
        <w:rPr>
          <w:rFonts w:eastAsia="Times New Roman"/>
          <w:bCs/>
        </w:rPr>
        <w:t>Liu FH, J. -S Hwang, C. -F Kuo, Y. -S Ko, S. -T Chen, J. -D Lin. Subclinical hypothyroidism and metabolic risk factors association: A health examination-based study in northern Taiwan. Biomedical Journal. 2018. 41:52</w:t>
      </w:r>
    </w:p>
    <w:p w14:paraId="49CDEFCD" w14:textId="77777777" w:rsidR="008568C0" w:rsidRPr="008568C0" w:rsidRDefault="008568C0" w:rsidP="008568C0">
      <w:pPr>
        <w:rPr>
          <w:rFonts w:eastAsia="Times New Roman"/>
          <w:bCs/>
        </w:rPr>
      </w:pPr>
      <w:r w:rsidRPr="008568C0">
        <w:rPr>
          <w:rFonts w:eastAsia="Times New Roman"/>
          <w:bCs/>
        </w:rPr>
        <w:t>Lu M, -B Yang C, Gao L, -J Zhao J. Mechanism of subclinical hypothyroidism accelerating endothelial dysfunction (Review). Experimental and Therapeutic Medicine. 2015. 9:3</w:t>
      </w:r>
    </w:p>
    <w:p w14:paraId="7C755606" w14:textId="77777777" w:rsidR="008568C0" w:rsidRPr="008568C0" w:rsidRDefault="008568C0" w:rsidP="008568C0">
      <w:pPr>
        <w:rPr>
          <w:rFonts w:eastAsia="Times New Roman"/>
          <w:bCs/>
        </w:rPr>
      </w:pPr>
      <w:r w:rsidRPr="008568C0">
        <w:rPr>
          <w:rFonts w:eastAsia="Times New Roman"/>
          <w:bCs/>
        </w:rPr>
        <w:t>Luboshitzky R, A. Aviv, P. Herer, L. Lavie. Risk factors for cardiovascular disease in women with subclinical hypothyroidism. Thyroid. 2002. 12:421</w:t>
      </w:r>
    </w:p>
    <w:p w14:paraId="3C721A1E" w14:textId="77777777" w:rsidR="008568C0" w:rsidRPr="008568C0" w:rsidRDefault="008568C0" w:rsidP="008568C0">
      <w:pPr>
        <w:rPr>
          <w:rFonts w:eastAsia="Times New Roman"/>
          <w:bCs/>
        </w:rPr>
      </w:pPr>
      <w:r w:rsidRPr="008568C0">
        <w:rPr>
          <w:rFonts w:eastAsia="Times New Roman"/>
          <w:bCs/>
        </w:rPr>
        <w:t>Mahajan RD, Singh R. Thyroid dysfunction and total cholesterol - experience in a tertiary care hospital. Research Journal of Pharmaceutical, Biological and Chemical Sciences. 2011. 2:268</w:t>
      </w:r>
    </w:p>
    <w:p w14:paraId="0060C725" w14:textId="77777777" w:rsidR="008568C0" w:rsidRPr="008568C0" w:rsidRDefault="008568C0" w:rsidP="008568C0">
      <w:pPr>
        <w:rPr>
          <w:rFonts w:eastAsia="Times New Roman"/>
          <w:bCs/>
        </w:rPr>
      </w:pPr>
      <w:r w:rsidRPr="008568C0">
        <w:rPr>
          <w:rFonts w:eastAsia="Times New Roman"/>
          <w:bCs/>
        </w:rPr>
        <w:t>Mammen JS, McGready J, Oxman R, Chia CW, Ladenson PW, et al. Thyroid Hormone Therapy and Risk of Thyrotoxicosis in Community-Resident Older Adults: Findings from the Baltimore Longitudinal Study of Aging. Thyroid. 2015. 25:979</w:t>
      </w:r>
    </w:p>
    <w:p w14:paraId="1BC48C8B" w14:textId="77777777" w:rsidR="008568C0" w:rsidRPr="008568C0" w:rsidRDefault="008568C0" w:rsidP="008568C0">
      <w:pPr>
        <w:rPr>
          <w:rFonts w:eastAsia="Times New Roman"/>
          <w:bCs/>
        </w:rPr>
      </w:pPr>
      <w:r w:rsidRPr="007D1B37">
        <w:rPr>
          <w:rFonts w:eastAsia="Times New Roman"/>
          <w:bCs/>
          <w:lang w:val="fr-CA"/>
        </w:rPr>
        <w:t xml:space="preserve">Mañas-Martinez AB, Gimeno-Orna JA. </w:t>
      </w:r>
      <w:r w:rsidRPr="008568C0">
        <w:rPr>
          <w:rFonts w:eastAsia="Times New Roman"/>
          <w:bCs/>
        </w:rPr>
        <w:t>Age-based TSH levels in the hypothyroidism treatment. Hypothyroidism: Diagnosis and Screening, Genetic Influences and Treatment Options. 2013. #volume#:35</w:t>
      </w:r>
    </w:p>
    <w:p w14:paraId="5E506984" w14:textId="77777777" w:rsidR="008568C0" w:rsidRPr="008568C0" w:rsidRDefault="008568C0" w:rsidP="008568C0">
      <w:pPr>
        <w:rPr>
          <w:rFonts w:eastAsia="Times New Roman"/>
          <w:bCs/>
        </w:rPr>
      </w:pPr>
      <w:r w:rsidRPr="008568C0">
        <w:rPr>
          <w:rFonts w:eastAsia="Times New Roman"/>
          <w:bCs/>
        </w:rPr>
        <w:t>Mansourian AR. A review on cardiovascular diseases originated from subclinical hypothyroidism. Pakistan Journal of Biological Sciences. 2012. 15:58</w:t>
      </w:r>
    </w:p>
    <w:p w14:paraId="4DECDDF2" w14:textId="77777777" w:rsidR="008568C0" w:rsidRPr="008568C0" w:rsidRDefault="008568C0" w:rsidP="008568C0">
      <w:pPr>
        <w:rPr>
          <w:rFonts w:eastAsia="Times New Roman"/>
          <w:bCs/>
        </w:rPr>
      </w:pPr>
      <w:r w:rsidRPr="007D1B37">
        <w:rPr>
          <w:rFonts w:eastAsia="Times New Roman"/>
          <w:bCs/>
          <w:lang w:val="fr-CA"/>
        </w:rPr>
        <w:t xml:space="preserve">Marchiori RC, Pereira LAF, Naujorks AA, Rovaris DL, Meinerz DF, et al. </w:t>
      </w:r>
      <w:r w:rsidRPr="008568C0">
        <w:rPr>
          <w:rFonts w:eastAsia="Times New Roman"/>
          <w:bCs/>
        </w:rPr>
        <w:t>Improvement of blood inflammatory marker levels in patients with hypothyroidism under levothyroxine treatment. BMC Endocrine Disorders. 2015. 15:#pages#</w:t>
      </w:r>
    </w:p>
    <w:p w14:paraId="130B6376" w14:textId="77777777" w:rsidR="008568C0" w:rsidRPr="008568C0" w:rsidRDefault="008568C0" w:rsidP="008568C0">
      <w:pPr>
        <w:rPr>
          <w:rFonts w:eastAsia="Times New Roman"/>
          <w:bCs/>
        </w:rPr>
      </w:pPr>
      <w:r w:rsidRPr="008568C0">
        <w:rPr>
          <w:rFonts w:eastAsia="Times New Roman"/>
          <w:bCs/>
        </w:rPr>
        <w:lastRenderedPageBreak/>
        <w:t>Marrakchi S, Kanoun F, Idriss S, Kammoun I, Kachboura S. Arrhythmia and thyroid dysfunction. Herz. 2015. 40:101</w:t>
      </w:r>
    </w:p>
    <w:p w14:paraId="36F3517A" w14:textId="77777777" w:rsidR="008568C0" w:rsidRPr="008568C0" w:rsidRDefault="008568C0" w:rsidP="008568C0">
      <w:pPr>
        <w:rPr>
          <w:rFonts w:eastAsia="Times New Roman"/>
          <w:bCs/>
        </w:rPr>
      </w:pPr>
      <w:r w:rsidRPr="008568C0">
        <w:rPr>
          <w:rFonts w:eastAsia="Times New Roman"/>
          <w:bCs/>
        </w:rPr>
        <w:t>Masaki M, K. Komamura, A. Goda, S. Hirotani, M. Otsuka, A. Nakabo, M. Fukui, S. Fujiwara, M. Sugahara, M. Lee-Kawabata, T. Tsujino, M. Koshiba, T. Masuyama. Elevated arterial stiffness and diastolic dysfunction in subclinical hypothyroidism. Circulation Journal. 2014. 78:1494</w:t>
      </w:r>
    </w:p>
    <w:p w14:paraId="2F898439" w14:textId="77777777" w:rsidR="008568C0" w:rsidRPr="008568C0" w:rsidRDefault="008568C0" w:rsidP="008568C0">
      <w:pPr>
        <w:rPr>
          <w:rFonts w:eastAsia="Times New Roman"/>
          <w:bCs/>
        </w:rPr>
      </w:pPr>
      <w:r w:rsidRPr="008568C0">
        <w:rPr>
          <w:rFonts w:eastAsia="Times New Roman"/>
          <w:bCs/>
        </w:rPr>
        <w:t>Mayor S. Levothyroxine shows no benefit in elderly patients with subclinical hypothyroidism, trial finds. BMJ (Online). 2017. 357:#pages#</w:t>
      </w:r>
    </w:p>
    <w:p w14:paraId="49A23C73" w14:textId="77777777" w:rsidR="008568C0" w:rsidRPr="008568C0" w:rsidRDefault="008568C0" w:rsidP="008568C0">
      <w:pPr>
        <w:rPr>
          <w:rFonts w:eastAsia="Times New Roman"/>
          <w:bCs/>
        </w:rPr>
      </w:pPr>
      <w:r w:rsidRPr="008568C0">
        <w:rPr>
          <w:rFonts w:eastAsia="Times New Roman"/>
          <w:bCs/>
        </w:rPr>
        <w:t>Meena CL, R. D. Meena, R. Nawal, V. K. Meena, A. Bharti, L. P. Meena. Assessment of left ventricular diastolic dysfunction in sub-clinical hypothyroidism. Acta Informatica Medica. 2012. 20:218</w:t>
      </w:r>
    </w:p>
    <w:p w14:paraId="6FF5D507" w14:textId="77777777" w:rsidR="008568C0" w:rsidRPr="008568C0" w:rsidRDefault="008568C0" w:rsidP="008568C0">
      <w:pPr>
        <w:rPr>
          <w:rFonts w:eastAsia="Times New Roman"/>
          <w:bCs/>
        </w:rPr>
      </w:pPr>
      <w:r w:rsidRPr="008568C0">
        <w:rPr>
          <w:rFonts w:eastAsia="Times New Roman"/>
          <w:bCs/>
        </w:rPr>
        <w:t>MehmetçIk G, Becer E, Akbey A. Serum total antioxidant status, lipid profile, malondialdehyde and erythrocyte superoxide dismutase levels in Hashimoto thyroiditis patients treated with levothyroxine. Turkiye Klinikleri Journal of Medical Sciences. 2012. 32:1241</w:t>
      </w:r>
    </w:p>
    <w:p w14:paraId="44FA51CC" w14:textId="77777777" w:rsidR="008568C0" w:rsidRPr="008568C0" w:rsidRDefault="008568C0" w:rsidP="008568C0">
      <w:pPr>
        <w:rPr>
          <w:rFonts w:eastAsia="Times New Roman"/>
          <w:bCs/>
        </w:rPr>
      </w:pPr>
      <w:r w:rsidRPr="008568C0">
        <w:rPr>
          <w:rFonts w:eastAsia="Times New Roman"/>
          <w:bCs/>
        </w:rPr>
        <w:t>Meuwese CL, Gussekloo J, De Craen AJM, Dekker FW, Den Elzen WPJ. Thyroid status and renal function in older persons in the general population. Journal of Clinical Endocrinology and Metabolism. 2014. 99:2689</w:t>
      </w:r>
    </w:p>
    <w:p w14:paraId="5220DA72" w14:textId="77777777" w:rsidR="008568C0" w:rsidRPr="008568C0" w:rsidRDefault="008568C0" w:rsidP="008568C0">
      <w:pPr>
        <w:rPr>
          <w:rFonts w:eastAsia="Times New Roman"/>
          <w:bCs/>
        </w:rPr>
      </w:pPr>
      <w:r w:rsidRPr="008568C0">
        <w:rPr>
          <w:rFonts w:eastAsia="Times New Roman"/>
          <w:bCs/>
        </w:rPr>
        <w:t>Meyerovitch J, Rotman-Pikielny P, Sherf M, Battat E, Levy Y, et al. Serum thyrotropin measurements in the community: Five-year follow-up in a large network of primary care physicians. Archives of Internal Medicine. 2007. 167:1533</w:t>
      </w:r>
    </w:p>
    <w:p w14:paraId="5169315D" w14:textId="77777777" w:rsidR="008568C0" w:rsidRPr="008568C0" w:rsidRDefault="008568C0" w:rsidP="008568C0">
      <w:pPr>
        <w:rPr>
          <w:rFonts w:eastAsia="Times New Roman"/>
          <w:bCs/>
        </w:rPr>
      </w:pPr>
      <w:r w:rsidRPr="008568C0">
        <w:rPr>
          <w:rFonts w:eastAsia="Times New Roman"/>
          <w:bCs/>
        </w:rPr>
        <w:t>Meziou SM, Kanoun F, Marrakchi DI, Kammoun I, Kachboura S. Thyroid dysfunction and arrhythmias. Thyroid Disorders: Basic Science and Clinical Practice. 2016. #volume#:273</w:t>
      </w:r>
    </w:p>
    <w:p w14:paraId="4B97907B" w14:textId="77777777" w:rsidR="008568C0" w:rsidRPr="008568C0" w:rsidRDefault="008568C0" w:rsidP="008568C0">
      <w:pPr>
        <w:rPr>
          <w:rFonts w:eastAsia="Times New Roman"/>
          <w:bCs/>
        </w:rPr>
      </w:pPr>
      <w:r w:rsidRPr="008568C0">
        <w:rPr>
          <w:rFonts w:eastAsia="Times New Roman"/>
          <w:bCs/>
        </w:rPr>
        <w:t>Mijin Kim, Tae Yong Kim, Soo Han Kim, Yunkyoung Lee, Su-yeon Park, et al. Reference interval for thyrotropin in a ultrasonography screened Korean population.. Korean Journal of Internal Medicine. 2015. 30:335</w:t>
      </w:r>
    </w:p>
    <w:p w14:paraId="108E9468" w14:textId="77777777" w:rsidR="008568C0" w:rsidRPr="008568C0" w:rsidRDefault="008568C0" w:rsidP="008568C0">
      <w:pPr>
        <w:rPr>
          <w:rFonts w:eastAsia="Times New Roman"/>
          <w:bCs/>
        </w:rPr>
      </w:pPr>
      <w:r w:rsidRPr="008568C0">
        <w:rPr>
          <w:rFonts w:eastAsia="Times New Roman"/>
          <w:bCs/>
        </w:rPr>
        <w:t>Miller M. Subclinical thyroid disorders. Clinical Geriatrics. 2005. 13:38</w:t>
      </w:r>
    </w:p>
    <w:p w14:paraId="48E00577" w14:textId="77777777" w:rsidR="008568C0" w:rsidRPr="008568C0" w:rsidRDefault="008568C0" w:rsidP="008568C0">
      <w:pPr>
        <w:rPr>
          <w:rFonts w:eastAsia="Times New Roman"/>
          <w:bCs/>
        </w:rPr>
      </w:pPr>
      <w:r w:rsidRPr="008568C0">
        <w:rPr>
          <w:rFonts w:eastAsia="Times New Roman"/>
          <w:bCs/>
        </w:rPr>
        <w:t>Minarikova Z, Gaspar L, Kruzliak P, Celecová Z, Oravec S. The effects of treatment on lipoprotein subfractions evaluated by polyacrylamide gel electrophoresis in patients with autoimmune hypothyroidism and hyperthyroidism. Lipids in Health and Disease. 2014. 13:#pages#</w:t>
      </w:r>
    </w:p>
    <w:p w14:paraId="553E7C19" w14:textId="77777777" w:rsidR="008568C0" w:rsidRPr="008568C0" w:rsidRDefault="008568C0" w:rsidP="008568C0">
      <w:pPr>
        <w:rPr>
          <w:rFonts w:eastAsia="Times New Roman"/>
          <w:bCs/>
        </w:rPr>
      </w:pPr>
      <w:r w:rsidRPr="008568C0">
        <w:rPr>
          <w:rFonts w:eastAsia="Times New Roman"/>
          <w:bCs/>
        </w:rPr>
        <w:t>Mulić M, Š. Hajrović, R. Prelević, B. Milev. The frequency of metabolic syndrome in patients with the subclinical hypothyroidism. Vojnosanitetski Pregled. 2018. 75:398</w:t>
      </w:r>
    </w:p>
    <w:p w14:paraId="592BAB10" w14:textId="77777777" w:rsidR="008568C0" w:rsidRPr="008568C0" w:rsidRDefault="008568C0" w:rsidP="008568C0">
      <w:pPr>
        <w:rPr>
          <w:rFonts w:eastAsia="Times New Roman"/>
          <w:bCs/>
        </w:rPr>
      </w:pPr>
      <w:r w:rsidRPr="008568C0">
        <w:rPr>
          <w:rFonts w:eastAsia="Times New Roman"/>
          <w:bCs/>
        </w:rPr>
        <w:t>Nakayama Y, M. Ohno, S. Yonemura, H. Uozumi, N. Kobayakawa, K. Fukushima, H. Takeuchi, T. Aoyagi. A case of transient 2:1 atrioventricular block, resolved by thyroxine supplementation for subclinical hypothyroidism. PACE - Pacing and Clinical Electrophysiology. 2006. 29:106</w:t>
      </w:r>
    </w:p>
    <w:p w14:paraId="7B4E78CC" w14:textId="77777777" w:rsidR="008568C0" w:rsidRPr="00B415B2" w:rsidRDefault="008568C0" w:rsidP="008568C0">
      <w:pPr>
        <w:rPr>
          <w:rFonts w:eastAsia="Times New Roman"/>
          <w:bCs/>
          <w:lang w:val="fr-CA"/>
        </w:rPr>
      </w:pPr>
      <w:r w:rsidRPr="008568C0">
        <w:rPr>
          <w:rFonts w:eastAsia="Times New Roman"/>
          <w:bCs/>
        </w:rPr>
        <w:lastRenderedPageBreak/>
        <w:t xml:space="preserve">Neves C, Alves M, Medina JL, Delgado JL. Thyroid diseases, dyslipidemia and cardiovascular pathology. </w:t>
      </w:r>
      <w:r w:rsidRPr="00B415B2">
        <w:rPr>
          <w:rFonts w:eastAsia="Times New Roman"/>
          <w:bCs/>
          <w:lang w:val="fr-CA"/>
        </w:rPr>
        <w:t>Revista Portuguesa de Cardiologia. 2008. 27:1211</w:t>
      </w:r>
    </w:p>
    <w:p w14:paraId="0C7D3135" w14:textId="77777777" w:rsidR="008568C0" w:rsidRPr="008568C0" w:rsidRDefault="008568C0" w:rsidP="008568C0">
      <w:pPr>
        <w:rPr>
          <w:rFonts w:eastAsia="Times New Roman"/>
          <w:bCs/>
        </w:rPr>
      </w:pPr>
      <w:r w:rsidRPr="00B415B2">
        <w:rPr>
          <w:rFonts w:eastAsia="Times New Roman"/>
          <w:bCs/>
          <w:lang w:val="fr-CA"/>
        </w:rPr>
        <w:t xml:space="preserve">Ng YY, S. C. Wu, H. D. Lin, F. H. Hu, C. C. Hou, Y. Y. Chou, S. M. Chiu, Y. H. Sun, S. S. -Y Cho, W. C. Yang. </w:t>
      </w:r>
      <w:r w:rsidRPr="008568C0">
        <w:rPr>
          <w:rFonts w:eastAsia="Times New Roman"/>
          <w:bCs/>
        </w:rPr>
        <w:t>Prevalence of clinical and subclinical thyroid disease in a peritoneal dialysis population. Peritoneal Dialysis International. 2012. 32:86</w:t>
      </w:r>
    </w:p>
    <w:p w14:paraId="39D584E9" w14:textId="77777777" w:rsidR="008568C0" w:rsidRPr="008568C0" w:rsidRDefault="008568C0" w:rsidP="008568C0">
      <w:pPr>
        <w:rPr>
          <w:rFonts w:eastAsia="Times New Roman"/>
          <w:bCs/>
        </w:rPr>
      </w:pPr>
      <w:r w:rsidRPr="008568C0">
        <w:rPr>
          <w:rFonts w:eastAsia="Times New Roman"/>
          <w:bCs/>
        </w:rPr>
        <w:t>Ngumezi C, Archambault M. When does treatment of subclinical hypothyroidism reduce cardiovascular risk?. Journal of the American Academy of Physician Assistants. 2012. 25:57</w:t>
      </w:r>
    </w:p>
    <w:p w14:paraId="4F58C37F" w14:textId="77777777" w:rsidR="008568C0" w:rsidRPr="008568C0" w:rsidRDefault="008568C0" w:rsidP="008568C0">
      <w:pPr>
        <w:rPr>
          <w:rFonts w:eastAsia="Times New Roman"/>
          <w:bCs/>
        </w:rPr>
      </w:pPr>
      <w:r w:rsidRPr="008568C0">
        <w:rPr>
          <w:rFonts w:eastAsia="Times New Roman"/>
          <w:bCs/>
        </w:rPr>
        <w:t>Nixon M, R. G. J. Westendorp. When subclinical hypothyroidism becomes clinically diagnosed. European journal of internal medicine. 2017. 46:e34</w:t>
      </w:r>
    </w:p>
    <w:p w14:paraId="1B50CBB6" w14:textId="77777777" w:rsidR="008568C0" w:rsidRPr="008568C0" w:rsidRDefault="008568C0" w:rsidP="008568C0">
      <w:pPr>
        <w:rPr>
          <w:rFonts w:eastAsia="Times New Roman"/>
          <w:bCs/>
        </w:rPr>
      </w:pPr>
      <w:r w:rsidRPr="008568C0">
        <w:rPr>
          <w:rFonts w:eastAsia="Times New Roman"/>
          <w:bCs/>
        </w:rPr>
        <w:t>Novac ER, Roşu N, Cotârleţ A. Effects of levothyroxine treatment on the quality of life of women diagnosed with subclinical hypothyroidism. Archives of the Balkan Medical Union. 2015. 50:186</w:t>
      </w:r>
    </w:p>
    <w:p w14:paraId="05A3C02A" w14:textId="77777777" w:rsidR="008568C0" w:rsidRPr="008568C0" w:rsidRDefault="008568C0" w:rsidP="008568C0">
      <w:pPr>
        <w:rPr>
          <w:rFonts w:eastAsia="Times New Roman"/>
          <w:bCs/>
        </w:rPr>
      </w:pPr>
      <w:r w:rsidRPr="008568C0">
        <w:rPr>
          <w:rFonts w:eastAsia="Times New Roman"/>
          <w:bCs/>
        </w:rPr>
        <w:t xml:space="preserve">Nygaard B . Hypothyroidism (primary). Clinical Evidence. 2010. </w:t>
      </w:r>
    </w:p>
    <w:p w14:paraId="760FC3D3" w14:textId="77777777" w:rsidR="008568C0" w:rsidRPr="008568C0" w:rsidRDefault="008568C0" w:rsidP="008568C0">
      <w:pPr>
        <w:rPr>
          <w:rFonts w:eastAsia="Times New Roman"/>
          <w:bCs/>
        </w:rPr>
      </w:pPr>
      <w:r w:rsidRPr="008568C0">
        <w:rPr>
          <w:rFonts w:eastAsia="Times New Roman"/>
          <w:bCs/>
        </w:rPr>
        <w:t>Oflaz H, R. Kurt, A. Cimen, A. Elitok, I. Onur, E. Golcuk, M. Demirturk, S. Batmaz, E. Kasikcioglu. Coronary flow reserve is also impaired in patients with subclinical hypothyroidism. International journal of cardiology. 2007. 120:414</w:t>
      </w:r>
    </w:p>
    <w:p w14:paraId="55D87B2C" w14:textId="77777777" w:rsidR="008568C0" w:rsidRPr="008568C0" w:rsidRDefault="008568C0" w:rsidP="008568C0">
      <w:pPr>
        <w:rPr>
          <w:rFonts w:eastAsia="Times New Roman"/>
          <w:bCs/>
        </w:rPr>
      </w:pPr>
      <w:r w:rsidRPr="008568C0">
        <w:rPr>
          <w:rFonts w:eastAsia="Times New Roman"/>
          <w:bCs/>
        </w:rPr>
        <w:t>Ogunsakin A, S. S. Solomon, S. M. D. Dagogo-Jack. Thyroid hormone therapy for older adults with subclinical hypothyroidism. New England Journal of Medicine. 2017. 377:e20.1</w:t>
      </w:r>
    </w:p>
    <w:p w14:paraId="6CFA3B32" w14:textId="77777777" w:rsidR="008568C0" w:rsidRPr="008568C0" w:rsidRDefault="008568C0" w:rsidP="008568C0">
      <w:pPr>
        <w:rPr>
          <w:rFonts w:eastAsia="Times New Roman"/>
          <w:bCs/>
        </w:rPr>
      </w:pPr>
      <w:r w:rsidRPr="008568C0">
        <w:rPr>
          <w:rFonts w:eastAsia="Times New Roman"/>
          <w:bCs/>
        </w:rPr>
        <w:t>Olsen AH, Kelsberg G, Coffey J, Hsu JT. Should we screen women for hypothyroidism?. Journal of Family Practice. 2004. 53:653</w:t>
      </w:r>
    </w:p>
    <w:p w14:paraId="56BDE2CD" w14:textId="77777777" w:rsidR="008568C0" w:rsidRPr="008568C0" w:rsidRDefault="008568C0" w:rsidP="008568C0">
      <w:pPr>
        <w:rPr>
          <w:rFonts w:eastAsia="Times New Roman"/>
          <w:bCs/>
        </w:rPr>
      </w:pPr>
      <w:r w:rsidRPr="008568C0">
        <w:rPr>
          <w:rFonts w:eastAsia="Times New Roman"/>
          <w:bCs/>
        </w:rPr>
        <w:t>OMayerJr, Šimon J, Filipovský J, Pláškova M, Pikner R. Hypothyroidism in coronary heart disease and its relation to selected risk factors. Vascular Health and Risk Management. 2006. 2:499</w:t>
      </w:r>
    </w:p>
    <w:p w14:paraId="4DB2B334" w14:textId="77777777" w:rsidR="008568C0" w:rsidRPr="008568C0" w:rsidRDefault="008568C0" w:rsidP="008568C0">
      <w:pPr>
        <w:rPr>
          <w:rFonts w:eastAsia="Times New Roman"/>
          <w:bCs/>
        </w:rPr>
      </w:pPr>
      <w:r w:rsidRPr="008568C0">
        <w:rPr>
          <w:rFonts w:eastAsia="Times New Roman"/>
          <w:bCs/>
        </w:rPr>
        <w:t>Öner FA, S. Yurdakul, E. Öner, M. K. Arslantas, M. Usta, M. Ergüney. Evaluation of ventricular functions using tissue Doppler echocardiography in patients with subclinical hypothyroidism. Turk Kardiyoloji Dernegi Arsivi. 2011. 39:129</w:t>
      </w:r>
    </w:p>
    <w:p w14:paraId="5B91BED6" w14:textId="77777777" w:rsidR="008568C0" w:rsidRPr="008568C0" w:rsidRDefault="008568C0" w:rsidP="008568C0">
      <w:pPr>
        <w:rPr>
          <w:rFonts w:eastAsia="Times New Roman"/>
          <w:bCs/>
        </w:rPr>
      </w:pPr>
      <w:r w:rsidRPr="008568C0">
        <w:rPr>
          <w:rFonts w:eastAsia="Times New Roman"/>
          <w:bCs/>
        </w:rPr>
        <w:t>Palmeiro C, Davila MI, Bhat M, Frishman WH, Weiss IA. Subclinical hyperthyroidism and cardiovascular risk: Recommendations for treatment. Cardiology in review. 2013. 21:300</w:t>
      </w:r>
    </w:p>
    <w:p w14:paraId="0152F5A2" w14:textId="77777777" w:rsidR="008568C0" w:rsidRPr="008568C0" w:rsidRDefault="008568C0" w:rsidP="008568C0">
      <w:pPr>
        <w:rPr>
          <w:rFonts w:eastAsia="Times New Roman"/>
          <w:bCs/>
        </w:rPr>
      </w:pPr>
      <w:r w:rsidRPr="008568C0">
        <w:rPr>
          <w:rFonts w:eastAsia="Times New Roman"/>
          <w:bCs/>
        </w:rPr>
        <w:t>Pandrc MS, A. Ristic, V. Kostovski, M. Stankovic, V. Antic, J. Milin-Lazovic, J. Ziric. The Effect of Early Substitution of Subclinical Hypothyroidism on Biochemical Blood Parameters and the Quality of Life. Journal of Medical Biochemistry. 2017. 36:127</w:t>
      </w:r>
    </w:p>
    <w:p w14:paraId="66A5EBD1" w14:textId="77777777" w:rsidR="008568C0" w:rsidRPr="008568C0" w:rsidRDefault="008568C0" w:rsidP="008568C0">
      <w:pPr>
        <w:rPr>
          <w:rFonts w:eastAsia="Times New Roman"/>
          <w:bCs/>
        </w:rPr>
      </w:pPr>
      <w:r w:rsidRPr="008568C0">
        <w:rPr>
          <w:rFonts w:eastAsia="Times New Roman"/>
          <w:bCs/>
        </w:rPr>
        <w:t>Parent S, B. Cujec. Subclinical Hypothyroidism and Heart Failure: Chicken or Egg?. Canadian Journal of Cardiology. 2018. 34:11</w:t>
      </w:r>
    </w:p>
    <w:p w14:paraId="065491F7" w14:textId="77777777" w:rsidR="008568C0" w:rsidRPr="008568C0" w:rsidRDefault="008568C0" w:rsidP="008568C0">
      <w:pPr>
        <w:rPr>
          <w:rFonts w:eastAsia="Times New Roman"/>
          <w:bCs/>
        </w:rPr>
      </w:pPr>
      <w:r w:rsidRPr="008568C0">
        <w:rPr>
          <w:rFonts w:eastAsia="Times New Roman"/>
          <w:bCs/>
        </w:rPr>
        <w:lastRenderedPageBreak/>
        <w:t>Parretti H, Onyebuchi Okosieme, Mark Vanderpump. Current recommendations in the management of hypothyroidism: developed from a statement by the British Thyroid Association Executive.. British Journal of General Practice. 2016. 66:538</w:t>
      </w:r>
    </w:p>
    <w:p w14:paraId="757051EC" w14:textId="77777777" w:rsidR="008568C0" w:rsidRPr="008568C0" w:rsidRDefault="008568C0" w:rsidP="008568C0">
      <w:pPr>
        <w:rPr>
          <w:rFonts w:eastAsia="Times New Roman"/>
          <w:bCs/>
        </w:rPr>
      </w:pPr>
      <w:r w:rsidRPr="008568C0">
        <w:rPr>
          <w:rFonts w:eastAsia="Times New Roman"/>
          <w:bCs/>
        </w:rPr>
        <w:t>Pasqualetti G, Tognini S, Polini A, Caraccio N, Monzani F. Is subclinical hypothyroidism a cardiovascular risk factor in the elderly?. Journal of Clinical Endocrinology and Metabolism. 2013. 98:2256</w:t>
      </w:r>
    </w:p>
    <w:p w14:paraId="7103B67B" w14:textId="77777777" w:rsidR="008568C0" w:rsidRPr="008568C0" w:rsidRDefault="008568C0" w:rsidP="008568C0">
      <w:pPr>
        <w:rPr>
          <w:rFonts w:eastAsia="Times New Roman"/>
          <w:bCs/>
        </w:rPr>
      </w:pPr>
      <w:r w:rsidRPr="008568C0">
        <w:rPr>
          <w:rFonts w:eastAsia="Times New Roman"/>
          <w:bCs/>
        </w:rPr>
        <w:t>Pasqualetti G, Tognini S, Polini A, Caraccio N, Monzani F. Subclinical hypothyroidism and heart failure risk in older people. Endocrine, Metabolic and Immune Disorders - Drug Targets. 2013. 13:13</w:t>
      </w:r>
    </w:p>
    <w:p w14:paraId="367C6E51" w14:textId="77777777" w:rsidR="008568C0" w:rsidRPr="008568C0" w:rsidRDefault="008568C0" w:rsidP="008568C0">
      <w:pPr>
        <w:rPr>
          <w:rFonts w:eastAsia="Times New Roman"/>
          <w:bCs/>
        </w:rPr>
      </w:pPr>
      <w:r w:rsidRPr="008568C0">
        <w:rPr>
          <w:rFonts w:eastAsia="Times New Roman"/>
          <w:bCs/>
        </w:rPr>
        <w:t>Patanè S. Cardiovascular system and endogenous subclinical hyperthyroidism treatment: The time has come. International journal of cardiology. 2012. 158:317</w:t>
      </w:r>
    </w:p>
    <w:p w14:paraId="5EA0E6FA" w14:textId="77777777" w:rsidR="008568C0" w:rsidRPr="00B415B2" w:rsidRDefault="008568C0" w:rsidP="008568C0">
      <w:pPr>
        <w:rPr>
          <w:rFonts w:eastAsia="Times New Roman"/>
          <w:bCs/>
          <w:lang w:val="fr-CA"/>
        </w:rPr>
      </w:pPr>
      <w:r w:rsidRPr="008568C0">
        <w:rPr>
          <w:rFonts w:eastAsia="Times New Roman"/>
          <w:bCs/>
        </w:rPr>
        <w:t xml:space="preserve">Pearce EN, Q. Yang, E. J. Benjamin, J. Aragam, R. S. Vasan. Thyroid function and left ventricular structure and function in the framingham heart study. </w:t>
      </w:r>
      <w:r w:rsidRPr="00B415B2">
        <w:rPr>
          <w:rFonts w:eastAsia="Times New Roman"/>
          <w:bCs/>
          <w:lang w:val="fr-CA"/>
        </w:rPr>
        <w:t>Thyroid. 2010. 20:369</w:t>
      </w:r>
    </w:p>
    <w:p w14:paraId="5DC9DE95" w14:textId="77777777" w:rsidR="008568C0" w:rsidRPr="008568C0" w:rsidRDefault="008568C0" w:rsidP="008568C0">
      <w:pPr>
        <w:rPr>
          <w:rFonts w:eastAsia="Times New Roman"/>
          <w:bCs/>
        </w:rPr>
      </w:pPr>
      <w:r w:rsidRPr="00B415B2">
        <w:rPr>
          <w:rFonts w:eastAsia="Times New Roman"/>
          <w:bCs/>
          <w:lang w:val="fr-CA"/>
        </w:rPr>
        <w:t xml:space="preserve">Peixoto de Miranda EJF, M. S. Bittencourt, A. C. Pereira, A. C. Goulart, I. S. Santos, P. A. Lotufo, I. M. Bensenor. </w:t>
      </w:r>
      <w:r w:rsidRPr="008568C0">
        <w:rPr>
          <w:rFonts w:eastAsia="Times New Roman"/>
          <w:bCs/>
        </w:rPr>
        <w:t>Subclinical hypothyroidism is associated with higher carotid intima-media thickness in cross-sectional analysis of the Brazilian Longitudinal Study of Adult Health (ELSA-Brasil).. Nutrition Metabolism &amp; Cardiovascular Diseases. 2016. 26:915</w:t>
      </w:r>
    </w:p>
    <w:p w14:paraId="246CEB33" w14:textId="77777777" w:rsidR="008568C0" w:rsidRPr="008568C0" w:rsidRDefault="008568C0" w:rsidP="008568C0">
      <w:pPr>
        <w:rPr>
          <w:rFonts w:eastAsia="Times New Roman"/>
          <w:bCs/>
        </w:rPr>
      </w:pPr>
      <w:r w:rsidRPr="00B23B80">
        <w:rPr>
          <w:rFonts w:eastAsia="Times New Roman"/>
          <w:bCs/>
          <w:lang w:val="fr-CA"/>
        </w:rPr>
        <w:t xml:space="preserve">Pérez A, Cubero JM, Sucunza N, Ortega E, Arcelús R, et al. </w:t>
      </w:r>
      <w:r w:rsidRPr="008568C0">
        <w:rPr>
          <w:rFonts w:eastAsia="Times New Roman"/>
          <w:bCs/>
        </w:rPr>
        <w:t>Emerging cardiovascular risk factors in subclinical hypothyroidism: Lack of change after restoration of euthyroidism. Metabolism: Clinical and Experimental. 2004. 53:1512</w:t>
      </w:r>
    </w:p>
    <w:p w14:paraId="0187BAAE" w14:textId="77777777" w:rsidR="008568C0" w:rsidRPr="008568C0" w:rsidRDefault="008568C0" w:rsidP="008568C0">
      <w:pPr>
        <w:rPr>
          <w:rFonts w:eastAsia="Times New Roman"/>
          <w:bCs/>
        </w:rPr>
      </w:pPr>
      <w:r w:rsidRPr="008568C0">
        <w:rPr>
          <w:rFonts w:eastAsia="Times New Roman"/>
          <w:bCs/>
        </w:rPr>
        <w:t>Qavi A, G. N. Khokhar, A. Zahoor, I. A. Akhund, M. Ishaq. Significance of hypercholesterolemia in hypothyroid patients. Medical Forum Monthly. 2013. 24:86</w:t>
      </w:r>
    </w:p>
    <w:p w14:paraId="4F114CB3" w14:textId="77777777" w:rsidR="008568C0" w:rsidRPr="008568C0" w:rsidRDefault="008568C0" w:rsidP="008568C0">
      <w:pPr>
        <w:rPr>
          <w:rFonts w:eastAsia="Times New Roman"/>
          <w:bCs/>
        </w:rPr>
      </w:pPr>
      <w:r w:rsidRPr="00B23B80">
        <w:rPr>
          <w:rFonts w:eastAsia="Times New Roman"/>
          <w:bCs/>
          <w:lang w:val="fr-CA"/>
        </w:rPr>
        <w:t xml:space="preserve">Qi Q, Q. -M Zhang, C. -J Li, R. -N Dong, J. -J Li, J. -Y Shi, D. -M Yu, J. -Y Zhang. </w:t>
      </w:r>
      <w:r w:rsidRPr="008568C0">
        <w:rPr>
          <w:rFonts w:eastAsia="Times New Roman"/>
          <w:bCs/>
        </w:rPr>
        <w:t>Association of thyroid-stimulating hormone levels with microvascular complications in type 2 diabetes patients. Medical Science Monitor. 2017. 23:2715</w:t>
      </w:r>
    </w:p>
    <w:p w14:paraId="65B83E4D" w14:textId="77777777" w:rsidR="008568C0" w:rsidRPr="00451864" w:rsidRDefault="008568C0" w:rsidP="008568C0">
      <w:pPr>
        <w:rPr>
          <w:rFonts w:eastAsia="Times New Roman"/>
          <w:bCs/>
        </w:rPr>
      </w:pPr>
      <w:r w:rsidRPr="00B23B80">
        <w:rPr>
          <w:rFonts w:eastAsia="Times New Roman"/>
          <w:bCs/>
          <w:lang w:val="fr-CA"/>
        </w:rPr>
        <w:t xml:space="preserve">Qian Wu, Rayman MargaretP, Hongjun Lv, Lutz Schomburg, Bo Cui, et al. </w:t>
      </w:r>
      <w:r w:rsidRPr="008568C0">
        <w:rPr>
          <w:rFonts w:eastAsia="Times New Roman"/>
          <w:bCs/>
        </w:rPr>
        <w:t xml:space="preserve">Low Population Selenium Status Is Associated With Increased Prevalence of Thyroid Disease.. Journal of Clinical Endocrinology &amp; Metabolism. </w:t>
      </w:r>
      <w:r w:rsidRPr="00451864">
        <w:rPr>
          <w:rFonts w:eastAsia="Times New Roman"/>
          <w:bCs/>
        </w:rPr>
        <w:t>2015. 100:4037</w:t>
      </w:r>
    </w:p>
    <w:p w14:paraId="683AFC04" w14:textId="77777777" w:rsidR="008568C0" w:rsidRPr="008568C0" w:rsidRDefault="008568C0" w:rsidP="008568C0">
      <w:pPr>
        <w:rPr>
          <w:rFonts w:eastAsia="Times New Roman"/>
          <w:bCs/>
        </w:rPr>
      </w:pPr>
      <w:r w:rsidRPr="00B23B80">
        <w:rPr>
          <w:rFonts w:eastAsia="Times New Roman"/>
          <w:bCs/>
          <w:lang w:val="fr-CA"/>
        </w:rPr>
        <w:t xml:space="preserve">Quan X, Y. Ji, C. Zhang, X. Guo, Y. Zhang, S. Jia, W. Ma, Y. Fan, C. Wang. </w:t>
      </w:r>
      <w:r w:rsidRPr="008568C0">
        <w:rPr>
          <w:rFonts w:eastAsia="Times New Roman"/>
          <w:bCs/>
        </w:rPr>
        <w:t>Circulating MiR-146a May be a Potential Biomarker of Coronary Heart Disease in Patients with Subclinical Hypothyroidism. Cellular Physiology and Biochemistry. 2018. 45:226</w:t>
      </w:r>
    </w:p>
    <w:p w14:paraId="39E322CF" w14:textId="77777777" w:rsidR="008568C0" w:rsidRPr="008568C0" w:rsidRDefault="008568C0" w:rsidP="008568C0">
      <w:pPr>
        <w:rPr>
          <w:rFonts w:eastAsia="Times New Roman"/>
          <w:bCs/>
        </w:rPr>
      </w:pPr>
      <w:r w:rsidRPr="008568C0">
        <w:rPr>
          <w:rFonts w:eastAsia="Times New Roman"/>
          <w:bCs/>
        </w:rPr>
        <w:t>Racataianu N, Nicoleta Leach, Cosmina Ioana Bondor, Smaranda Marza, Daniela Moga, Ana Valea, Cristina Ghervan. Thyroid disorders in obese patients. Does insulin resistance make a difference?.. Archives of Endocrinology &amp; Metabolism. 2017. 61:575</w:t>
      </w:r>
    </w:p>
    <w:p w14:paraId="59BB349E" w14:textId="77777777" w:rsidR="008568C0" w:rsidRPr="008568C0" w:rsidRDefault="008568C0" w:rsidP="008568C0">
      <w:pPr>
        <w:rPr>
          <w:rFonts w:eastAsia="Times New Roman"/>
          <w:bCs/>
        </w:rPr>
      </w:pPr>
      <w:r w:rsidRPr="008568C0">
        <w:rPr>
          <w:rFonts w:eastAsia="Times New Roman"/>
          <w:bCs/>
        </w:rPr>
        <w:lastRenderedPageBreak/>
        <w:t>Rana P, G. Sripathy, A. Varshney, P. Kumar, M. Memita Devi, R. K. Marwaha, R. P. Tripathi, S. Khushu. Phosphorous magnetic resonance spectroscopy-based skeletal muscle bioenergetic studies in subclinical hypothyroidism. Journal of endocrinological investigation. 2012. 35:129</w:t>
      </w:r>
    </w:p>
    <w:p w14:paraId="7DDE6DEE" w14:textId="77777777" w:rsidR="008568C0" w:rsidRPr="008568C0" w:rsidRDefault="008568C0" w:rsidP="008568C0">
      <w:pPr>
        <w:rPr>
          <w:rFonts w:eastAsia="Times New Roman"/>
          <w:bCs/>
        </w:rPr>
      </w:pPr>
      <w:r w:rsidRPr="008568C0">
        <w:rPr>
          <w:rFonts w:eastAsia="Times New Roman"/>
          <w:bCs/>
        </w:rPr>
        <w:t>Razvi S, Weaver JU, Pearce SHS. Subclinical thyroid disorders: Significance and clinical impact. Journal of clinical pathology. 2010. 63:379</w:t>
      </w:r>
    </w:p>
    <w:p w14:paraId="592C502D" w14:textId="77777777" w:rsidR="008568C0" w:rsidRPr="008568C0" w:rsidRDefault="008568C0" w:rsidP="008568C0">
      <w:pPr>
        <w:rPr>
          <w:rFonts w:eastAsia="Times New Roman"/>
          <w:bCs/>
        </w:rPr>
      </w:pPr>
      <w:r w:rsidRPr="008568C0">
        <w:rPr>
          <w:rFonts w:eastAsia="Times New Roman"/>
          <w:bCs/>
        </w:rPr>
        <w:t>Reuters VS, P. D. F. S. Teixeira, P. S. Vigário, C. P. Almeida, A. Buescu, M. M. Ferreira, C. L. N. De Castro, J. Gold, M. Vaisman. Functional capacity and muscular abnormalities in subclinical hypothyroidism. American Journal of the Medical Sciences. 2009. 338:259</w:t>
      </w:r>
    </w:p>
    <w:p w14:paraId="140CACFC" w14:textId="77777777" w:rsidR="008568C0" w:rsidRPr="008568C0" w:rsidRDefault="008568C0" w:rsidP="008568C0">
      <w:pPr>
        <w:rPr>
          <w:rFonts w:eastAsia="Times New Roman"/>
          <w:bCs/>
        </w:rPr>
      </w:pPr>
      <w:r w:rsidRPr="008568C0">
        <w:rPr>
          <w:rFonts w:eastAsia="Times New Roman"/>
          <w:bCs/>
        </w:rPr>
        <w:t>Rhee CM, Amy S. You, Danh V. Nguyen, Steven M. Brunelli, Matthew J. Budoff, Elani Streja, Tracy Nakata, Csaba P. Kovesdy, Gregory A. Brent, Kamyar Kalantar-Zadeh. Thyroid Status and Mortality in a Prospective Hemodialysis Cohort.. Journal of Clinical Endocrinology &amp; Metabolism. 2017. 102:1568</w:t>
      </w:r>
    </w:p>
    <w:p w14:paraId="455502D5" w14:textId="77777777" w:rsidR="008568C0" w:rsidRPr="008568C0" w:rsidRDefault="008568C0" w:rsidP="008568C0">
      <w:pPr>
        <w:rPr>
          <w:rFonts w:eastAsia="Times New Roman"/>
          <w:bCs/>
        </w:rPr>
      </w:pPr>
      <w:r w:rsidRPr="008568C0">
        <w:rPr>
          <w:rFonts w:eastAsia="Times New Roman"/>
          <w:bCs/>
        </w:rPr>
        <w:t>Rhee CM, Vanessa A. Ravel, Elani Streja, Rajnish Mehrotra, Steven Kim, Jiaxi Wang, Danh V. Nguyen, Csaba P. Kovesdy, Gregory A. Brent, Kamyar Kalantar-Zadeh. Thyroid Functional Disease and Mortality in a National Peritoneal Dialysis Cohort.. Journal of Clinical Endocrinology &amp; Metabolism. 2016. 101:4054</w:t>
      </w:r>
    </w:p>
    <w:p w14:paraId="695A8390" w14:textId="77777777" w:rsidR="008568C0" w:rsidRPr="008568C0" w:rsidRDefault="008568C0" w:rsidP="008568C0">
      <w:pPr>
        <w:rPr>
          <w:rFonts w:eastAsia="Times New Roman"/>
          <w:bCs/>
        </w:rPr>
      </w:pPr>
      <w:r w:rsidRPr="008568C0">
        <w:rPr>
          <w:rFonts w:eastAsia="Times New Roman"/>
          <w:bCs/>
        </w:rPr>
        <w:t>Risal P, Maharjan BR, Koju R, Makaju RK, Gautam M. Variation of total serum cholesterol among the patient with thyroid dysfunction. Kathmandu University Medical Journal. 2010. 8:265</w:t>
      </w:r>
    </w:p>
    <w:p w14:paraId="50761184" w14:textId="77777777" w:rsidR="008568C0" w:rsidRPr="008568C0" w:rsidRDefault="008568C0" w:rsidP="008568C0">
      <w:pPr>
        <w:rPr>
          <w:rFonts w:eastAsia="Times New Roman"/>
          <w:bCs/>
        </w:rPr>
      </w:pPr>
      <w:r w:rsidRPr="008568C0">
        <w:rPr>
          <w:rFonts w:eastAsia="Times New Roman"/>
          <w:bCs/>
        </w:rPr>
        <w:t>Roberts LM, Pattison H, Roalfe A, Franklyn J, Wilson S, et al. Is subclinical thyroid dysfunction in the elderly associated with depression or cognitive dysfunction?. Annals of Internal Medicine. 2006. 145:573</w:t>
      </w:r>
    </w:p>
    <w:p w14:paraId="5C8AC580" w14:textId="77777777" w:rsidR="008568C0" w:rsidRPr="008568C0" w:rsidRDefault="008568C0" w:rsidP="008568C0">
      <w:pPr>
        <w:rPr>
          <w:rFonts w:eastAsia="Times New Roman"/>
          <w:bCs/>
        </w:rPr>
      </w:pPr>
      <w:r w:rsidRPr="00B23B80">
        <w:rPr>
          <w:rFonts w:eastAsia="Times New Roman"/>
          <w:bCs/>
          <w:lang w:val="fr-CA"/>
        </w:rPr>
        <w:t xml:space="preserve">Robles-Osorio MaL, Zacarías-Rangel V, García-Solís P, Hernández-Montiel HL, Solís JC, et al. </w:t>
      </w:r>
      <w:r w:rsidRPr="008568C0">
        <w:rPr>
          <w:rFonts w:eastAsia="Times New Roman"/>
          <w:bCs/>
        </w:rPr>
        <w:t>Prevalence of thyroid function test abnormalities and anti-thyroid antibodies an open population in central México. Revista de Investigacion Clinica. 2014. 66:113</w:t>
      </w:r>
    </w:p>
    <w:p w14:paraId="52C7A374" w14:textId="77777777" w:rsidR="008568C0" w:rsidRPr="008568C0" w:rsidRDefault="008568C0" w:rsidP="008568C0">
      <w:pPr>
        <w:rPr>
          <w:rFonts w:eastAsia="Times New Roman"/>
          <w:bCs/>
        </w:rPr>
      </w:pPr>
      <w:r w:rsidRPr="008568C0">
        <w:rPr>
          <w:rFonts w:eastAsia="Times New Roman"/>
          <w:bCs/>
        </w:rPr>
        <w:t>Rosario PW, Calsolari MR. TSH reference range in older adults: A Brazilian study. Arquivos Brasileiros de Endocrinologia e Metabologia. 2014. 58:389</w:t>
      </w:r>
    </w:p>
    <w:p w14:paraId="4FD67ED1" w14:textId="77777777" w:rsidR="008568C0" w:rsidRPr="008568C0" w:rsidRDefault="008568C0" w:rsidP="008568C0">
      <w:pPr>
        <w:rPr>
          <w:rFonts w:eastAsia="Times New Roman"/>
          <w:bCs/>
        </w:rPr>
      </w:pPr>
      <w:r w:rsidRPr="008568C0">
        <w:rPr>
          <w:rFonts w:eastAsia="Times New Roman"/>
          <w:bCs/>
        </w:rPr>
        <w:t>Ross DS. Subclinical hypothyroidism: When to treat, when to watch. Consultant. 2011. 51:769</w:t>
      </w:r>
    </w:p>
    <w:p w14:paraId="72CC046B" w14:textId="77777777" w:rsidR="008568C0" w:rsidRPr="008568C0" w:rsidRDefault="008568C0" w:rsidP="008568C0">
      <w:pPr>
        <w:rPr>
          <w:rFonts w:eastAsia="Times New Roman"/>
          <w:bCs/>
        </w:rPr>
      </w:pPr>
      <w:r w:rsidRPr="008568C0">
        <w:rPr>
          <w:rFonts w:eastAsia="Times New Roman"/>
          <w:bCs/>
        </w:rPr>
        <w:t>Rugge JB,​ Bougatsos C,​ Chou R. Screening and treatment of thyroid dysfunction: An evidence review for the U.S. preventive services task force. Annals of Internal Medicine. 2015. 162:35</w:t>
      </w:r>
    </w:p>
    <w:p w14:paraId="17D27DAD" w14:textId="77777777" w:rsidR="008568C0" w:rsidRPr="008568C0" w:rsidRDefault="008568C0" w:rsidP="008568C0">
      <w:pPr>
        <w:rPr>
          <w:rFonts w:eastAsia="Times New Roman"/>
          <w:bCs/>
        </w:rPr>
      </w:pPr>
      <w:r w:rsidRPr="008568C0">
        <w:rPr>
          <w:rFonts w:eastAsia="Times New Roman"/>
          <w:bCs/>
        </w:rPr>
        <w:t>Saigal P, Sharma U. Does levothyroxine supplementation reduce subjective symptoms in patients with subclinical hypothyroidism?. Evidence-Based Practice. 2012. 15:9</w:t>
      </w:r>
    </w:p>
    <w:p w14:paraId="012C129E" w14:textId="77777777" w:rsidR="008568C0" w:rsidRPr="008568C0" w:rsidRDefault="008568C0" w:rsidP="008568C0">
      <w:pPr>
        <w:rPr>
          <w:rFonts w:eastAsia="Times New Roman"/>
          <w:bCs/>
        </w:rPr>
      </w:pPr>
      <w:r w:rsidRPr="008568C0">
        <w:rPr>
          <w:rFonts w:eastAsia="Times New Roman"/>
          <w:bCs/>
        </w:rPr>
        <w:t>Samuels MaryH, Irina Kolobova, Anne Smeraglio, Dawn Peters, Purnell JonathanQ, et al. Effects of Levothyroxine Replacement or Suppressive Therapy on Energy Expenditure and Body Composition.. Thyroid. 2016. 26:347</w:t>
      </w:r>
    </w:p>
    <w:p w14:paraId="12D2F6CA" w14:textId="77777777" w:rsidR="008568C0" w:rsidRPr="008568C0" w:rsidRDefault="008568C0" w:rsidP="008568C0">
      <w:pPr>
        <w:rPr>
          <w:rFonts w:eastAsia="Times New Roman"/>
          <w:bCs/>
        </w:rPr>
      </w:pPr>
      <w:r w:rsidRPr="008568C0">
        <w:rPr>
          <w:rFonts w:eastAsia="Times New Roman"/>
          <w:bCs/>
        </w:rPr>
        <w:t>Samuels MH. Subclinical Hypothyroidism and Depression: Is There a Link?. Journal of Clinical Endocrinology and Metabolism. 2018. 103:2061</w:t>
      </w:r>
    </w:p>
    <w:p w14:paraId="4252707C" w14:textId="77777777" w:rsidR="008568C0" w:rsidRPr="00451864" w:rsidRDefault="008568C0" w:rsidP="008568C0">
      <w:pPr>
        <w:rPr>
          <w:rFonts w:eastAsia="Times New Roman"/>
          <w:bCs/>
          <w:lang w:val="fr-CA"/>
        </w:rPr>
      </w:pPr>
      <w:r w:rsidRPr="008568C0">
        <w:rPr>
          <w:rFonts w:eastAsia="Times New Roman"/>
          <w:bCs/>
        </w:rPr>
        <w:lastRenderedPageBreak/>
        <w:t xml:space="preserve">Schalin-Jäntti C, Ojala AK, Pitkälä KH, Tilvis RS, Strandberg TE. Thyroid-stimulating hormone and mortality in older people. Journal of the American Geriatrics Society. </w:t>
      </w:r>
      <w:r w:rsidRPr="00451864">
        <w:rPr>
          <w:rFonts w:eastAsia="Times New Roman"/>
          <w:bCs/>
          <w:lang w:val="fr-CA"/>
        </w:rPr>
        <w:t>2013. 61:1823</w:t>
      </w:r>
    </w:p>
    <w:p w14:paraId="6FB226DD" w14:textId="77777777" w:rsidR="008568C0" w:rsidRPr="008568C0" w:rsidRDefault="008568C0" w:rsidP="008568C0">
      <w:pPr>
        <w:rPr>
          <w:rFonts w:eastAsia="Times New Roman"/>
          <w:bCs/>
        </w:rPr>
      </w:pPr>
      <w:r w:rsidRPr="00B415B2">
        <w:rPr>
          <w:rFonts w:eastAsia="Times New Roman"/>
          <w:bCs/>
          <w:lang w:val="fr-CA"/>
        </w:rPr>
        <w:t xml:space="preserve">Sgarbi JA, Matsumura LK, Kasamatsu TS, Ferreira SR, Maciel RMB. </w:t>
      </w:r>
      <w:r w:rsidRPr="008568C0">
        <w:rPr>
          <w:rFonts w:eastAsia="Times New Roman"/>
          <w:bCs/>
        </w:rPr>
        <w:t>Subclinical thyroid dysfunctions are independent risk factors for mortality in a 7.5-year follow-up: The Japanese-Brazilian thyroid study. European Journal of Endocrinology. 2010. 162:569</w:t>
      </w:r>
    </w:p>
    <w:p w14:paraId="2089DE54" w14:textId="77777777" w:rsidR="008568C0" w:rsidRPr="008568C0" w:rsidRDefault="008568C0" w:rsidP="008568C0">
      <w:pPr>
        <w:rPr>
          <w:rFonts w:eastAsia="Times New Roman"/>
          <w:bCs/>
        </w:rPr>
      </w:pPr>
      <w:r w:rsidRPr="00B23B80">
        <w:rPr>
          <w:rFonts w:eastAsia="Times New Roman"/>
          <w:bCs/>
          <w:lang w:val="fr-CA"/>
        </w:rPr>
        <w:t xml:space="preserve">Sgarbi JA, Teixeira PFS, Maciel LMZ, Mazeto GMFS, Vaisman M, et al. </w:t>
      </w:r>
      <w:r w:rsidRPr="008568C0">
        <w:rPr>
          <w:rFonts w:eastAsia="Times New Roman"/>
          <w:bCs/>
        </w:rPr>
        <w:t>The Brazilian consensus for the clinical approach and treatment of subclinical hypothyroidism in adults: Recommendations of the thyroid department of the Brazilian Society of Endocrinology and Metabolism. Arquivos Brasileiros de Endocrinologia e Metabologia. 2013. 57:166</w:t>
      </w:r>
    </w:p>
    <w:p w14:paraId="642301AC" w14:textId="77777777" w:rsidR="008568C0" w:rsidRPr="008568C0" w:rsidRDefault="008568C0" w:rsidP="008568C0">
      <w:pPr>
        <w:rPr>
          <w:rFonts w:eastAsia="Times New Roman"/>
          <w:bCs/>
        </w:rPr>
      </w:pPr>
      <w:r w:rsidRPr="008568C0">
        <w:rPr>
          <w:rFonts w:eastAsia="Times New Roman"/>
          <w:bCs/>
        </w:rPr>
        <w:t>Shah R. In older adults with subclinical hypothyroidism, levothyroxine did not improve symptoms or tiredness. Annals of Internal Medicine. 2017. 167:JC14</w:t>
      </w:r>
    </w:p>
    <w:p w14:paraId="2E04166D" w14:textId="77777777" w:rsidR="008568C0" w:rsidRPr="008568C0" w:rsidRDefault="008568C0" w:rsidP="008568C0">
      <w:pPr>
        <w:rPr>
          <w:rFonts w:eastAsia="Times New Roman"/>
          <w:bCs/>
        </w:rPr>
      </w:pPr>
      <w:r w:rsidRPr="008568C0">
        <w:rPr>
          <w:rFonts w:eastAsia="Times New Roman"/>
          <w:bCs/>
        </w:rPr>
        <w:t>Sharma AK, R. Arya, R. Mehta, R. Sharma, A. K. Sharma. Hypothyroidism and cardiovascular disease: Factors, mechanism and future perspectives. Current medicinal chemistry. 2013. 20:4411</w:t>
      </w:r>
    </w:p>
    <w:p w14:paraId="6DDD1F7F" w14:textId="77777777" w:rsidR="008568C0" w:rsidRPr="008568C0" w:rsidRDefault="008568C0" w:rsidP="008568C0">
      <w:pPr>
        <w:rPr>
          <w:rFonts w:eastAsia="Times New Roman"/>
          <w:bCs/>
        </w:rPr>
      </w:pPr>
      <w:r w:rsidRPr="008568C0">
        <w:rPr>
          <w:rFonts w:eastAsia="Times New Roman"/>
          <w:bCs/>
        </w:rPr>
        <w:t>Sharma N, Sharma LK, Dutta D, Gadpayle AK, Anand A, et al. Prevalence and predictors of thyroid dysfunction in patients with HIV infection and acquired immunodeficiency syndrome: An Indian perspective. Journal of Thyroid Research. 2015. 2015:#pages#</w:t>
      </w:r>
    </w:p>
    <w:p w14:paraId="570E4B6A" w14:textId="77777777" w:rsidR="008568C0" w:rsidRPr="008568C0" w:rsidRDefault="008568C0" w:rsidP="008568C0">
      <w:pPr>
        <w:rPr>
          <w:rFonts w:eastAsia="Times New Roman"/>
          <w:bCs/>
        </w:rPr>
      </w:pPr>
      <w:r w:rsidRPr="008568C0">
        <w:rPr>
          <w:rFonts w:eastAsia="Times New Roman"/>
          <w:bCs/>
        </w:rPr>
        <w:t>Shin DH, Lee MJ, Lee HS, Oh HJ, Ko KI, et al. Thyroid hormone replacement therapy attenuates the decline of renal function in chronic kidney disease patients with subclinical hypothyroidism. Thyroid. 2013. 23:654</w:t>
      </w:r>
    </w:p>
    <w:p w14:paraId="5A6FFA26" w14:textId="77777777" w:rsidR="008568C0" w:rsidRPr="008568C0" w:rsidRDefault="008568C0" w:rsidP="008568C0">
      <w:pPr>
        <w:rPr>
          <w:rFonts w:eastAsia="Times New Roman"/>
          <w:bCs/>
        </w:rPr>
      </w:pPr>
      <w:r w:rsidRPr="008568C0">
        <w:rPr>
          <w:rFonts w:eastAsia="Times New Roman"/>
          <w:bCs/>
        </w:rPr>
        <w:t>Sikandar HK, S. M. Manzoor, N. K. Niazi, N. Asif, A. Ijaz, N. Fazal. Association of metabolic risks with subclinical hypothyroidism: A cross-sectional analysis. Pakistan Journal of Medical Sciences. 2018. 34:357</w:t>
      </w:r>
    </w:p>
    <w:p w14:paraId="14DC5913" w14:textId="77777777" w:rsidR="008568C0" w:rsidRPr="008568C0" w:rsidRDefault="008568C0" w:rsidP="008568C0">
      <w:pPr>
        <w:rPr>
          <w:rFonts w:eastAsia="Times New Roman"/>
          <w:bCs/>
        </w:rPr>
      </w:pPr>
      <w:r w:rsidRPr="008568C0">
        <w:rPr>
          <w:rFonts w:eastAsia="Times New Roman"/>
          <w:bCs/>
        </w:rPr>
        <w:t>Solini A, F. Monzani. Hypothyroidism and intermediate metabolism: A complex relationship. Thyroid. 2010. 20:837</w:t>
      </w:r>
    </w:p>
    <w:p w14:paraId="6451FC80" w14:textId="77777777" w:rsidR="008568C0" w:rsidRPr="008568C0" w:rsidRDefault="008568C0" w:rsidP="008568C0">
      <w:pPr>
        <w:rPr>
          <w:rFonts w:eastAsia="Times New Roman"/>
          <w:bCs/>
        </w:rPr>
      </w:pPr>
      <w:r w:rsidRPr="008568C0">
        <w:rPr>
          <w:rFonts w:eastAsia="Times New Roman"/>
          <w:bCs/>
        </w:rPr>
        <w:t>Stern RA, Hennessey JV. Screening for thyroid dysfunction. Annals of Internal Medicine. 2015. 163:564</w:t>
      </w:r>
    </w:p>
    <w:p w14:paraId="3850A918" w14:textId="77777777" w:rsidR="008568C0" w:rsidRPr="008568C0" w:rsidRDefault="008568C0" w:rsidP="008568C0">
      <w:pPr>
        <w:rPr>
          <w:rFonts w:eastAsia="Times New Roman"/>
          <w:bCs/>
        </w:rPr>
      </w:pPr>
      <w:r w:rsidRPr="008568C0">
        <w:rPr>
          <w:rFonts w:eastAsia="Times New Roman"/>
          <w:bCs/>
        </w:rPr>
        <w:t>Surks MI, Goswami G, Daniels GH. The thyrotropin reference range should remain unchanged. Journal of Clinical Endocrinology and Metabolism. 2005. 90:5489</w:t>
      </w:r>
    </w:p>
    <w:p w14:paraId="0973DB75" w14:textId="77777777" w:rsidR="008568C0" w:rsidRPr="008568C0" w:rsidRDefault="008568C0" w:rsidP="008568C0">
      <w:pPr>
        <w:rPr>
          <w:rFonts w:eastAsia="Times New Roman"/>
          <w:bCs/>
        </w:rPr>
      </w:pPr>
      <w:r w:rsidRPr="008568C0">
        <w:rPr>
          <w:rFonts w:eastAsia="Times New Roman"/>
          <w:bCs/>
        </w:rPr>
        <w:t>Surks MI, Ortiz E, Daniels GH, Sawin CT, Col NF, et al. Subclinical Thyroid Disease: Scientific Review and Guidelines for Diagnosis and Management. Journal of the American Medical Association. 2004. 291:228</w:t>
      </w:r>
    </w:p>
    <w:p w14:paraId="3CB6D3E6" w14:textId="77777777" w:rsidR="008568C0" w:rsidRPr="00451864" w:rsidRDefault="008568C0" w:rsidP="008568C0">
      <w:pPr>
        <w:rPr>
          <w:rFonts w:eastAsia="Times New Roman"/>
          <w:bCs/>
          <w:lang w:val="fr-CA"/>
        </w:rPr>
      </w:pPr>
      <w:r w:rsidRPr="008568C0">
        <w:rPr>
          <w:rFonts w:eastAsia="Times New Roman"/>
          <w:bCs/>
        </w:rPr>
        <w:t xml:space="preserve">Svare A, Nilsen TIL, Bjøro T, Åsvold BO, Langhammer A. Serum TSH related to measures of body mass: Longitudinal data from the HUNT Study, Norway. </w:t>
      </w:r>
      <w:r w:rsidRPr="00451864">
        <w:rPr>
          <w:rFonts w:eastAsia="Times New Roman"/>
          <w:bCs/>
          <w:lang w:val="fr-CA"/>
        </w:rPr>
        <w:t>Clinical endocrinology. 2011. 74:769</w:t>
      </w:r>
    </w:p>
    <w:p w14:paraId="4CEBE177" w14:textId="77777777" w:rsidR="008568C0" w:rsidRPr="008568C0" w:rsidRDefault="008568C0" w:rsidP="008568C0">
      <w:pPr>
        <w:rPr>
          <w:rFonts w:eastAsia="Times New Roman"/>
          <w:bCs/>
        </w:rPr>
      </w:pPr>
      <w:r w:rsidRPr="00B415B2">
        <w:rPr>
          <w:rFonts w:eastAsia="Times New Roman"/>
          <w:bCs/>
          <w:lang w:val="fr-CA"/>
        </w:rPr>
        <w:t xml:space="preserve">Tagami T, Kimura H, Ohtani S, Tanaka T, Tanaka T, et al. </w:t>
      </w:r>
      <w:r w:rsidRPr="008568C0">
        <w:rPr>
          <w:rFonts w:eastAsia="Times New Roman"/>
          <w:bCs/>
        </w:rPr>
        <w:t>Multi-center study on the prevalence of hypothyroidism in patients with hypercholesterolemia. Endocrine journal. 2011. 58:449</w:t>
      </w:r>
    </w:p>
    <w:p w14:paraId="103573F1" w14:textId="77777777" w:rsidR="008568C0" w:rsidRPr="008568C0" w:rsidRDefault="008568C0" w:rsidP="008568C0">
      <w:pPr>
        <w:rPr>
          <w:rFonts w:eastAsia="Times New Roman"/>
          <w:bCs/>
        </w:rPr>
      </w:pPr>
      <w:r w:rsidRPr="008568C0">
        <w:rPr>
          <w:rFonts w:eastAsia="Times New Roman"/>
          <w:bCs/>
        </w:rPr>
        <w:lastRenderedPageBreak/>
        <w:t>Takashima N, Niwa Y, Mannami T, Tomoike H, Iwai N. Characterization of subclinical thyroid dysfunction from cardiovascular and metabolic viewpoints - The Suita study. Circulation Journal. 2007. 71:191</w:t>
      </w:r>
    </w:p>
    <w:p w14:paraId="6DAD92A1" w14:textId="77777777" w:rsidR="008568C0" w:rsidRPr="008568C0" w:rsidRDefault="008568C0" w:rsidP="008568C0">
      <w:pPr>
        <w:rPr>
          <w:rFonts w:eastAsia="Times New Roman"/>
          <w:bCs/>
        </w:rPr>
      </w:pPr>
      <w:r w:rsidRPr="008568C0">
        <w:rPr>
          <w:rFonts w:eastAsia="Times New Roman"/>
          <w:bCs/>
        </w:rPr>
        <w:t>Taylor PN, Iqbal A, Minassian C, Sayers A, Draman MS, et al. Falling threshold for treatment of borderline elevated thyrotropin levels - Balancing benefits and risks evidence from a large community-based study. JAMA Internal Medicine. 2014. 174:32</w:t>
      </w:r>
    </w:p>
    <w:p w14:paraId="36DF1F87" w14:textId="77777777" w:rsidR="008568C0" w:rsidRPr="008568C0" w:rsidRDefault="008568C0" w:rsidP="008568C0">
      <w:pPr>
        <w:rPr>
          <w:rFonts w:eastAsia="Times New Roman"/>
          <w:bCs/>
        </w:rPr>
      </w:pPr>
      <w:r w:rsidRPr="008568C0">
        <w:rPr>
          <w:rFonts w:eastAsia="Times New Roman"/>
          <w:bCs/>
        </w:rPr>
        <w:t>Tng EL. The debate on treating subclinical hypothyroidism. Singapore medical journal. 2016. 57:539</w:t>
      </w:r>
    </w:p>
    <w:p w14:paraId="28C94D65" w14:textId="77777777" w:rsidR="008568C0" w:rsidRPr="008568C0" w:rsidRDefault="008568C0" w:rsidP="008568C0">
      <w:pPr>
        <w:rPr>
          <w:rFonts w:eastAsia="Times New Roman"/>
          <w:bCs/>
        </w:rPr>
      </w:pPr>
      <w:r w:rsidRPr="008568C0">
        <w:rPr>
          <w:rFonts w:eastAsia="Times New Roman"/>
          <w:bCs/>
        </w:rPr>
        <w:t>Tognini S, Pasqualetti G, Calsolaro V, Polini A, Monzani F. Cognitive function and quality of life in mild thyroid hormone deficiency.. Recent Patents on Endocrine, Metabolic &amp; Immune Drug Discovery. 2014. 8:124.</w:t>
      </w:r>
    </w:p>
    <w:p w14:paraId="4DAADCE1" w14:textId="77777777" w:rsidR="008568C0" w:rsidRPr="008568C0" w:rsidRDefault="008568C0" w:rsidP="008568C0">
      <w:pPr>
        <w:rPr>
          <w:rFonts w:eastAsia="Times New Roman"/>
          <w:bCs/>
        </w:rPr>
      </w:pPr>
      <w:r w:rsidRPr="008568C0">
        <w:rPr>
          <w:rFonts w:eastAsia="Times New Roman"/>
          <w:bCs/>
        </w:rPr>
        <w:t>Tognini S, Polini A, Pasqualetti G, Ursino S, Caraccio N, et al. Age and gender substantially influence the relationship between thyroid status and the lipoprotein profile: Results from a large cross-sectional study. Thyroid. 2012. 22:1096</w:t>
      </w:r>
    </w:p>
    <w:p w14:paraId="2EE87EA1" w14:textId="77777777" w:rsidR="008568C0" w:rsidRPr="008568C0" w:rsidRDefault="008568C0" w:rsidP="008568C0">
      <w:pPr>
        <w:rPr>
          <w:rFonts w:eastAsia="Times New Roman"/>
          <w:bCs/>
        </w:rPr>
      </w:pPr>
      <w:r w:rsidRPr="008568C0">
        <w:rPr>
          <w:rFonts w:eastAsia="Times New Roman"/>
          <w:bCs/>
        </w:rPr>
        <w:t>USPSTF. Screening for thyroid dysfunction: Recommendation statement. American Family Physician. 2015. 91:790A</w:t>
      </w:r>
    </w:p>
    <w:p w14:paraId="284EA6A1" w14:textId="77777777" w:rsidR="008568C0" w:rsidRPr="008568C0" w:rsidRDefault="008568C0" w:rsidP="008568C0">
      <w:pPr>
        <w:rPr>
          <w:rFonts w:eastAsia="Times New Roman"/>
          <w:bCs/>
        </w:rPr>
      </w:pPr>
      <w:r w:rsidRPr="008568C0">
        <w:rPr>
          <w:rFonts w:eastAsia="Times New Roman"/>
          <w:bCs/>
        </w:rPr>
        <w:t>Uzun MK, N. Taş, J. Meray, M. Çölbay, I. Yetkin. Evaluation of muscle strength and fatigue using isokinetic testing in hypothyroid patients. Turkiye Fiziksel Tip ve Rehabilitasyon Dergisi. 2013. 59:286</w:t>
      </w:r>
    </w:p>
    <w:p w14:paraId="6C5B348B" w14:textId="77777777" w:rsidR="008568C0" w:rsidRPr="008568C0" w:rsidRDefault="008568C0" w:rsidP="008568C0">
      <w:pPr>
        <w:rPr>
          <w:rFonts w:eastAsia="Times New Roman"/>
          <w:bCs/>
        </w:rPr>
      </w:pPr>
      <w:r w:rsidRPr="008568C0">
        <w:rPr>
          <w:rFonts w:eastAsia="Times New Roman"/>
          <w:bCs/>
        </w:rPr>
        <w:t>Uzunlulu M, E. Yorulmaz, A. Oguz. Prevalence of subclinical hypothyroidism in patients with metabolic syndrome. Endocrine journal. 2007. 54:71</w:t>
      </w:r>
    </w:p>
    <w:p w14:paraId="01FBB255" w14:textId="77777777" w:rsidR="008568C0" w:rsidRPr="00B415B2" w:rsidRDefault="008568C0" w:rsidP="008568C0">
      <w:pPr>
        <w:rPr>
          <w:rFonts w:eastAsia="Times New Roman"/>
          <w:bCs/>
          <w:lang w:val="fr-CA"/>
        </w:rPr>
      </w:pPr>
      <w:r w:rsidRPr="008568C0">
        <w:rPr>
          <w:rFonts w:eastAsia="Times New Roman"/>
          <w:bCs/>
        </w:rPr>
        <w:t xml:space="preserve">Valencia WM, Florez H. Endocrinology. Geriatrics for Specialists. </w:t>
      </w:r>
      <w:r w:rsidRPr="00B415B2">
        <w:rPr>
          <w:rFonts w:eastAsia="Times New Roman"/>
          <w:bCs/>
          <w:lang w:val="fr-CA"/>
        </w:rPr>
        <w:t>2016. #volume#:269</w:t>
      </w:r>
    </w:p>
    <w:p w14:paraId="2FF527D8" w14:textId="77777777" w:rsidR="008568C0" w:rsidRPr="008568C0" w:rsidRDefault="008568C0" w:rsidP="008568C0">
      <w:pPr>
        <w:rPr>
          <w:rFonts w:eastAsia="Times New Roman"/>
          <w:bCs/>
        </w:rPr>
      </w:pPr>
      <w:r w:rsidRPr="00B415B2">
        <w:rPr>
          <w:rFonts w:eastAsia="Times New Roman"/>
          <w:bCs/>
          <w:lang w:val="fr-CA"/>
        </w:rPr>
        <w:t xml:space="preserve">Veltri F, Rocha FO, Willems D, -P Praet J, Grabczan L, et al. </w:t>
      </w:r>
      <w:r w:rsidRPr="008568C0">
        <w:rPr>
          <w:rFonts w:eastAsia="Times New Roman"/>
          <w:bCs/>
        </w:rPr>
        <w:t>Prevalence of thyroid dysfunction and autoimmunity in the elderly older population and implications of age-specific reference ranges. Clinica Chimica Acta. 2017. 465:34</w:t>
      </w:r>
    </w:p>
    <w:p w14:paraId="6B064F74" w14:textId="77777777" w:rsidR="008568C0" w:rsidRPr="00B415B2" w:rsidRDefault="008568C0" w:rsidP="008568C0">
      <w:pPr>
        <w:rPr>
          <w:rFonts w:eastAsia="Times New Roman"/>
          <w:bCs/>
          <w:lang w:val="fr-CA"/>
        </w:rPr>
      </w:pPr>
      <w:r w:rsidRPr="008568C0">
        <w:rPr>
          <w:rFonts w:eastAsia="Times New Roman"/>
          <w:bCs/>
        </w:rPr>
        <w:t xml:space="preserve">Verburg FrederikA, Inge Grelle, Kathrin Tatschner, Christoph Reiners, Markus Luster. Prevalence of thyroid disorders in elderly people in Germany. A screening study in a country with endemic goitre.. Nuclear-Medizin. </w:t>
      </w:r>
      <w:r w:rsidRPr="00B415B2">
        <w:rPr>
          <w:rFonts w:eastAsia="Times New Roman"/>
          <w:bCs/>
          <w:lang w:val="fr-CA"/>
        </w:rPr>
        <w:t>2017. 56:9</w:t>
      </w:r>
    </w:p>
    <w:p w14:paraId="6C22F8A5" w14:textId="77777777" w:rsidR="008568C0" w:rsidRPr="008568C0" w:rsidRDefault="008568C0" w:rsidP="008568C0">
      <w:pPr>
        <w:rPr>
          <w:rFonts w:eastAsia="Times New Roman"/>
          <w:bCs/>
        </w:rPr>
      </w:pPr>
      <w:r w:rsidRPr="00B415B2">
        <w:rPr>
          <w:rFonts w:eastAsia="Times New Roman"/>
          <w:bCs/>
          <w:lang w:val="fr-CA"/>
        </w:rPr>
        <w:t xml:space="preserve">Vitale G, M. Galderisi, G. A. Lupoli, A. Celentano, I. Pietropaolo, N. Parenti, O. De Divitiis, G. Lupoli. </w:t>
      </w:r>
      <w:r w:rsidRPr="008568C0">
        <w:rPr>
          <w:rFonts w:eastAsia="Times New Roman"/>
          <w:bCs/>
        </w:rPr>
        <w:t>Left ventricular myocardial impairment in subclinical hypothyroidism assessed by a new ultrasound tool: Pulsed tissue doppler. Journal of Clinical Endocrinology and Metabolism. 2002. 87:4350</w:t>
      </w:r>
    </w:p>
    <w:p w14:paraId="14A9B42D" w14:textId="77777777" w:rsidR="008568C0" w:rsidRPr="00B415B2" w:rsidRDefault="008568C0" w:rsidP="008568C0">
      <w:pPr>
        <w:rPr>
          <w:rFonts w:eastAsia="Times New Roman"/>
          <w:bCs/>
          <w:lang w:val="fr-CA"/>
        </w:rPr>
      </w:pPr>
      <w:r w:rsidRPr="008568C0">
        <w:rPr>
          <w:rFonts w:eastAsia="Times New Roman"/>
          <w:bCs/>
        </w:rPr>
        <w:t xml:space="preserve">Walsh JP, Bremner AP, Bulsara MK, O'Leary P, Leedman PJ, et al. Thyroid dysfunction and serum lipids: A community-based study. </w:t>
      </w:r>
      <w:r w:rsidRPr="00B23B80">
        <w:rPr>
          <w:rFonts w:eastAsia="Times New Roman"/>
          <w:bCs/>
        </w:rPr>
        <w:t xml:space="preserve">Clinical endocrinology. 2005. </w:t>
      </w:r>
      <w:r w:rsidRPr="00B415B2">
        <w:rPr>
          <w:rFonts w:eastAsia="Times New Roman"/>
          <w:bCs/>
          <w:lang w:val="fr-CA"/>
        </w:rPr>
        <w:t>63:670</w:t>
      </w:r>
    </w:p>
    <w:p w14:paraId="4D71DAEB" w14:textId="77777777" w:rsidR="008568C0" w:rsidRPr="008568C0" w:rsidRDefault="008568C0" w:rsidP="008568C0">
      <w:pPr>
        <w:rPr>
          <w:rFonts w:eastAsia="Times New Roman"/>
          <w:bCs/>
        </w:rPr>
      </w:pPr>
      <w:r w:rsidRPr="00B415B2">
        <w:rPr>
          <w:rFonts w:eastAsia="Times New Roman"/>
          <w:bCs/>
          <w:lang w:val="fr-CA"/>
        </w:rPr>
        <w:t xml:space="preserve">Wang J, Ma X, Qu S, Li Y, Han L, et al. </w:t>
      </w:r>
      <w:r w:rsidRPr="008568C0">
        <w:rPr>
          <w:rFonts w:eastAsia="Times New Roman"/>
          <w:bCs/>
        </w:rPr>
        <w:t>High prevalence of subclinical thyroid dysfunction and the relationship between thyrotropin levels and cardiovascular risk factors in residents of the coastal area of China. Experimental and Clinical Cardiology. 2013. 18:e16</w:t>
      </w:r>
    </w:p>
    <w:p w14:paraId="23E84888" w14:textId="77777777" w:rsidR="008568C0" w:rsidRPr="008568C0" w:rsidRDefault="008568C0" w:rsidP="008568C0">
      <w:pPr>
        <w:rPr>
          <w:rFonts w:eastAsia="Times New Roman"/>
          <w:bCs/>
        </w:rPr>
      </w:pPr>
      <w:r w:rsidRPr="00B23B80">
        <w:rPr>
          <w:rFonts w:eastAsia="Times New Roman"/>
          <w:bCs/>
          <w:lang w:val="fr-CA"/>
        </w:rPr>
        <w:lastRenderedPageBreak/>
        <w:t xml:space="preserve">Werneck FZ, E. F. Coelho, J. R. P. De Lima, M. C. Laterza, M. M. Barral, P. D. F. D. S. Teixeira, M. Vaisman. </w:t>
      </w:r>
      <w:r w:rsidRPr="008568C0">
        <w:rPr>
          <w:rFonts w:eastAsia="Times New Roman"/>
          <w:bCs/>
        </w:rPr>
        <w:t>Pulmonary oxygen uptake kinetics during exercise in subclinical hypothyroidism. Thyroid. 2014. 24:931</w:t>
      </w:r>
    </w:p>
    <w:p w14:paraId="2133571C" w14:textId="77777777" w:rsidR="008568C0" w:rsidRPr="008568C0" w:rsidRDefault="008568C0" w:rsidP="008568C0">
      <w:pPr>
        <w:rPr>
          <w:rFonts w:eastAsia="Times New Roman"/>
          <w:bCs/>
        </w:rPr>
      </w:pPr>
      <w:r w:rsidRPr="008568C0">
        <w:rPr>
          <w:rFonts w:eastAsia="Times New Roman"/>
          <w:bCs/>
        </w:rPr>
        <w:t>Wiersinga WM. Should we treat mild subclinical/mild hyperthyroidism? Yes. European journal of internal medicine. 2011. 22:324</w:t>
      </w:r>
    </w:p>
    <w:p w14:paraId="49A18E82" w14:textId="77777777" w:rsidR="008568C0" w:rsidRPr="008568C0" w:rsidRDefault="008568C0" w:rsidP="008568C0">
      <w:pPr>
        <w:rPr>
          <w:rFonts w:eastAsia="Times New Roman"/>
          <w:bCs/>
        </w:rPr>
      </w:pPr>
      <w:r w:rsidRPr="008568C0">
        <w:rPr>
          <w:rFonts w:eastAsia="Times New Roman"/>
          <w:bCs/>
        </w:rPr>
        <w:t>Wirth CD, Blum MR, da Costa BR, Baumgartner C, Collet TH, et al. Subclinical thyroid dysfunction and the risk for fractures: a systematic review and meta-analysis. Annals of Internal Medicine. 2014. 161:189.</w:t>
      </w:r>
    </w:p>
    <w:p w14:paraId="55E4FA0D" w14:textId="77777777" w:rsidR="008568C0" w:rsidRPr="008568C0" w:rsidRDefault="008568C0" w:rsidP="008568C0">
      <w:pPr>
        <w:rPr>
          <w:rFonts w:eastAsia="Times New Roman"/>
          <w:bCs/>
        </w:rPr>
      </w:pPr>
      <w:r w:rsidRPr="008568C0">
        <w:rPr>
          <w:rFonts w:eastAsia="Times New Roman"/>
          <w:bCs/>
        </w:rPr>
        <w:t>Xu YY, J. Liang, Y. Cao, F. Shan, Y. Liu, Q. -R Xia. High levels of Nesfatin-I in relation to the dysfunction of the hypothalamic-pituitary-adrenal and hypothalamus-pituitary-thyroid axes in depressed patients with subclinical hypothyroidism. Neuropsychiatric Disease and Treatment. 2017. 13:1647</w:t>
      </w:r>
    </w:p>
    <w:p w14:paraId="4C59A2FB" w14:textId="77777777" w:rsidR="008568C0" w:rsidRPr="008568C0" w:rsidRDefault="008568C0" w:rsidP="008568C0">
      <w:pPr>
        <w:rPr>
          <w:rFonts w:eastAsia="Times New Roman"/>
          <w:bCs/>
        </w:rPr>
      </w:pPr>
      <w:r w:rsidRPr="008568C0">
        <w:rPr>
          <w:rFonts w:eastAsia="Times New Roman"/>
          <w:bCs/>
        </w:rPr>
        <w:t>Yao Z, X. Gao, M. Liu, Z. Chen, N. Yang, Y. -M Jia, X. -M Feng, Y. Xu, X. -C Yang, G. Wang. Diffuse Myocardial Injuries are Present in Subclinical Hypothyroidism: A Clinical Study Using Myocardial T1-mapping Quantification. Scientific Reports. 2018. 8:#pages#</w:t>
      </w:r>
    </w:p>
    <w:p w14:paraId="25CE645B" w14:textId="77777777" w:rsidR="008568C0" w:rsidRPr="008568C0" w:rsidRDefault="008568C0" w:rsidP="008568C0">
      <w:pPr>
        <w:rPr>
          <w:rFonts w:eastAsia="Times New Roman"/>
          <w:bCs/>
        </w:rPr>
      </w:pPr>
      <w:r w:rsidRPr="008568C0">
        <w:rPr>
          <w:rFonts w:eastAsia="Times New Roman"/>
          <w:bCs/>
        </w:rPr>
        <w:t>Yen-Ting Chen, Fen-Yu Tseng, Pei-Lung Chen, Yu-Chao Chi, Der-Sheng Han, et al. Serum Spot 14 concentration is negatively associated with thyroid-stimulating hormone level. Medicine. 2016. 95:e5036</w:t>
      </w:r>
    </w:p>
    <w:p w14:paraId="79ECC37B" w14:textId="77777777" w:rsidR="008568C0" w:rsidRPr="008568C0" w:rsidRDefault="008568C0" w:rsidP="008568C0">
      <w:pPr>
        <w:rPr>
          <w:rFonts w:eastAsia="Times New Roman"/>
          <w:bCs/>
        </w:rPr>
      </w:pPr>
      <w:r w:rsidRPr="008568C0">
        <w:rPr>
          <w:rFonts w:eastAsia="Times New Roman"/>
          <w:bCs/>
        </w:rPr>
        <w:t>Yilmaz H, M. Cakmak, T. Darcin, O. Inan, O. M. Gurel, M. A. Bilgic, N. Bavbek, A. Akcay. Subclinical hypothyroidism in combination with vitamin D deficiency increases the risk of impaired left ventricular diastolic function. Endocrine regulations. 2015. 49:84</w:t>
      </w:r>
    </w:p>
    <w:p w14:paraId="0B145061" w14:textId="77777777" w:rsidR="008568C0" w:rsidRPr="008568C0" w:rsidRDefault="008568C0" w:rsidP="008568C0">
      <w:pPr>
        <w:rPr>
          <w:rFonts w:eastAsia="Times New Roman"/>
          <w:bCs/>
        </w:rPr>
      </w:pPr>
      <w:r w:rsidRPr="008568C0">
        <w:rPr>
          <w:rFonts w:eastAsia="Times New Roman"/>
          <w:bCs/>
        </w:rPr>
        <w:t>Yong Hwang, Won Kim, So Young Kwon, Hyung Min Yu, Jeong Han Kim, et al. Incidence of and risk factors for thyroid dysfunction during peginterferon alpha and ribavirin treatment in patients with chronic hepatitis C.. Korean Journal of Internal Medicine. 2015. 30:792</w:t>
      </w:r>
    </w:p>
    <w:p w14:paraId="255C551C" w14:textId="77777777" w:rsidR="008568C0" w:rsidRPr="00451864" w:rsidRDefault="008568C0" w:rsidP="008568C0">
      <w:pPr>
        <w:rPr>
          <w:rFonts w:eastAsia="Times New Roman"/>
          <w:bCs/>
          <w:lang w:val="fr-CA"/>
        </w:rPr>
      </w:pPr>
      <w:r w:rsidRPr="008568C0">
        <w:rPr>
          <w:rFonts w:eastAsia="Times New Roman"/>
          <w:bCs/>
        </w:rPr>
        <w:t xml:space="preserve">Zhang X, Yi Xie, Caixia Ding, Jing Xiao, Yinyan Tang, Xuemei Jiang, Hua Shan, Yuankai Lin, Yujia Zhu, Chuanyou Li, Dan Hu, Zhixiang Ling, Gelin Xu, Lei Sheng. Subclinical hypothyroidism and risk of cerebral small vessel disease: A hospital-based observational study.. </w:t>
      </w:r>
      <w:r w:rsidRPr="00451864">
        <w:rPr>
          <w:rFonts w:eastAsia="Times New Roman"/>
          <w:bCs/>
          <w:lang w:val="fr-CA"/>
        </w:rPr>
        <w:t>Clinical endocrinology. 2017. 87:581</w:t>
      </w:r>
    </w:p>
    <w:p w14:paraId="6239CBAB" w14:textId="77777777" w:rsidR="008568C0" w:rsidRPr="008568C0" w:rsidRDefault="008568C0" w:rsidP="008568C0">
      <w:pPr>
        <w:rPr>
          <w:rFonts w:eastAsia="Times New Roman"/>
          <w:bCs/>
        </w:rPr>
      </w:pPr>
      <w:r w:rsidRPr="00B415B2">
        <w:rPr>
          <w:rFonts w:eastAsia="Times New Roman"/>
          <w:bCs/>
          <w:lang w:val="fr-CA"/>
        </w:rPr>
        <w:t xml:space="preserve">Zhang Y, Chang Y, Ryu S, Cho J, -Y Lee W, et al. </w:t>
      </w:r>
      <w:r w:rsidRPr="008568C0">
        <w:rPr>
          <w:rFonts w:eastAsia="Times New Roman"/>
          <w:bCs/>
        </w:rPr>
        <w:t>Thyroid hormones and mortality risk in euthyroid individuals: The Kangbuk Samsung health study. Journal of Clinical Endocrinology and Metabolism. 2014. 99:2467</w:t>
      </w:r>
    </w:p>
    <w:p w14:paraId="5E47374F" w14:textId="77777777" w:rsidR="008568C0" w:rsidRPr="00451864" w:rsidRDefault="008568C0" w:rsidP="008568C0">
      <w:pPr>
        <w:rPr>
          <w:rFonts w:eastAsia="Times New Roman"/>
          <w:bCs/>
          <w:lang w:val="fr-CA"/>
        </w:rPr>
      </w:pPr>
      <w:r w:rsidRPr="008568C0">
        <w:rPr>
          <w:rFonts w:eastAsia="Times New Roman"/>
          <w:bCs/>
        </w:rPr>
        <w:t xml:space="preserve">Zhao JV, C. M. Schooling. Thyroid function and ischemic heart disease: A Mendelian randomization study. </w:t>
      </w:r>
      <w:r w:rsidRPr="00451864">
        <w:rPr>
          <w:rFonts w:eastAsia="Times New Roman"/>
          <w:bCs/>
          <w:lang w:val="fr-CA"/>
        </w:rPr>
        <w:t>Scientific Reports. 2017. 7:#pages#</w:t>
      </w:r>
    </w:p>
    <w:p w14:paraId="5EC7550D" w14:textId="6D21C9E2" w:rsidR="008568C0" w:rsidRDefault="008568C0" w:rsidP="008568C0">
      <w:pPr>
        <w:rPr>
          <w:rFonts w:eastAsia="Times New Roman"/>
          <w:bCs/>
        </w:rPr>
      </w:pPr>
      <w:r w:rsidRPr="00B23B80">
        <w:rPr>
          <w:rFonts w:eastAsia="Times New Roman"/>
          <w:bCs/>
        </w:rPr>
        <w:t xml:space="preserve">Zhaowei Meng, Ming Liu, Qing Zhang, Li Liu, Kun Song, et al. </w:t>
      </w:r>
      <w:r w:rsidRPr="008568C0">
        <w:rPr>
          <w:rFonts w:eastAsia="Times New Roman"/>
          <w:bCs/>
        </w:rPr>
        <w:t>Gender and Age Impacts on the Association Between Thyroid Function and Metabolic Syndrome in Chinese. Medicine. 2015. 94:e2193</w:t>
      </w:r>
    </w:p>
    <w:p w14:paraId="03C9FD1A" w14:textId="77777777" w:rsidR="000504F6" w:rsidRPr="005F33A3" w:rsidRDefault="000504F6" w:rsidP="000504F6"/>
    <w:p w14:paraId="76FF7CE6" w14:textId="6FD56453" w:rsidR="000504F6" w:rsidRPr="00174635" w:rsidRDefault="000504F6" w:rsidP="000504F6">
      <w:pPr>
        <w:rPr>
          <w:b/>
        </w:rPr>
      </w:pPr>
      <w:r w:rsidRPr="00174635">
        <w:rPr>
          <w:b/>
          <w:u w:val="single"/>
        </w:rPr>
        <w:t xml:space="preserve">Wrong </w:t>
      </w:r>
      <w:r>
        <w:rPr>
          <w:b/>
          <w:u w:val="single"/>
        </w:rPr>
        <w:t>intervention</w:t>
      </w:r>
      <w:r>
        <w:rPr>
          <w:b/>
        </w:rPr>
        <w:t xml:space="preserve">: n = </w:t>
      </w:r>
      <w:r w:rsidR="000A35A5">
        <w:rPr>
          <w:b/>
        </w:rPr>
        <w:t>22</w:t>
      </w:r>
    </w:p>
    <w:p w14:paraId="125A9408" w14:textId="0C4B12AB" w:rsidR="000A35A5" w:rsidRDefault="000A35A5" w:rsidP="000504F6">
      <w:pPr>
        <w:rPr>
          <w:rFonts w:eastAsia="Times New Roman"/>
          <w:bCs/>
        </w:rPr>
      </w:pPr>
      <w:r w:rsidRPr="000A35A5">
        <w:rPr>
          <w:rFonts w:eastAsia="Times New Roman"/>
          <w:bCs/>
        </w:rPr>
        <w:lastRenderedPageBreak/>
        <w:t>Arinc</w:t>
      </w:r>
      <w:r>
        <w:rPr>
          <w:rFonts w:eastAsia="Times New Roman"/>
          <w:bCs/>
        </w:rPr>
        <w:t xml:space="preserve"> H</w:t>
      </w:r>
      <w:r w:rsidRPr="000A35A5">
        <w:rPr>
          <w:rFonts w:eastAsia="Times New Roman"/>
          <w:bCs/>
        </w:rPr>
        <w:t>, H. Gunduz, A. Tamer, E. Seyfeli, M. Kanat, H. Ozhan, R. Akdemir, H. Celebi, C. Uyan. Evaluation of right ventricular function in patients with thyroid dysfunction. Cardiology. 2006. 105:89</w:t>
      </w:r>
    </w:p>
    <w:p w14:paraId="42677512" w14:textId="77777777" w:rsidR="000504F6" w:rsidRDefault="000504F6" w:rsidP="000504F6">
      <w:pPr>
        <w:rPr>
          <w:rFonts w:eastAsia="Times New Roman"/>
        </w:rPr>
      </w:pPr>
      <w:r w:rsidRPr="00412C46">
        <w:rPr>
          <w:rFonts w:eastAsia="Times New Roman"/>
          <w:bCs/>
        </w:rPr>
        <w:t>Abdel del Busto-Mesa, Julio Oscar Cabrera-Rego, Lisvan Carrero-Fernandez, Cristina Victoria Hernandez-Roca, Jorge Luis Gonzalez-Valdes, et al</w:t>
      </w:r>
      <w:r w:rsidRPr="00412C46">
        <w:rPr>
          <w:rFonts w:eastAsia="Times New Roman"/>
        </w:rPr>
        <w:t xml:space="preserve">. Changes in arterial stiffness, carotid intima-media thickness, and epicardial fat after L-thyroxine replacement therapy in hypothyroidism. </w:t>
      </w:r>
      <w:r w:rsidRPr="00412C46">
        <w:rPr>
          <w:rFonts w:eastAsia="Times New Roman"/>
          <w:i/>
          <w:iCs/>
        </w:rPr>
        <w:t>Endocrinologia y Nutricion.</w:t>
      </w:r>
      <w:r w:rsidRPr="00412C46">
        <w:rPr>
          <w:rFonts w:eastAsia="Times New Roman"/>
        </w:rPr>
        <w:t xml:space="preserve"> 2015. 62:270</w:t>
      </w:r>
      <w:r w:rsidRPr="00412C46">
        <w:rPr>
          <w:rFonts w:eastAsia="Times New Roman"/>
        </w:rPr>
        <w:br/>
      </w:r>
      <w:r w:rsidRPr="00412C46">
        <w:rPr>
          <w:rFonts w:eastAsia="Times New Roman"/>
        </w:rPr>
        <w:br/>
      </w:r>
      <w:r w:rsidRPr="00412C46">
        <w:rPr>
          <w:rFonts w:eastAsia="Times New Roman"/>
          <w:bCs/>
        </w:rPr>
        <w:t>Amati F, Dubé JJ, Stefanovic-Racic M, Toledo FG, Goodpaster BH</w:t>
      </w:r>
      <w:r w:rsidRPr="00412C46">
        <w:rPr>
          <w:rFonts w:eastAsia="Times New Roman"/>
        </w:rPr>
        <w:t xml:space="preserve">. Improvements in insulin sensitivity are blunted by subclinical hypothyroidism. </w:t>
      </w:r>
      <w:r w:rsidRPr="00412C46">
        <w:rPr>
          <w:rFonts w:eastAsia="Times New Roman"/>
          <w:i/>
          <w:iCs/>
        </w:rPr>
        <w:t>Medicine and science in sports and exercise.</w:t>
      </w:r>
      <w:r w:rsidRPr="00412C46">
        <w:rPr>
          <w:rFonts w:eastAsia="Times New Roman"/>
        </w:rPr>
        <w:t xml:space="preserve"> 2009. 41:265</w:t>
      </w:r>
      <w:r w:rsidRPr="00412C46">
        <w:rPr>
          <w:rFonts w:eastAsia="Times New Roman"/>
        </w:rPr>
        <w:br/>
      </w:r>
      <w:r w:rsidRPr="00412C46">
        <w:rPr>
          <w:rFonts w:eastAsia="Times New Roman"/>
        </w:rPr>
        <w:br/>
      </w:r>
      <w:r w:rsidRPr="00412C46">
        <w:rPr>
          <w:rFonts w:eastAsia="Times New Roman"/>
          <w:bCs/>
        </w:rPr>
        <w:t>Andreas Nearchou, Antonis Valachis, Pehr Lind, Olof Akre, Per Sandstrom</w:t>
      </w:r>
      <w:r w:rsidRPr="00412C46">
        <w:rPr>
          <w:rFonts w:eastAsia="Times New Roman"/>
        </w:rPr>
        <w:t xml:space="preserve">. Acquired Hypothyroidism as a Predictive Marker of Outcome in Patients With Metastatic Renal Cell Carcinoma Treated With Tyrosine Kinase Inhibitors: A Literature-Based Meta-Analysis. </w:t>
      </w:r>
      <w:r w:rsidRPr="00412C46">
        <w:rPr>
          <w:rFonts w:eastAsia="Times New Roman"/>
          <w:i/>
          <w:iCs/>
        </w:rPr>
        <w:t>Clinical Genitourinary Cancer.</w:t>
      </w:r>
      <w:r w:rsidRPr="00412C46">
        <w:rPr>
          <w:rFonts w:eastAsia="Times New Roman"/>
        </w:rPr>
        <w:t xml:space="preserve"> 2015. </w:t>
      </w:r>
      <w:r w:rsidRPr="00916146">
        <w:rPr>
          <w:rFonts w:eastAsia="Times New Roman"/>
        </w:rPr>
        <w:t>13:280</w:t>
      </w:r>
      <w:r w:rsidRPr="00916146">
        <w:rPr>
          <w:rFonts w:eastAsia="Times New Roman"/>
        </w:rPr>
        <w:br/>
      </w:r>
      <w:r w:rsidRPr="00916146">
        <w:rPr>
          <w:rFonts w:eastAsia="Times New Roman"/>
        </w:rPr>
        <w:br/>
      </w:r>
      <w:r w:rsidRPr="00916146">
        <w:rPr>
          <w:rFonts w:eastAsia="Times New Roman"/>
          <w:bCs/>
        </w:rPr>
        <w:t>Cabral MD, Teixeira PFS, Silva NAO, Morais FFC, Soares DV, et al</w:t>
      </w:r>
      <w:r w:rsidRPr="00916146">
        <w:rPr>
          <w:rFonts w:eastAsia="Times New Roman"/>
        </w:rPr>
        <w:t xml:space="preserve">. </w:t>
      </w:r>
      <w:r w:rsidRPr="00412C46">
        <w:rPr>
          <w:rFonts w:eastAsia="Times New Roman"/>
        </w:rPr>
        <w:t xml:space="preserve">Normal flow-mediated vasodilatation of the brachial artery and carotid artery intima-media thickness in subclinical hypothyroidism. </w:t>
      </w:r>
      <w:r w:rsidRPr="00412C46">
        <w:rPr>
          <w:rFonts w:eastAsia="Times New Roman"/>
          <w:i/>
          <w:iCs/>
        </w:rPr>
        <w:t>Brazilian Journal of Medical and Biological Research.</w:t>
      </w:r>
      <w:r w:rsidRPr="00412C46">
        <w:rPr>
          <w:rFonts w:eastAsia="Times New Roman"/>
        </w:rPr>
        <w:t xml:space="preserve"> 2009. 42:426</w:t>
      </w:r>
      <w:r w:rsidRPr="00412C46">
        <w:rPr>
          <w:rFonts w:eastAsia="Times New Roman"/>
        </w:rPr>
        <w:br/>
      </w:r>
      <w:r w:rsidRPr="00412C46">
        <w:rPr>
          <w:rFonts w:eastAsia="Times New Roman"/>
        </w:rPr>
        <w:br/>
      </w:r>
      <w:r w:rsidRPr="00412C46">
        <w:rPr>
          <w:rFonts w:eastAsia="Times New Roman"/>
          <w:bCs/>
        </w:rPr>
        <w:t>Chao Ma, Jiawei Xie, Hui Wang, Jinsong Li, Suyun Chen</w:t>
      </w:r>
      <w:r w:rsidRPr="00412C46">
        <w:rPr>
          <w:rFonts w:eastAsia="Times New Roman"/>
        </w:rPr>
        <w:t xml:space="preserve">. Radioiodine therapy versus antithyroid medications for Graves' disease. </w:t>
      </w:r>
      <w:r w:rsidRPr="00451864">
        <w:rPr>
          <w:rFonts w:eastAsia="Times New Roman"/>
          <w:i/>
          <w:iCs/>
        </w:rPr>
        <w:t>#journal#.</w:t>
      </w:r>
      <w:r w:rsidRPr="00451864">
        <w:rPr>
          <w:rFonts w:eastAsia="Times New Roman"/>
        </w:rPr>
        <w:t xml:space="preserve"> </w:t>
      </w:r>
      <w:r w:rsidRPr="00AD2254">
        <w:rPr>
          <w:rFonts w:eastAsia="Times New Roman"/>
        </w:rPr>
        <w:t>2016. #volume#:#pages#</w:t>
      </w:r>
      <w:r w:rsidRPr="00AD2254">
        <w:rPr>
          <w:rFonts w:eastAsia="Times New Roman"/>
        </w:rPr>
        <w:br/>
      </w:r>
      <w:r w:rsidRPr="00AD2254">
        <w:rPr>
          <w:rFonts w:eastAsia="Times New Roman"/>
        </w:rPr>
        <w:br/>
      </w:r>
      <w:r w:rsidRPr="00AD2254">
        <w:rPr>
          <w:rFonts w:eastAsia="Times New Roman"/>
          <w:bCs/>
        </w:rPr>
        <w:t>Eskes SA, Endert E, Fliers E, Birnie E, Hollenbach B, et al</w:t>
      </w:r>
      <w:r w:rsidRPr="00AD2254">
        <w:rPr>
          <w:rFonts w:eastAsia="Times New Roman"/>
        </w:rPr>
        <w:t xml:space="preserve">. </w:t>
      </w:r>
      <w:r w:rsidRPr="00412C46">
        <w:rPr>
          <w:rFonts w:eastAsia="Times New Roman"/>
        </w:rPr>
        <w:t xml:space="preserve">Selenite supplementation in euthyroid subjects with thyroid peroxidase antibodies. </w:t>
      </w:r>
      <w:r w:rsidRPr="00412C46">
        <w:rPr>
          <w:rFonts w:eastAsia="Times New Roman"/>
          <w:i/>
          <w:iCs/>
        </w:rPr>
        <w:t>Clinical endocrinology.</w:t>
      </w:r>
      <w:r w:rsidRPr="00412C46">
        <w:rPr>
          <w:rFonts w:eastAsia="Times New Roman"/>
        </w:rPr>
        <w:t xml:space="preserve"> 2014. 80:444.</w:t>
      </w:r>
    </w:p>
    <w:p w14:paraId="41350A8B" w14:textId="77777777" w:rsidR="000A35A5" w:rsidRDefault="000A35A5" w:rsidP="000A35A5">
      <w:r w:rsidRPr="007D1B37">
        <w:rPr>
          <w:lang w:val="fr-CA"/>
        </w:rPr>
        <w:t xml:space="preserve">Farhangi MA, P. Dehghan, S. Tajmiri. </w:t>
      </w:r>
      <w:r>
        <w:t>Powdered black cumin seeds strongly improves serum lipids, atherogenic index of plasma and modulates anthropometric features in patients with Hashimoto's thyroiditis. Lipids in Health and Disease. 2018. 17:#pages#</w:t>
      </w:r>
    </w:p>
    <w:p w14:paraId="56A0CF0E" w14:textId="2AE23DFB" w:rsidR="000A35A5" w:rsidRPr="00412C46" w:rsidRDefault="000A35A5" w:rsidP="000A35A5">
      <w:r>
        <w:t>Farhangi MA, P. Dehghan, S. Tajmiri, M. M. Abbasi. The effects of Nigella sativa on thyroid function, serum Vascular Endothelial Growth Factor (VEGF) - 1, Nesfatin-1 and anthropometric features in patients with Hashimoto's thyroiditis: A randomized controlled trial. BMC Complementary and Alternative Medicine. 2016. 16:#pages#</w:t>
      </w:r>
    </w:p>
    <w:p w14:paraId="16031493" w14:textId="77777777" w:rsidR="000504F6" w:rsidRPr="00412C46" w:rsidRDefault="000504F6" w:rsidP="000504F6">
      <w:pPr>
        <w:spacing w:after="240"/>
        <w:rPr>
          <w:rFonts w:eastAsia="Times New Roman"/>
        </w:rPr>
      </w:pPr>
      <w:r w:rsidRPr="00412C46">
        <w:rPr>
          <w:rFonts w:eastAsia="Times New Roman"/>
          <w:bCs/>
        </w:rPr>
        <w:t>Gawlik A, Such K, Dejner A, Zachurzok A, Antosz A, et al</w:t>
      </w:r>
      <w:r w:rsidRPr="00412C46">
        <w:rPr>
          <w:rFonts w:eastAsia="Times New Roman"/>
        </w:rPr>
        <w:t xml:space="preserve">. Subclinical hypothyroidism in children and adolescents: Is it clinically relevant?. </w:t>
      </w:r>
      <w:r w:rsidRPr="00412C46">
        <w:rPr>
          <w:rFonts w:eastAsia="Times New Roman"/>
          <w:i/>
          <w:iCs/>
        </w:rPr>
        <w:t>International Journal of Endocrinology.</w:t>
      </w:r>
      <w:r w:rsidRPr="00412C46">
        <w:rPr>
          <w:rFonts w:eastAsia="Times New Roman"/>
        </w:rPr>
        <w:t xml:space="preserve"> 2015. </w:t>
      </w:r>
      <w:r w:rsidRPr="00AD2254">
        <w:rPr>
          <w:rFonts w:eastAsia="Times New Roman"/>
          <w:lang w:val="fr-CA"/>
        </w:rPr>
        <w:t>2015:#pages#</w:t>
      </w:r>
      <w:r w:rsidRPr="00AD2254">
        <w:rPr>
          <w:rFonts w:eastAsia="Times New Roman"/>
          <w:lang w:val="fr-CA"/>
        </w:rPr>
        <w:br/>
      </w:r>
      <w:r w:rsidRPr="00AD2254">
        <w:rPr>
          <w:rFonts w:eastAsia="Times New Roman"/>
          <w:lang w:val="fr-CA"/>
        </w:rPr>
        <w:br/>
      </w:r>
      <w:r w:rsidRPr="00AD2254">
        <w:rPr>
          <w:rFonts w:eastAsia="Times New Roman"/>
          <w:bCs/>
          <w:lang w:val="fr-CA"/>
        </w:rPr>
        <w:t>Giuseppe Pasqualetti, Gennaro Pagano, Giuseppe Rengo, Nicola Ferrara, Fabio Monzani</w:t>
      </w:r>
      <w:r w:rsidRPr="00AD2254">
        <w:rPr>
          <w:rFonts w:eastAsia="Times New Roman"/>
          <w:lang w:val="fr-CA"/>
        </w:rPr>
        <w:t xml:space="preserve">. </w:t>
      </w:r>
      <w:r w:rsidRPr="00412C46">
        <w:rPr>
          <w:rFonts w:eastAsia="Times New Roman"/>
        </w:rPr>
        <w:t xml:space="preserve">Subclinical Hypothyroidism and Cognitive Impairment: Systematic Review and Meta-Analysis. </w:t>
      </w:r>
      <w:r w:rsidRPr="00412C46">
        <w:rPr>
          <w:rFonts w:eastAsia="Times New Roman"/>
          <w:i/>
          <w:iCs/>
        </w:rPr>
        <w:t>Journal of Clinical Endocrinology &amp; Metabolism.</w:t>
      </w:r>
      <w:r w:rsidRPr="00412C46">
        <w:rPr>
          <w:rFonts w:eastAsia="Times New Roman"/>
        </w:rPr>
        <w:t xml:space="preserve"> 2015. 100:4240</w:t>
      </w:r>
      <w:r w:rsidRPr="00412C46">
        <w:rPr>
          <w:rFonts w:eastAsia="Times New Roman"/>
        </w:rPr>
        <w:br/>
      </w:r>
      <w:r w:rsidRPr="00412C46">
        <w:rPr>
          <w:rFonts w:eastAsia="Times New Roman"/>
        </w:rPr>
        <w:br/>
      </w:r>
      <w:r w:rsidRPr="00412C46">
        <w:rPr>
          <w:rFonts w:eastAsia="Times New Roman"/>
          <w:bCs/>
        </w:rPr>
        <w:t>Gluvic Z, Sudar E, Tica J, Jovanovic A, Zafirovic S, et al</w:t>
      </w:r>
      <w:r w:rsidRPr="00412C46">
        <w:rPr>
          <w:rFonts w:eastAsia="Times New Roman"/>
        </w:rPr>
        <w:t xml:space="preserve">. Effects of levothyroxine replacement therapy on </w:t>
      </w:r>
      <w:r w:rsidRPr="00412C46">
        <w:rPr>
          <w:rFonts w:eastAsia="Times New Roman"/>
        </w:rPr>
        <w:lastRenderedPageBreak/>
        <w:t xml:space="preserve">parameters of metabolic syndrome and atherosclerosis in hypothyroid patients: A prospective pilot study. </w:t>
      </w:r>
      <w:r w:rsidRPr="00412C46">
        <w:rPr>
          <w:rFonts w:eastAsia="Times New Roman"/>
          <w:i/>
          <w:iCs/>
        </w:rPr>
        <w:t>International Journal of Endocrinology.</w:t>
      </w:r>
      <w:r w:rsidRPr="00412C46">
        <w:rPr>
          <w:rFonts w:eastAsia="Times New Roman"/>
        </w:rPr>
        <w:t xml:space="preserve"> 2015. 2015:#pages#</w:t>
      </w:r>
    </w:p>
    <w:p w14:paraId="0F390780" w14:textId="77777777" w:rsidR="000504F6" w:rsidRDefault="000504F6" w:rsidP="000504F6">
      <w:pPr>
        <w:spacing w:after="240"/>
        <w:rPr>
          <w:rFonts w:eastAsia="Times New Roman"/>
        </w:rPr>
      </w:pPr>
      <w:r w:rsidRPr="00412C46">
        <w:rPr>
          <w:rFonts w:eastAsia="Times New Roman"/>
          <w:bCs/>
        </w:rPr>
        <w:t>Isabelle Herter-Aeberli, Mohamed Cherkaoui, Nawal El Ansari, Riccarda Rohner, Sara Stinca, et al</w:t>
      </w:r>
      <w:r w:rsidRPr="00412C46">
        <w:rPr>
          <w:rFonts w:eastAsia="Times New Roman"/>
        </w:rPr>
        <w:t xml:space="preserve">. Iodine Supplementation Decreases Hypercholesterolemia in Iodine-Deficient, Overweight Women: A Randomized Controlled Trial. </w:t>
      </w:r>
      <w:r w:rsidRPr="00412C46">
        <w:rPr>
          <w:rFonts w:eastAsia="Times New Roman"/>
          <w:i/>
          <w:iCs/>
        </w:rPr>
        <w:t>Journal of Nutrition.</w:t>
      </w:r>
      <w:r w:rsidRPr="00412C46">
        <w:rPr>
          <w:rFonts w:eastAsia="Times New Roman"/>
        </w:rPr>
        <w:t xml:space="preserve"> 2015. 145:2067</w:t>
      </w:r>
      <w:r w:rsidRPr="00412C46">
        <w:rPr>
          <w:rFonts w:eastAsia="Times New Roman"/>
        </w:rPr>
        <w:br/>
      </w:r>
      <w:r w:rsidRPr="00412C46">
        <w:rPr>
          <w:rFonts w:eastAsia="Times New Roman"/>
        </w:rPr>
        <w:br/>
      </w:r>
      <w:r w:rsidRPr="00412C46">
        <w:rPr>
          <w:rFonts w:eastAsia="Times New Roman"/>
          <w:bCs/>
        </w:rPr>
        <w:t>Kaminski J, Miasaki FY, Paz-Filho G, Graf H, de Carvalho GA</w:t>
      </w:r>
      <w:r w:rsidRPr="00412C46">
        <w:rPr>
          <w:rFonts w:eastAsia="Times New Roman"/>
        </w:rPr>
        <w:t xml:space="preserve">. Treatment of hypothyroidism with levothyroxine plus liothyronine: A randomized, double-blind, crossover study. </w:t>
      </w:r>
      <w:r w:rsidRPr="00412C46">
        <w:rPr>
          <w:rFonts w:eastAsia="Times New Roman"/>
          <w:i/>
          <w:iCs/>
        </w:rPr>
        <w:t>Archives of Endocrinology and Metabolism.</w:t>
      </w:r>
      <w:r w:rsidRPr="00412C46">
        <w:rPr>
          <w:rFonts w:eastAsia="Times New Roman"/>
        </w:rPr>
        <w:t xml:space="preserve"> 2016. 60:562</w:t>
      </w:r>
      <w:r w:rsidRPr="00412C46">
        <w:rPr>
          <w:rFonts w:eastAsia="Times New Roman"/>
        </w:rPr>
        <w:br/>
      </w:r>
      <w:r w:rsidRPr="00412C46">
        <w:rPr>
          <w:rFonts w:eastAsia="Times New Roman"/>
        </w:rPr>
        <w:br/>
      </w:r>
      <w:r w:rsidRPr="00412C46">
        <w:rPr>
          <w:rFonts w:eastAsia="Times New Roman"/>
          <w:bCs/>
        </w:rPr>
        <w:t>Mitchell JE, Hellkamp AS, Mark DB, Anderson J, Johnson GW, et al</w:t>
      </w:r>
      <w:r w:rsidRPr="00412C46">
        <w:rPr>
          <w:rFonts w:eastAsia="Times New Roman"/>
        </w:rPr>
        <w:t xml:space="preserve">. Thyroid function in heart failure and impact on mortality. </w:t>
      </w:r>
      <w:r w:rsidRPr="00412C46">
        <w:rPr>
          <w:rFonts w:eastAsia="Times New Roman"/>
          <w:i/>
          <w:iCs/>
        </w:rPr>
        <w:t>JACC: Heart Failure.</w:t>
      </w:r>
      <w:r w:rsidRPr="00412C46">
        <w:rPr>
          <w:rFonts w:eastAsia="Times New Roman"/>
        </w:rPr>
        <w:t xml:space="preserve"> 2013. 1:48</w:t>
      </w:r>
      <w:r w:rsidRPr="00412C46">
        <w:rPr>
          <w:rFonts w:eastAsia="Times New Roman"/>
        </w:rPr>
        <w:br/>
      </w:r>
      <w:r w:rsidRPr="00412C46">
        <w:rPr>
          <w:rFonts w:eastAsia="Times New Roman"/>
        </w:rPr>
        <w:br/>
      </w:r>
      <w:r w:rsidRPr="00412C46">
        <w:rPr>
          <w:rFonts w:eastAsia="Times New Roman"/>
          <w:bCs/>
        </w:rPr>
        <w:t>Perez AC, Jhund PS, Stott DJ, Gullestad L, Cleland JG, et al</w:t>
      </w:r>
      <w:r w:rsidRPr="00412C46">
        <w:rPr>
          <w:rFonts w:eastAsia="Times New Roman"/>
        </w:rPr>
        <w:t xml:space="preserve">. Thyroid-stimulating hormone and clinical outcomes: the CORONA trial (controlled rosuvastatin multinational study in heart failure). </w:t>
      </w:r>
      <w:r w:rsidRPr="00412C46">
        <w:rPr>
          <w:rFonts w:eastAsia="Times New Roman"/>
          <w:i/>
          <w:iCs/>
        </w:rPr>
        <w:t>JACC Heart Failure.</w:t>
      </w:r>
      <w:r w:rsidRPr="00412C46">
        <w:rPr>
          <w:rFonts w:eastAsia="Times New Roman"/>
        </w:rPr>
        <w:t xml:space="preserve"> 2014. 2:35.</w:t>
      </w:r>
    </w:p>
    <w:p w14:paraId="5E8A9E41" w14:textId="64F3E99A" w:rsidR="000A35A5" w:rsidRPr="00412C46" w:rsidRDefault="000A35A5" w:rsidP="000504F6">
      <w:pPr>
        <w:spacing w:after="240"/>
        <w:rPr>
          <w:rFonts w:eastAsia="Times New Roman"/>
        </w:rPr>
      </w:pPr>
      <w:r w:rsidRPr="000A35A5">
        <w:rPr>
          <w:rFonts w:eastAsia="Times New Roman"/>
        </w:rPr>
        <w:t>Rankin S, Douglas H. Elder, Simon Ogston, Jacob George, Chim C. Lang, Anna Maria Choy. Population-level incidence and monitoring of adverse drug reactions with long-term amiodarone therapy.. Cardiovascular therapeutics. 2017. 35:#pages#</w:t>
      </w:r>
    </w:p>
    <w:p w14:paraId="03CEEF50" w14:textId="77777777" w:rsidR="000A35A5" w:rsidRDefault="000504F6" w:rsidP="000504F6">
      <w:pPr>
        <w:spacing w:after="240"/>
        <w:rPr>
          <w:rFonts w:eastAsia="Times New Roman"/>
        </w:rPr>
      </w:pPr>
      <w:r w:rsidRPr="00412C46">
        <w:rPr>
          <w:rFonts w:eastAsia="Times New Roman"/>
          <w:bCs/>
        </w:rPr>
        <w:t>Razvi S, Shakoor A, Vanderpump M, Weaver JU, Pearce SHS</w:t>
      </w:r>
      <w:r w:rsidRPr="00412C46">
        <w:rPr>
          <w:rFonts w:eastAsia="Times New Roman"/>
        </w:rPr>
        <w:t xml:space="preserve">. The influence of age on the relationship between subclinical hypothyroidism and ischemic heart disease: A metaanalysis. </w:t>
      </w:r>
      <w:r w:rsidRPr="00412C46">
        <w:rPr>
          <w:rFonts w:eastAsia="Times New Roman"/>
          <w:i/>
          <w:iCs/>
        </w:rPr>
        <w:t>Journal of Clinical Endocrinology and Metabolism.</w:t>
      </w:r>
      <w:r w:rsidRPr="00412C46">
        <w:rPr>
          <w:rFonts w:eastAsia="Times New Roman"/>
        </w:rPr>
        <w:t xml:space="preserve"> 2008. 93:2998</w:t>
      </w:r>
    </w:p>
    <w:p w14:paraId="19E1608A" w14:textId="05DBCCA6" w:rsidR="000504F6" w:rsidRPr="00412C46" w:rsidRDefault="000A35A5" w:rsidP="000504F6">
      <w:pPr>
        <w:spacing w:after="240"/>
      </w:pPr>
      <w:r w:rsidRPr="000A35A5">
        <w:rPr>
          <w:rFonts w:eastAsia="Times New Roman"/>
        </w:rPr>
        <w:t>Sharma AK, Indraneel Basu, Siddarth Singh. Efficacy and Safety of Ashwagandha Root Extract in Subclinical Hypothyroid Patients: A Double-Blind, Randomized Placebo-Controlled Trial.. Journal of Alternative &amp; Complementary Medicine. 2018. 24:243</w:t>
      </w:r>
      <w:r w:rsidR="000504F6" w:rsidRPr="00412C46">
        <w:rPr>
          <w:rFonts w:eastAsia="Times New Roman"/>
        </w:rPr>
        <w:br/>
      </w:r>
      <w:r w:rsidR="000504F6" w:rsidRPr="00412C46">
        <w:rPr>
          <w:rFonts w:eastAsia="Times New Roman"/>
        </w:rPr>
        <w:br/>
      </w:r>
      <w:r w:rsidR="000504F6" w:rsidRPr="00412C46">
        <w:rPr>
          <w:rFonts w:eastAsia="Times New Roman"/>
          <w:bCs/>
        </w:rPr>
        <w:t>Valentina VN, Marijan B, Chedo D, Branka K</w:t>
      </w:r>
      <w:r w:rsidR="000504F6" w:rsidRPr="00412C46">
        <w:rPr>
          <w:rFonts w:eastAsia="Times New Roman"/>
        </w:rPr>
        <w:t xml:space="preserve">. Subclinical hypothyroidism and risk to carotid atherosclerosis. </w:t>
      </w:r>
      <w:r w:rsidR="000504F6" w:rsidRPr="00412C46">
        <w:rPr>
          <w:rFonts w:eastAsia="Times New Roman"/>
          <w:i/>
          <w:iCs/>
        </w:rPr>
        <w:t>Arquivos Brasileiros de Endocrinologia e Metabologia.</w:t>
      </w:r>
      <w:r w:rsidR="000504F6" w:rsidRPr="00412C46">
        <w:rPr>
          <w:rFonts w:eastAsia="Times New Roman"/>
        </w:rPr>
        <w:t xml:space="preserve"> 2011. 55:475</w:t>
      </w:r>
      <w:r w:rsidR="000504F6" w:rsidRPr="00412C46">
        <w:rPr>
          <w:rFonts w:eastAsia="Times New Roman"/>
        </w:rPr>
        <w:br/>
      </w:r>
      <w:r w:rsidR="000504F6" w:rsidRPr="00412C46">
        <w:rPr>
          <w:rFonts w:eastAsia="Times New Roman"/>
        </w:rPr>
        <w:br/>
      </w:r>
      <w:r w:rsidR="000504F6" w:rsidRPr="00412C46">
        <w:rPr>
          <w:rFonts w:eastAsia="Times New Roman"/>
          <w:bCs/>
        </w:rPr>
        <w:t>Vestergaard P, Mosekilde L</w:t>
      </w:r>
      <w:r w:rsidR="000504F6" w:rsidRPr="00412C46">
        <w:rPr>
          <w:rFonts w:eastAsia="Times New Roman"/>
        </w:rPr>
        <w:t xml:space="preserve">. Hyperthyroidism, bone mineral, fracture risk - A meta-analysis. </w:t>
      </w:r>
      <w:r w:rsidR="000504F6" w:rsidRPr="00412C46">
        <w:rPr>
          <w:rFonts w:eastAsia="Times New Roman"/>
          <w:i/>
          <w:iCs/>
        </w:rPr>
        <w:t>Thyroid.</w:t>
      </w:r>
      <w:r w:rsidR="000504F6" w:rsidRPr="00412C46">
        <w:rPr>
          <w:rFonts w:eastAsia="Times New Roman"/>
        </w:rPr>
        <w:t xml:space="preserve"> 2003. </w:t>
      </w:r>
      <w:r w:rsidR="000504F6" w:rsidRPr="007D1B37">
        <w:rPr>
          <w:rFonts w:eastAsia="Times New Roman"/>
          <w:lang w:val="fr-CA"/>
        </w:rPr>
        <w:t>13:585</w:t>
      </w:r>
      <w:r w:rsidR="000504F6" w:rsidRPr="007D1B37">
        <w:rPr>
          <w:rFonts w:eastAsia="Times New Roman"/>
          <w:lang w:val="fr-CA"/>
        </w:rPr>
        <w:br/>
      </w:r>
      <w:r w:rsidR="000504F6" w:rsidRPr="007D1B37">
        <w:rPr>
          <w:rFonts w:eastAsia="Times New Roman"/>
          <w:lang w:val="fr-CA"/>
        </w:rPr>
        <w:br/>
      </w:r>
      <w:r w:rsidR="000504F6" w:rsidRPr="007D1B37">
        <w:rPr>
          <w:rFonts w:eastAsia="Times New Roman"/>
          <w:bCs/>
          <w:lang w:val="fr-CA"/>
        </w:rPr>
        <w:t>Watt T, Groenvold M, Rasmussen ÅK, Bonnema SJ, Hegedüs L, et al</w:t>
      </w:r>
      <w:r w:rsidR="000504F6" w:rsidRPr="007D1B37">
        <w:rPr>
          <w:rFonts w:eastAsia="Times New Roman"/>
          <w:lang w:val="fr-CA"/>
        </w:rPr>
        <w:t xml:space="preserve">. </w:t>
      </w:r>
      <w:r w:rsidR="000504F6" w:rsidRPr="00412C46">
        <w:rPr>
          <w:rFonts w:eastAsia="Times New Roman"/>
        </w:rPr>
        <w:t xml:space="preserve">Quality of life in patients with benign thyroid disorders. A review. </w:t>
      </w:r>
      <w:r w:rsidR="000504F6" w:rsidRPr="00412C46">
        <w:rPr>
          <w:rFonts w:eastAsia="Times New Roman"/>
          <w:i/>
          <w:iCs/>
        </w:rPr>
        <w:t>European Journal of Endocrinology.</w:t>
      </w:r>
      <w:r w:rsidR="000504F6" w:rsidRPr="00412C46">
        <w:rPr>
          <w:rFonts w:eastAsia="Times New Roman"/>
        </w:rPr>
        <w:t xml:space="preserve"> 2006. 154:501</w:t>
      </w:r>
      <w:r w:rsidR="000504F6" w:rsidRPr="00412C46">
        <w:rPr>
          <w:rFonts w:eastAsia="Times New Roman"/>
        </w:rPr>
        <w:br/>
      </w:r>
      <w:r w:rsidR="000504F6" w:rsidRPr="00412C46">
        <w:rPr>
          <w:rFonts w:eastAsia="Times New Roman"/>
        </w:rPr>
        <w:br/>
      </w:r>
    </w:p>
    <w:p w14:paraId="764159F5" w14:textId="4FA305FD" w:rsidR="000504F6" w:rsidRDefault="000504F6" w:rsidP="000504F6">
      <w:pPr>
        <w:rPr>
          <w:b/>
        </w:rPr>
      </w:pPr>
      <w:r w:rsidRPr="00174635">
        <w:rPr>
          <w:b/>
          <w:u w:val="single"/>
        </w:rPr>
        <w:t xml:space="preserve">Wrong </w:t>
      </w:r>
      <w:r>
        <w:rPr>
          <w:b/>
          <w:u w:val="single"/>
        </w:rPr>
        <w:t>comparator group</w:t>
      </w:r>
      <w:r>
        <w:rPr>
          <w:b/>
        </w:rPr>
        <w:t xml:space="preserve">: n = </w:t>
      </w:r>
      <w:r w:rsidR="000A35A5">
        <w:rPr>
          <w:b/>
        </w:rPr>
        <w:t>105</w:t>
      </w:r>
    </w:p>
    <w:p w14:paraId="2FD59D61" w14:textId="77777777" w:rsidR="000A35A5" w:rsidRPr="00B415B2" w:rsidRDefault="000A35A5" w:rsidP="000A35A5">
      <w:r w:rsidRPr="00B415B2">
        <w:lastRenderedPageBreak/>
        <w:t>Adamarczuk-Janczyszyn M, Zdrojowy-Welna A, Rogala N, Zatońska K, Bednarek-Tupikowska G. Evaluation of selected atherosclerosis risk factors in women with subclinical hypothyroidism treated with L-Thyroxine. Advances in Clinical and Experimental Medicine. 2016. 25:457</w:t>
      </w:r>
    </w:p>
    <w:p w14:paraId="31035AD8" w14:textId="77777777" w:rsidR="000A35A5" w:rsidRPr="00B415B2" w:rsidRDefault="000A35A5" w:rsidP="000A35A5">
      <w:r w:rsidRPr="00B415B2">
        <w:t>Adrees M, Gibney J, El-Saeity N, Boran G. Effects of 18 months of l-T4 replacement in women with subclinical hypothyroidism. Clinical endocrinology. 2009. 71:298</w:t>
      </w:r>
    </w:p>
    <w:p w14:paraId="68C0EAAE" w14:textId="77777777" w:rsidR="000A35A5" w:rsidRPr="00B415B2" w:rsidRDefault="000A35A5" w:rsidP="000A35A5">
      <w:r w:rsidRPr="00B415B2">
        <w:t>Akbar DH, Ahmed MM, Hijazi NA. Subclinical hypothyroidism in elderly women attending an outpatient clinic. Medical Science Monitor. 2004. 10:CR229</w:t>
      </w:r>
    </w:p>
    <w:p w14:paraId="4BF809B9" w14:textId="77777777" w:rsidR="000A35A5" w:rsidRPr="00B415B2" w:rsidRDefault="000A35A5" w:rsidP="000A35A5">
      <w:r w:rsidRPr="00B415B2">
        <w:t>Amann BL, Joaquim Radua, Christian Wunsch, Barbara Konig, Christian Simhandl. Psychiatric and physical comorbidities and their impact on the course of bipolar disorder: A prospective, naturalistic 4-year follow-up study.. Bipolar disorders. 2017. 19:225</w:t>
      </w:r>
    </w:p>
    <w:p w14:paraId="0599E95C" w14:textId="77777777" w:rsidR="000A35A5" w:rsidRPr="00B415B2" w:rsidRDefault="000A35A5" w:rsidP="000A35A5">
      <w:r w:rsidRPr="00B415B2">
        <w:t>Arinc H, H. Gunduz, A. Tamer, E. Seyfeli, M. Kanat, H. Ozhan, R. Akdemir, C. Uyan. Tissue Doppler echocardiography in evaluation of cardiac effects of subclinical hypothyroidism. International Journal of Cardiovascular Imaging. 2006. 22:177</w:t>
      </w:r>
    </w:p>
    <w:p w14:paraId="7C9A1827" w14:textId="77777777" w:rsidR="000A35A5" w:rsidRPr="00B415B2" w:rsidRDefault="000A35A5" w:rsidP="000A35A5">
      <w:r w:rsidRPr="00B415B2">
        <w:t>Aubert CE, D. C. Bauer, B. R. da Costa, M. Feller, C. Rieben, E. M. Simonsick, K. Yaffe, N. Rodondi,the Health ABC Study. The association between subclinical thyroid dysfunction and dementia: The Health, Aging and Body Composition (Health ABC) Study. Clinical endocrinology. 2017. 87:617</w:t>
      </w:r>
    </w:p>
    <w:p w14:paraId="3E9D970A" w14:textId="77777777" w:rsidR="000A35A5" w:rsidRPr="00B415B2" w:rsidRDefault="000A35A5" w:rsidP="000A35A5">
      <w:r w:rsidRPr="00B415B2">
        <w:t>Bilgir O, F. Bilgir, M. Calan, O. G. Calan, A. Yuksel. Comparison of pre- and post-levothyroxine highsensitivity c-reactive protein and fetuin-a levels in subclinical hypothyroidism. Clinics. 2015. 70:97</w:t>
      </w:r>
    </w:p>
    <w:p w14:paraId="3EB832AD" w14:textId="77777777" w:rsidR="000A35A5" w:rsidRPr="00B415B2" w:rsidRDefault="000A35A5" w:rsidP="000A35A5">
      <w:r w:rsidRPr="00B415B2">
        <w:t>Birk-Urovitz E, M. Elisabeth Del Giudice, Christopher Meaney, Karan Grewal. Use of thyroid-stimulating hormone tests for identifying primary hypothyroidism in family medicine patients.. Canadian Family Physician. 2017. 63:e389</w:t>
      </w:r>
    </w:p>
    <w:p w14:paraId="3B7CDABC" w14:textId="77777777" w:rsidR="000A35A5" w:rsidRPr="00B415B2" w:rsidRDefault="000A35A5" w:rsidP="000A35A5">
      <w:r w:rsidRPr="00B415B2">
        <w:t>Blum MR, Bauer DC, -H Collet T, Fink HA, Cappola AR, et al. Subclinical thyroid dysfunction and fracture risk a meta-analysis. JAMA - Journal of the American Medical Association. 2015. 313:2055</w:t>
      </w:r>
    </w:p>
    <w:p w14:paraId="3FE02781" w14:textId="77777777" w:rsidR="000A35A5" w:rsidRPr="00B415B2" w:rsidRDefault="000A35A5" w:rsidP="000A35A5">
      <w:r w:rsidRPr="00B415B2">
        <w:t>Blum MR, Wijsman LW, Virgini VS, Bauer DC, Den Elzen WPJ, et al. Subclinical Thyroid Dysfunction and Depressive Symptoms among the Elderly: A Prospective Cohort Study. Neuroendocrinology. 2016. 103:291</w:t>
      </w:r>
    </w:p>
    <w:p w14:paraId="1558451A" w14:textId="77777777" w:rsidR="000A35A5" w:rsidRPr="00B415B2" w:rsidRDefault="000A35A5" w:rsidP="000A35A5">
      <w:r w:rsidRPr="00B415B2">
        <w:t>Bo Abrahamsen, Jorgensen HenrikL, Anne Sofie Laulund, Mads Nybo, Bauer DougC, et al. The excess risk of major osteoporotic fractures in hypothyroidism is driven by cumulative hyperthyroid as opposed to hypothyroid time: an observational register-based time-resolved cohort analysis. Journal of Bone &amp; Mineral Research. 2015. 30:898</w:t>
      </w:r>
    </w:p>
    <w:p w14:paraId="765FA3A0" w14:textId="77777777" w:rsidR="000A35A5" w:rsidRPr="00B415B2" w:rsidRDefault="000A35A5" w:rsidP="000A35A5">
      <w:r w:rsidRPr="00B415B2">
        <w:t>Brenta G, Berg G, Arias P, Zago V, Schnitman M, et al. Lipoprotein alterations, hepatic lipase activity, and insulin sensitivity in subclinical hypothyroidism: Response to L-T4 treatment. Thyroid. 2007. 17:453</w:t>
      </w:r>
    </w:p>
    <w:p w14:paraId="4E151F45" w14:textId="77777777" w:rsidR="000A35A5" w:rsidRPr="00B415B2" w:rsidRDefault="000A35A5" w:rsidP="000A35A5">
      <w:r w:rsidRPr="00B415B2">
        <w:lastRenderedPageBreak/>
        <w:t>Brenta G, L. A. Mutti, M. Schnitman, O. Fretes, A. Perrone, M. L. Matute. Assessment of left ventricular diastolic function by radionuclide ventriculography at rest and exercise in subclinical hypothyroidism, and its response to L-thyroxine therapy. American Journal of Cardiology. 2003. 91:1327</w:t>
      </w:r>
    </w:p>
    <w:p w14:paraId="1B5D7482" w14:textId="77777777" w:rsidR="000A35A5" w:rsidRPr="00B415B2" w:rsidRDefault="000A35A5" w:rsidP="000A35A5">
      <w:r w:rsidRPr="00B415B2">
        <w:t>Canturk Z, Çetinarslan B, Tarkun I, Canturk NZ, Özden M. Lipid profile and lipoprotein (a) as a risk factor for cardiovascular disease in women with subclinical hypothyroidism. Endocrine research. 2003. 29:307</w:t>
      </w:r>
    </w:p>
    <w:p w14:paraId="6B4B5BEB" w14:textId="77777777" w:rsidR="000A35A5" w:rsidRPr="00B415B2" w:rsidRDefault="000A35A5" w:rsidP="000A35A5">
      <w:r w:rsidRPr="00B415B2">
        <w:t>Cerbone M, Capalbo D, Wasniewska M, Alfano S, Raso GM, et al. Effects of L-thyroxine treatment on early markers of atherosclerotic disease in children with subclinical hypothyroidism. European Journal of Endocrinology. 2016. 175:11</w:t>
      </w:r>
    </w:p>
    <w:p w14:paraId="45122528" w14:textId="77777777" w:rsidR="000A35A5" w:rsidRPr="00B415B2" w:rsidRDefault="000A35A5" w:rsidP="000A35A5">
      <w:r w:rsidRPr="00B415B2">
        <w:t>Chang CH, Y. -C Yeh, J. L. Caffrey, S. -R Shih, L. -M Chuang, Y. -K Tu. Metabolic syndrome is associated with an increased incidence of subclinical hypothyroidism - A Cohort Study. Scientific Reports. 2017. 7:#pages#</w:t>
      </w:r>
    </w:p>
    <w:p w14:paraId="642840D4" w14:textId="77777777" w:rsidR="000A35A5" w:rsidRPr="00B415B2" w:rsidRDefault="000A35A5" w:rsidP="000A35A5">
      <w:r w:rsidRPr="00B415B2">
        <w:t>Curotto Grasiosi J, B. Peressotti, R. A. Machado, E. C. Filipini, A. Angel, J. Delgado, G. A. Cortez Quiroga, C. Rus Mansilla, M. D. M. Martínez Quesada, A. Degregorio, D. J. Cordero, M. Dak, C. Izurieta, R. J. Esper. Improvement in functional capacity after levothyroxine treatment in patients with chronic heart failure and subclinical hypothyroidism. Endocrinologia y Nutricion. 2013. 60:427</w:t>
      </w:r>
    </w:p>
    <w:p w14:paraId="774BE1EC" w14:textId="77777777" w:rsidR="000A35A5" w:rsidRPr="00B415B2" w:rsidRDefault="000A35A5" w:rsidP="000A35A5">
      <w:r w:rsidRPr="00B415B2">
        <w:t>De Jongh RT, Lips P, Van Schoor NM, Rijs KJ, Deeg DJH, et al. Endogenous subclinical thyroid disorders, physical and cognitive function, depression, and mortality in older individuals. European Journal of Endocrinology. 2011. 165:545</w:t>
      </w:r>
    </w:p>
    <w:p w14:paraId="352723EE" w14:textId="77777777" w:rsidR="000A35A5" w:rsidRPr="00B415B2" w:rsidRDefault="000A35A5" w:rsidP="000A35A5">
      <w:r w:rsidRPr="007D1B37">
        <w:rPr>
          <w:lang w:val="fr-CA"/>
        </w:rPr>
        <w:t xml:space="preserve">Doin FC, M. Rosa-Borges, M. R. A. Martins, V. A. Moisés, J. Abucham. </w:t>
      </w:r>
      <w:r w:rsidRPr="00B415B2">
        <w:t>Diagnosis of subclinical central hypothyroidism in patients with hypothalamic-pituitary disease by Doppler echocardiography. European Journal of Endocrinology. 2012. 166:631</w:t>
      </w:r>
    </w:p>
    <w:p w14:paraId="399A2B6A" w14:textId="77777777" w:rsidR="000A35A5" w:rsidRPr="00B415B2" w:rsidRDefault="000A35A5" w:rsidP="000A35A5">
      <w:r w:rsidRPr="00B415B2">
        <w:t>Emamifar A, Inger Marie Jensen Hansen. The influence of thyroid diseases, diabetes mellitus, primary hyperparathyroidism, vitamin B12 deficiency and other comorbid autoimmune diseases on treatment outcome in patients with rheumatoid arthritis: An exploratory cohort study.. Medicine. 2018. 97:e10865</w:t>
      </w:r>
    </w:p>
    <w:p w14:paraId="6A80660F" w14:textId="77777777" w:rsidR="000A35A5" w:rsidRPr="00B415B2" w:rsidRDefault="000A35A5" w:rsidP="000A35A5">
      <w:r w:rsidRPr="00B415B2">
        <w:t>Emamifar A, Jorgen Hangaard, Inger Marie Jensen Hansen. Thyroid disorders in patients with newly diagnosed rheumatoid arthritis is associated with poor initial treatment response evaluated by disease activity score in 28 joints-C-reactive protein (DAS28-CRP): An observational cohort study.. Medicine. 2017. 96:e8357</w:t>
      </w:r>
    </w:p>
    <w:p w14:paraId="5AD84482" w14:textId="77777777" w:rsidR="000A35A5" w:rsidRPr="00B415B2" w:rsidRDefault="000A35A5" w:rsidP="000A35A5">
      <w:r w:rsidRPr="00B415B2">
        <w:t>Erem C, Suleyman AK, Civan N, Mentese A, Nuhoglu İ, et al. The effect of L-thyroxine replacement therapy on ischemia-modified albümin and malondialdehyde levels in patients with overt and subclinical hypothyroidism. Endocrine research. 2016. 41:350</w:t>
      </w:r>
    </w:p>
    <w:p w14:paraId="35C9211E" w14:textId="77777777" w:rsidR="000A35A5" w:rsidRPr="00B415B2" w:rsidRDefault="000A35A5" w:rsidP="000A35A5">
      <w:r w:rsidRPr="00B415B2">
        <w:t>Erkan G, A. F. Erkan, M. Cemri, S. Karaahmetoglu, M. Cesur, A. Cengel. The evaluation of diastolic dysfunction with tissue Doppler echocardiography in women with subclinical hypothyroidism and the effect of L-thyroxine treatment on diastolic dysfunction: A pilot study. Journal of Thyroid Research. 2011. 2011:#pages#</w:t>
      </w:r>
    </w:p>
    <w:p w14:paraId="00085957" w14:textId="77777777" w:rsidR="000A35A5" w:rsidRPr="00B415B2" w:rsidRDefault="000A35A5" w:rsidP="000A35A5">
      <w:r w:rsidRPr="00B415B2">
        <w:lastRenderedPageBreak/>
        <w:t>Faber J, L. Petersen, N. Wiinberg, S. Schifter, J. Mehlsen. Hemodynamic changes after levothyroxine treatment in subclinical hypothyroidism. Thyroid. 2002. 12:319</w:t>
      </w:r>
    </w:p>
    <w:p w14:paraId="5B57FF1F" w14:textId="77777777" w:rsidR="000A35A5" w:rsidRPr="00B415B2" w:rsidRDefault="000A35A5" w:rsidP="000A35A5">
      <w:r w:rsidRPr="00B415B2">
        <w:t>Ferda Bilgir, Oktay Bilgir, Mehmet Calan, Ozlem Calan, Tolgay Isikyakar. Subclinical hypothyroidism: Comparison of adhesion molecule levels before and after levothyroxine therapy. Journal of International Medical Research. 2014. 42:806</w:t>
      </w:r>
    </w:p>
    <w:p w14:paraId="59E34205" w14:textId="77777777" w:rsidR="000A35A5" w:rsidRPr="00B415B2" w:rsidRDefault="000A35A5" w:rsidP="000A35A5">
      <w:r w:rsidRPr="00EA2A99">
        <w:rPr>
          <w:lang w:val="fr-CA"/>
        </w:rPr>
        <w:t xml:space="preserve">Ferrari SM, P. Fallahi, F. Di Bari, R. Vita, S. Benvenga, A. Antonelli. </w:t>
      </w:r>
      <w:r w:rsidRPr="00B415B2">
        <w:t>Myo-inositol and selenium reduce the risk of developing overt hypothyroidism in patients with autoimmune thyroiditis.. European Review for Medical &amp; Pharmacological Sciences. 2017. 21:36</w:t>
      </w:r>
    </w:p>
    <w:p w14:paraId="7E68A7A8" w14:textId="77777777" w:rsidR="000A35A5" w:rsidRPr="00B415B2" w:rsidRDefault="000A35A5" w:rsidP="000A35A5">
      <w:r w:rsidRPr="007D1B37">
        <w:rPr>
          <w:lang w:val="fr-CA"/>
        </w:rPr>
        <w:t xml:space="preserve">Franzoni F, Galetta F, Fallahi P, Tocchini L, Merico G, et al. </w:t>
      </w:r>
      <w:r w:rsidRPr="00B415B2">
        <w:t>Effect of l-thyroxine treatment on left ventricular function in subclinical hypothyroidism. Biomedicine and Pharmacotherapy. 2006. 60:431</w:t>
      </w:r>
    </w:p>
    <w:p w14:paraId="0FF4E32D" w14:textId="77777777" w:rsidR="000A35A5" w:rsidRPr="00B415B2" w:rsidRDefault="000A35A5" w:rsidP="000A35A5">
      <w:pPr>
        <w:rPr>
          <w:lang w:val="fr-CA"/>
        </w:rPr>
      </w:pPr>
      <w:r w:rsidRPr="00B415B2">
        <w:t xml:space="preserve">Frisullo G, Massimiliano Calabrese, Carla Tortorella, Damiano Paolicelli, Paolo Ragonese, Pietro Annovazzi, Marta Radaelli, Simona Malucchi, Antonio Gallo, Valentina Tomassini, Viviana Nociti, Mariangela D'Onghia, Vincenzina Lo Re, Mariemma Rodegher, Claudio Solaro, Claudio Gasperini. Thyroid autoimmunity and dysfunction in multiple sclerosis patients during long-term treatment with interferon beta or glatiramer acetate: an Italian multicenter study.. </w:t>
      </w:r>
      <w:r w:rsidRPr="00B415B2">
        <w:rPr>
          <w:lang w:val="fr-CA"/>
        </w:rPr>
        <w:t>Multiple Sclerosis. 2014. 20:1265</w:t>
      </w:r>
    </w:p>
    <w:p w14:paraId="40BBF4AA" w14:textId="77777777" w:rsidR="000A35A5" w:rsidRPr="00B415B2" w:rsidRDefault="000A35A5" w:rsidP="000A35A5">
      <w:r w:rsidRPr="00B415B2">
        <w:rPr>
          <w:lang w:val="fr-CA"/>
        </w:rPr>
        <w:t xml:space="preserve">Galetta F, Franzoni F, Fallahi P, Rossi M, Carpi A, et al. </w:t>
      </w:r>
      <w:r w:rsidRPr="00B415B2">
        <w:t>Heart rate variability and QT dispersion in patients with subclinical hypothyroidism. Biomedicine and Pharmacotherapy. 2006. 60:425</w:t>
      </w:r>
    </w:p>
    <w:p w14:paraId="05A5E3E5" w14:textId="77777777" w:rsidR="000A35A5" w:rsidRPr="00B415B2" w:rsidRDefault="000A35A5" w:rsidP="000A35A5">
      <w:r w:rsidRPr="00B415B2">
        <w:t>Gao N, Zhang W, -Z Zhang Y, Yang Q, -H Chen S. Carotid intima-media thickness in patients with subclinical hypothyroidism: A meta-analysis. Atherosclerosis. 2013. 227:18</w:t>
      </w:r>
    </w:p>
    <w:p w14:paraId="48247C44" w14:textId="77777777" w:rsidR="000A35A5" w:rsidRPr="00B415B2" w:rsidRDefault="000A35A5" w:rsidP="000A35A5">
      <w:r w:rsidRPr="007D1B37">
        <w:rPr>
          <w:lang w:val="fr-CA"/>
        </w:rPr>
        <w:t xml:space="preserve">Garces-Arteaga A, N. Nieto-Garcia, F. Suarez-Sanchez, H. R. Triana-Reina, R. Ramírez-Vélez. </w:t>
      </w:r>
      <w:r w:rsidRPr="00B415B2">
        <w:t>Influence of a medium-impact exercise program on health-related quality of life and cardiorespiratory fitness in females with subclinical hypothyroidism: An open-label pilot study. Journal of Thyroid Research. 2013. 2013:#pages#</w:t>
      </w:r>
    </w:p>
    <w:p w14:paraId="3AC01FC2" w14:textId="77777777" w:rsidR="000A35A5" w:rsidRPr="00B415B2" w:rsidRDefault="000A35A5" w:rsidP="000A35A5">
      <w:r w:rsidRPr="00B415B2">
        <w:t>Gencer B, -H Collet T, Virgini V, Auer R, Rodondi N. Subclinical thyroid dysfunction and cardiovascular outcomes among prospective cohort studies. Endocrine, Metabolic and Immune Disorders - Drug Targets. 2013. 13:4</w:t>
      </w:r>
    </w:p>
    <w:p w14:paraId="778F3442" w14:textId="77777777" w:rsidR="000A35A5" w:rsidRPr="00B415B2" w:rsidRDefault="000A35A5" w:rsidP="000A35A5">
      <w:r w:rsidRPr="007D1B37">
        <w:rPr>
          <w:lang w:val="fr-CA"/>
        </w:rPr>
        <w:t xml:space="preserve">Giri A, Edwards TL, LeGrys VA, Lorenz CE, Funk MJ, et al. </w:t>
      </w:r>
      <w:r w:rsidRPr="00B415B2">
        <w:t>Subclinical hypothyroidism and risk for incident ischemic stroke among postmenopausal women. Thyroid. 2014. 24:1210.</w:t>
      </w:r>
    </w:p>
    <w:p w14:paraId="4BD4BF90" w14:textId="77777777" w:rsidR="000A35A5" w:rsidRPr="00B415B2" w:rsidRDefault="000A35A5" w:rsidP="000A35A5">
      <w:r w:rsidRPr="00B415B2">
        <w:t>Godinjak A, Z. Velija-Asimi, A. Burekovic, A. Dizdarevic-Bostandzic, S. Jusufovic, A. Iglica, S. Gicic, A. Kukuljac. Subclinical hypothyroidism is associated with atherogenic lipid profile in postmenopausal women. Turkish Journal of Endocrinology and Metabolism. 2017. 21:37</w:t>
      </w:r>
    </w:p>
    <w:p w14:paraId="3BC5CD41" w14:textId="77777777" w:rsidR="000A35A5" w:rsidRPr="00B415B2" w:rsidRDefault="000A35A5" w:rsidP="000A35A5">
      <w:r w:rsidRPr="00B415B2">
        <w:t xml:space="preserve">Golledge J, G. J. Hankey, O. P. Almeida, L. Flicker, P. E. Norman, B. B. Yeap. Plasma free thyroxine in the upper quartile is associated with an increased incidence of major cardiovascular events in older men </w:t>
      </w:r>
      <w:r w:rsidRPr="00B415B2">
        <w:lastRenderedPageBreak/>
        <w:t>that do not have thyroid dysfunction according to conventional criteria. International journal of cardiology. 2018. 254:316</w:t>
      </w:r>
    </w:p>
    <w:p w14:paraId="2E601D91" w14:textId="77777777" w:rsidR="000A35A5" w:rsidRPr="00B415B2" w:rsidRDefault="000A35A5" w:rsidP="000A35A5">
      <w:r w:rsidRPr="00B415B2">
        <w:t>Gopinath B, Gerald Liew, Annette Kifley, Paul Mitchell. Thyroid Dysfunction and Ten-Year Incidence of Age-Related Macular Degeneration.. Investigative ophthalmology &amp; visual science. 2016. 57:5273</w:t>
      </w:r>
    </w:p>
    <w:p w14:paraId="385B0D2E" w14:textId="77777777" w:rsidR="000A35A5" w:rsidRPr="00B415B2" w:rsidRDefault="000A35A5" w:rsidP="000A35A5">
      <w:r w:rsidRPr="00B415B2">
        <w:t>Gulhan Akbaba, Dilek Berker, Serhat Isik, Mazhar Muslum Tuna, Suha Koparal, et al. Changes in the before and after thyroxine treatment levels of adipose tissue, leptin, and resistin in subclinical hypothyroid patients. Wiener klinische Wochenschrift. 2016. 128:579</w:t>
      </w:r>
    </w:p>
    <w:p w14:paraId="18157ED2" w14:textId="77777777" w:rsidR="000A35A5" w:rsidRPr="00B415B2" w:rsidRDefault="000A35A5" w:rsidP="000A35A5">
      <w:r w:rsidRPr="00B415B2">
        <w:t>Gullu S, Sav H, Kamel N. Effects of levothyroxine treatment on biochemical and hemostasis parameters in patients with hypothyroidism. European Journal of Endocrinology. 2005. 152:355</w:t>
      </w:r>
    </w:p>
    <w:p w14:paraId="0BAF015A" w14:textId="77777777" w:rsidR="000A35A5" w:rsidRPr="00B415B2" w:rsidRDefault="000A35A5" w:rsidP="000A35A5">
      <w:r w:rsidRPr="00B415B2">
        <w:t>Handisurya A, G. Pacini, A. Tura, A. Gessl, A. Kautzky-Willer. Effects of T4 replacement therapy on glucose metabolism in subjects with subclinical (SH) and overt hypothyroidism (OH). Clinical endocrinology. 2008. 69:963</w:t>
      </w:r>
    </w:p>
    <w:p w14:paraId="53D3A2F9" w14:textId="77777777" w:rsidR="000A35A5" w:rsidRPr="00B415B2" w:rsidRDefault="000A35A5" w:rsidP="000A35A5">
      <w:r w:rsidRPr="00B415B2">
        <w:t>Ilic S, M. Tadic, B. Ivanovic, Z. Caparevic, B. Trbojevic, V. Celic. Left and right ventricular structure and function in subclinical hypothyroidism: The effects of one-year levothyroxine treatment. Medical Science Monitor. 2013. 19:960</w:t>
      </w:r>
    </w:p>
    <w:p w14:paraId="79201D05" w14:textId="77777777" w:rsidR="000A35A5" w:rsidRPr="00B415B2" w:rsidRDefault="000A35A5" w:rsidP="000A35A5">
      <w:pPr>
        <w:rPr>
          <w:lang w:val="fr-CA"/>
        </w:rPr>
      </w:pPr>
      <w:r w:rsidRPr="00B415B2">
        <w:t xml:space="preserve">Inoue K, Tetsuro Tsujimoto, Jun Saito, Takehiro Sugiyama. Association Between Serum Thyrotropin Levels and Mortality Among Euthyroid Adults in the United States.. </w:t>
      </w:r>
      <w:r w:rsidRPr="00B415B2">
        <w:rPr>
          <w:lang w:val="fr-CA"/>
        </w:rPr>
        <w:t>Thyroid. 2016. 26:1457</w:t>
      </w:r>
    </w:p>
    <w:p w14:paraId="60063E9A" w14:textId="77777777" w:rsidR="000A35A5" w:rsidRPr="00B415B2" w:rsidRDefault="000A35A5" w:rsidP="000A35A5">
      <w:r w:rsidRPr="00B415B2">
        <w:rPr>
          <w:lang w:val="fr-CA"/>
        </w:rPr>
        <w:t xml:space="preserve">Iqbal A, H. Schirmer, P. Lunde, Y. Figenschau, K. Rasmussen, R. Jorde. </w:t>
      </w:r>
      <w:r w:rsidRPr="00B415B2">
        <w:t>Thyroid stimulating hormone and left ventricular function. Journal of Clinical Endocrinology and Metabolism. 2007. 92:3504</w:t>
      </w:r>
    </w:p>
    <w:p w14:paraId="6A9C8876" w14:textId="77777777" w:rsidR="000A35A5" w:rsidRPr="00B415B2" w:rsidRDefault="000A35A5" w:rsidP="000A35A5">
      <w:r w:rsidRPr="00B415B2">
        <w:t>Ito M, Takamatsu J, Sasaki I, Hiraiwa T, Fukao A, et al. Disturbed metabolism of remnant lipoproteins in patients with subclinical hypothyroidism. American Journal of Medicine. 2004. 117:696</w:t>
      </w:r>
    </w:p>
    <w:p w14:paraId="122C1400" w14:textId="77777777" w:rsidR="000A35A5" w:rsidRPr="00B415B2" w:rsidRDefault="000A35A5" w:rsidP="000A35A5">
      <w:r w:rsidRPr="00B415B2">
        <w:t>Jiang F, A. Liu, Y. Lai, X. Yu, C. Li, C. Han, Y. Zhang, X. Wang, Z. Wang, S. Bao, N. Lv, M. Jin, F. Yang, Y. Fan, T. Jin, W. Zhao, Z. Shan, W. Teng. Change in serum TSH levels within the reference range was associated with variation of future blood pressure: A 5-year follow-up study. Journal of human hypertension. 2017. 31:244</w:t>
      </w:r>
    </w:p>
    <w:p w14:paraId="40080483" w14:textId="77777777" w:rsidR="000A35A5" w:rsidRPr="00B415B2" w:rsidRDefault="000A35A5" w:rsidP="000A35A5">
      <w:r w:rsidRPr="00B415B2">
        <w:t>Kebapcilar L, Comlekci A, Tuncel P, Solak A, Secil M, et al. Effect of levothyroxine replacement therapy on paraoxonase-1 and carotid intima-media thickness in subclinical hypothyroidism. Medical Science Monitor. 2010. 16:CR41</w:t>
      </w:r>
    </w:p>
    <w:p w14:paraId="0EA1FE7E" w14:textId="77777777" w:rsidR="000A35A5" w:rsidRPr="00B415B2" w:rsidRDefault="000A35A5" w:rsidP="000A35A5">
      <w:r w:rsidRPr="00B415B2">
        <w:t>Kim H, T. H. Kim, H. I. Kim, S. Y. Park, Y. N. Kim, S. Kim, M. -J Kim, S. -M Jin, K. Y. Hur, J. H. Kim, M. -K Lee, Y. -K Min, J. H. Chung, M. Kang, S. W. Kim. Subclinical thyroid dysfunction and risk of carotid atherosclerosis. PLoS ONE. 2017. 12:#pages#</w:t>
      </w:r>
    </w:p>
    <w:p w14:paraId="77ACE6A3" w14:textId="77777777" w:rsidR="000A35A5" w:rsidRPr="00B415B2" w:rsidRDefault="000A35A5" w:rsidP="000A35A5">
      <w:r w:rsidRPr="00B415B2">
        <w:t>Kim SK, -H Kim S, -S Park K, -W Park S, -W Cho Y. Regression of the increased common carotid artery-intima media thickness in subclinical hypothyroidism after thyroid hormone replacement. Endocrine journal. 2009. 56:753</w:t>
      </w:r>
    </w:p>
    <w:p w14:paraId="3F18E444" w14:textId="77777777" w:rsidR="000A35A5" w:rsidRPr="00B415B2" w:rsidRDefault="000A35A5" w:rsidP="000A35A5">
      <w:r w:rsidRPr="00B415B2">
        <w:lastRenderedPageBreak/>
        <w:t>Lambert CG, Aurelien J. Mazurie, Nicolas R. Lauve, Nathaniel G. Hurwitz, S. Stanley Young, Robert L. Obenchain, Nicolas W. Hengartner, Douglas J. Perkins, Mauricio Tohen, Berit Kerner. Hypothyroidism risk compared among nine common bipolar disorder therapies in a large US cohort.. Bipolar disorders. 2016. 18:247</w:t>
      </w:r>
    </w:p>
    <w:p w14:paraId="38F9D1A8" w14:textId="77777777" w:rsidR="000A35A5" w:rsidRPr="00B415B2" w:rsidRDefault="000A35A5" w:rsidP="000A35A5">
      <w:r w:rsidRPr="00B415B2">
        <w:t>Langén VL, T. J. Niiranen, P. Puukka, A. O. Lehtonen, J. A. Hernesniemi, J. Sundvall, V. Salomaa, A. M. Jula. Thyroid-stimulating hormone and risk of sudden cardiac death, total mortality and cardiovascular morbidity. Clinical endocrinology. 2018. 88:105</w:t>
      </w:r>
    </w:p>
    <w:p w14:paraId="62ECE269" w14:textId="77777777" w:rsidR="000A35A5" w:rsidRPr="00B415B2" w:rsidRDefault="000A35A5" w:rsidP="000A35A5">
      <w:r w:rsidRPr="00B415B2">
        <w:t>Lee Y, Y. -H Lim, J. -H Shin, J. Park, J. Shin. Impact of subclinical hypothyroidism on clinical outcomes following percutaneous coronary intervention. International journal of cardiology. 2018. 253:155</w:t>
      </w:r>
    </w:p>
    <w:p w14:paraId="34B6C1D1" w14:textId="77777777" w:rsidR="000A35A5" w:rsidRPr="00B415B2" w:rsidRDefault="000A35A5" w:rsidP="000A35A5">
      <w:r w:rsidRPr="007D1B37">
        <w:rPr>
          <w:lang w:val="fr-CA"/>
        </w:rPr>
        <w:t xml:space="preserve">Lima Carvalho MDF, J. S. De Medeiros, M. M. Valença. </w:t>
      </w:r>
      <w:r w:rsidRPr="00B415B2">
        <w:t>Headache in recent onset hypothyroidism: Prevalence, characteristics and outcome after treatment with levothyroxine. Cephalalgia. 2017. 37:938</w:t>
      </w:r>
    </w:p>
    <w:p w14:paraId="62364970" w14:textId="77777777" w:rsidR="000A35A5" w:rsidRPr="00B415B2" w:rsidRDefault="000A35A5" w:rsidP="000A35A5">
      <w:r w:rsidRPr="00B415B2">
        <w:t>Lo JC, G. J. Beck, G. A. Kaysen, C. T. Chan, A. S. Kliger, M. V. Rocco, M. Li, G. M. Chertow,for the FHN Study. Thyroid function in end stage renal disease and effects of frequent hemodialysis. Hemodialysis International. 2017. 21:534</w:t>
      </w:r>
    </w:p>
    <w:p w14:paraId="57AC37B6" w14:textId="77777777" w:rsidR="000A35A5" w:rsidRPr="00B415B2" w:rsidRDefault="000A35A5" w:rsidP="000A35A5">
      <w:r w:rsidRPr="00B415B2">
        <w:t>Madathil A, Hollingsworth KG, Blamire AM, Razvi S, Newton JL, et al. Levothyroxine improves abnormal cardiac bioenergetics in subclinical hypothyroidism: A cardiac magnetic resonance spectroscopic study. Journal of Clinical Endocrinology and Metabolism. 2015. 100:E607</w:t>
      </w:r>
    </w:p>
    <w:p w14:paraId="04E21BC9" w14:textId="77777777" w:rsidR="000A35A5" w:rsidRPr="00B415B2" w:rsidRDefault="000A35A5" w:rsidP="000A35A5">
      <w:r w:rsidRPr="00B415B2">
        <w:t>Mahto M, Chakraborthy B, Gowda SH, Kaur H, Vishnoi G, et al. Are hsCRP levels and LDL/HDL ratio better and early markers to unmask onset of dyslipidemia and inflammation in asymptomatic subclinical hypothyroidism?. Indian Journal of Clinical Biochemistry. 2012. 27:284</w:t>
      </w:r>
    </w:p>
    <w:p w14:paraId="71509940" w14:textId="77777777" w:rsidR="000A35A5" w:rsidRPr="00B415B2" w:rsidRDefault="000A35A5" w:rsidP="000A35A5">
      <w:r w:rsidRPr="00B415B2">
        <w:t>Malhotra Y, R. M. Kaushik, R. Kaushik. Echocardiographic evaluation of left ventricular diastolic dysfunction in subclinical hypothyroidism: A case–control study. Endocrine research. 2017. 42:198</w:t>
      </w:r>
    </w:p>
    <w:p w14:paraId="3C142509" w14:textId="77777777" w:rsidR="000A35A5" w:rsidRPr="00B415B2" w:rsidRDefault="000A35A5" w:rsidP="000A35A5">
      <w:r w:rsidRPr="00B415B2">
        <w:t>Mammen JS, J. McGready, P. W. Ladenson, E. M. Simonsick. Unstable Thyroid Function in Older Adults Is Caused by Alterations in Both Thyroid and Pituitary Physiology and Is Associated with Increased Mortality. Thyroid. 2017. 27:1370</w:t>
      </w:r>
    </w:p>
    <w:p w14:paraId="6BDD9C9D" w14:textId="77777777" w:rsidR="000A35A5" w:rsidRPr="00B415B2" w:rsidRDefault="000A35A5" w:rsidP="000A35A5">
      <w:r w:rsidRPr="007D1B37">
        <w:rPr>
          <w:lang w:val="fr-CA"/>
        </w:rPr>
        <w:t xml:space="preserve">Mariotti S, S. Zoncu, F. Pigliaru, C. Putzu, V. M. Cambuli, S. Vargiu, M. Deidda, G. Mercuro. </w:t>
      </w:r>
      <w:r w:rsidRPr="00B415B2">
        <w:t>Cardiac effects of l-thyroxine administration in borderline hypothyroidism. International journal of cardiology. 2008. 126:190</w:t>
      </w:r>
    </w:p>
    <w:p w14:paraId="2FCE24C7" w14:textId="77777777" w:rsidR="000A35A5" w:rsidRPr="00B415B2" w:rsidRDefault="000A35A5" w:rsidP="000A35A5">
      <w:r w:rsidRPr="00B415B2">
        <w:t>Martin SS, Natalie Daya, Pamela L. Lutsey, Kunihiro Matsushita, Anna Fretz, John W. McEvoy, Roger S. Blumenthal, Josef Coresh, Philip Greenland, Anna Kottgen, Elizabeth Selvin. Thyroid Function, Cardiovascular Risk Factors, and Incident Atherosclerotic Cardiovascular Disease: The Atherosclerosis Risk in Communities (ARIC) Study.. Journal of Clinical Endocrinology &amp; Metabolism. 2017. 102:3306</w:t>
      </w:r>
    </w:p>
    <w:p w14:paraId="1265B5F2" w14:textId="77777777" w:rsidR="000A35A5" w:rsidRPr="00AD2254" w:rsidRDefault="000A35A5" w:rsidP="000A35A5">
      <w:r w:rsidRPr="00B415B2">
        <w:lastRenderedPageBreak/>
        <w:t xml:space="preserve">Milionis HJ, Efstathiadou Z, Tselepis AD, Bairaktari ET, Tsironis LD, et al. Lipoprotein (a) levels and apolipoprotein (a) isoform size in patients with subclinical hypothyroidism: Effect of treatment with levothyroxine. Thyroid. </w:t>
      </w:r>
      <w:r w:rsidRPr="00AD2254">
        <w:t>2003. 13:365</w:t>
      </w:r>
    </w:p>
    <w:p w14:paraId="6301BB9C" w14:textId="77777777" w:rsidR="000A35A5" w:rsidRPr="00B415B2" w:rsidRDefault="000A35A5" w:rsidP="000A35A5">
      <w:r w:rsidRPr="007D1B37">
        <w:rPr>
          <w:lang w:val="fr-CA"/>
        </w:rPr>
        <w:t xml:space="preserve">Mu G, Mu X, Xing H, Xu R, Sun G, et al. </w:t>
      </w:r>
      <w:r w:rsidRPr="00B415B2">
        <w:t>Subclinical hypothyroidism as an independent risk factor for colorectal neoplasm. Clinics and Research in Hepatology and Gastroenterology. 2015. 39:261</w:t>
      </w:r>
    </w:p>
    <w:p w14:paraId="54874070" w14:textId="77777777" w:rsidR="000A35A5" w:rsidRPr="00B415B2" w:rsidRDefault="000A35A5" w:rsidP="000A35A5">
      <w:r w:rsidRPr="00B415B2">
        <w:t>Nacar AB, Acar G, Yorgun H, Akçay A, Özkaya M, et al. The effect of antithyroid treatment on atrial conduction times in patients with subclinical hyperthyroidism. Echocardiography. 2012. 29:950</w:t>
      </w:r>
    </w:p>
    <w:p w14:paraId="63BFF0B0" w14:textId="77777777" w:rsidR="000A35A5" w:rsidRPr="00B415B2" w:rsidRDefault="000A35A5" w:rsidP="000A35A5">
      <w:r w:rsidRPr="007D1B37">
        <w:rPr>
          <w:lang w:val="fr-CA"/>
        </w:rPr>
        <w:t xml:space="preserve">Nagasaki T, Inaba M, Yamada S, Kumeda Y, Hiura Y, et al. </w:t>
      </w:r>
      <w:r w:rsidRPr="00B415B2">
        <w:t>Changes in brachial-ankle pulse wave velocity in subclinical hypothyroidism during normalization of thyroid function. Biomedicine and Pharmacotherapy. 2007. 61:482</w:t>
      </w:r>
    </w:p>
    <w:p w14:paraId="55816E45" w14:textId="77777777" w:rsidR="000A35A5" w:rsidRPr="00B415B2" w:rsidRDefault="000A35A5" w:rsidP="000A35A5">
      <w:r w:rsidRPr="00B415B2">
        <w:t>Nordio M, S. Basciani. Myo-inositol plus selenium supplementation restores euthyroid state in Hashimoto's patients with subclinical hypothyroidism.. European Review for Medical &amp; Pharmacological Sciences. 2017. 21:51</w:t>
      </w:r>
    </w:p>
    <w:p w14:paraId="61704134" w14:textId="77777777" w:rsidR="000A35A5" w:rsidRPr="00B415B2" w:rsidRDefault="000A35A5" w:rsidP="000A35A5">
      <w:r w:rsidRPr="00B415B2">
        <w:t>Oflaz H, R. Kurt, F. Sen, I. Onur, A. O. Cimen, A. Elitok, K. Turkmen, B. Pamukcu, E. Kasikcioglu, Z. Bugra, F. Mercanoglu, N. Ozbey. Coronary flow reserve after L-thyroxine therapy in Hashimoto's thyroiditis patients with subclinical and overt hypothyroidism. Endocrine. 2007. 32:264</w:t>
      </w:r>
    </w:p>
    <w:p w14:paraId="2A825690" w14:textId="77777777" w:rsidR="000A35A5" w:rsidRPr="00B415B2" w:rsidRDefault="000A35A5" w:rsidP="000A35A5">
      <w:r w:rsidRPr="00B415B2">
        <w:t>Oner FA, S. Yurdakul, E. Oner, A. Kubat Uzum, M. Erguney. Evaluation of the eff ect of l-thyroxin therapy on cardiac functions by using novel tissue Doppler-derived indices in patients with subclinical hypothyroidism. Acta Cardiologica. 2011. 66:47</w:t>
      </w:r>
    </w:p>
    <w:p w14:paraId="653F90A7" w14:textId="77777777" w:rsidR="000A35A5" w:rsidRPr="00B415B2" w:rsidRDefault="000A35A5" w:rsidP="000A35A5">
      <w:r w:rsidRPr="00B415B2">
        <w:t>Oner FA, Yurdakul S, Oner E, Uzum AK, Erguney M. Evaluation of the effect of L-thyroxin therapy on endothelial functions in patients with subclinical hypothyroidism. Endocrine. 2011. 40:280</w:t>
      </w:r>
    </w:p>
    <w:p w14:paraId="529D354D" w14:textId="77777777" w:rsidR="000A35A5" w:rsidRPr="00B415B2" w:rsidRDefault="000A35A5" w:rsidP="000A35A5">
      <w:r w:rsidRPr="00B415B2">
        <w:t>Rhee CM, Y. Chen, A. S. You, S. M. Brunelli, C. P. Kovesdy, M. J. Budoff, G. A. Brent, K. Kalantar-Zadeh, D. V. Nguyen. Thyroid status, quality of life, and mental health in patients on hemodialysis. Clinical Journal of the American Society of Nephrology. 2017. 12:1274</w:t>
      </w:r>
    </w:p>
    <w:p w14:paraId="7412B49E" w14:textId="77777777" w:rsidR="000A35A5" w:rsidRPr="00B415B2" w:rsidRDefault="000A35A5" w:rsidP="000A35A5">
      <w:r w:rsidRPr="007D1B37">
        <w:rPr>
          <w:lang w:val="fr-CA"/>
        </w:rPr>
        <w:t xml:space="preserve">Ripoli A, A. Pingitore, B. Favilli, A. Bottoni, S. Turchi, N. F. Osman, D. De Marchi, M. Lombardi, A. L'Abbate, G. Iervasi. </w:t>
      </w:r>
      <w:r w:rsidRPr="00B415B2">
        <w:t>Does subclinical hypothyroidism affect cardiac pump performance? Evidence from a magnetic resonance imaging study. Journal of the American College of Cardiology. 2005. 45:439</w:t>
      </w:r>
    </w:p>
    <w:p w14:paraId="0CA815F3" w14:textId="77777777" w:rsidR="000A35A5" w:rsidRPr="00B415B2" w:rsidRDefault="000A35A5" w:rsidP="000A35A5">
      <w:r w:rsidRPr="00B415B2">
        <w:t>Rodondi N, D. C. Bauer, A. R. Cappola, J. Cornuz, J. Robbins, L. P. Fried, P. W. Ladenson, E. Vittinghoff, J. S. Gottdiener, A. B. Newman. Subclinical Thyroid Dysfunction, Cardiac Function, and the Risk of Heart Failure. The Cardiovascular Health Study. Journal of the American College of Cardiology. 2008. 52:1152</w:t>
      </w:r>
    </w:p>
    <w:p w14:paraId="275ECB31" w14:textId="77777777" w:rsidR="000A35A5" w:rsidRPr="00B415B2" w:rsidRDefault="000A35A5" w:rsidP="000A35A5">
      <w:r w:rsidRPr="00B415B2">
        <w:t>Rodondi N, Den Elzen WPJ, Bauer DC, Cappola AR, Razvi S, et al. Subclinical hypothyroidism and the risk of coronary heart disease and mortality. JAMA - Journal of the American Medical Association. 2010. 304:1365</w:t>
      </w:r>
    </w:p>
    <w:p w14:paraId="7AA5EE50" w14:textId="77777777" w:rsidR="000A35A5" w:rsidRPr="00B415B2" w:rsidRDefault="000A35A5" w:rsidP="000A35A5">
      <w:r w:rsidRPr="00B415B2">
        <w:lastRenderedPageBreak/>
        <w:t>Romano MMD, L. M. Z. MacIel, O. C. Almeida-Filho, A. Pazin-Filho, A. Schmidt, B. C. MacIel. Myocardial ultrasonic tissue characterization in patients with thyroid dysfunction. Cardiovascular Ultrasound. 2010. 8:#pages#</w:t>
      </w:r>
    </w:p>
    <w:p w14:paraId="4AB47942" w14:textId="77777777" w:rsidR="000A35A5" w:rsidRPr="00B415B2" w:rsidRDefault="000A35A5" w:rsidP="000A35A5">
      <w:r w:rsidRPr="00B415B2">
        <w:t>Rosario PW, Carvalho M, Calsolari MR. Symptoms of thyrotoxicosis, bone metabolism and occult atrial fibrillation in older women with mild endogenous subclinical hyperthyroidism. Clinical endocrinology. 2016. 85:132</w:t>
      </w:r>
    </w:p>
    <w:p w14:paraId="089CBF1C" w14:textId="77777777" w:rsidR="000A35A5" w:rsidRPr="00B415B2" w:rsidRDefault="000A35A5" w:rsidP="000A35A5">
      <w:pPr>
        <w:rPr>
          <w:lang w:val="fr-CA"/>
        </w:rPr>
      </w:pPr>
      <w:r w:rsidRPr="00B415B2">
        <w:t xml:space="preserve">Rosario PWS, M. R. Calsolari. Impact of subclinical hypothyroidism with TSH =10 mIU/L on glomerular filtration rate in adult women without known kidney disease. </w:t>
      </w:r>
      <w:r w:rsidRPr="00B415B2">
        <w:rPr>
          <w:lang w:val="fr-CA"/>
        </w:rPr>
        <w:t>Endocrine. 2018. 59:694</w:t>
      </w:r>
    </w:p>
    <w:p w14:paraId="005C3864" w14:textId="77777777" w:rsidR="000A35A5" w:rsidRPr="00B415B2" w:rsidRDefault="000A35A5" w:rsidP="000A35A5">
      <w:r w:rsidRPr="00B415B2">
        <w:rPr>
          <w:lang w:val="fr-CA"/>
        </w:rPr>
        <w:t xml:space="preserve">Rotondi M, Leporati P, Rizza MI, Clerici A, Groppelli G, et al. </w:t>
      </w:r>
      <w:r w:rsidRPr="00B415B2">
        <w:t>Raised serum TSH in morbid-obese and non-obese patients: effect on the circulating lipid profile. Endocrine. 2014. 45:92.</w:t>
      </w:r>
    </w:p>
    <w:p w14:paraId="6CEC160A" w14:textId="77777777" w:rsidR="000A35A5" w:rsidRPr="00B415B2" w:rsidRDefault="000A35A5" w:rsidP="000A35A5">
      <w:r w:rsidRPr="00B415B2">
        <w:t>Sato Y, A. Yoshihisa, Y. Kimishima, T. Kiko, S. Watanabe, Y. Kanno, S. Abe, M. Miyata, T. Sato, S. Suzuki, M. Oikawa, A. Kobayashi, T. Yamaki, H. Kunii, K. Nakazato, T. Ishida, Y. Takeishi. Subclinical Hypothyroidism Is Associated With Adverse Prognosis in Heart Failure Patients. Canadian Journal of Cardiology. 2018. 34:80</w:t>
      </w:r>
    </w:p>
    <w:p w14:paraId="381662F0" w14:textId="77777777" w:rsidR="000A35A5" w:rsidRPr="00B415B2" w:rsidRDefault="000A35A5" w:rsidP="000A35A5">
      <w:r w:rsidRPr="00B415B2">
        <w:t>Sayin I, Erkan AF, Ekici B, Kutuk U, Corakci A, et al. Thickening of the epicardial adipose tissue can be alleviated by thyroid hormone replacement therapy in patients with subclinical hypothyroidism. Kardiologia polska. 2016. 74:1492</w:t>
      </w:r>
    </w:p>
    <w:p w14:paraId="4DDE693A" w14:textId="77777777" w:rsidR="000A35A5" w:rsidRPr="00B415B2" w:rsidRDefault="000A35A5" w:rsidP="000A35A5">
      <w:r w:rsidRPr="00B415B2">
        <w:t>Schultheiss UT, N. Daya, M. E. Grams, J. Seufert, M. Steffes, J. Coresh, E. Selvin, A. Köttgen. Thyroid function, reduced kidney function and incident chronic kidney disease in a community-based population: The Atherosclerosis Risk in Communities study. Nephrology Dialysis Transplantation. 2017. 32:1874</w:t>
      </w:r>
    </w:p>
    <w:p w14:paraId="6877C051" w14:textId="77777777" w:rsidR="000A35A5" w:rsidRPr="00451864" w:rsidRDefault="000A35A5" w:rsidP="000A35A5">
      <w:r w:rsidRPr="00B415B2">
        <w:t xml:space="preserve">Segna D, Mean M, Limacher A, Baumgartner C, Blum MR, et al. Association between thyroid dysfunction and venous thromboembolism in the elderly: a prospective cohort study. Journal of Thrombosis &amp; Haemostasis. </w:t>
      </w:r>
      <w:r w:rsidRPr="00451864">
        <w:t>2016. 14:685</w:t>
      </w:r>
    </w:p>
    <w:p w14:paraId="5519D2FE" w14:textId="77777777" w:rsidR="000A35A5" w:rsidRPr="00B415B2" w:rsidRDefault="000A35A5" w:rsidP="000A35A5">
      <w:r w:rsidRPr="007D1B37">
        <w:rPr>
          <w:lang w:val="fr-CA"/>
        </w:rPr>
        <w:t xml:space="preserve">Serter R, Demirbas B, Korukluoglu B, Culha C, Cakal E, et al. </w:t>
      </w:r>
      <w:r w:rsidRPr="00B415B2">
        <w:t>The effect of L-thyroxine replacement therapy on lipid based cardiovascular risk in subclinical hypothyroidism. Journal of endocrinological investigation. 2004. 27:897</w:t>
      </w:r>
    </w:p>
    <w:p w14:paraId="5AC045DF" w14:textId="77777777" w:rsidR="000A35A5" w:rsidRPr="00B415B2" w:rsidRDefault="000A35A5" w:rsidP="000A35A5">
      <w:r w:rsidRPr="00B415B2">
        <w:t>Shatynska-Mytsyk I, Rodrigo L, Cioccocioppo R, Petrovic D, Lakusic N, et al. The impact of thyroid hormone replacement therapy on left ventricular diastolic function in patients with subclinical hypothyroidism. Journal of endocrinological investigation. 2016. 39:709</w:t>
      </w:r>
    </w:p>
    <w:p w14:paraId="1D454F8F" w14:textId="77777777" w:rsidR="000A35A5" w:rsidRPr="00B415B2" w:rsidRDefault="000A35A5" w:rsidP="000A35A5">
      <w:r w:rsidRPr="00B415B2">
        <w:t>Sommat K, Whee Sze Ong, Ashik Hussain, Yoke Lim Soong, Terence Tan, Joseph Wee, Kam Weng Fong. Thyroid V40 Predicts Primary Hypothyroidism After Intensity Modulated Radiation Therapy for Nasopharyngeal Carcinoma.. International journal of radiation oncology, biology, physics. 2017. 98:574</w:t>
      </w:r>
    </w:p>
    <w:p w14:paraId="0709E8BC" w14:textId="77777777" w:rsidR="000A35A5" w:rsidRPr="00B415B2" w:rsidRDefault="000A35A5" w:rsidP="000A35A5">
      <w:r w:rsidRPr="00B415B2">
        <w:lastRenderedPageBreak/>
        <w:t>Surkovic I, I. Suljevic, A. Kudumovic. Therapy effect on ejection fraction in patients with hypo- and hyperthyroidism. HealthMED. 2010. 4:610</w:t>
      </w:r>
    </w:p>
    <w:p w14:paraId="22322839" w14:textId="77777777" w:rsidR="000A35A5" w:rsidRPr="00B415B2" w:rsidRDefault="000A35A5" w:rsidP="000A35A5">
      <w:r w:rsidRPr="007D1B37">
        <w:rPr>
          <w:lang w:val="fr-CA"/>
        </w:rPr>
        <w:t xml:space="preserve">Taddei S, Caraccio N, Virdis A, Dardano A, Versari D, et al. </w:t>
      </w:r>
      <w:r w:rsidRPr="00B415B2">
        <w:t>Impaired endothelium-dependent vasodilatation in subclinical hypothyroidism: Beneficial effect of levothyroxine therapy. Journal of Clinical Endocrinology and Metabolism. 2003. 88:3731</w:t>
      </w:r>
    </w:p>
    <w:p w14:paraId="793DE7D3" w14:textId="77777777" w:rsidR="000A35A5" w:rsidRPr="00B415B2" w:rsidRDefault="000A35A5" w:rsidP="000A35A5">
      <w:r w:rsidRPr="00B415B2">
        <w:t>Tadic M, S. Ilic, B. Ivanovic, V. Celic. Left atrial phasic function and mechanics in women with subclinical hypothyroidism: The effects of levothyroxine therapy. Echocardiography. 2014. 31:1221</w:t>
      </w:r>
    </w:p>
    <w:p w14:paraId="56F370AD" w14:textId="77777777" w:rsidR="000A35A5" w:rsidRPr="00B415B2" w:rsidRDefault="000A35A5" w:rsidP="000A35A5">
      <w:r w:rsidRPr="00B415B2">
        <w:t>Tadic M, S. Ilic, N. Kostic, Z. Caparevic, V. Celic. Subclinical hypothyroidism and left ventricular mechanics: A three-dimensional speckle tracking study. Journal of Clinical Endocrinology and Metabolism. 2014. 99:307</w:t>
      </w:r>
    </w:p>
    <w:p w14:paraId="543693C2" w14:textId="77777777" w:rsidR="000A35A5" w:rsidRPr="00B415B2" w:rsidRDefault="000A35A5" w:rsidP="000A35A5">
      <w:r w:rsidRPr="00B415B2">
        <w:t>Tadic M, S. Ilic, V. Celic. Right ventricular and right atrial function and deformation in patients with subclinical hypothyroidism: A two- and three-dimensional echocardiographic study. European Journal of Endocrinology. 2014. 170:77</w:t>
      </w:r>
    </w:p>
    <w:p w14:paraId="4CCF5D6E" w14:textId="77777777" w:rsidR="000A35A5" w:rsidRPr="00B415B2" w:rsidRDefault="000A35A5" w:rsidP="000A35A5">
      <w:r w:rsidRPr="00B415B2">
        <w:rPr>
          <w:lang w:val="fr-CA"/>
        </w:rPr>
        <w:t xml:space="preserve">Tanase DM, Vulpoi C, Ionescu SD, Ouatu A, Ambarus V, et al. </w:t>
      </w:r>
      <w:r w:rsidRPr="00B415B2">
        <w:t>Effects of subclinical and overt primary hypothyroidism on the cardiac function and their reversibility under treatment using tissue doppler echocardiography. Acta Endocrinologica. 2014. 10:640</w:t>
      </w:r>
    </w:p>
    <w:p w14:paraId="4A402AA3" w14:textId="77777777" w:rsidR="000A35A5" w:rsidRPr="00B415B2" w:rsidRDefault="000A35A5" w:rsidP="000A35A5">
      <w:r w:rsidRPr="00B415B2">
        <w:t>Tohidi M, A. Derakhshan, S. Akbarpour, A. Amouzegar, L. Mehran, A. Baghbani-Oskouei, F. Azizi, F. Hadaegh. Thyroid Dysfunction States and Incident Cardiovascular Events: The Tehran Thyroid Study. Hormone and Metabolic Research. 2018. 50:37</w:t>
      </w:r>
    </w:p>
    <w:p w14:paraId="1AB09BB7" w14:textId="77777777" w:rsidR="000A35A5" w:rsidRPr="00B415B2" w:rsidRDefault="000A35A5" w:rsidP="000A35A5">
      <w:pPr>
        <w:rPr>
          <w:lang w:val="fr-CA"/>
        </w:rPr>
      </w:pPr>
      <w:r w:rsidRPr="00B415B2">
        <w:t xml:space="preserve">Traub-Weidinger T, Graf S, Beheshti M, Ofluoglu S, Zettinig G, et al. Coronary vasoreactivity in subjects with thyroid autoimmunity and subclinical hypothyroidism before and after supplementation with thyroxine. </w:t>
      </w:r>
      <w:r w:rsidRPr="007D1B37">
        <w:t xml:space="preserve">Thyroid. 2012. </w:t>
      </w:r>
      <w:r w:rsidRPr="00B415B2">
        <w:rPr>
          <w:lang w:val="fr-CA"/>
        </w:rPr>
        <w:t>22:245</w:t>
      </w:r>
    </w:p>
    <w:p w14:paraId="04526F8F" w14:textId="77777777" w:rsidR="000A35A5" w:rsidRPr="00B415B2" w:rsidRDefault="000A35A5" w:rsidP="000A35A5">
      <w:r w:rsidRPr="00B415B2">
        <w:rPr>
          <w:lang w:val="fr-CA"/>
        </w:rPr>
        <w:t xml:space="preserve">Tseng FY, -Y Lin W, -C Lin C, -T Lee L, -C Li T, et al. </w:t>
      </w:r>
      <w:r w:rsidRPr="00B415B2">
        <w:t>Subclinical hypothyroidism is associated with increased risk for all-cause and cardiovascular mortality in adults. Journal of the American College of Cardiology. 2012. 60:730</w:t>
      </w:r>
    </w:p>
    <w:p w14:paraId="698E7DA4" w14:textId="77777777" w:rsidR="000A35A5" w:rsidRPr="00B415B2" w:rsidRDefault="000A35A5" w:rsidP="000A35A5">
      <w:r w:rsidRPr="00EA2A99">
        <w:rPr>
          <w:lang w:val="fr-CA"/>
        </w:rPr>
        <w:t xml:space="preserve">Tseng FY, -Y Lin W, -I Li C, -C Li T, Lin C-C, et al. </w:t>
      </w:r>
      <w:r w:rsidRPr="00B415B2">
        <w:t>Subclinical hypothyroidism is associated with increased risk for cancer mortality in adult taiwanese-A 10 years population- Based cohort. PLoS ONE. 2015. 10:#pages#</w:t>
      </w:r>
    </w:p>
    <w:p w14:paraId="1A76DB5D" w14:textId="77777777" w:rsidR="000A35A5" w:rsidRPr="00B415B2" w:rsidRDefault="000A35A5" w:rsidP="000A35A5">
      <w:r w:rsidRPr="00B415B2">
        <w:t>Tuliani TA, M. Shenoy, K. Belgrave, A. Deshmukh, S. Pant, A. Hilliard, L. Afonso. Role of Microalbuminuria in Predicting Cardiovascular Mortality in Individuals With Subclinical Hypothyroidism. American Journal of the Medical Sciences. 2017. 354:285</w:t>
      </w:r>
    </w:p>
    <w:p w14:paraId="5CCA5002" w14:textId="77777777" w:rsidR="000A35A5" w:rsidRPr="00B415B2" w:rsidRDefault="000A35A5" w:rsidP="000A35A5">
      <w:r w:rsidRPr="00B415B2">
        <w:t xml:space="preserve">Turhan S, C. Tulunay, M. O. Cin, A. Gursoy, M. Kilickap, I. Dincer, B. Candemir, S. Gullu, C. Erol. Effects of thyroxine therapy on right ventricular systolic and diastolic function in patients with subclinical </w:t>
      </w:r>
      <w:r w:rsidRPr="00B415B2">
        <w:lastRenderedPageBreak/>
        <w:t>hypothyroidism: A study by pulsed wave tissue doppler imaging. Journal of Clinical Endocrinology and Metabolism. 2006. 91:3490</w:t>
      </w:r>
    </w:p>
    <w:p w14:paraId="586C32AB" w14:textId="77777777" w:rsidR="000A35A5" w:rsidRPr="00B415B2" w:rsidRDefault="000A35A5" w:rsidP="000A35A5">
      <w:r w:rsidRPr="00B415B2">
        <w:t>Virgini VS, L. W. Wijsman, N. Rodondi, D. C. Bauer, P. M. Kearney, J. Gussekloo, W. P. J. Den Elzen, J. W. Jukema, R. G. J. Westendorp, I. Ford, D. J. Stott, S. P. Mooijaart. Subclinical thyroid dysfunction and functional capacity among elderly. Thyroid. 2014. 24:208</w:t>
      </w:r>
    </w:p>
    <w:p w14:paraId="49E0B113" w14:textId="77777777" w:rsidR="000A35A5" w:rsidRPr="00B415B2" w:rsidRDefault="000A35A5" w:rsidP="000A35A5">
      <w:r w:rsidRPr="00B415B2">
        <w:t>Virgini VS, Wijsman LW, Rodondi N, Bauer DC, Kearney PM, et al. Subclinical thyroid dysfunction and functional capacity among elderly. Thyroid. 2014. 24:208.</w:t>
      </w:r>
    </w:p>
    <w:p w14:paraId="4BF5EF68" w14:textId="77777777" w:rsidR="000A35A5" w:rsidRPr="00B415B2" w:rsidRDefault="000A35A5" w:rsidP="000A35A5">
      <w:r w:rsidRPr="00B415B2">
        <w:t>Vishnoi G, Chakraborty B, Garda H, Gowda SH, Goswami B. Low mood and response to Levothyroxine treatment in Indian patients with subclinical hypothyroidism. Asian Journal of Psychiatry. 2014. 8:89</w:t>
      </w:r>
    </w:p>
    <w:p w14:paraId="34EE49E4" w14:textId="77777777" w:rsidR="000A35A5" w:rsidRPr="00B415B2" w:rsidRDefault="000A35A5" w:rsidP="000A35A5">
      <w:r w:rsidRPr="00B415B2">
        <w:t>Viswanathan G, Balasubramaniam K, Hardy R, Marshall S, Zaman A, et al. Blood thrombogenicity is independently associated with serum TSH levels in post-non-ST elevation acute coronary syndrome. Journal of Clinical Endocrinology and Metabolism. 2014. 99:E1050</w:t>
      </w:r>
    </w:p>
    <w:p w14:paraId="349572E4" w14:textId="77777777" w:rsidR="000A35A5" w:rsidRPr="00B415B2" w:rsidRDefault="000A35A5" w:rsidP="000A35A5">
      <w:r w:rsidRPr="00B415B2">
        <w:t>Walsh JP, A. P. Bremner, M. K. Bulsara, P. O'Leary, P. J. Leedman, P. Feddema, V. Michelangeli. Subclinical thyroid dysfunction as a risk factor for cardiovascular disease. Archives of Internal Medicine. 2005. 165:2467</w:t>
      </w:r>
    </w:p>
    <w:p w14:paraId="64655E1B" w14:textId="77777777" w:rsidR="000A35A5" w:rsidRPr="00B415B2" w:rsidRDefault="000A35A5" w:rsidP="000A35A5">
      <w:r w:rsidRPr="00B415B2">
        <w:t>Wang H, A. Liu, Y. Zhou, Y. Xiao, Y. Yan, T. Zhao, X. Gong, T. Pang, C. Fan, J. Zhao, W. Teng, Z. Shan, Y. Lai. The correlation between serum free thyroxine and regression of dyslipidemia in adult males: A 4.5-year prospective study. Medicine (United States). 2017. 96:#pages#</w:t>
      </w:r>
    </w:p>
    <w:p w14:paraId="1FD82460" w14:textId="77777777" w:rsidR="000A35A5" w:rsidRPr="00B415B2" w:rsidRDefault="000A35A5" w:rsidP="000A35A5">
      <w:r w:rsidRPr="00B415B2">
        <w:t>Xiangwen Cheng, Zixiao Wei, Guangde Zhang, Xin Shao, Bo Li, et al. A systematic review of combinatorial treatment with warming and invigorating drugs and levothyroxine for hypothyroidism caused by Hashimoto disease.. Annals of Translational Medicine. 2016. 4:459</w:t>
      </w:r>
    </w:p>
    <w:p w14:paraId="41F8464D" w14:textId="77777777" w:rsidR="000A35A5" w:rsidRPr="00B415B2" w:rsidRDefault="000A35A5" w:rsidP="000A35A5">
      <w:r w:rsidRPr="007D1B37">
        <w:rPr>
          <w:lang w:val="fr-CA"/>
        </w:rPr>
        <w:t xml:space="preserve">Xu G, Y. Yan, Y. Liu. </w:t>
      </w:r>
      <w:r w:rsidRPr="00B415B2">
        <w:t>The cardiovascular disease risks of nonthyroidal illness syndrome and inflammatory responses on patients with chronic kidney disease: From the association to clinical prognosis. Cardiovascular Therapeutics. 2014. 32:257</w:t>
      </w:r>
    </w:p>
    <w:p w14:paraId="6CADC020" w14:textId="77777777" w:rsidR="000A35A5" w:rsidRPr="00B415B2" w:rsidRDefault="000A35A5" w:rsidP="000A35A5">
      <w:r w:rsidRPr="00B415B2">
        <w:t>Yang GR, -K Yang J, Zhang L, -H An Y, -K Lu J. Association between subclinical hypothyroidism and proliferative diabetic retinopathy in type 2 diabetic patients: A case-control study. Tohoku Journal of Experimental Medicine. 2010. 222:303</w:t>
      </w:r>
    </w:p>
    <w:p w14:paraId="60B088C1" w14:textId="77777777" w:rsidR="000A35A5" w:rsidRPr="00B415B2" w:rsidRDefault="000A35A5" w:rsidP="000A35A5">
      <w:pPr>
        <w:rPr>
          <w:lang w:val="fr-CA"/>
        </w:rPr>
      </w:pPr>
      <w:r w:rsidRPr="00B415B2">
        <w:t xml:space="preserve">Yazıcı D, Özben B, Toprak A, Yavuz D, Aydın H, et al. Effects of restoration of the euthyroid state on epicardial adipose tissue and carotid intima media thickness in subclinical hypothyroid patients. </w:t>
      </w:r>
      <w:r w:rsidRPr="007D1B37">
        <w:t xml:space="preserve">Endocrine. 2015. </w:t>
      </w:r>
      <w:r w:rsidRPr="00B415B2">
        <w:rPr>
          <w:lang w:val="fr-CA"/>
        </w:rPr>
        <w:t>48:909</w:t>
      </w:r>
    </w:p>
    <w:p w14:paraId="6F7B3B23" w14:textId="77777777" w:rsidR="000A35A5" w:rsidRPr="00B415B2" w:rsidRDefault="000A35A5" w:rsidP="000A35A5">
      <w:pPr>
        <w:rPr>
          <w:lang w:val="fr-CA"/>
        </w:rPr>
      </w:pPr>
      <w:r w:rsidRPr="00B415B2">
        <w:rPr>
          <w:lang w:val="fr-CA"/>
        </w:rPr>
        <w:t xml:space="preserve">Yin JJ, -M Liao L, -X Luo D, Xu K, -H Ma S, et al. </w:t>
      </w:r>
      <w:r w:rsidRPr="00B415B2">
        <w:t xml:space="preserve">Spatial working memory impairment in subclinical hypothyroidism: An fMRI study. </w:t>
      </w:r>
      <w:r w:rsidRPr="00B415B2">
        <w:rPr>
          <w:lang w:val="fr-CA"/>
        </w:rPr>
        <w:t>Neuroendocrinology. 2013. 97:260</w:t>
      </w:r>
    </w:p>
    <w:p w14:paraId="6D48BCD8" w14:textId="6598A48D" w:rsidR="000A35A5" w:rsidRPr="00B415B2" w:rsidRDefault="000A35A5" w:rsidP="000A35A5">
      <w:r w:rsidRPr="00B415B2">
        <w:rPr>
          <w:lang w:val="fr-CA"/>
        </w:rPr>
        <w:lastRenderedPageBreak/>
        <w:t xml:space="preserve">Zhou Y, Chen Y, Cao X, Liu C, Liu C, et al. </w:t>
      </w:r>
      <w:r w:rsidRPr="00B415B2">
        <w:t>Association between plasma homocysteine status and hypothyroidism: A meta-analysis. International Journal of Clinical and Experimental Medicine. 2014. 7:4544</w:t>
      </w:r>
    </w:p>
    <w:p w14:paraId="651B8338" w14:textId="66247B5C" w:rsidR="000504F6" w:rsidRPr="00C53450" w:rsidRDefault="000504F6" w:rsidP="000504F6">
      <w:pPr>
        <w:spacing w:after="240"/>
        <w:rPr>
          <w:rFonts w:eastAsia="Times New Roman"/>
        </w:rPr>
      </w:pPr>
    </w:p>
    <w:p w14:paraId="6B85FA0C" w14:textId="50A9341F" w:rsidR="000504F6" w:rsidRPr="00174635" w:rsidRDefault="000504F6" w:rsidP="000504F6">
      <w:pPr>
        <w:rPr>
          <w:b/>
        </w:rPr>
      </w:pPr>
      <w:r w:rsidRPr="00174635">
        <w:rPr>
          <w:b/>
          <w:u w:val="single"/>
        </w:rPr>
        <w:t xml:space="preserve">Wrong </w:t>
      </w:r>
      <w:r>
        <w:rPr>
          <w:b/>
          <w:u w:val="single"/>
        </w:rPr>
        <w:t>population</w:t>
      </w:r>
      <w:r>
        <w:rPr>
          <w:b/>
        </w:rPr>
        <w:t xml:space="preserve">: n = </w:t>
      </w:r>
      <w:r w:rsidR="0044483D">
        <w:rPr>
          <w:b/>
        </w:rPr>
        <w:t>23</w:t>
      </w:r>
    </w:p>
    <w:p w14:paraId="239C9642" w14:textId="77777777" w:rsidR="0044483D" w:rsidRPr="0044483D" w:rsidRDefault="0044483D" w:rsidP="0044483D">
      <w:pPr>
        <w:spacing w:after="240"/>
        <w:rPr>
          <w:rFonts w:eastAsia="Times New Roman"/>
          <w:bCs/>
        </w:rPr>
      </w:pPr>
      <w:r w:rsidRPr="0044483D">
        <w:rPr>
          <w:rFonts w:eastAsia="Times New Roman"/>
          <w:bCs/>
        </w:rPr>
        <w:t>Aghili R, Khamseh ME, Malek M, Hadian A, Baradaran HR, et al. Changes of subtests of Wechsler Memory Scale and cognitive function in subjects with subclinical hypothyroidism following treatment with levothyroxine. Archives of Medical Science. 2012. 8:1096</w:t>
      </w:r>
    </w:p>
    <w:p w14:paraId="493D250A" w14:textId="77777777" w:rsidR="0044483D" w:rsidRPr="0044483D" w:rsidRDefault="0044483D" w:rsidP="0044483D">
      <w:pPr>
        <w:spacing w:after="240"/>
        <w:rPr>
          <w:rFonts w:eastAsia="Times New Roman"/>
          <w:bCs/>
        </w:rPr>
      </w:pPr>
      <w:r w:rsidRPr="0044483D">
        <w:rPr>
          <w:rFonts w:eastAsia="Times New Roman"/>
          <w:bCs/>
        </w:rPr>
        <w:t>Avais Jabbar, Lorna Ingoe, Simon Pearce, Azfar Zaman, Salman Razvi. Thyroxine in acute myocardial infarction (ThyrAMI) - levothyroxine in subclinical hypothyroidism post-acute myocardial infarction: study protocol for a randomised controlled trial.. Trials [Electronic Resource]. 2015. 16:115</w:t>
      </w:r>
    </w:p>
    <w:p w14:paraId="49C2B9EA" w14:textId="77777777" w:rsidR="0044483D" w:rsidRPr="0044483D" w:rsidRDefault="0044483D" w:rsidP="0044483D">
      <w:pPr>
        <w:spacing w:after="240"/>
        <w:rPr>
          <w:rFonts w:eastAsia="Times New Roman"/>
          <w:bCs/>
        </w:rPr>
      </w:pPr>
      <w:r w:rsidRPr="0044483D">
        <w:rPr>
          <w:rFonts w:eastAsia="Times New Roman"/>
          <w:bCs/>
        </w:rPr>
        <w:t>Bestwick JP, John R, Maina A, Guaraldo V, Joomun M, et al. Thyroid stimulating hormone and free thyroxine in pregnancy: Expressing concentrations as multiples of the median (moms). Clinica Chimica Acta. 2014. 430:33</w:t>
      </w:r>
    </w:p>
    <w:p w14:paraId="4E631236" w14:textId="77777777" w:rsidR="0044483D" w:rsidRPr="0044483D" w:rsidRDefault="0044483D" w:rsidP="0044483D">
      <w:pPr>
        <w:spacing w:after="240"/>
        <w:rPr>
          <w:rFonts w:eastAsia="Times New Roman"/>
          <w:bCs/>
        </w:rPr>
      </w:pPr>
      <w:r w:rsidRPr="0044483D">
        <w:rPr>
          <w:rFonts w:eastAsia="Times New Roman"/>
          <w:bCs/>
        </w:rPr>
        <w:t>Birte Nygaard. Hyperthyroidism (primary). Clinical Evidence. 2008.</w:t>
      </w:r>
    </w:p>
    <w:p w14:paraId="49BE710A" w14:textId="77777777" w:rsidR="0044483D" w:rsidRPr="0044483D" w:rsidRDefault="0044483D" w:rsidP="0044483D">
      <w:pPr>
        <w:spacing w:after="240"/>
        <w:rPr>
          <w:rFonts w:eastAsia="Times New Roman"/>
          <w:bCs/>
        </w:rPr>
      </w:pPr>
      <w:r w:rsidRPr="0044483D">
        <w:rPr>
          <w:rFonts w:eastAsia="Times New Roman"/>
          <w:bCs/>
        </w:rPr>
        <w:t>Birte Nygaard. Hyperthyroidism (primary). Clinical Evidence. 2010.</w:t>
      </w:r>
    </w:p>
    <w:p w14:paraId="2A037B27" w14:textId="77777777" w:rsidR="0044483D" w:rsidRPr="0044483D" w:rsidRDefault="0044483D" w:rsidP="0044483D">
      <w:pPr>
        <w:spacing w:after="240"/>
        <w:rPr>
          <w:rFonts w:eastAsia="Times New Roman"/>
          <w:bCs/>
        </w:rPr>
      </w:pPr>
      <w:r w:rsidRPr="0044483D">
        <w:rPr>
          <w:rFonts w:eastAsia="Times New Roman"/>
          <w:bCs/>
        </w:rPr>
        <w:t>Buscemi S, Verga S, Cottone S, Andronico G, D'Orio L, et al. Favorable clinical heart and bone effects of anti-thyroid drug therapy in endogenous subclinical hyperthyroidism. Journal of endocrinological investigation. 2007. 30:230</w:t>
      </w:r>
    </w:p>
    <w:p w14:paraId="62985DEF" w14:textId="77777777" w:rsidR="0044483D" w:rsidRPr="0044483D" w:rsidRDefault="0044483D" w:rsidP="0044483D">
      <w:pPr>
        <w:spacing w:after="240"/>
        <w:rPr>
          <w:rFonts w:eastAsia="Times New Roman"/>
          <w:bCs/>
        </w:rPr>
      </w:pPr>
      <w:r w:rsidRPr="00EA2A99">
        <w:rPr>
          <w:rFonts w:eastAsia="Times New Roman"/>
          <w:bCs/>
          <w:lang w:val="fr-CA"/>
        </w:rPr>
        <w:t xml:space="preserve">Cappelli C,​ Pirola I,​ Daffini L,​ Formenti A,​ Iacobello C,​ et al. </w:t>
      </w:r>
      <w:r w:rsidRPr="0044483D">
        <w:rPr>
          <w:rFonts w:eastAsia="Times New Roman"/>
          <w:bCs/>
        </w:rPr>
        <w:t>A Double-Blind Placebo-Controlled Trial of Liquid Thyroxine Ingested at Breakfast: Results of the TICO Study. Thyroid. 2016. 26:197</w:t>
      </w:r>
    </w:p>
    <w:p w14:paraId="0A5880B4" w14:textId="77777777" w:rsidR="0044483D" w:rsidRPr="0044483D" w:rsidRDefault="0044483D" w:rsidP="0044483D">
      <w:pPr>
        <w:spacing w:after="240"/>
        <w:rPr>
          <w:rFonts w:eastAsia="Times New Roman"/>
          <w:bCs/>
        </w:rPr>
      </w:pPr>
      <w:r w:rsidRPr="007D1B37">
        <w:rPr>
          <w:rFonts w:eastAsia="Times New Roman"/>
          <w:bCs/>
          <w:lang w:val="fr-CA"/>
        </w:rPr>
        <w:t xml:space="preserve">Chen Y, G. Wu, M. Xu. </w:t>
      </w:r>
      <w:r w:rsidRPr="0044483D">
        <w:rPr>
          <w:rFonts w:eastAsia="Times New Roman"/>
          <w:bCs/>
        </w:rPr>
        <w:t>The effect of l-thyroxine substitution on oxidative stress in early-stage diabetic nephropathy patients with subclinical hypothyroidism: a randomized double-blind and placebo-controlled study. International urology and nephrology. 2018. 50:97</w:t>
      </w:r>
    </w:p>
    <w:p w14:paraId="004E3BEE" w14:textId="77777777" w:rsidR="0044483D" w:rsidRPr="0044483D" w:rsidRDefault="0044483D" w:rsidP="0044483D">
      <w:pPr>
        <w:spacing w:after="240"/>
        <w:rPr>
          <w:rFonts w:eastAsia="Times New Roman"/>
          <w:bCs/>
        </w:rPr>
      </w:pPr>
      <w:r w:rsidRPr="0044483D">
        <w:rPr>
          <w:rFonts w:eastAsia="Times New Roman"/>
          <w:bCs/>
        </w:rPr>
        <w:t>Christ-Crain M, C. Meier, P. R. Huber, J. -J Staub, B. Müller. Effect of L-thyroxine replacement therapy on surrogate markers of skeletal and cardiac function in subclinical hypothyroidism. Endocrinologist. 2004. 14:161</w:t>
      </w:r>
    </w:p>
    <w:p w14:paraId="545DD853" w14:textId="77777777" w:rsidR="0044483D" w:rsidRPr="0044483D" w:rsidRDefault="0044483D" w:rsidP="0044483D">
      <w:pPr>
        <w:spacing w:after="240"/>
        <w:rPr>
          <w:rFonts w:eastAsia="Times New Roman"/>
          <w:bCs/>
        </w:rPr>
      </w:pPr>
      <w:r w:rsidRPr="007D1B37">
        <w:rPr>
          <w:rFonts w:eastAsia="Times New Roman"/>
          <w:bCs/>
          <w:lang w:val="fr-CA"/>
        </w:rPr>
        <w:t xml:space="preserve">Christ-Crain M, Meier C, Guglielmetti M, Huber PR, Riesen W, et al. </w:t>
      </w:r>
      <w:r w:rsidRPr="0044483D">
        <w:rPr>
          <w:rFonts w:eastAsia="Times New Roman"/>
          <w:bCs/>
        </w:rPr>
        <w:t>Elevated C-reactive protein and homocysteine values: cardiovascular risk factors in hypothyroidism? A cross-sectional and a double-blind, placebo-controlled trial. Atherosclerosis. 2003. 166:379</w:t>
      </w:r>
    </w:p>
    <w:p w14:paraId="2F40D134" w14:textId="77777777" w:rsidR="0044483D" w:rsidRPr="0044483D" w:rsidRDefault="0044483D" w:rsidP="0044483D">
      <w:pPr>
        <w:spacing w:after="240"/>
        <w:rPr>
          <w:rFonts w:eastAsia="Times New Roman"/>
          <w:bCs/>
        </w:rPr>
      </w:pPr>
      <w:r w:rsidRPr="0044483D">
        <w:rPr>
          <w:rFonts w:eastAsia="Times New Roman"/>
          <w:bCs/>
        </w:rPr>
        <w:t>Christ-Crain M, Morgenthaler NG, Meier C, Muller C, Nussbaumer C, et al. Pro-A-type and N-terminal pro-B-type natriuretic peptides in different thyroid function states. Swiss medical weekly. 2005. 135:549</w:t>
      </w:r>
    </w:p>
    <w:p w14:paraId="64A69314" w14:textId="77777777" w:rsidR="0044483D" w:rsidRPr="0044483D" w:rsidRDefault="0044483D" w:rsidP="0044483D">
      <w:pPr>
        <w:spacing w:after="240"/>
        <w:rPr>
          <w:rFonts w:eastAsia="Times New Roman"/>
          <w:bCs/>
        </w:rPr>
      </w:pPr>
      <w:r w:rsidRPr="0044483D">
        <w:rPr>
          <w:rFonts w:eastAsia="Times New Roman"/>
          <w:bCs/>
        </w:rPr>
        <w:lastRenderedPageBreak/>
        <w:t>Coceani M, Molinaro S, Scalese M, Landi P, Carpeggiani C, et al. Thyroid hormone, amiodarone therapy, and prognosis in left ventricular systolic dysfunction.. Journal of endocrinological investigation. 2011. 34:e144.</w:t>
      </w:r>
    </w:p>
    <w:p w14:paraId="65654247" w14:textId="77777777" w:rsidR="0044483D" w:rsidRPr="0044483D" w:rsidRDefault="0044483D" w:rsidP="0044483D">
      <w:pPr>
        <w:spacing w:after="240"/>
        <w:rPr>
          <w:rFonts w:eastAsia="Times New Roman"/>
          <w:bCs/>
        </w:rPr>
      </w:pPr>
      <w:r w:rsidRPr="0044483D">
        <w:rPr>
          <w:rFonts w:eastAsia="Times New Roman"/>
          <w:bCs/>
        </w:rPr>
        <w:t>Drechsler C, Schneider A, Gutjahr-Lengsfeld L, Kroiss M, Carrero JJ, et al. Thyroid function, cardiovascular events, and mortality in diabetic hemodialysis patients. American Journal of Kidney Diseases. 2014. 63:988.</w:t>
      </w:r>
    </w:p>
    <w:p w14:paraId="78AC79BA" w14:textId="77777777" w:rsidR="0044483D" w:rsidRPr="0044483D" w:rsidRDefault="0044483D" w:rsidP="0044483D">
      <w:pPr>
        <w:spacing w:after="240"/>
        <w:rPr>
          <w:rFonts w:eastAsia="Times New Roman"/>
          <w:bCs/>
        </w:rPr>
      </w:pPr>
      <w:r w:rsidRPr="0044483D">
        <w:rPr>
          <w:rFonts w:eastAsia="Times New Roman"/>
          <w:bCs/>
        </w:rPr>
        <w:t>Kong WM, Sheikh MH, Lumb PJ, Naoumova RP, Freedman DB, et al. A 6-month randomized trial of thyroxine treatment in women with mild subclinical hypothyroidism. The American Journal of Medicine. 2002. 112:348</w:t>
      </w:r>
    </w:p>
    <w:p w14:paraId="0BC6CFE8" w14:textId="77777777" w:rsidR="0044483D" w:rsidRPr="0044483D" w:rsidRDefault="0044483D" w:rsidP="0044483D">
      <w:pPr>
        <w:spacing w:after="240"/>
        <w:rPr>
          <w:rFonts w:eastAsia="Times New Roman"/>
          <w:bCs/>
        </w:rPr>
      </w:pPr>
      <w:r w:rsidRPr="00EA2A99">
        <w:rPr>
          <w:rFonts w:eastAsia="Times New Roman"/>
          <w:bCs/>
          <w:lang w:val="fr-CA"/>
        </w:rPr>
        <w:t xml:space="preserve">Koroglu BK, Bagci O, Ersoy IH, et al. </w:t>
      </w:r>
      <w:r w:rsidRPr="0044483D">
        <w:rPr>
          <w:rFonts w:eastAsia="Times New Roman"/>
          <w:bCs/>
        </w:rPr>
        <w:t>Effects of levothyroxine treatment on cardiovascular risk profile and carotid intima media thickness in patients with subclinical hypothyroidism. Acta Endocrinologica. 2012;VIII(3):433-442.</w:t>
      </w:r>
    </w:p>
    <w:p w14:paraId="6522AA28" w14:textId="77777777" w:rsidR="0044483D" w:rsidRPr="0044483D" w:rsidRDefault="0044483D" w:rsidP="0044483D">
      <w:pPr>
        <w:spacing w:after="240"/>
        <w:rPr>
          <w:rFonts w:eastAsia="Times New Roman"/>
          <w:bCs/>
        </w:rPr>
      </w:pPr>
      <w:r w:rsidRPr="0044483D">
        <w:rPr>
          <w:rFonts w:eastAsia="Times New Roman"/>
          <w:bCs/>
        </w:rPr>
        <w:t>Lillevang-Johansen M, B. Abrahamsen, H. L. Jørgensen, T. H. Brix, L. Hegedüs. Over-and Under-Treatment of Hypothyroidism Is Associated with Excess Mortality: A Register-Based Cohort Study. Thyroid. 2018. 28:566</w:t>
      </w:r>
    </w:p>
    <w:p w14:paraId="7DE6A72E" w14:textId="77777777" w:rsidR="0044483D" w:rsidRPr="0044483D" w:rsidRDefault="0044483D" w:rsidP="0044483D">
      <w:pPr>
        <w:spacing w:after="240"/>
        <w:rPr>
          <w:rFonts w:eastAsia="Times New Roman"/>
          <w:bCs/>
        </w:rPr>
      </w:pPr>
      <w:r w:rsidRPr="007D1B37">
        <w:rPr>
          <w:rFonts w:eastAsia="Times New Roman"/>
          <w:bCs/>
          <w:lang w:val="fr-CA"/>
        </w:rPr>
        <w:t xml:space="preserve">Lu Y, H. Guo, D. Liu, Z. Zhao. </w:t>
      </w:r>
      <w:r w:rsidRPr="0044483D">
        <w:rPr>
          <w:rFonts w:eastAsia="Times New Roman"/>
          <w:bCs/>
        </w:rPr>
        <w:t>Preservation of renal function by thyroid hormone replacement in elderly persons with subclinical hypothyroidism. Archives of Medical Science. 2016. 12:772</w:t>
      </w:r>
    </w:p>
    <w:p w14:paraId="14A88A12" w14:textId="77777777" w:rsidR="0044483D" w:rsidRPr="0044483D" w:rsidRDefault="0044483D" w:rsidP="0044483D">
      <w:pPr>
        <w:spacing w:after="240"/>
        <w:rPr>
          <w:rFonts w:eastAsia="Times New Roman"/>
          <w:bCs/>
        </w:rPr>
      </w:pPr>
      <w:r w:rsidRPr="0044483D">
        <w:rPr>
          <w:rFonts w:eastAsia="Times New Roman"/>
          <w:bCs/>
        </w:rPr>
        <w:t>Meier C, J. -J Staub, C. -B Roth, M. Guglielmetti, M. Kunz, A. R. Miserez, J. Drewe, P. Huber, R. Herzog, B. Müller. TSH-controlled L-thyroxine therapy reduces cholesterol levels and clinical symptoms in subclinical hypothyroidism: A double blind, placebo-controlled trial (basel thyroid study). Journal of Clinical Endocrinology and Metabolism. 2001. 86:4860</w:t>
      </w:r>
    </w:p>
    <w:p w14:paraId="20C59FD8" w14:textId="77777777" w:rsidR="0044483D" w:rsidRPr="0044483D" w:rsidRDefault="0044483D" w:rsidP="0044483D">
      <w:pPr>
        <w:spacing w:after="240"/>
        <w:rPr>
          <w:rFonts w:eastAsia="Times New Roman"/>
          <w:bCs/>
        </w:rPr>
      </w:pPr>
      <w:r w:rsidRPr="0044483D">
        <w:rPr>
          <w:rFonts w:eastAsia="Times New Roman"/>
          <w:bCs/>
        </w:rPr>
        <w:t>Mitchell JE, Hellkamp AS, Mark DB, Anderson J, Johnson GW, et al. Thyroid function in heart failure and impact on mortality.. JACC Heart Failure. 2013. 1:48.</w:t>
      </w:r>
    </w:p>
    <w:p w14:paraId="5891EA00" w14:textId="77777777" w:rsidR="0044483D" w:rsidRPr="0044483D" w:rsidRDefault="0044483D" w:rsidP="0044483D">
      <w:pPr>
        <w:spacing w:after="240"/>
        <w:rPr>
          <w:rFonts w:eastAsia="Times New Roman"/>
          <w:bCs/>
        </w:rPr>
      </w:pPr>
      <w:r w:rsidRPr="0044483D">
        <w:rPr>
          <w:rFonts w:eastAsia="Times New Roman"/>
          <w:bCs/>
        </w:rPr>
        <w:t>Razvi S, Ingoe L, Keeka G, Oates C, McMillan C, et al. The beneficial effect of L-thyroxine on cardiovascular risk factors, endothelial function, and quality of life in subclinical hypothyroidism: randomized, crossover trial. The Journal of clinical endocrinology and metabolism. 2007. 92:1715</w:t>
      </w:r>
    </w:p>
    <w:p w14:paraId="70CAD53E" w14:textId="77777777" w:rsidR="0044483D" w:rsidRPr="0044483D" w:rsidRDefault="0044483D" w:rsidP="0044483D">
      <w:pPr>
        <w:spacing w:after="240"/>
        <w:rPr>
          <w:rFonts w:eastAsia="Times New Roman"/>
          <w:bCs/>
        </w:rPr>
      </w:pPr>
      <w:r w:rsidRPr="0044483D">
        <w:rPr>
          <w:rFonts w:eastAsia="Times New Roman"/>
          <w:bCs/>
        </w:rPr>
        <w:t>Seo C, S. Kim, M. Lee, M. -U Cha, H. Kim, S. Park, H. -R Yun, J. H. Jhee, Y. K. Kee, S. H. Han, T. -H Yoo, S. -W Kang, J. T. Park. THYROID HORMONE REPLACEMENT REDUCES the RISK of CARDIOVASCULAR DISEASES in DIABETIC NEPHROPATHY PATIENTS with SUBCLINICAL HYPOTHYROIDISM. Endocrine Practice. 2018. 24:265</w:t>
      </w:r>
    </w:p>
    <w:p w14:paraId="3063A429" w14:textId="77777777" w:rsidR="0044483D" w:rsidRPr="0044483D" w:rsidRDefault="0044483D" w:rsidP="0044483D">
      <w:pPr>
        <w:spacing w:after="240"/>
        <w:rPr>
          <w:rFonts w:eastAsia="Times New Roman"/>
          <w:bCs/>
        </w:rPr>
      </w:pPr>
      <w:r w:rsidRPr="0044483D">
        <w:rPr>
          <w:rFonts w:eastAsia="Times New Roman"/>
          <w:bCs/>
        </w:rPr>
        <w:t>Yonem O, Dokmetas HS, Aslan SM, Erselcan T. Is antithyroid treatment really relevant for young patients with subclinical hyperthyroidism?. Endocrine journal. 2002. 49:307</w:t>
      </w:r>
    </w:p>
    <w:p w14:paraId="523BACC6" w14:textId="799D7D73" w:rsidR="0044483D" w:rsidRDefault="0044483D" w:rsidP="0044483D">
      <w:pPr>
        <w:spacing w:after="240"/>
        <w:rPr>
          <w:rFonts w:eastAsia="Times New Roman"/>
          <w:bCs/>
        </w:rPr>
      </w:pPr>
      <w:r w:rsidRPr="0044483D">
        <w:rPr>
          <w:rFonts w:eastAsia="Times New Roman"/>
          <w:bCs/>
        </w:rPr>
        <w:lastRenderedPageBreak/>
        <w:t>Zimmermann MB, Aeberli I, Melse-Boonstra A, Grimci L, Bridson J, et al. Iodine treatment in children with subclinical hypothyroidism due to chronic iodine deficiency decreases thyrotropin and c-peptide concentrations and improves the lipid profile. Thyroid. 2009. 19:1099</w:t>
      </w:r>
    </w:p>
    <w:p w14:paraId="4E925BED" w14:textId="77777777" w:rsidR="000504F6" w:rsidRPr="00993FC5" w:rsidRDefault="000504F6" w:rsidP="000504F6"/>
    <w:p w14:paraId="5FDD5F5F" w14:textId="2FC9D3B6" w:rsidR="000504F6" w:rsidRPr="00174635" w:rsidRDefault="000504F6" w:rsidP="000504F6">
      <w:pPr>
        <w:rPr>
          <w:b/>
        </w:rPr>
      </w:pPr>
      <w:r w:rsidRPr="00174635">
        <w:rPr>
          <w:b/>
          <w:u w:val="single"/>
        </w:rPr>
        <w:t xml:space="preserve">Wrong </w:t>
      </w:r>
      <w:r>
        <w:rPr>
          <w:b/>
          <w:u w:val="single"/>
        </w:rPr>
        <w:t>outcome</w:t>
      </w:r>
      <w:r>
        <w:rPr>
          <w:b/>
        </w:rPr>
        <w:t xml:space="preserve">: n = </w:t>
      </w:r>
      <w:r w:rsidR="0072267F">
        <w:rPr>
          <w:b/>
        </w:rPr>
        <w:t>20</w:t>
      </w:r>
    </w:p>
    <w:p w14:paraId="4AA0BC44" w14:textId="77777777" w:rsidR="000504F6" w:rsidRPr="0051747C" w:rsidRDefault="000504F6" w:rsidP="000504F6">
      <w:pPr>
        <w:rPr>
          <w:rFonts w:eastAsia="Times New Roman"/>
        </w:rPr>
      </w:pPr>
      <w:r w:rsidRPr="0051747C">
        <w:rPr>
          <w:rFonts w:eastAsia="Times New Roman"/>
          <w:bCs/>
        </w:rPr>
        <w:t>Abu-Helalah M,​ Law MR,​ Bestwick JP,​ Monson JP,​ Wald NJ</w:t>
      </w:r>
      <w:r w:rsidRPr="0051747C">
        <w:rPr>
          <w:rFonts w:eastAsia="Times New Roman"/>
        </w:rPr>
        <w:t xml:space="preserve">. A randomized double-blind crossover trial to investigate the efficacy of screening for adult hypothyroidism. </w:t>
      </w:r>
      <w:r w:rsidRPr="0051747C">
        <w:rPr>
          <w:rFonts w:eastAsia="Times New Roman"/>
          <w:i/>
          <w:iCs/>
        </w:rPr>
        <w:t>Journal of medical screening.</w:t>
      </w:r>
      <w:r w:rsidRPr="0051747C">
        <w:rPr>
          <w:rFonts w:eastAsia="Times New Roman"/>
        </w:rPr>
        <w:t xml:space="preserve"> 2010. 17:164</w:t>
      </w:r>
    </w:p>
    <w:p w14:paraId="1363671B" w14:textId="77777777" w:rsidR="000504F6" w:rsidRPr="0051747C" w:rsidRDefault="000504F6" w:rsidP="000504F6">
      <w:pPr>
        <w:rPr>
          <w:rFonts w:eastAsia="Times New Roman"/>
          <w:bCs/>
        </w:rPr>
      </w:pPr>
      <w:r w:rsidRPr="0051747C">
        <w:rPr>
          <w:rFonts w:eastAsia="Times New Roman"/>
          <w:bCs/>
        </w:rPr>
        <w:t>Andries A, Isaakidis P, Das M, Khan S, Paryani R, et al</w:t>
      </w:r>
      <w:r w:rsidRPr="0051747C">
        <w:rPr>
          <w:rFonts w:eastAsia="Times New Roman"/>
        </w:rPr>
        <w:t xml:space="preserve">. High rate of hypothyroidism in multidrug-resistant tuberculosis patients co-infected with HIV in Mumbai, India. </w:t>
      </w:r>
      <w:r w:rsidRPr="0051747C">
        <w:rPr>
          <w:rFonts w:eastAsia="Times New Roman"/>
          <w:i/>
          <w:iCs/>
        </w:rPr>
        <w:t>PLoS ONE [Electronic Resource].</w:t>
      </w:r>
      <w:r w:rsidRPr="0051747C">
        <w:rPr>
          <w:rFonts w:eastAsia="Times New Roman"/>
        </w:rPr>
        <w:t xml:space="preserve"> 2013. 8:e78313.</w:t>
      </w:r>
    </w:p>
    <w:p w14:paraId="67772796" w14:textId="77777777" w:rsidR="000504F6" w:rsidRPr="0051747C" w:rsidRDefault="000504F6" w:rsidP="000504F6">
      <w:pPr>
        <w:rPr>
          <w:rFonts w:eastAsia="Times New Roman"/>
          <w:bCs/>
        </w:rPr>
      </w:pPr>
      <w:r w:rsidRPr="0051747C">
        <w:rPr>
          <w:rFonts w:eastAsia="Times New Roman"/>
          <w:bCs/>
        </w:rPr>
        <w:t>Bilgir O, Bilgir F, Calan M, Calan OG, Yuksel A</w:t>
      </w:r>
      <w:r w:rsidRPr="0051747C">
        <w:rPr>
          <w:rFonts w:eastAsia="Times New Roman"/>
        </w:rPr>
        <w:t xml:space="preserve">. Comparison of pre- and post-levothyroxine high-sensitivity c-reactive protein and fetuin-a levels in subclinical hypothyroidism. </w:t>
      </w:r>
      <w:r w:rsidRPr="0051747C">
        <w:rPr>
          <w:rFonts w:eastAsia="Times New Roman"/>
          <w:i/>
          <w:iCs/>
        </w:rPr>
        <w:t>Clinics (Sao Paulo, Brazil).</w:t>
      </w:r>
      <w:r w:rsidRPr="0051747C">
        <w:rPr>
          <w:rFonts w:eastAsia="Times New Roman"/>
        </w:rPr>
        <w:t xml:space="preserve"> 2015. 70:97.</w:t>
      </w:r>
    </w:p>
    <w:p w14:paraId="613688D8" w14:textId="77777777" w:rsidR="000504F6" w:rsidRPr="00B23B80" w:rsidRDefault="000504F6" w:rsidP="000504F6">
      <w:pPr>
        <w:rPr>
          <w:rFonts w:eastAsia="Times New Roman"/>
          <w:bCs/>
        </w:rPr>
      </w:pPr>
      <w:r w:rsidRPr="0051747C">
        <w:rPr>
          <w:rFonts w:eastAsia="Times New Roman"/>
          <w:bCs/>
        </w:rPr>
        <w:t>Carvalho GA, Perez CL, Ward LS</w:t>
      </w:r>
      <w:r w:rsidRPr="0051747C">
        <w:rPr>
          <w:rFonts w:eastAsia="Times New Roman"/>
        </w:rPr>
        <w:t xml:space="preserve">. The clinical use of thyroid function tests.. </w:t>
      </w:r>
      <w:r w:rsidRPr="00B23B80">
        <w:rPr>
          <w:rFonts w:eastAsia="Times New Roman"/>
          <w:i/>
          <w:iCs/>
        </w:rPr>
        <w:t>Arquivos Brasileiros de Endocrinologia e Metabologia.</w:t>
      </w:r>
      <w:r w:rsidRPr="00B23B80">
        <w:rPr>
          <w:rFonts w:eastAsia="Times New Roman"/>
        </w:rPr>
        <w:t xml:space="preserve"> 2013. 57:193.</w:t>
      </w:r>
    </w:p>
    <w:p w14:paraId="042CC121" w14:textId="77777777" w:rsidR="000504F6" w:rsidRPr="0051747C" w:rsidRDefault="000504F6" w:rsidP="000504F6">
      <w:pPr>
        <w:rPr>
          <w:rFonts w:eastAsia="Times New Roman"/>
        </w:rPr>
      </w:pPr>
      <w:r w:rsidRPr="007D1B37">
        <w:rPr>
          <w:rFonts w:eastAsia="Times New Roman"/>
          <w:bCs/>
        </w:rPr>
        <w:t>Ilic S, Tadic M, Ivanovic B, Caparevic Z, Trbojevic B, et al</w:t>
      </w:r>
      <w:r w:rsidRPr="007D1B37">
        <w:rPr>
          <w:rFonts w:eastAsia="Times New Roman"/>
        </w:rPr>
        <w:t xml:space="preserve">. </w:t>
      </w:r>
      <w:r w:rsidRPr="0051747C">
        <w:rPr>
          <w:rFonts w:eastAsia="Times New Roman"/>
        </w:rPr>
        <w:t xml:space="preserve">Left and right ventricular structure and function in subclinical hypothyroidism: the effects of one-year levothyroxine treatment. </w:t>
      </w:r>
      <w:r w:rsidRPr="0051747C">
        <w:rPr>
          <w:rFonts w:eastAsia="Times New Roman"/>
          <w:i/>
          <w:iCs/>
        </w:rPr>
        <w:t>Medical Science Monitor.</w:t>
      </w:r>
      <w:r w:rsidRPr="0051747C">
        <w:rPr>
          <w:rFonts w:eastAsia="Times New Roman"/>
        </w:rPr>
        <w:t xml:space="preserve"> 2013. 19:960.</w:t>
      </w:r>
    </w:p>
    <w:p w14:paraId="43F9CFBA" w14:textId="77777777" w:rsidR="000504F6" w:rsidRPr="0051747C" w:rsidRDefault="000504F6" w:rsidP="000504F6">
      <w:r w:rsidRPr="00C77EAE">
        <w:rPr>
          <w:rFonts w:eastAsia="Times New Roman"/>
          <w:bCs/>
          <w:lang w:val="fr-CA"/>
        </w:rPr>
        <w:t>Kaptein EM, LoPresti JS, Kaptein MJ</w:t>
      </w:r>
      <w:r w:rsidRPr="00C77EAE">
        <w:rPr>
          <w:rFonts w:eastAsia="Times New Roman"/>
          <w:lang w:val="fr-CA"/>
        </w:rPr>
        <w:t xml:space="preserve">. </w:t>
      </w:r>
      <w:r w:rsidRPr="0051747C">
        <w:rPr>
          <w:rFonts w:eastAsia="Times New Roman"/>
        </w:rPr>
        <w:t xml:space="preserve">Is an isolated TSH elevation in chronic nonthyroidal illness "subclinical hypothyroidism"?. </w:t>
      </w:r>
      <w:r w:rsidRPr="0051747C">
        <w:rPr>
          <w:rFonts w:eastAsia="Times New Roman"/>
          <w:i/>
          <w:iCs/>
        </w:rPr>
        <w:t>Journal of Clinical Endocrinology &amp; Metabolism.</w:t>
      </w:r>
      <w:r w:rsidRPr="0051747C">
        <w:rPr>
          <w:rFonts w:eastAsia="Times New Roman"/>
        </w:rPr>
        <w:t xml:space="preserve"> 2014. 99:4015.</w:t>
      </w:r>
    </w:p>
    <w:p w14:paraId="61A2EA03" w14:textId="77777777" w:rsidR="000504F6" w:rsidRPr="0051747C" w:rsidRDefault="000504F6" w:rsidP="000504F6">
      <w:pPr>
        <w:rPr>
          <w:rFonts w:eastAsia="Times New Roman"/>
        </w:rPr>
      </w:pPr>
      <w:r w:rsidRPr="0051747C">
        <w:rPr>
          <w:rFonts w:eastAsia="Times New Roman"/>
          <w:bCs/>
        </w:rPr>
        <w:t>Kozielewicz D, Zalesna A, Dybowska D</w:t>
      </w:r>
      <w:r w:rsidRPr="0051747C">
        <w:rPr>
          <w:rFonts w:eastAsia="Times New Roman"/>
        </w:rPr>
        <w:t xml:space="preserve">. Can pegylated interferon alpha 2a cause development of thyroid disorders in patients with chronic hepatitis B?. </w:t>
      </w:r>
      <w:r w:rsidRPr="0051747C">
        <w:rPr>
          <w:rFonts w:eastAsia="Times New Roman"/>
          <w:i/>
          <w:iCs/>
        </w:rPr>
        <w:t>Expert Opinion on Drug Safety.</w:t>
      </w:r>
      <w:r w:rsidRPr="0051747C">
        <w:rPr>
          <w:rFonts w:eastAsia="Times New Roman"/>
        </w:rPr>
        <w:t xml:space="preserve"> 2014. 13:1009.</w:t>
      </w:r>
    </w:p>
    <w:p w14:paraId="41F84DF4" w14:textId="77777777" w:rsidR="000504F6" w:rsidRPr="0051747C" w:rsidRDefault="000504F6" w:rsidP="000504F6">
      <w:pPr>
        <w:rPr>
          <w:rFonts w:eastAsia="Times New Roman"/>
          <w:bCs/>
          <w:lang w:val="fr-CA"/>
        </w:rPr>
      </w:pPr>
      <w:r w:rsidRPr="0044483D">
        <w:rPr>
          <w:rFonts w:eastAsia="Times New Roman"/>
          <w:bCs/>
          <w:lang w:val="fr-CA"/>
        </w:rPr>
        <w:t>Kyritsi EM, Yiakoumis X, Pangalis GA, Pontikoglou C, Pyrovolaki K, et al</w:t>
      </w:r>
      <w:r w:rsidRPr="0044483D">
        <w:rPr>
          <w:rFonts w:eastAsia="Times New Roman"/>
          <w:lang w:val="fr-CA"/>
        </w:rPr>
        <w:t xml:space="preserve">. </w:t>
      </w:r>
      <w:r w:rsidRPr="0051747C">
        <w:rPr>
          <w:rFonts w:eastAsia="Times New Roman"/>
        </w:rPr>
        <w:t xml:space="preserve">High Frequency of Thyroid Disorders in Patients Presenting With Neutropenia to an Outpatient Hematology Clinic STROBE-Compliant Article.. </w:t>
      </w:r>
      <w:r w:rsidRPr="00EA2A99">
        <w:rPr>
          <w:rFonts w:eastAsia="Times New Roman"/>
          <w:i/>
          <w:iCs/>
          <w:lang w:val="fr-CA"/>
        </w:rPr>
        <w:t>Medicine.</w:t>
      </w:r>
      <w:r w:rsidRPr="00EA2A99">
        <w:rPr>
          <w:rFonts w:eastAsia="Times New Roman"/>
          <w:lang w:val="fr-CA"/>
        </w:rPr>
        <w:t xml:space="preserve"> </w:t>
      </w:r>
      <w:r w:rsidRPr="0051747C">
        <w:rPr>
          <w:rFonts w:eastAsia="Times New Roman"/>
          <w:lang w:val="fr-CA"/>
        </w:rPr>
        <w:t>2015. 94:e886.</w:t>
      </w:r>
    </w:p>
    <w:p w14:paraId="6DD373D0" w14:textId="77777777" w:rsidR="000504F6" w:rsidRDefault="000504F6" w:rsidP="000504F6">
      <w:pPr>
        <w:rPr>
          <w:rFonts w:eastAsia="Times New Roman"/>
        </w:rPr>
      </w:pPr>
      <w:r w:rsidRPr="0051747C">
        <w:rPr>
          <w:rFonts w:eastAsia="Times New Roman"/>
          <w:bCs/>
          <w:lang w:val="fr-CA"/>
        </w:rPr>
        <w:t>Lankhaar JA, de Vries WR, Jansen JA, Zelissen PM, Backx FJ</w:t>
      </w:r>
      <w:r w:rsidRPr="0051747C">
        <w:rPr>
          <w:rFonts w:eastAsia="Times New Roman"/>
          <w:lang w:val="fr-CA"/>
        </w:rPr>
        <w:t xml:space="preserve">. </w:t>
      </w:r>
      <w:r w:rsidRPr="0051747C">
        <w:rPr>
          <w:rFonts w:eastAsia="Times New Roman"/>
        </w:rPr>
        <w:t xml:space="preserve">Impact of overt and subclinical hypothyroidism on exercise tolerance: a systematic review. </w:t>
      </w:r>
      <w:r w:rsidRPr="0051747C">
        <w:rPr>
          <w:rFonts w:eastAsia="Times New Roman"/>
          <w:i/>
          <w:iCs/>
        </w:rPr>
        <w:t>Research Quarterly for Exercise &amp; Sport.</w:t>
      </w:r>
      <w:r w:rsidRPr="0051747C">
        <w:rPr>
          <w:rFonts w:eastAsia="Times New Roman"/>
        </w:rPr>
        <w:t xml:space="preserve"> 2014. 85:365.</w:t>
      </w:r>
    </w:p>
    <w:p w14:paraId="62FCE640" w14:textId="4D148EF0" w:rsidR="00D852AB" w:rsidRPr="00B415B2" w:rsidRDefault="00764C3D" w:rsidP="000504F6">
      <w:pPr>
        <w:rPr>
          <w:rFonts w:eastAsia="Times New Roman"/>
          <w:lang w:val="fr-CA"/>
        </w:rPr>
      </w:pPr>
      <w:r w:rsidRPr="007D1B37">
        <w:rPr>
          <w:rFonts w:eastAsia="Times New Roman"/>
          <w:lang w:val="fr-CA"/>
        </w:rPr>
        <w:t xml:space="preserve">Liu L, Yu Y, Zhao M, Zheng D, Zhang X, Guan Q, et al. </w:t>
      </w:r>
      <w:r w:rsidRPr="00B415B2">
        <w:rPr>
          <w:rFonts w:eastAsia="Times New Roman"/>
        </w:rPr>
        <w:t xml:space="preserve">Benefits of levothyroxine replacement therapy on nonalcoholic fatty liver disease in subclinical hypothyroidism patients. </w:t>
      </w:r>
      <w:r w:rsidRPr="00764C3D">
        <w:rPr>
          <w:rFonts w:eastAsia="Times New Roman"/>
          <w:lang w:val="fr-CA"/>
        </w:rPr>
        <w:t>Intl J Endocrinol 2017;2017.</w:t>
      </w:r>
    </w:p>
    <w:p w14:paraId="640EDB29" w14:textId="77777777" w:rsidR="000504F6" w:rsidRPr="0051747C" w:rsidRDefault="000504F6" w:rsidP="000504F6">
      <w:pPr>
        <w:rPr>
          <w:rFonts w:eastAsia="Times New Roman"/>
          <w:bCs/>
        </w:rPr>
      </w:pPr>
      <w:r w:rsidRPr="00C77EAE">
        <w:rPr>
          <w:rFonts w:eastAsia="Times New Roman"/>
          <w:bCs/>
          <w:lang w:val="fr-CA"/>
        </w:rPr>
        <w:lastRenderedPageBreak/>
        <w:t>Lupoli R, Di Minno MN, Tortora A, Scaravilli A, Cacciapuoti M, et al</w:t>
      </w:r>
      <w:r w:rsidRPr="00C77EAE">
        <w:rPr>
          <w:rFonts w:eastAsia="Times New Roman"/>
          <w:lang w:val="fr-CA"/>
        </w:rPr>
        <w:t xml:space="preserve">. </w:t>
      </w:r>
      <w:r w:rsidRPr="0051747C">
        <w:rPr>
          <w:rFonts w:eastAsia="Times New Roman"/>
        </w:rPr>
        <w:t xml:space="preserve">Primary and Secondary Hemostasis in Patients With Subclinical Hypothyroidism: Effect of Levothyroxine Treatment. </w:t>
      </w:r>
      <w:r w:rsidRPr="0051747C">
        <w:rPr>
          <w:rFonts w:eastAsia="Times New Roman"/>
          <w:i/>
          <w:iCs/>
        </w:rPr>
        <w:t>Journal of Clinical Endocrinology &amp; Metabolism.</w:t>
      </w:r>
      <w:r w:rsidRPr="0051747C">
        <w:rPr>
          <w:rFonts w:eastAsia="Times New Roman"/>
        </w:rPr>
        <w:t xml:space="preserve"> 2015. 100:2659.</w:t>
      </w:r>
    </w:p>
    <w:p w14:paraId="28FAA39D" w14:textId="77777777" w:rsidR="000504F6" w:rsidRDefault="000504F6" w:rsidP="000504F6">
      <w:pPr>
        <w:rPr>
          <w:rFonts w:eastAsia="Times New Roman"/>
        </w:rPr>
      </w:pPr>
      <w:r w:rsidRPr="0051747C">
        <w:rPr>
          <w:rFonts w:eastAsia="Times New Roman"/>
          <w:bCs/>
        </w:rPr>
        <w:t>Madathil A, Hollingsworth KG, Blamire AM, Razvi S, Newton JL, et al</w:t>
      </w:r>
      <w:r w:rsidRPr="0051747C">
        <w:rPr>
          <w:rFonts w:eastAsia="Times New Roman"/>
        </w:rPr>
        <w:t xml:space="preserve">. Levothyroxine improves abnormal cardiac bioenergetics in subclinical hypothyroidism: a cardiac magnetic resonance spectroscopic study. </w:t>
      </w:r>
      <w:r w:rsidRPr="0051747C">
        <w:rPr>
          <w:rFonts w:eastAsia="Times New Roman"/>
          <w:i/>
          <w:iCs/>
        </w:rPr>
        <w:t>Journal of Clinical Endocrinology &amp; Metabolism.</w:t>
      </w:r>
      <w:r w:rsidRPr="0051747C">
        <w:rPr>
          <w:rFonts w:eastAsia="Times New Roman"/>
        </w:rPr>
        <w:t xml:space="preserve"> 2015. 100:E607.</w:t>
      </w:r>
    </w:p>
    <w:p w14:paraId="7F1367F9" w14:textId="5ADCD3DD" w:rsidR="0044483D" w:rsidRPr="0051747C" w:rsidRDefault="0044483D" w:rsidP="000504F6">
      <w:pPr>
        <w:rPr>
          <w:rFonts w:eastAsia="Times New Roman"/>
          <w:bCs/>
        </w:rPr>
      </w:pPr>
      <w:r w:rsidRPr="00B415B2">
        <w:rPr>
          <w:rFonts w:eastAsia="Times New Roman"/>
          <w:bCs/>
        </w:rPr>
        <w:t xml:space="preserve">Mainenti MRM, P. F. S. Teixeira, F. P. Oliveira, M. Vaisman. </w:t>
      </w:r>
      <w:r w:rsidRPr="0044483D">
        <w:rPr>
          <w:rFonts w:eastAsia="Times New Roman"/>
          <w:bCs/>
        </w:rPr>
        <w:t>Effect of hormone replacement on exercise cardiopulmonary reserve and recovery performance in subclinical hypothyroidism. Brazilian Journal of Medical and Biological Research. 2010. 43:1095</w:t>
      </w:r>
    </w:p>
    <w:p w14:paraId="32639135" w14:textId="77777777" w:rsidR="000504F6" w:rsidRPr="0051747C" w:rsidRDefault="000504F6" w:rsidP="000504F6">
      <w:pPr>
        <w:rPr>
          <w:rFonts w:eastAsia="Times New Roman"/>
        </w:rPr>
      </w:pPr>
      <w:r w:rsidRPr="00C77EAE">
        <w:rPr>
          <w:rFonts w:eastAsia="Times New Roman"/>
          <w:bCs/>
          <w:lang w:val="fr-CA"/>
        </w:rPr>
        <w:t>Martins RM,​ Fonseca RH,​ Duarte MM,​ Reuters VS,​ Ferreira MM,​ et al</w:t>
      </w:r>
      <w:r w:rsidRPr="00C77EAE">
        <w:rPr>
          <w:rFonts w:eastAsia="Times New Roman"/>
          <w:lang w:val="fr-CA"/>
        </w:rPr>
        <w:t xml:space="preserve">. </w:t>
      </w:r>
      <w:r w:rsidRPr="0051747C">
        <w:rPr>
          <w:rFonts w:eastAsia="Times New Roman"/>
        </w:rPr>
        <w:t xml:space="preserve">Impact of subclinical hypothyroidism treatment in systolic and diastolic cardiac function. </w:t>
      </w:r>
      <w:r w:rsidRPr="0051747C">
        <w:rPr>
          <w:rFonts w:eastAsia="Times New Roman"/>
          <w:i/>
          <w:iCs/>
        </w:rPr>
        <w:t>Arquivos Brasileiros de Endocrinologia e Metabologia.</w:t>
      </w:r>
      <w:r w:rsidRPr="0051747C">
        <w:rPr>
          <w:rFonts w:eastAsia="Times New Roman"/>
        </w:rPr>
        <w:t xml:space="preserve"> 2011. 55:460</w:t>
      </w:r>
    </w:p>
    <w:p w14:paraId="30C6698F" w14:textId="77777777" w:rsidR="000504F6" w:rsidRPr="00BA336C" w:rsidRDefault="000504F6" w:rsidP="000504F6">
      <w:pPr>
        <w:rPr>
          <w:rFonts w:eastAsia="Times New Roman"/>
        </w:rPr>
      </w:pPr>
      <w:r w:rsidRPr="0051747C">
        <w:rPr>
          <w:rFonts w:eastAsia="Times New Roman"/>
          <w:bCs/>
        </w:rPr>
        <w:t>McNamee T, Hyland T, Harrington J, Cadogan S, Honari B, et al</w:t>
      </w:r>
      <w:r w:rsidRPr="0051747C">
        <w:rPr>
          <w:rFonts w:eastAsia="Times New Roman"/>
        </w:rPr>
        <w:t xml:space="preserve">. Haematinic deficiency and macrocytosis in middle-aged and older adults. </w:t>
      </w:r>
      <w:r w:rsidRPr="0051747C">
        <w:rPr>
          <w:rFonts w:eastAsia="Times New Roman"/>
          <w:i/>
          <w:iCs/>
        </w:rPr>
        <w:t>PLoS ONE [Electronic Resource].</w:t>
      </w:r>
      <w:r w:rsidRPr="0051747C">
        <w:rPr>
          <w:rFonts w:eastAsia="Times New Roman"/>
        </w:rPr>
        <w:t xml:space="preserve"> </w:t>
      </w:r>
      <w:r w:rsidRPr="00BA336C">
        <w:rPr>
          <w:rFonts w:eastAsia="Times New Roman"/>
        </w:rPr>
        <w:t>2013. 8:e77743.</w:t>
      </w:r>
    </w:p>
    <w:p w14:paraId="46CC5B7B" w14:textId="77777777" w:rsidR="000504F6" w:rsidRPr="0051747C" w:rsidRDefault="000504F6" w:rsidP="000504F6">
      <w:pPr>
        <w:rPr>
          <w:rFonts w:eastAsia="Times New Roman"/>
        </w:rPr>
      </w:pPr>
      <w:r w:rsidRPr="0051747C">
        <w:rPr>
          <w:rFonts w:eastAsia="Times New Roman"/>
          <w:bCs/>
        </w:rPr>
        <w:t>Pirola I,​ Gandossi E,​ Agosti B,​ Delbarba A,​ Cappelli C</w:t>
      </w:r>
      <w:r w:rsidRPr="0051747C">
        <w:rPr>
          <w:rFonts w:eastAsia="Times New Roman"/>
        </w:rPr>
        <w:t xml:space="preserve">. Selenium supplementation could restore euthyroidism in subclinical hypothyroid patients with autoimmune thyroiditis. </w:t>
      </w:r>
      <w:r w:rsidRPr="0051747C">
        <w:rPr>
          <w:rFonts w:eastAsia="Times New Roman"/>
          <w:i/>
          <w:iCs/>
        </w:rPr>
        <w:t>Endokrynologia Polska.</w:t>
      </w:r>
      <w:r w:rsidRPr="0051747C">
        <w:rPr>
          <w:rFonts w:eastAsia="Times New Roman"/>
        </w:rPr>
        <w:t xml:space="preserve"> 2016. 67:567</w:t>
      </w:r>
    </w:p>
    <w:p w14:paraId="28DE50EE" w14:textId="77777777" w:rsidR="000504F6" w:rsidRPr="0051747C" w:rsidRDefault="000504F6" w:rsidP="000504F6">
      <w:pPr>
        <w:rPr>
          <w:rFonts w:eastAsia="Times New Roman"/>
        </w:rPr>
      </w:pPr>
      <w:r w:rsidRPr="0051747C">
        <w:rPr>
          <w:rFonts w:eastAsia="Times New Roman"/>
          <w:bCs/>
        </w:rPr>
        <w:t>Shinkov A, Borissova AM, Vlahov J, Dakovska L, Blajeva E</w:t>
      </w:r>
      <w:r w:rsidRPr="0051747C">
        <w:rPr>
          <w:rFonts w:eastAsia="Times New Roman"/>
        </w:rPr>
        <w:t xml:space="preserve">. Male gender differences in the thyroid ultrasound features, thyroid peroxidase antibodies and thyroid hormone levels: a large population-based study. </w:t>
      </w:r>
      <w:r w:rsidRPr="0051747C">
        <w:rPr>
          <w:rFonts w:eastAsia="Times New Roman"/>
          <w:i/>
          <w:iCs/>
        </w:rPr>
        <w:t>Journal of endocrinological investigation.</w:t>
      </w:r>
      <w:r w:rsidRPr="0051747C">
        <w:rPr>
          <w:rFonts w:eastAsia="Times New Roman"/>
        </w:rPr>
        <w:t xml:space="preserve"> 2014. 37:269.</w:t>
      </w:r>
    </w:p>
    <w:p w14:paraId="73D38CBB" w14:textId="77777777" w:rsidR="000504F6" w:rsidRPr="000504F6" w:rsidRDefault="000504F6" w:rsidP="000504F6">
      <w:pPr>
        <w:rPr>
          <w:rFonts w:eastAsia="Times New Roman"/>
          <w:bCs/>
          <w:lang w:val="fr-CA"/>
        </w:rPr>
      </w:pPr>
      <w:r w:rsidRPr="0051747C">
        <w:rPr>
          <w:rFonts w:eastAsia="Times New Roman"/>
          <w:bCs/>
        </w:rPr>
        <w:t>Tadic M, Ilic S, Ivanovic B, Celic V</w:t>
      </w:r>
      <w:r w:rsidRPr="0051747C">
        <w:rPr>
          <w:rFonts w:eastAsia="Times New Roman"/>
        </w:rPr>
        <w:t xml:space="preserve">. Left atrial phasic function and mechanics in women with subclinical hypothyroidism: the effects of levothyroxine therapy.. </w:t>
      </w:r>
      <w:r w:rsidRPr="000504F6">
        <w:rPr>
          <w:rFonts w:eastAsia="Times New Roman"/>
          <w:i/>
          <w:iCs/>
          <w:lang w:val="fr-CA"/>
        </w:rPr>
        <w:t>Echocardiography.</w:t>
      </w:r>
      <w:r w:rsidRPr="000504F6">
        <w:rPr>
          <w:rFonts w:eastAsia="Times New Roman"/>
          <w:lang w:val="fr-CA"/>
        </w:rPr>
        <w:t xml:space="preserve"> 2014. 31:1221.</w:t>
      </w:r>
    </w:p>
    <w:p w14:paraId="15CACCB6" w14:textId="77777777" w:rsidR="000504F6" w:rsidRPr="0051747C" w:rsidRDefault="000504F6" w:rsidP="000504F6">
      <w:pPr>
        <w:rPr>
          <w:rFonts w:eastAsia="Times New Roman"/>
        </w:rPr>
      </w:pPr>
      <w:r w:rsidRPr="0051747C">
        <w:rPr>
          <w:rFonts w:eastAsia="Times New Roman"/>
          <w:bCs/>
          <w:lang w:val="fr-CA"/>
        </w:rPr>
        <w:t>Tomella C, Catanzaro R, Illuzzi N, Cabeca A, Zerbinati N, et al</w:t>
      </w:r>
      <w:r w:rsidRPr="0051747C">
        <w:rPr>
          <w:rFonts w:eastAsia="Times New Roman"/>
          <w:lang w:val="fr-CA"/>
        </w:rPr>
        <w:t xml:space="preserve">. </w:t>
      </w:r>
      <w:r w:rsidRPr="0051747C">
        <w:rPr>
          <w:rFonts w:eastAsia="Times New Roman"/>
        </w:rPr>
        <w:t xml:space="preserve">The hidden phenomenon of oxidative stress during treatment of subclinical-mild hypothyroidism: a protective nutraceutical intervention. </w:t>
      </w:r>
      <w:r w:rsidRPr="0051747C">
        <w:rPr>
          <w:rFonts w:eastAsia="Times New Roman"/>
          <w:i/>
          <w:iCs/>
        </w:rPr>
        <w:t>Rejuvenation Research.</w:t>
      </w:r>
      <w:r w:rsidRPr="0051747C">
        <w:rPr>
          <w:rFonts w:eastAsia="Times New Roman"/>
        </w:rPr>
        <w:t xml:space="preserve"> 2014. 17:180.</w:t>
      </w:r>
    </w:p>
    <w:p w14:paraId="201C0F73" w14:textId="77777777" w:rsidR="000504F6" w:rsidRPr="0051747C" w:rsidRDefault="000504F6" w:rsidP="000504F6">
      <w:r w:rsidRPr="0051747C">
        <w:rPr>
          <w:rFonts w:eastAsia="Times New Roman"/>
          <w:bCs/>
        </w:rPr>
        <w:t>Zhou Y, Chen Y, Cao X, Liu C, Xie Y</w:t>
      </w:r>
      <w:r w:rsidRPr="0051747C">
        <w:rPr>
          <w:rFonts w:eastAsia="Times New Roman"/>
        </w:rPr>
        <w:t xml:space="preserve">. Association between plasma homocysteine status and hypothyroidism: a meta-analysis. </w:t>
      </w:r>
      <w:r w:rsidRPr="0051747C">
        <w:rPr>
          <w:rFonts w:eastAsia="Times New Roman"/>
          <w:i/>
          <w:iCs/>
        </w:rPr>
        <w:t>International journal of clinical and experimental medicine.</w:t>
      </w:r>
      <w:r w:rsidRPr="0051747C">
        <w:rPr>
          <w:rFonts w:eastAsia="Times New Roman"/>
        </w:rPr>
        <w:t xml:space="preserve"> 2014. 7:4544.</w:t>
      </w:r>
    </w:p>
    <w:p w14:paraId="6F89847E" w14:textId="77777777" w:rsidR="000504F6" w:rsidRDefault="000504F6" w:rsidP="000504F6"/>
    <w:p w14:paraId="09ACCE30" w14:textId="2E233EF5" w:rsidR="000504F6" w:rsidRPr="00174635" w:rsidRDefault="000504F6" w:rsidP="000504F6">
      <w:pPr>
        <w:rPr>
          <w:b/>
        </w:rPr>
      </w:pPr>
      <w:r>
        <w:rPr>
          <w:b/>
          <w:u w:val="single"/>
        </w:rPr>
        <w:t>Observation study reporting on outcomes for which data is available from one or more RCTs</w:t>
      </w:r>
      <w:r>
        <w:rPr>
          <w:b/>
        </w:rPr>
        <w:t xml:space="preserve">: n = </w:t>
      </w:r>
      <w:r w:rsidR="00D852AB">
        <w:rPr>
          <w:b/>
        </w:rPr>
        <w:t>2</w:t>
      </w:r>
    </w:p>
    <w:p w14:paraId="5C47188F" w14:textId="0FC2601A" w:rsidR="0044483D" w:rsidRDefault="00764C3D" w:rsidP="000504F6">
      <w:pPr>
        <w:rPr>
          <w:rFonts w:eastAsia="Times New Roman"/>
          <w:bCs/>
        </w:rPr>
      </w:pPr>
      <w:r w:rsidRPr="00764C3D">
        <w:rPr>
          <w:rFonts w:eastAsia="Times New Roman"/>
          <w:bCs/>
        </w:rPr>
        <w:t>Grossman A, Feldhamer I, Meyerovitch J. Treatment with levothyroxin in subclinical hypothyroidism is associated with increased mortality in the elderly. Eur J Intern Med 2018;50:65-68.</w:t>
      </w:r>
    </w:p>
    <w:p w14:paraId="456EB704" w14:textId="77777777" w:rsidR="000504F6" w:rsidRPr="005B03B6" w:rsidRDefault="000504F6" w:rsidP="000504F6">
      <w:r w:rsidRPr="005B03B6">
        <w:rPr>
          <w:rFonts w:eastAsia="Times New Roman"/>
          <w:bCs/>
        </w:rPr>
        <w:lastRenderedPageBreak/>
        <w:t>Shin DH,​ Lee MJ,​ Kim SJ,​ Oh HJ,​ Kim HR,​ et al</w:t>
      </w:r>
      <w:r w:rsidRPr="005B03B6">
        <w:rPr>
          <w:rFonts w:eastAsia="Times New Roman"/>
        </w:rPr>
        <w:t xml:space="preserve">. Preservation of renal function by thyroid hormone replacement therapy in chronic kidney disease patients with subclinical hypothyroidism. </w:t>
      </w:r>
      <w:r w:rsidRPr="005B03B6">
        <w:rPr>
          <w:rFonts w:eastAsia="Times New Roman"/>
          <w:i/>
          <w:iCs/>
        </w:rPr>
        <w:t>Journal of Clinical Endocrinology and Metabolism.</w:t>
      </w:r>
      <w:r w:rsidRPr="005B03B6">
        <w:rPr>
          <w:rFonts w:eastAsia="Times New Roman"/>
        </w:rPr>
        <w:t xml:space="preserve"> 2012. 97:2732</w:t>
      </w:r>
    </w:p>
    <w:p w14:paraId="436FFB68" w14:textId="77777777" w:rsidR="000504F6" w:rsidRDefault="000504F6">
      <w:r>
        <w:br w:type="page"/>
      </w:r>
    </w:p>
    <w:p w14:paraId="3A0C8E49" w14:textId="5971ADBF" w:rsidR="004F2729" w:rsidRPr="004F2729" w:rsidRDefault="004F2729" w:rsidP="004F2729">
      <w:pPr>
        <w:pStyle w:val="Heading1"/>
        <w:rPr>
          <w:sz w:val="22"/>
          <w:szCs w:val="22"/>
        </w:rPr>
      </w:pPr>
      <w:bookmarkStart w:id="5" w:name="_Toc532829301"/>
      <w:r w:rsidRPr="004F2729">
        <w:rPr>
          <w:sz w:val="22"/>
          <w:szCs w:val="22"/>
        </w:rPr>
        <w:lastRenderedPageBreak/>
        <w:t xml:space="preserve">Appendix </w:t>
      </w:r>
      <w:r w:rsidR="00B50B35">
        <w:rPr>
          <w:sz w:val="22"/>
          <w:szCs w:val="22"/>
        </w:rPr>
        <w:t>6</w:t>
      </w:r>
      <w:r w:rsidRPr="004F2729">
        <w:rPr>
          <w:sz w:val="22"/>
          <w:szCs w:val="22"/>
        </w:rPr>
        <w:t>: List of Excluded Studies for KQ5 after Full-text Screening</w:t>
      </w:r>
      <w:bookmarkEnd w:id="5"/>
    </w:p>
    <w:p w14:paraId="0EBB67A1" w14:textId="77777777" w:rsidR="004F2729" w:rsidRDefault="004F2729" w:rsidP="004F2729">
      <w:pPr>
        <w:rPr>
          <w:b/>
          <w:u w:val="single"/>
        </w:rPr>
      </w:pPr>
    </w:p>
    <w:p w14:paraId="46834E8D" w14:textId="2C21A14C" w:rsidR="004F2729" w:rsidRDefault="004F2729" w:rsidP="004F2729">
      <w:pPr>
        <w:rPr>
          <w:b/>
        </w:rPr>
      </w:pPr>
      <w:r w:rsidRPr="00174635">
        <w:rPr>
          <w:b/>
          <w:u w:val="single"/>
        </w:rPr>
        <w:t>Wrong study</w:t>
      </w:r>
      <w:r>
        <w:rPr>
          <w:b/>
          <w:u w:val="single"/>
        </w:rPr>
        <w:t xml:space="preserve"> design</w:t>
      </w:r>
      <w:r>
        <w:rPr>
          <w:b/>
        </w:rPr>
        <w:t>: n = 2</w:t>
      </w:r>
    </w:p>
    <w:p w14:paraId="36694081" w14:textId="77777777" w:rsidR="004F2729" w:rsidRPr="00A63860" w:rsidRDefault="004F2729" w:rsidP="004F2729">
      <w:pPr>
        <w:rPr>
          <w:rFonts w:eastAsia="Times New Roman"/>
        </w:rPr>
      </w:pPr>
      <w:r w:rsidRPr="00A63860">
        <w:rPr>
          <w:rFonts w:eastAsia="Times New Roman"/>
          <w:bCs/>
        </w:rPr>
        <w:t>Schwartz E, Holtorf K</w:t>
      </w:r>
      <w:r w:rsidRPr="00A63860">
        <w:rPr>
          <w:rFonts w:eastAsia="Times New Roman"/>
        </w:rPr>
        <w:t xml:space="preserve">. Hormone Replacement Therapy in the Geriatric Patient: Current State of the Evidence and Questions for the Future. Estrogen, Progesterone, Testosterone, and Thyroid Hormone Augmentation in Geriatric Clinical Practice: Part 1. </w:t>
      </w:r>
      <w:r w:rsidRPr="00A63860">
        <w:rPr>
          <w:rFonts w:eastAsia="Times New Roman"/>
          <w:i/>
          <w:iCs/>
        </w:rPr>
        <w:t>Clinics in geriatric medicine.</w:t>
      </w:r>
      <w:r w:rsidRPr="00A63860">
        <w:rPr>
          <w:rFonts w:eastAsia="Times New Roman"/>
        </w:rPr>
        <w:t xml:space="preserve"> 2011. 27:541</w:t>
      </w:r>
    </w:p>
    <w:p w14:paraId="7EDC6110" w14:textId="77777777" w:rsidR="004F2729" w:rsidRDefault="004F2729" w:rsidP="004F2729">
      <w:r w:rsidRPr="00A63860">
        <w:rPr>
          <w:rFonts w:eastAsia="Times New Roman"/>
          <w:bCs/>
        </w:rPr>
        <w:t>Werhun A, Hamilton W</w:t>
      </w:r>
      <w:r w:rsidRPr="00A63860">
        <w:rPr>
          <w:rFonts w:eastAsia="Times New Roman"/>
        </w:rPr>
        <w:t>. Are</w:t>
      </w:r>
      <w:r>
        <w:rPr>
          <w:rFonts w:eastAsia="Times New Roman"/>
        </w:rPr>
        <w:t xml:space="preserve"> we overusing thyroid function tests?. </w:t>
      </w:r>
      <w:r>
        <w:rPr>
          <w:rFonts w:eastAsia="Times New Roman"/>
          <w:i/>
          <w:iCs/>
        </w:rPr>
        <w:t>British Journal of General Practice.</w:t>
      </w:r>
      <w:r>
        <w:rPr>
          <w:rFonts w:eastAsia="Times New Roman"/>
        </w:rPr>
        <w:t xml:space="preserve"> 2013. 63:404</w:t>
      </w:r>
    </w:p>
    <w:p w14:paraId="67849899" w14:textId="7136AFBB" w:rsidR="004F2729" w:rsidRPr="00174635" w:rsidRDefault="004F2729" w:rsidP="004F2729">
      <w:pPr>
        <w:rPr>
          <w:b/>
        </w:rPr>
      </w:pPr>
      <w:r w:rsidRPr="00174635">
        <w:rPr>
          <w:b/>
          <w:u w:val="single"/>
        </w:rPr>
        <w:t xml:space="preserve">Wrong </w:t>
      </w:r>
      <w:r>
        <w:rPr>
          <w:b/>
          <w:u w:val="single"/>
        </w:rPr>
        <w:t>intervention</w:t>
      </w:r>
      <w:r>
        <w:rPr>
          <w:b/>
        </w:rPr>
        <w:t>: n = 1</w:t>
      </w:r>
    </w:p>
    <w:p w14:paraId="64DF1419" w14:textId="77777777" w:rsidR="004F2729" w:rsidRDefault="004F2729" w:rsidP="004F2729">
      <w:r w:rsidRPr="00A63860">
        <w:rPr>
          <w:rFonts w:eastAsia="Times New Roman"/>
          <w:bCs/>
        </w:rPr>
        <w:t>Pollock AM, Sturrock A, Marshall K, Davidson KM, et al</w:t>
      </w:r>
      <w:r w:rsidRPr="00A63860">
        <w:rPr>
          <w:rFonts w:eastAsia="Times New Roman"/>
        </w:rPr>
        <w:t xml:space="preserve">. Thyroxine treatment in patients with symptoms of hypothyroidism but thyroid function tests within the reference range: Randomised double blind placebo controlled crossover trial. </w:t>
      </w:r>
      <w:r w:rsidRPr="00A63860">
        <w:rPr>
          <w:rFonts w:eastAsia="Times New Roman"/>
          <w:i/>
          <w:iCs/>
        </w:rPr>
        <w:t>British medical journal.</w:t>
      </w:r>
      <w:r w:rsidRPr="00A63860">
        <w:rPr>
          <w:rFonts w:eastAsia="Times New Roman"/>
        </w:rPr>
        <w:t xml:space="preserve"> 2001</w:t>
      </w:r>
      <w:r>
        <w:rPr>
          <w:rFonts w:eastAsia="Times New Roman"/>
        </w:rPr>
        <w:t>. 323:891</w:t>
      </w:r>
    </w:p>
    <w:p w14:paraId="5D130036" w14:textId="3DF7EFB0" w:rsidR="004F2729" w:rsidRPr="00174635" w:rsidRDefault="004F2729" w:rsidP="004F2729">
      <w:pPr>
        <w:rPr>
          <w:b/>
        </w:rPr>
      </w:pPr>
      <w:r w:rsidRPr="00174635">
        <w:rPr>
          <w:b/>
          <w:u w:val="single"/>
        </w:rPr>
        <w:t xml:space="preserve">Wrong </w:t>
      </w:r>
      <w:r>
        <w:rPr>
          <w:b/>
          <w:u w:val="single"/>
        </w:rPr>
        <w:t>outcome</w:t>
      </w:r>
      <w:r>
        <w:rPr>
          <w:b/>
        </w:rPr>
        <w:t>: n = 1</w:t>
      </w:r>
    </w:p>
    <w:p w14:paraId="3CFBFE7F" w14:textId="77777777" w:rsidR="004F2729" w:rsidRPr="00A63860" w:rsidRDefault="004F2729" w:rsidP="004F2729">
      <w:r w:rsidRPr="00A63860">
        <w:rPr>
          <w:rFonts w:eastAsia="Times New Roman"/>
          <w:bCs/>
        </w:rPr>
        <w:t>Verburg FA, Grelle I, Tatschner K, Reiners C, Luster M</w:t>
      </w:r>
      <w:r w:rsidRPr="00A63860">
        <w:rPr>
          <w:rFonts w:eastAsia="Times New Roman"/>
        </w:rPr>
        <w:t xml:space="preserve">. Prevalence of thyroid disorders in elderly people in Germany: A screening study in a country with endemic goitre. </w:t>
      </w:r>
      <w:r w:rsidRPr="00A63860">
        <w:rPr>
          <w:rFonts w:eastAsia="Times New Roman"/>
          <w:i/>
          <w:iCs/>
        </w:rPr>
        <w:t>Nuklearmedizin.</w:t>
      </w:r>
      <w:r w:rsidRPr="00A63860">
        <w:rPr>
          <w:rFonts w:eastAsia="Times New Roman"/>
        </w:rPr>
        <w:t xml:space="preserve"> 2017. 56:9</w:t>
      </w:r>
    </w:p>
    <w:p w14:paraId="2A5F10AD" w14:textId="77777777" w:rsidR="004F2729" w:rsidRPr="00A63860" w:rsidRDefault="004F2729" w:rsidP="004F2729"/>
    <w:p w14:paraId="1C0F7BB7" w14:textId="77777777" w:rsidR="00D26BA7" w:rsidRDefault="00D26BA7" w:rsidP="00D2440A">
      <w:pPr>
        <w:spacing w:after="0" w:line="240" w:lineRule="auto"/>
        <w:rPr>
          <w:b/>
        </w:rPr>
        <w:sectPr w:rsidR="00D26BA7" w:rsidSect="00FA01E6">
          <w:pgSz w:w="12240" w:h="15840"/>
          <w:pgMar w:top="1440" w:right="1440" w:bottom="1440" w:left="1440" w:header="708" w:footer="708" w:gutter="0"/>
          <w:lnNumType w:countBy="1" w:restart="continuous"/>
          <w:cols w:space="708"/>
          <w:docGrid w:linePitch="360"/>
        </w:sectPr>
      </w:pPr>
    </w:p>
    <w:p w14:paraId="1909DE2B" w14:textId="23598E81" w:rsidR="00D26BA7" w:rsidRDefault="00D26BA7" w:rsidP="00D26BA7">
      <w:pPr>
        <w:pStyle w:val="Heading1"/>
        <w:rPr>
          <w:sz w:val="22"/>
          <w:szCs w:val="22"/>
        </w:rPr>
      </w:pPr>
      <w:bookmarkStart w:id="6" w:name="_Toc532829302"/>
      <w:r w:rsidRPr="00D26BA7">
        <w:rPr>
          <w:sz w:val="22"/>
          <w:szCs w:val="22"/>
        </w:rPr>
        <w:lastRenderedPageBreak/>
        <w:t xml:space="preserve">Appendix </w:t>
      </w:r>
      <w:r w:rsidR="00B50B35">
        <w:rPr>
          <w:sz w:val="22"/>
          <w:szCs w:val="22"/>
        </w:rPr>
        <w:t>7</w:t>
      </w:r>
      <w:r w:rsidRPr="00D26BA7">
        <w:rPr>
          <w:sz w:val="22"/>
          <w:szCs w:val="22"/>
        </w:rPr>
        <w:t>: Individual Study Characteristics</w:t>
      </w:r>
      <w:bookmarkEnd w:id="6"/>
    </w:p>
    <w:p w14:paraId="2A9CE46D" w14:textId="77777777" w:rsidR="00D26BA7" w:rsidRPr="00D26BA7" w:rsidRDefault="00D26BA7" w:rsidP="00D26BA7"/>
    <w:tbl>
      <w:tblPr>
        <w:tblStyle w:val="TableGrid"/>
        <w:tblW w:w="0" w:type="auto"/>
        <w:tblLayout w:type="fixed"/>
        <w:tblLook w:val="04A0" w:firstRow="1" w:lastRow="0" w:firstColumn="1" w:lastColumn="0" w:noHBand="0" w:noVBand="1"/>
      </w:tblPr>
      <w:tblGrid>
        <w:gridCol w:w="1809"/>
        <w:gridCol w:w="1560"/>
        <w:gridCol w:w="4394"/>
        <w:gridCol w:w="1701"/>
        <w:gridCol w:w="3260"/>
      </w:tblGrid>
      <w:tr w:rsidR="0063693D" w:rsidRPr="00781A1C" w14:paraId="63ABDD8A" w14:textId="77777777" w:rsidTr="00B94C53">
        <w:tc>
          <w:tcPr>
            <w:tcW w:w="1809" w:type="dxa"/>
            <w:shd w:val="clear" w:color="auto" w:fill="D9D9D9" w:themeFill="background1" w:themeFillShade="D9"/>
          </w:tcPr>
          <w:p w14:paraId="5FF3E40A" w14:textId="77777777" w:rsidR="0063693D" w:rsidRPr="00781A1C" w:rsidRDefault="0063693D" w:rsidP="00455F4D">
            <w:pPr>
              <w:rPr>
                <w:rFonts w:ascii="Calibri" w:hAnsi="Calibri"/>
                <w:b/>
                <w:color w:val="000000"/>
              </w:rPr>
            </w:pPr>
            <w:r w:rsidRPr="00781A1C">
              <w:rPr>
                <w:rFonts w:ascii="Calibri" w:hAnsi="Calibri"/>
                <w:b/>
                <w:color w:val="000000"/>
              </w:rPr>
              <w:t>Lead author</w:t>
            </w:r>
            <w:r>
              <w:rPr>
                <w:rFonts w:ascii="Calibri" w:hAnsi="Calibri"/>
                <w:b/>
                <w:color w:val="000000"/>
              </w:rPr>
              <w:t>, Publication Year</w:t>
            </w:r>
            <w:r w:rsidRPr="00781A1C">
              <w:rPr>
                <w:rFonts w:ascii="Calibri" w:hAnsi="Calibri"/>
                <w:b/>
                <w:color w:val="000000"/>
              </w:rPr>
              <w:t xml:space="preserve">, </w:t>
            </w:r>
            <w:r>
              <w:rPr>
                <w:rFonts w:ascii="Calibri" w:hAnsi="Calibri"/>
                <w:b/>
                <w:color w:val="000000"/>
              </w:rPr>
              <w:t>Country, number of participants (% females)</w:t>
            </w:r>
          </w:p>
        </w:tc>
        <w:tc>
          <w:tcPr>
            <w:tcW w:w="1560" w:type="dxa"/>
            <w:shd w:val="clear" w:color="auto" w:fill="D9D9D9" w:themeFill="background1" w:themeFillShade="D9"/>
          </w:tcPr>
          <w:p w14:paraId="2A80478C" w14:textId="77777777" w:rsidR="0063693D" w:rsidRPr="00781A1C" w:rsidRDefault="0063693D" w:rsidP="00B94C53">
            <w:pPr>
              <w:rPr>
                <w:rFonts w:ascii="Calibri" w:hAnsi="Calibri"/>
                <w:b/>
                <w:color w:val="000000"/>
              </w:rPr>
            </w:pPr>
            <w:r>
              <w:rPr>
                <w:rFonts w:ascii="Calibri" w:hAnsi="Calibri"/>
                <w:b/>
                <w:color w:val="000000"/>
              </w:rPr>
              <w:t>Study Design , comparison, follow-up</w:t>
            </w:r>
            <w:r w:rsidR="00043A14">
              <w:rPr>
                <w:rFonts w:ascii="Calibri" w:hAnsi="Calibri"/>
                <w:b/>
                <w:color w:val="000000"/>
              </w:rPr>
              <w:t>, clinic setting</w:t>
            </w:r>
          </w:p>
        </w:tc>
        <w:tc>
          <w:tcPr>
            <w:tcW w:w="4394" w:type="dxa"/>
            <w:shd w:val="clear" w:color="auto" w:fill="D9D9D9" w:themeFill="background1" w:themeFillShade="D9"/>
          </w:tcPr>
          <w:p w14:paraId="16459FA0" w14:textId="77777777" w:rsidR="0063693D" w:rsidRPr="00781A1C" w:rsidRDefault="0063693D" w:rsidP="00FA01E6">
            <w:pPr>
              <w:rPr>
                <w:rFonts w:ascii="Calibri" w:hAnsi="Calibri"/>
                <w:b/>
                <w:color w:val="000000"/>
              </w:rPr>
            </w:pPr>
            <w:r>
              <w:rPr>
                <w:rFonts w:ascii="Calibri" w:hAnsi="Calibri"/>
                <w:b/>
                <w:color w:val="000000"/>
              </w:rPr>
              <w:t>Participants</w:t>
            </w:r>
          </w:p>
        </w:tc>
        <w:tc>
          <w:tcPr>
            <w:tcW w:w="1701" w:type="dxa"/>
            <w:shd w:val="clear" w:color="auto" w:fill="D9D9D9" w:themeFill="background1" w:themeFillShade="D9"/>
          </w:tcPr>
          <w:p w14:paraId="080987D5" w14:textId="77777777" w:rsidR="0063693D" w:rsidRDefault="0063693D" w:rsidP="00FA01E6">
            <w:pPr>
              <w:rPr>
                <w:rFonts w:ascii="Calibri" w:hAnsi="Calibri"/>
                <w:b/>
                <w:color w:val="000000"/>
              </w:rPr>
            </w:pPr>
            <w:r>
              <w:rPr>
                <w:rFonts w:ascii="Calibri" w:hAnsi="Calibri"/>
                <w:b/>
                <w:color w:val="000000"/>
              </w:rPr>
              <w:t>Intervention</w:t>
            </w:r>
          </w:p>
          <w:p w14:paraId="70ACAD86" w14:textId="77777777" w:rsidR="0063693D" w:rsidRPr="00781A1C" w:rsidRDefault="0063693D" w:rsidP="00FA01E6">
            <w:pPr>
              <w:rPr>
                <w:rFonts w:ascii="Calibri" w:hAnsi="Calibri"/>
                <w:b/>
                <w:color w:val="000000"/>
              </w:rPr>
            </w:pPr>
          </w:p>
        </w:tc>
        <w:tc>
          <w:tcPr>
            <w:tcW w:w="3260" w:type="dxa"/>
            <w:shd w:val="clear" w:color="auto" w:fill="D9D9D9" w:themeFill="background1" w:themeFillShade="D9"/>
          </w:tcPr>
          <w:p w14:paraId="2B89E1E5" w14:textId="77777777" w:rsidR="0063693D" w:rsidRDefault="0063693D" w:rsidP="00FA01E6">
            <w:pPr>
              <w:rPr>
                <w:rFonts w:ascii="Calibri" w:hAnsi="Calibri"/>
                <w:b/>
                <w:color w:val="000000"/>
              </w:rPr>
            </w:pPr>
            <w:r>
              <w:rPr>
                <w:rFonts w:ascii="Calibri" w:hAnsi="Calibri"/>
                <w:b/>
                <w:color w:val="000000"/>
              </w:rPr>
              <w:t>Outcomes</w:t>
            </w:r>
          </w:p>
        </w:tc>
      </w:tr>
      <w:tr w:rsidR="0063693D" w14:paraId="34C8CEF8" w14:textId="77777777" w:rsidTr="00B94C53">
        <w:tc>
          <w:tcPr>
            <w:tcW w:w="1809" w:type="dxa"/>
          </w:tcPr>
          <w:p w14:paraId="535EDEAF" w14:textId="77777777" w:rsidR="0063693D" w:rsidRDefault="0063693D" w:rsidP="00455F4D">
            <w:pPr>
              <w:rPr>
                <w:rFonts w:ascii="Calibri" w:hAnsi="Calibri"/>
                <w:color w:val="000000"/>
              </w:rPr>
            </w:pPr>
            <w:r>
              <w:rPr>
                <w:rFonts w:ascii="Calibri" w:hAnsi="Calibri"/>
                <w:color w:val="000000"/>
              </w:rPr>
              <w:t xml:space="preserve">Stott, 2017, </w:t>
            </w:r>
          </w:p>
          <w:p w14:paraId="7991BA76" w14:textId="77777777" w:rsidR="0063693D" w:rsidRDefault="0063693D" w:rsidP="00455F4D">
            <w:pPr>
              <w:rPr>
                <w:rFonts w:ascii="Calibri" w:hAnsi="Calibri"/>
                <w:color w:val="000000"/>
              </w:rPr>
            </w:pPr>
            <w:r>
              <w:rPr>
                <w:rFonts w:ascii="Calibri" w:hAnsi="Calibri"/>
                <w:color w:val="000000"/>
              </w:rPr>
              <w:t>UK,</w:t>
            </w:r>
          </w:p>
          <w:p w14:paraId="66AB275E" w14:textId="77777777" w:rsidR="0063693D" w:rsidRDefault="0063693D" w:rsidP="00455F4D">
            <w:pPr>
              <w:rPr>
                <w:rFonts w:ascii="Calibri" w:hAnsi="Calibri"/>
                <w:color w:val="000000"/>
              </w:rPr>
            </w:pPr>
          </w:p>
          <w:p w14:paraId="4F122D92" w14:textId="77777777" w:rsidR="0063693D" w:rsidRDefault="0063693D" w:rsidP="00B94C53">
            <w:pPr>
              <w:rPr>
                <w:rFonts w:ascii="Calibri" w:hAnsi="Calibri"/>
                <w:color w:val="000000"/>
              </w:rPr>
            </w:pPr>
            <w:r>
              <w:rPr>
                <w:rFonts w:ascii="Calibri" w:hAnsi="Calibri"/>
                <w:color w:val="000000"/>
              </w:rPr>
              <w:t xml:space="preserve">n=737 (54% </w:t>
            </w:r>
            <w:r w:rsidR="004F0FA7">
              <w:rPr>
                <w:rFonts w:ascii="Calibri" w:hAnsi="Calibri"/>
                <w:color w:val="000000"/>
              </w:rPr>
              <w:t>female</w:t>
            </w:r>
            <w:r>
              <w:rPr>
                <w:rFonts w:ascii="Calibri" w:hAnsi="Calibri"/>
                <w:color w:val="000000"/>
              </w:rPr>
              <w:t>)</w:t>
            </w:r>
          </w:p>
        </w:tc>
        <w:tc>
          <w:tcPr>
            <w:tcW w:w="1560" w:type="dxa"/>
          </w:tcPr>
          <w:p w14:paraId="076B0D83" w14:textId="77777777" w:rsidR="0063693D" w:rsidRDefault="0063693D" w:rsidP="00B94C53">
            <w:pPr>
              <w:rPr>
                <w:rFonts w:ascii="Calibri" w:hAnsi="Calibri"/>
                <w:color w:val="000000"/>
              </w:rPr>
            </w:pPr>
            <w:r>
              <w:rPr>
                <w:rFonts w:ascii="Calibri" w:hAnsi="Calibri"/>
                <w:color w:val="000000"/>
              </w:rPr>
              <w:t xml:space="preserve">RCT, </w:t>
            </w:r>
          </w:p>
          <w:p w14:paraId="30F21B67" w14:textId="77777777" w:rsidR="0063693D" w:rsidRDefault="0063693D" w:rsidP="00B94C53">
            <w:pPr>
              <w:rPr>
                <w:rFonts w:ascii="Calibri" w:hAnsi="Calibri"/>
                <w:color w:val="000000"/>
              </w:rPr>
            </w:pPr>
            <w:r>
              <w:rPr>
                <w:rFonts w:ascii="Calibri" w:hAnsi="Calibri"/>
                <w:color w:val="000000"/>
              </w:rPr>
              <w:t>Placebo,</w:t>
            </w:r>
          </w:p>
          <w:p w14:paraId="53121CD4" w14:textId="77777777" w:rsidR="0063693D" w:rsidRDefault="0063693D" w:rsidP="0063693D">
            <w:pPr>
              <w:rPr>
                <w:rFonts w:ascii="Calibri" w:hAnsi="Calibri"/>
                <w:color w:val="000000"/>
              </w:rPr>
            </w:pPr>
            <w:r>
              <w:rPr>
                <w:rFonts w:ascii="Calibri" w:hAnsi="Calibri"/>
                <w:color w:val="000000"/>
              </w:rPr>
              <w:t>1-3 years</w:t>
            </w:r>
            <w:r w:rsidR="00043A14">
              <w:rPr>
                <w:rFonts w:ascii="Calibri" w:hAnsi="Calibri"/>
                <w:color w:val="000000"/>
              </w:rPr>
              <w:t>,</w:t>
            </w:r>
          </w:p>
          <w:p w14:paraId="78E8C5C2" w14:textId="77777777" w:rsidR="00043A14" w:rsidRDefault="00043A14" w:rsidP="0063693D">
            <w:pPr>
              <w:rPr>
                <w:rFonts w:ascii="Calibri" w:hAnsi="Calibri"/>
                <w:color w:val="000000"/>
              </w:rPr>
            </w:pPr>
            <w:r>
              <w:rPr>
                <w:rFonts w:ascii="Calibri" w:hAnsi="Calibri"/>
                <w:color w:val="000000"/>
              </w:rPr>
              <w:t>outpatient clinic</w:t>
            </w:r>
          </w:p>
          <w:p w14:paraId="14F78E07" w14:textId="77777777" w:rsidR="0063693D" w:rsidRDefault="0063693D" w:rsidP="00B94C53">
            <w:pPr>
              <w:rPr>
                <w:rFonts w:ascii="Calibri" w:hAnsi="Calibri"/>
                <w:color w:val="000000"/>
              </w:rPr>
            </w:pPr>
          </w:p>
        </w:tc>
        <w:tc>
          <w:tcPr>
            <w:tcW w:w="4394" w:type="dxa"/>
          </w:tcPr>
          <w:p w14:paraId="78106168" w14:textId="77777777" w:rsidR="0063693D" w:rsidRPr="00576F3D" w:rsidRDefault="0063693D" w:rsidP="00FA01E6">
            <w:pPr>
              <w:rPr>
                <w:rFonts w:cstheme="minorHAnsi"/>
              </w:rPr>
            </w:pPr>
            <w:r>
              <w:rPr>
                <w:rFonts w:cstheme="minorHAnsi"/>
                <w:i/>
              </w:rPr>
              <w:t>Inclusion</w:t>
            </w:r>
            <w:r w:rsidR="00C80836">
              <w:rPr>
                <w:rFonts w:cstheme="minorHAnsi"/>
                <w:i/>
              </w:rPr>
              <w:t xml:space="preserve"> criteria</w:t>
            </w:r>
            <w:r>
              <w:rPr>
                <w:rFonts w:cstheme="minorHAnsi"/>
                <w:i/>
              </w:rPr>
              <w:t>:</w:t>
            </w:r>
            <w:r>
              <w:rPr>
                <w:rFonts w:cstheme="minorHAnsi"/>
              </w:rPr>
              <w:t xml:space="preserve"> </w:t>
            </w:r>
            <w:r>
              <w:t>Age ≥ 65 years; persistent SCH</w:t>
            </w:r>
            <w:r w:rsidR="0006294E">
              <w:t>o</w:t>
            </w:r>
            <w:r>
              <w:t xml:space="preserve"> as defined by an elevated TSH (4.60 to 19.99 mIU/L) measured on ≥ 2 occasions that were 3 months to 3 years apart, with FT</w:t>
            </w:r>
            <w:r w:rsidRPr="00576F3D">
              <w:rPr>
                <w:vertAlign w:val="subscript"/>
              </w:rPr>
              <w:t>4</w:t>
            </w:r>
            <w:r>
              <w:t xml:space="preserve"> WNL</w:t>
            </w:r>
          </w:p>
          <w:p w14:paraId="2775BBD5" w14:textId="77777777" w:rsidR="0063693D" w:rsidRDefault="0063693D" w:rsidP="00FA01E6">
            <w:pPr>
              <w:rPr>
                <w:rFonts w:cstheme="minorHAnsi"/>
                <w:i/>
              </w:rPr>
            </w:pPr>
          </w:p>
          <w:p w14:paraId="6AB3A754" w14:textId="77777777" w:rsidR="0063693D" w:rsidRPr="008178FE" w:rsidRDefault="0063693D" w:rsidP="00B94C53">
            <w:pPr>
              <w:rPr>
                <w:rFonts w:cstheme="minorHAnsi"/>
                <w:i/>
              </w:rPr>
            </w:pPr>
            <w:r>
              <w:rPr>
                <w:rFonts w:cstheme="minorHAnsi"/>
                <w:i/>
              </w:rPr>
              <w:t>Exclusion</w:t>
            </w:r>
            <w:r w:rsidR="00C80836">
              <w:rPr>
                <w:rFonts w:cstheme="minorHAnsi"/>
                <w:i/>
              </w:rPr>
              <w:t xml:space="preserve"> criteria</w:t>
            </w:r>
            <w:r>
              <w:rPr>
                <w:rFonts w:cstheme="minorHAnsi"/>
                <w:i/>
              </w:rPr>
              <w:t>:</w:t>
            </w:r>
            <w:r>
              <w:t xml:space="preserve"> Current prescription for LT</w:t>
            </w:r>
            <w:r w:rsidRPr="00BB5A3E">
              <w:rPr>
                <w:vertAlign w:val="subscript"/>
              </w:rPr>
              <w:t>4</w:t>
            </w:r>
            <w:r>
              <w:t>, antithyroid drugs, amiodarone, or lithium; thyroid surgery or receipt of radioactive iodine within previous 12 months; dementia; hospitalization for a major illness or an elective surgery within previous 4 weeks; acute coronary syndrome within previous 4 weeks; terminal illness</w:t>
            </w:r>
          </w:p>
        </w:tc>
        <w:tc>
          <w:tcPr>
            <w:tcW w:w="1701" w:type="dxa"/>
          </w:tcPr>
          <w:p w14:paraId="09273043" w14:textId="77777777" w:rsidR="0063693D" w:rsidRDefault="0063693D" w:rsidP="00FA01E6">
            <w:pPr>
              <w:autoSpaceDE w:val="0"/>
              <w:autoSpaceDN w:val="0"/>
              <w:adjustRightInd w:val="0"/>
              <w:rPr>
                <w:rFonts w:cs="AdvOT1ef757c0"/>
              </w:rPr>
            </w:pPr>
            <w:r>
              <w:rPr>
                <w:rFonts w:cs="AdvOT1ef757c0"/>
              </w:rPr>
              <w:t>LT</w:t>
            </w:r>
            <w:r w:rsidRPr="00A03719">
              <w:rPr>
                <w:rFonts w:cs="AdvOT1ef757c0"/>
                <w:vertAlign w:val="subscript"/>
              </w:rPr>
              <w:t>4</w:t>
            </w:r>
            <w:r>
              <w:rPr>
                <w:rFonts w:cs="AdvOT1ef757c0"/>
              </w:rPr>
              <w:t xml:space="preserve"> treatment (initial: 25-50 µg/day, titrated to achieve TSH WNL)</w:t>
            </w:r>
          </w:p>
        </w:tc>
        <w:tc>
          <w:tcPr>
            <w:tcW w:w="3260" w:type="dxa"/>
          </w:tcPr>
          <w:p w14:paraId="3F733FA6" w14:textId="77777777" w:rsidR="0063693D" w:rsidRDefault="0063693D" w:rsidP="00FA01E6">
            <w:pPr>
              <w:rPr>
                <w:rFonts w:ascii="Calibri" w:hAnsi="Calibri"/>
                <w:i/>
                <w:color w:val="000000"/>
              </w:rPr>
            </w:pPr>
            <w:r>
              <w:rPr>
                <w:rFonts w:ascii="Calibri" w:hAnsi="Calibri"/>
                <w:i/>
                <w:color w:val="000000"/>
              </w:rPr>
              <w:t>Primary:</w:t>
            </w:r>
            <w:r>
              <w:t xml:space="preserve"> Change in ThyPRO measure Hypothyroid Symptoms score and the Tiredness score</w:t>
            </w:r>
          </w:p>
          <w:p w14:paraId="435D9DD1" w14:textId="77777777" w:rsidR="0063693D" w:rsidRDefault="0063693D" w:rsidP="00FA01E6">
            <w:pPr>
              <w:rPr>
                <w:rFonts w:ascii="Calibri" w:hAnsi="Calibri"/>
                <w:i/>
                <w:color w:val="000000"/>
              </w:rPr>
            </w:pPr>
          </w:p>
          <w:p w14:paraId="797C44F2" w14:textId="77777777" w:rsidR="0063693D" w:rsidRDefault="0063693D" w:rsidP="00FA01E6">
            <w:pPr>
              <w:rPr>
                <w:rFonts w:ascii="Calibri" w:hAnsi="Calibri"/>
                <w:i/>
                <w:color w:val="000000"/>
              </w:rPr>
            </w:pPr>
            <w:r>
              <w:rPr>
                <w:rFonts w:ascii="Calibri" w:hAnsi="Calibri"/>
                <w:i/>
                <w:color w:val="000000"/>
              </w:rPr>
              <w:t>Secondary:</w:t>
            </w:r>
            <w:r>
              <w:rPr>
                <w:rFonts w:ascii="Calibri" w:hAnsi="Calibri"/>
                <w:color w:val="000000"/>
              </w:rPr>
              <w:t xml:space="preserve"> Changes in generic health-related QoL; comprehensive thyroid-related QoL, handgrip strength, executive cognitive function, BP, weight, BMI, </w:t>
            </w:r>
            <w:r w:rsidR="006F5BDB">
              <w:rPr>
                <w:rFonts w:ascii="Calibri" w:hAnsi="Calibri"/>
                <w:color w:val="000000"/>
              </w:rPr>
              <w:t>waist circumference</w:t>
            </w:r>
            <w:r>
              <w:rPr>
                <w:rFonts w:ascii="Calibri" w:hAnsi="Calibri"/>
                <w:color w:val="000000"/>
              </w:rPr>
              <w:t xml:space="preserve">, </w:t>
            </w:r>
            <w:r w:rsidR="006F5BDB" w:rsidRPr="00E96332">
              <w:rPr>
                <w:rFonts w:ascii="Calibri" w:hAnsi="Calibri"/>
                <w:color w:val="000000"/>
              </w:rPr>
              <w:t>activities of daily living</w:t>
            </w:r>
            <w:r>
              <w:rPr>
                <w:rFonts w:ascii="Calibri" w:hAnsi="Calibri"/>
                <w:color w:val="000000"/>
              </w:rPr>
              <w:t>, fatal and non-fatal CV events</w:t>
            </w:r>
          </w:p>
          <w:p w14:paraId="2F6DF8F1" w14:textId="77777777" w:rsidR="0063693D" w:rsidRDefault="0063693D" w:rsidP="00FA01E6">
            <w:pPr>
              <w:rPr>
                <w:rFonts w:ascii="Calibri" w:hAnsi="Calibri"/>
                <w:i/>
                <w:color w:val="000000"/>
              </w:rPr>
            </w:pPr>
          </w:p>
          <w:p w14:paraId="28F4074D" w14:textId="77777777" w:rsidR="0063693D" w:rsidRPr="000A0E84" w:rsidRDefault="0063693D" w:rsidP="00B94C53">
            <w:pPr>
              <w:rPr>
                <w:rFonts w:ascii="Calibri" w:hAnsi="Calibri"/>
                <w:i/>
                <w:color w:val="000000"/>
              </w:rPr>
            </w:pPr>
            <w:r>
              <w:rPr>
                <w:rFonts w:cs="AdvOT1ef757c0"/>
              </w:rPr>
              <w:t xml:space="preserve">SAEs, AEs of special interest, WDAEs </w:t>
            </w:r>
          </w:p>
        </w:tc>
      </w:tr>
      <w:tr w:rsidR="0063693D" w14:paraId="2CD95537" w14:textId="77777777" w:rsidTr="00B94C53">
        <w:tc>
          <w:tcPr>
            <w:tcW w:w="1809" w:type="dxa"/>
          </w:tcPr>
          <w:p w14:paraId="16B8CA33" w14:textId="77777777" w:rsidR="0063693D" w:rsidRDefault="0063693D" w:rsidP="00B94C53">
            <w:pPr>
              <w:rPr>
                <w:rFonts w:ascii="Calibri" w:hAnsi="Calibri"/>
                <w:color w:val="000000"/>
              </w:rPr>
            </w:pPr>
            <w:r>
              <w:rPr>
                <w:rFonts w:ascii="Calibri" w:hAnsi="Calibri"/>
                <w:color w:val="000000"/>
              </w:rPr>
              <w:t>Zhao, 2016, China</w:t>
            </w:r>
          </w:p>
          <w:p w14:paraId="4A31D2A7" w14:textId="77777777" w:rsidR="0063693D" w:rsidRDefault="0063693D" w:rsidP="00B94C53">
            <w:pPr>
              <w:rPr>
                <w:rFonts w:ascii="Calibri" w:hAnsi="Calibri"/>
                <w:color w:val="000000"/>
              </w:rPr>
            </w:pPr>
          </w:p>
          <w:p w14:paraId="746B3F7C" w14:textId="77777777" w:rsidR="0063693D" w:rsidRDefault="0063693D" w:rsidP="00B94C53">
            <w:pPr>
              <w:rPr>
                <w:rFonts w:ascii="Calibri" w:hAnsi="Calibri"/>
                <w:color w:val="000000"/>
              </w:rPr>
            </w:pPr>
            <w:r>
              <w:rPr>
                <w:rFonts w:ascii="Calibri" w:hAnsi="Calibri"/>
                <w:color w:val="000000"/>
              </w:rPr>
              <w:t xml:space="preserve">n=378 (73% </w:t>
            </w:r>
            <w:r w:rsidR="004F0FA7">
              <w:rPr>
                <w:rFonts w:ascii="Calibri" w:hAnsi="Calibri"/>
                <w:color w:val="000000"/>
              </w:rPr>
              <w:t>female</w:t>
            </w:r>
            <w:r>
              <w:rPr>
                <w:rFonts w:ascii="Calibri" w:hAnsi="Calibri"/>
                <w:color w:val="000000"/>
              </w:rPr>
              <w:t>)</w:t>
            </w:r>
          </w:p>
        </w:tc>
        <w:tc>
          <w:tcPr>
            <w:tcW w:w="1560" w:type="dxa"/>
          </w:tcPr>
          <w:p w14:paraId="516F6AB0" w14:textId="77777777" w:rsidR="0063693D" w:rsidRDefault="0063693D" w:rsidP="00FA01E6">
            <w:pPr>
              <w:rPr>
                <w:rFonts w:ascii="Calibri" w:hAnsi="Calibri"/>
                <w:color w:val="000000"/>
              </w:rPr>
            </w:pPr>
            <w:r>
              <w:rPr>
                <w:rFonts w:ascii="Calibri" w:hAnsi="Calibri"/>
                <w:color w:val="000000"/>
              </w:rPr>
              <w:t>RCT,</w:t>
            </w:r>
          </w:p>
          <w:p w14:paraId="3A5CB87B" w14:textId="77777777" w:rsidR="0063693D" w:rsidRDefault="0063693D" w:rsidP="00FA01E6">
            <w:pPr>
              <w:rPr>
                <w:rFonts w:ascii="Calibri" w:hAnsi="Calibri"/>
                <w:color w:val="000000"/>
              </w:rPr>
            </w:pPr>
            <w:r>
              <w:rPr>
                <w:rFonts w:ascii="Calibri" w:hAnsi="Calibri"/>
                <w:color w:val="000000"/>
              </w:rPr>
              <w:t>No treatment,</w:t>
            </w:r>
          </w:p>
          <w:p w14:paraId="121E18A9" w14:textId="77777777" w:rsidR="0063693D" w:rsidRDefault="0063693D" w:rsidP="00B94C53">
            <w:pPr>
              <w:rPr>
                <w:rFonts w:ascii="Calibri" w:hAnsi="Calibri"/>
                <w:color w:val="000000"/>
              </w:rPr>
            </w:pPr>
            <w:r>
              <w:rPr>
                <w:rFonts w:ascii="Calibri" w:hAnsi="Calibri"/>
                <w:color w:val="000000"/>
              </w:rPr>
              <w:t>15 months</w:t>
            </w:r>
          </w:p>
        </w:tc>
        <w:tc>
          <w:tcPr>
            <w:tcW w:w="4394" w:type="dxa"/>
          </w:tcPr>
          <w:p w14:paraId="27A4B3EF" w14:textId="77777777" w:rsidR="0063693D" w:rsidRPr="0095798D" w:rsidRDefault="0063693D" w:rsidP="00FA01E6">
            <w:pPr>
              <w:rPr>
                <w:rFonts w:cstheme="minorHAnsi"/>
              </w:rPr>
            </w:pPr>
            <w:r>
              <w:rPr>
                <w:rFonts w:cstheme="minorHAnsi"/>
                <w:i/>
              </w:rPr>
              <w:t>Inclusion</w:t>
            </w:r>
            <w:r w:rsidR="00C80836">
              <w:rPr>
                <w:rFonts w:cstheme="minorHAnsi"/>
                <w:i/>
              </w:rPr>
              <w:t xml:space="preserve"> criteria</w:t>
            </w:r>
            <w:r>
              <w:rPr>
                <w:rFonts w:cstheme="minorHAnsi"/>
                <w:i/>
              </w:rPr>
              <w:t>:</w:t>
            </w:r>
            <w:r>
              <w:rPr>
                <w:rFonts w:cstheme="minorHAnsi"/>
              </w:rPr>
              <w:t xml:space="preserve"> Chinese residents of Ningyang County, Shandong Province of China; age ≥ 40 years; mild SCH</w:t>
            </w:r>
            <w:r w:rsidR="0006294E">
              <w:rPr>
                <w:rFonts w:cstheme="minorHAnsi"/>
              </w:rPr>
              <w:t>o</w:t>
            </w:r>
            <w:r>
              <w:rPr>
                <w:rFonts w:cstheme="minorHAnsi"/>
              </w:rPr>
              <w:t xml:space="preserve"> as defined by TSH of 4.2-10.0 mIU/L and FT</w:t>
            </w:r>
            <w:r w:rsidRPr="00AE6E62">
              <w:rPr>
                <w:rFonts w:cstheme="minorHAnsi"/>
                <w:vertAlign w:val="subscript"/>
              </w:rPr>
              <w:t>4</w:t>
            </w:r>
            <w:r>
              <w:rPr>
                <w:rFonts w:cstheme="minorHAnsi"/>
              </w:rPr>
              <w:t xml:space="preserve"> WNL based on two measurements taken 3 months apart </w:t>
            </w:r>
          </w:p>
          <w:p w14:paraId="74979590" w14:textId="77777777" w:rsidR="0063693D" w:rsidRDefault="0063693D" w:rsidP="00FA01E6">
            <w:pPr>
              <w:rPr>
                <w:rFonts w:cstheme="minorHAnsi"/>
                <w:i/>
              </w:rPr>
            </w:pPr>
          </w:p>
          <w:p w14:paraId="7651A8ED" w14:textId="77777777" w:rsidR="0063693D" w:rsidRDefault="0063693D" w:rsidP="00FA01E6">
            <w:pPr>
              <w:rPr>
                <w:rFonts w:cstheme="minorHAnsi"/>
                <w:i/>
              </w:rPr>
            </w:pPr>
            <w:r>
              <w:rPr>
                <w:rFonts w:cstheme="minorHAnsi"/>
                <w:i/>
              </w:rPr>
              <w:t>Exclusion</w:t>
            </w:r>
            <w:r w:rsidR="00C80836">
              <w:rPr>
                <w:rFonts w:cstheme="minorHAnsi"/>
                <w:i/>
              </w:rPr>
              <w:t xml:space="preserve"> criteria</w:t>
            </w:r>
            <w:r>
              <w:rPr>
                <w:rFonts w:cstheme="minorHAnsi"/>
                <w:i/>
              </w:rPr>
              <w:t xml:space="preserve">: </w:t>
            </w:r>
            <w:r>
              <w:rPr>
                <w:rFonts w:cstheme="minorHAnsi"/>
              </w:rPr>
              <w:t>P</w:t>
            </w:r>
            <w:r>
              <w:t xml:space="preserve">regnant or lactating </w:t>
            </w:r>
            <w:r w:rsidR="004F0FA7">
              <w:rPr>
                <w:rFonts w:ascii="Calibri" w:hAnsi="Calibri"/>
                <w:color w:val="000000"/>
              </w:rPr>
              <w:t>female</w:t>
            </w:r>
            <w:r w:rsidR="004F0FA7">
              <w:t>s</w:t>
            </w:r>
            <w:r>
              <w:t xml:space="preserve">; complications or conditions that affect thyroid status or lipid metabolism; </w:t>
            </w:r>
            <w:r>
              <w:lastRenderedPageBreak/>
              <w:t>taking medications within previous 3 months that affect thyroid or lipid metabolism; poor compliance.</w:t>
            </w:r>
          </w:p>
        </w:tc>
        <w:tc>
          <w:tcPr>
            <w:tcW w:w="1701" w:type="dxa"/>
          </w:tcPr>
          <w:p w14:paraId="35CA706D" w14:textId="77777777" w:rsidR="0063693D" w:rsidRDefault="0063693D" w:rsidP="00FA01E6">
            <w:pPr>
              <w:autoSpaceDE w:val="0"/>
              <w:autoSpaceDN w:val="0"/>
              <w:adjustRightInd w:val="0"/>
              <w:rPr>
                <w:rFonts w:cs="AdvOT1ef757c0"/>
              </w:rPr>
            </w:pPr>
            <w:r>
              <w:rPr>
                <w:rFonts w:cs="AdvOT1ef757c0"/>
              </w:rPr>
              <w:lastRenderedPageBreak/>
              <w:t>LT</w:t>
            </w:r>
            <w:r w:rsidRPr="00A03719">
              <w:rPr>
                <w:rFonts w:cs="AdvOT1ef757c0"/>
                <w:vertAlign w:val="subscript"/>
              </w:rPr>
              <w:t>4</w:t>
            </w:r>
            <w:r>
              <w:rPr>
                <w:rFonts w:cs="AdvOT1ef757c0"/>
              </w:rPr>
              <w:t xml:space="preserve"> treatment (initial: 25 µg/day, titrated to achieve clinical euthyroidism)</w:t>
            </w:r>
          </w:p>
        </w:tc>
        <w:tc>
          <w:tcPr>
            <w:tcW w:w="3260" w:type="dxa"/>
          </w:tcPr>
          <w:p w14:paraId="3247E7D4" w14:textId="77777777" w:rsidR="0063693D" w:rsidRDefault="0063693D" w:rsidP="00FA01E6">
            <w:pPr>
              <w:rPr>
                <w:rFonts w:ascii="Calibri" w:hAnsi="Calibri"/>
                <w:color w:val="000000"/>
              </w:rPr>
            </w:pPr>
            <w:r>
              <w:rPr>
                <w:rFonts w:ascii="Calibri" w:hAnsi="Calibri"/>
                <w:i/>
                <w:color w:val="000000"/>
              </w:rPr>
              <w:t xml:space="preserve">Primary: </w:t>
            </w:r>
            <w:r w:rsidRPr="00C12981">
              <w:rPr>
                <w:rFonts w:ascii="Calibri" w:hAnsi="Calibri"/>
                <w:color w:val="000000"/>
              </w:rPr>
              <w:t>Change in serum</w:t>
            </w:r>
            <w:r>
              <w:rPr>
                <w:rFonts w:ascii="Calibri" w:hAnsi="Calibri"/>
                <w:color w:val="000000"/>
              </w:rPr>
              <w:t xml:space="preserve"> total cholesterol</w:t>
            </w:r>
          </w:p>
          <w:p w14:paraId="0B958EE1" w14:textId="77777777" w:rsidR="0063693D" w:rsidRDefault="0063693D" w:rsidP="00FA01E6">
            <w:pPr>
              <w:rPr>
                <w:rFonts w:ascii="Calibri" w:hAnsi="Calibri"/>
                <w:color w:val="000000"/>
              </w:rPr>
            </w:pPr>
          </w:p>
          <w:p w14:paraId="0396FF92" w14:textId="77777777" w:rsidR="0063693D" w:rsidRDefault="0063693D" w:rsidP="00FA01E6">
            <w:pPr>
              <w:rPr>
                <w:rFonts w:ascii="Calibri" w:hAnsi="Calibri"/>
                <w:color w:val="000000"/>
              </w:rPr>
            </w:pPr>
            <w:r w:rsidRPr="00DE6B87">
              <w:rPr>
                <w:rFonts w:ascii="Calibri" w:hAnsi="Calibri"/>
                <w:i/>
                <w:color w:val="000000"/>
              </w:rPr>
              <w:t>Secondary</w:t>
            </w:r>
            <w:r>
              <w:rPr>
                <w:rFonts w:ascii="Calibri" w:hAnsi="Calibri"/>
                <w:color w:val="000000"/>
              </w:rPr>
              <w:t>: Change in other serum lipid parameters</w:t>
            </w:r>
          </w:p>
          <w:p w14:paraId="52D72F7F" w14:textId="77777777" w:rsidR="0063693D" w:rsidRDefault="0063693D" w:rsidP="00FA01E6">
            <w:pPr>
              <w:rPr>
                <w:rFonts w:ascii="Calibri" w:hAnsi="Calibri"/>
                <w:color w:val="000000"/>
              </w:rPr>
            </w:pPr>
          </w:p>
          <w:p w14:paraId="24460277" w14:textId="77777777" w:rsidR="0063693D" w:rsidRDefault="0063693D" w:rsidP="00B94C53">
            <w:pPr>
              <w:rPr>
                <w:rFonts w:ascii="Calibri" w:hAnsi="Calibri"/>
                <w:i/>
                <w:color w:val="000000"/>
              </w:rPr>
            </w:pPr>
            <w:r>
              <w:rPr>
                <w:rFonts w:ascii="Calibri" w:hAnsi="Calibri"/>
                <w:color w:val="000000"/>
              </w:rPr>
              <w:t>SBP, DBP, AEs</w:t>
            </w:r>
          </w:p>
        </w:tc>
      </w:tr>
      <w:tr w:rsidR="0063693D" w14:paraId="6DB6295F" w14:textId="77777777" w:rsidTr="00B94C53">
        <w:tc>
          <w:tcPr>
            <w:tcW w:w="1809" w:type="dxa"/>
          </w:tcPr>
          <w:p w14:paraId="28A6EB7C" w14:textId="77777777" w:rsidR="0063693D" w:rsidRDefault="0063693D" w:rsidP="00B94C53">
            <w:pPr>
              <w:rPr>
                <w:rFonts w:ascii="Calibri" w:hAnsi="Calibri"/>
                <w:color w:val="000000"/>
              </w:rPr>
            </w:pPr>
            <w:r>
              <w:rPr>
                <w:rFonts w:ascii="Calibri" w:hAnsi="Calibri"/>
                <w:color w:val="000000"/>
              </w:rPr>
              <w:t xml:space="preserve">Liu, 2015, </w:t>
            </w:r>
          </w:p>
          <w:p w14:paraId="26A4B8FC" w14:textId="77777777" w:rsidR="0063693D" w:rsidRDefault="0063693D" w:rsidP="00B94C53">
            <w:pPr>
              <w:rPr>
                <w:rFonts w:ascii="Calibri" w:hAnsi="Calibri"/>
                <w:color w:val="000000"/>
              </w:rPr>
            </w:pPr>
            <w:r>
              <w:rPr>
                <w:rFonts w:ascii="Calibri" w:hAnsi="Calibri"/>
                <w:color w:val="000000"/>
              </w:rPr>
              <w:t>China</w:t>
            </w:r>
          </w:p>
          <w:p w14:paraId="18595339" w14:textId="77777777" w:rsidR="00043A14" w:rsidRDefault="00043A14" w:rsidP="00B94C53">
            <w:pPr>
              <w:rPr>
                <w:rFonts w:ascii="Calibri" w:hAnsi="Calibri"/>
                <w:color w:val="000000"/>
              </w:rPr>
            </w:pPr>
          </w:p>
          <w:p w14:paraId="35DA639C" w14:textId="77777777" w:rsidR="00043A14" w:rsidRDefault="00043A14" w:rsidP="00B94C53">
            <w:pPr>
              <w:rPr>
                <w:rFonts w:ascii="Calibri" w:hAnsi="Calibri"/>
                <w:color w:val="000000"/>
              </w:rPr>
            </w:pPr>
            <w:r>
              <w:rPr>
                <w:rFonts w:ascii="Calibri" w:hAnsi="Calibri"/>
                <w:color w:val="000000"/>
              </w:rPr>
              <w:t xml:space="preserve">n=136 (74% </w:t>
            </w:r>
            <w:r w:rsidR="004F0FA7">
              <w:rPr>
                <w:rFonts w:ascii="Calibri" w:hAnsi="Calibri"/>
                <w:color w:val="000000"/>
              </w:rPr>
              <w:t>female</w:t>
            </w:r>
            <w:r>
              <w:rPr>
                <w:rFonts w:ascii="Calibri" w:hAnsi="Calibri"/>
                <w:color w:val="000000"/>
              </w:rPr>
              <w:t>)</w:t>
            </w:r>
          </w:p>
        </w:tc>
        <w:tc>
          <w:tcPr>
            <w:tcW w:w="1560" w:type="dxa"/>
          </w:tcPr>
          <w:p w14:paraId="162C3077" w14:textId="77777777" w:rsidR="00043A14" w:rsidRDefault="0063693D" w:rsidP="00B94C53">
            <w:pPr>
              <w:rPr>
                <w:rFonts w:ascii="Calibri" w:hAnsi="Calibri"/>
                <w:color w:val="000000"/>
              </w:rPr>
            </w:pPr>
            <w:r>
              <w:rPr>
                <w:rFonts w:ascii="Calibri" w:hAnsi="Calibri"/>
                <w:color w:val="000000"/>
              </w:rPr>
              <w:t xml:space="preserve">RCT, </w:t>
            </w:r>
          </w:p>
          <w:p w14:paraId="384C0213" w14:textId="77777777" w:rsidR="00043A14" w:rsidRDefault="00043A14" w:rsidP="00B94C53">
            <w:pPr>
              <w:rPr>
                <w:rFonts w:ascii="Calibri" w:hAnsi="Calibri"/>
                <w:color w:val="000000"/>
              </w:rPr>
            </w:pPr>
            <w:r>
              <w:rPr>
                <w:rFonts w:ascii="Calibri" w:hAnsi="Calibri"/>
                <w:color w:val="000000"/>
              </w:rPr>
              <w:t>Placebo,</w:t>
            </w:r>
          </w:p>
          <w:p w14:paraId="56F85942" w14:textId="77777777" w:rsidR="0063693D" w:rsidRDefault="0063693D" w:rsidP="00B94C53">
            <w:pPr>
              <w:rPr>
                <w:rFonts w:ascii="Calibri" w:hAnsi="Calibri"/>
                <w:color w:val="000000"/>
              </w:rPr>
            </w:pPr>
            <w:r>
              <w:rPr>
                <w:rFonts w:ascii="Calibri" w:hAnsi="Calibri"/>
                <w:color w:val="000000"/>
              </w:rPr>
              <w:t>48 weeks</w:t>
            </w:r>
            <w:r w:rsidR="00043A14">
              <w:rPr>
                <w:rFonts w:ascii="Calibri" w:hAnsi="Calibri"/>
                <w:color w:val="000000"/>
              </w:rPr>
              <w:t>,</w:t>
            </w:r>
            <w:r>
              <w:rPr>
                <w:rFonts w:ascii="Calibri" w:hAnsi="Calibri"/>
                <w:color w:val="000000"/>
              </w:rPr>
              <w:t xml:space="preserve"> outpatient clinic</w:t>
            </w:r>
          </w:p>
        </w:tc>
        <w:tc>
          <w:tcPr>
            <w:tcW w:w="4394" w:type="dxa"/>
          </w:tcPr>
          <w:p w14:paraId="10852853" w14:textId="77777777" w:rsidR="0063693D" w:rsidRDefault="0063693D" w:rsidP="00FA01E6">
            <w:r>
              <w:rPr>
                <w:rFonts w:cstheme="minorHAnsi"/>
                <w:i/>
              </w:rPr>
              <w:t>Inclusion</w:t>
            </w:r>
            <w:r w:rsidR="00C80836">
              <w:rPr>
                <w:rFonts w:cstheme="minorHAnsi"/>
                <w:i/>
              </w:rPr>
              <w:t xml:space="preserve"> criteria</w:t>
            </w:r>
            <w:r>
              <w:rPr>
                <w:rFonts w:cstheme="minorHAnsi"/>
                <w:i/>
              </w:rPr>
              <w:t xml:space="preserve">: </w:t>
            </w:r>
            <w:r>
              <w:rPr>
                <w:rFonts w:cstheme="minorHAnsi"/>
              </w:rPr>
              <w:t xml:space="preserve">Age </w:t>
            </w:r>
            <w:r>
              <w:t>&lt;65 years; t</w:t>
            </w:r>
            <w:r>
              <w:rPr>
                <w:rFonts w:cstheme="minorHAnsi"/>
              </w:rPr>
              <w:t>ype 2 diabetes per WHO</w:t>
            </w:r>
            <w:r>
              <w:t xml:space="preserve"> diagnostic criteria (1999); diabetic nephropathy; SCH</w:t>
            </w:r>
            <w:r w:rsidR="0006294E">
              <w:t>o</w:t>
            </w:r>
            <w:r>
              <w:t xml:space="preserve"> due to Hashimoto’s thyroiditis; TSH 4.0– 7.0 mIU/L;  TPO-Ab &gt;50 U/</w:t>
            </w:r>
            <w:r w:rsidR="006C381D">
              <w:t>ml</w:t>
            </w:r>
            <w:r>
              <w:t>;  FT</w:t>
            </w:r>
            <w:r w:rsidRPr="00470A13">
              <w:rPr>
                <w:vertAlign w:val="subscript"/>
              </w:rPr>
              <w:t>3</w:t>
            </w:r>
            <w:r>
              <w:t>, FT</w:t>
            </w:r>
            <w:r w:rsidRPr="00470A13">
              <w:rPr>
                <w:vertAlign w:val="subscript"/>
              </w:rPr>
              <w:t>4</w:t>
            </w:r>
            <w:r>
              <w:t xml:space="preserve"> WNL; </w:t>
            </w:r>
            <w:r w:rsidR="00FD5140">
              <w:rPr>
                <w:rFonts w:ascii="Calibri" w:hAnsi="Calibri"/>
                <w:color w:val="000000"/>
              </w:rPr>
              <w:t xml:space="preserve">urinary albumin excretion rate </w:t>
            </w:r>
            <w:r>
              <w:t xml:space="preserve">20–199 mg/min; adequate glycemic control; stable illness condition; no concurrent treatment with </w:t>
            </w:r>
            <w:r w:rsidR="00FD5140">
              <w:rPr>
                <w:rFonts w:ascii="Calibri" w:hAnsi="Calibri"/>
                <w:color w:val="000000"/>
              </w:rPr>
              <w:t xml:space="preserve">angiotensin </w:t>
            </w:r>
            <w:r w:rsidR="00FD5140" w:rsidRPr="00A735D5">
              <w:rPr>
                <w:rFonts w:ascii="Calibri" w:hAnsi="Calibri"/>
                <w:color w:val="000000"/>
              </w:rPr>
              <w:t>co</w:t>
            </w:r>
            <w:r w:rsidR="00FD5140">
              <w:rPr>
                <w:rFonts w:ascii="Calibri" w:hAnsi="Calibri"/>
                <w:color w:val="000000"/>
              </w:rPr>
              <w:t>n</w:t>
            </w:r>
            <w:r w:rsidR="00FD5140" w:rsidRPr="00A735D5">
              <w:rPr>
                <w:rFonts w:ascii="Calibri" w:hAnsi="Calibri"/>
                <w:color w:val="000000"/>
              </w:rPr>
              <w:t>verting enzyme inhibitor</w:t>
            </w:r>
            <w:r w:rsidR="00FD5140">
              <w:rPr>
                <w:rFonts w:ascii="Calibri" w:hAnsi="Calibri"/>
                <w:color w:val="000000"/>
              </w:rPr>
              <w:t xml:space="preserve">s, angiotensin receptor blockers, </w:t>
            </w:r>
            <w:r>
              <w:t>uric acid synthesis inhibitors, uricosuric agents, or lipid-lowering drugs for ≥ 3 months</w:t>
            </w:r>
          </w:p>
          <w:p w14:paraId="5F68A87B" w14:textId="77777777" w:rsidR="0063693D" w:rsidRDefault="0063693D" w:rsidP="00FA01E6">
            <w:pPr>
              <w:rPr>
                <w:rFonts w:cstheme="minorHAnsi"/>
                <w:i/>
              </w:rPr>
            </w:pPr>
          </w:p>
          <w:p w14:paraId="4D145697" w14:textId="77777777" w:rsidR="0063693D" w:rsidRDefault="0063693D" w:rsidP="00FA01E6">
            <w:pPr>
              <w:rPr>
                <w:rFonts w:cstheme="minorHAnsi"/>
                <w:i/>
              </w:rPr>
            </w:pPr>
            <w:r>
              <w:rPr>
                <w:rFonts w:cstheme="minorHAnsi"/>
                <w:i/>
              </w:rPr>
              <w:t>Exclusion</w:t>
            </w:r>
            <w:r w:rsidR="00C80836">
              <w:rPr>
                <w:rFonts w:cstheme="minorHAnsi"/>
                <w:i/>
              </w:rPr>
              <w:t xml:space="preserve"> criteria</w:t>
            </w:r>
            <w:r>
              <w:rPr>
                <w:rFonts w:cstheme="minorHAnsi"/>
                <w:i/>
              </w:rPr>
              <w:t>:</w:t>
            </w:r>
            <w:r>
              <w:t xml:space="preserve"> Primary renal diseases; previous history of thyroid diseases and use of drugs affecting thyroid function; association with hypertension, severe dyslipidemia, acute metabolic disorders in diabetes, malignancy, or severe cardiac, hepatic, and cerebral diseases</w:t>
            </w:r>
          </w:p>
        </w:tc>
        <w:tc>
          <w:tcPr>
            <w:tcW w:w="1701" w:type="dxa"/>
          </w:tcPr>
          <w:p w14:paraId="204ACBE1" w14:textId="77777777" w:rsidR="0063693D" w:rsidRDefault="0063693D" w:rsidP="00FA01E6">
            <w:pPr>
              <w:autoSpaceDE w:val="0"/>
              <w:autoSpaceDN w:val="0"/>
              <w:adjustRightInd w:val="0"/>
              <w:rPr>
                <w:rFonts w:cs="AdvOT1ef757c0"/>
              </w:rPr>
            </w:pPr>
            <w:r>
              <w:rPr>
                <w:rFonts w:cs="AdvOT1ef757c0"/>
              </w:rPr>
              <w:t>LT</w:t>
            </w:r>
            <w:r w:rsidRPr="00A03719">
              <w:rPr>
                <w:rFonts w:cs="AdvOT1ef757c0"/>
                <w:vertAlign w:val="subscript"/>
              </w:rPr>
              <w:t>4</w:t>
            </w:r>
            <w:r>
              <w:rPr>
                <w:rFonts w:cs="AdvOT1ef757c0"/>
              </w:rPr>
              <w:t xml:space="preserve"> treatment (initial: 12.5 µg/day, titrated to achieve TSH WNL)</w:t>
            </w:r>
          </w:p>
        </w:tc>
        <w:tc>
          <w:tcPr>
            <w:tcW w:w="3260" w:type="dxa"/>
          </w:tcPr>
          <w:p w14:paraId="707C353A" w14:textId="77777777" w:rsidR="0063693D" w:rsidRDefault="0063693D" w:rsidP="00FA01E6">
            <w:r>
              <w:rPr>
                <w:rFonts w:ascii="Calibri" w:hAnsi="Calibri"/>
                <w:i/>
                <w:color w:val="000000"/>
              </w:rPr>
              <w:t>Primary:</w:t>
            </w:r>
            <w:r>
              <w:t xml:space="preserve"> </w:t>
            </w:r>
            <w:r w:rsidR="00FD5140">
              <w:t xml:space="preserve">change in </w:t>
            </w:r>
            <w:r w:rsidR="00FD5140">
              <w:rPr>
                <w:rFonts w:ascii="Calibri" w:hAnsi="Calibri"/>
                <w:color w:val="000000"/>
              </w:rPr>
              <w:t>urinary albumin excretion rate</w:t>
            </w:r>
          </w:p>
          <w:p w14:paraId="6812DEA4" w14:textId="77777777" w:rsidR="0063693D" w:rsidRDefault="0063693D" w:rsidP="00FA01E6"/>
          <w:p w14:paraId="36F41B10" w14:textId="77777777" w:rsidR="0063693D" w:rsidRDefault="0063693D" w:rsidP="00FA01E6">
            <w:r w:rsidRPr="00241E31">
              <w:rPr>
                <w:i/>
              </w:rPr>
              <w:t>Secondary</w:t>
            </w:r>
            <w:r>
              <w:rPr>
                <w:i/>
              </w:rPr>
              <w:t xml:space="preserve"> (of interest only)</w:t>
            </w:r>
            <w:r>
              <w:t xml:space="preserve">: </w:t>
            </w:r>
            <w:r w:rsidR="00FD5140">
              <w:t xml:space="preserve">change in </w:t>
            </w:r>
            <w:r>
              <w:t>SBP, DBP, lipids</w:t>
            </w:r>
          </w:p>
          <w:p w14:paraId="4DBEF45A" w14:textId="77777777" w:rsidR="0063693D" w:rsidRDefault="0063693D" w:rsidP="00FA01E6"/>
          <w:p w14:paraId="31B0FBBC" w14:textId="77777777" w:rsidR="0063693D" w:rsidRPr="00241E31" w:rsidRDefault="0063693D" w:rsidP="00FA01E6">
            <w:r>
              <w:t>BMI, AEs</w:t>
            </w:r>
          </w:p>
        </w:tc>
      </w:tr>
      <w:tr w:rsidR="0063693D" w14:paraId="5AAB602A" w14:textId="77777777" w:rsidTr="00B94C53">
        <w:tc>
          <w:tcPr>
            <w:tcW w:w="1809" w:type="dxa"/>
          </w:tcPr>
          <w:p w14:paraId="005E05B2" w14:textId="77777777" w:rsidR="0063693D" w:rsidRDefault="0063693D" w:rsidP="00B94C53">
            <w:pPr>
              <w:rPr>
                <w:rFonts w:ascii="Calibri" w:hAnsi="Calibri"/>
                <w:color w:val="000000"/>
              </w:rPr>
            </w:pPr>
            <w:r>
              <w:rPr>
                <w:rFonts w:ascii="Calibri" w:hAnsi="Calibri"/>
                <w:color w:val="000000"/>
              </w:rPr>
              <w:t xml:space="preserve">Najafi, 2015, </w:t>
            </w:r>
          </w:p>
          <w:p w14:paraId="320D2B99" w14:textId="77777777" w:rsidR="0063693D" w:rsidRDefault="0063693D" w:rsidP="00B94C53">
            <w:pPr>
              <w:rPr>
                <w:rFonts w:ascii="Calibri" w:hAnsi="Calibri"/>
                <w:color w:val="000000"/>
              </w:rPr>
            </w:pPr>
            <w:r>
              <w:rPr>
                <w:rFonts w:ascii="Calibri" w:hAnsi="Calibri"/>
                <w:color w:val="000000"/>
              </w:rPr>
              <w:t>Iran</w:t>
            </w:r>
          </w:p>
          <w:p w14:paraId="3E4E4D52" w14:textId="77777777" w:rsidR="00043A14" w:rsidRDefault="00043A14" w:rsidP="00B94C53">
            <w:pPr>
              <w:rPr>
                <w:rFonts w:ascii="Calibri" w:hAnsi="Calibri"/>
                <w:color w:val="000000"/>
              </w:rPr>
            </w:pPr>
          </w:p>
          <w:p w14:paraId="5CF9289D" w14:textId="77777777" w:rsidR="00043A14" w:rsidRDefault="00043A14" w:rsidP="00B94C53">
            <w:pPr>
              <w:rPr>
                <w:rFonts w:ascii="Calibri" w:hAnsi="Calibri"/>
                <w:color w:val="000000"/>
              </w:rPr>
            </w:pPr>
            <w:r>
              <w:rPr>
                <w:rFonts w:ascii="Calibri" w:hAnsi="Calibri"/>
                <w:color w:val="000000"/>
              </w:rPr>
              <w:t xml:space="preserve">n=60 (85% </w:t>
            </w:r>
            <w:r w:rsidR="004F0FA7">
              <w:rPr>
                <w:rFonts w:ascii="Calibri" w:hAnsi="Calibri"/>
                <w:color w:val="000000"/>
              </w:rPr>
              <w:t>female</w:t>
            </w:r>
            <w:r>
              <w:rPr>
                <w:rFonts w:ascii="Calibri" w:hAnsi="Calibri"/>
                <w:color w:val="000000"/>
              </w:rPr>
              <w:t>)</w:t>
            </w:r>
          </w:p>
        </w:tc>
        <w:tc>
          <w:tcPr>
            <w:tcW w:w="1560" w:type="dxa"/>
          </w:tcPr>
          <w:p w14:paraId="5D980977" w14:textId="77777777" w:rsidR="00043A14" w:rsidRDefault="0063693D" w:rsidP="00B94C53">
            <w:pPr>
              <w:rPr>
                <w:rFonts w:ascii="Calibri" w:hAnsi="Calibri"/>
                <w:color w:val="000000"/>
              </w:rPr>
            </w:pPr>
            <w:r>
              <w:rPr>
                <w:rFonts w:ascii="Calibri" w:hAnsi="Calibri"/>
                <w:color w:val="000000"/>
              </w:rPr>
              <w:t>RCT,</w:t>
            </w:r>
          </w:p>
          <w:p w14:paraId="2CB012CB" w14:textId="77777777" w:rsidR="00043A14" w:rsidRDefault="00043A14" w:rsidP="00B94C53">
            <w:pPr>
              <w:rPr>
                <w:rFonts w:ascii="Calibri" w:hAnsi="Calibri"/>
                <w:color w:val="000000"/>
              </w:rPr>
            </w:pPr>
            <w:r>
              <w:rPr>
                <w:rFonts w:ascii="Calibri" w:hAnsi="Calibri"/>
                <w:color w:val="000000"/>
              </w:rPr>
              <w:t>Placebo,</w:t>
            </w:r>
          </w:p>
          <w:p w14:paraId="79CDB32F" w14:textId="77777777" w:rsidR="0063693D" w:rsidRDefault="0063693D" w:rsidP="00B94C53">
            <w:pPr>
              <w:rPr>
                <w:rFonts w:ascii="Calibri" w:hAnsi="Calibri"/>
                <w:color w:val="000000"/>
              </w:rPr>
            </w:pPr>
            <w:r>
              <w:rPr>
                <w:rFonts w:ascii="Calibri" w:hAnsi="Calibri"/>
                <w:color w:val="000000"/>
              </w:rPr>
              <w:t>12 weeks</w:t>
            </w:r>
            <w:r w:rsidR="00043A14">
              <w:rPr>
                <w:rFonts w:ascii="Calibri" w:hAnsi="Calibri"/>
                <w:color w:val="000000"/>
              </w:rPr>
              <w:t>,</w:t>
            </w:r>
            <w:r>
              <w:rPr>
                <w:rFonts w:ascii="Calibri" w:hAnsi="Calibri"/>
                <w:color w:val="000000"/>
              </w:rPr>
              <w:t xml:space="preserve"> outpatient clinic</w:t>
            </w:r>
          </w:p>
        </w:tc>
        <w:tc>
          <w:tcPr>
            <w:tcW w:w="4394" w:type="dxa"/>
          </w:tcPr>
          <w:p w14:paraId="6360102D" w14:textId="77777777" w:rsidR="0063693D" w:rsidRDefault="0063693D" w:rsidP="00FA01E6">
            <w:pPr>
              <w:rPr>
                <w:rFonts w:cstheme="minorHAnsi"/>
                <w:i/>
              </w:rPr>
            </w:pPr>
            <w:r>
              <w:rPr>
                <w:rFonts w:cstheme="minorHAnsi"/>
                <w:i/>
              </w:rPr>
              <w:t>Inclusion</w:t>
            </w:r>
            <w:r w:rsidR="00C80836">
              <w:rPr>
                <w:rFonts w:cstheme="minorHAnsi"/>
                <w:i/>
              </w:rPr>
              <w:t xml:space="preserve"> criteria</w:t>
            </w:r>
            <w:r>
              <w:rPr>
                <w:rFonts w:cstheme="minorHAnsi"/>
                <w:i/>
              </w:rPr>
              <w:t xml:space="preserve">: </w:t>
            </w:r>
            <w:r w:rsidRPr="00A756B4">
              <w:rPr>
                <w:rFonts w:cstheme="minorHAnsi"/>
              </w:rPr>
              <w:t>SCH</w:t>
            </w:r>
            <w:r w:rsidR="0006294E">
              <w:rPr>
                <w:rFonts w:cstheme="minorHAnsi"/>
              </w:rPr>
              <w:t>o</w:t>
            </w:r>
            <w:r>
              <w:rPr>
                <w:rFonts w:cstheme="minorHAnsi"/>
              </w:rPr>
              <w:t xml:space="preserve"> as defined by TSH &gt; 4.5 mIU/L, FT</w:t>
            </w:r>
            <w:r w:rsidRPr="00A756B4">
              <w:rPr>
                <w:rFonts w:cstheme="minorHAnsi"/>
                <w:vertAlign w:val="subscript"/>
              </w:rPr>
              <w:t xml:space="preserve">4 </w:t>
            </w:r>
            <w:r>
              <w:rPr>
                <w:rFonts w:cstheme="minorHAnsi"/>
              </w:rPr>
              <w:t>WNL, positive anti-TPO-Ab</w:t>
            </w:r>
          </w:p>
          <w:p w14:paraId="77598328" w14:textId="77777777" w:rsidR="0063693D" w:rsidRDefault="0063693D" w:rsidP="00FA01E6">
            <w:pPr>
              <w:rPr>
                <w:rFonts w:cstheme="minorHAnsi"/>
                <w:i/>
              </w:rPr>
            </w:pPr>
          </w:p>
          <w:p w14:paraId="40099C8D" w14:textId="77777777" w:rsidR="0063693D" w:rsidRDefault="0063693D" w:rsidP="00FA01E6">
            <w:pPr>
              <w:rPr>
                <w:rFonts w:cstheme="minorHAnsi"/>
                <w:i/>
              </w:rPr>
            </w:pPr>
            <w:r>
              <w:rPr>
                <w:rFonts w:cstheme="minorHAnsi"/>
                <w:i/>
              </w:rPr>
              <w:t>Exclusion</w:t>
            </w:r>
            <w:r w:rsidR="00C80836">
              <w:rPr>
                <w:rFonts w:cstheme="minorHAnsi"/>
                <w:i/>
              </w:rPr>
              <w:t xml:space="preserve"> criteria</w:t>
            </w:r>
            <w:r>
              <w:rPr>
                <w:rFonts w:cstheme="minorHAnsi"/>
                <w:i/>
              </w:rPr>
              <w:t>:</w:t>
            </w:r>
            <w:r>
              <w:t xml:space="preserve"> History of endocrine or autoimmune diseases other than SCH</w:t>
            </w:r>
            <w:r w:rsidR="0006294E">
              <w:t>o</w:t>
            </w:r>
            <w:r>
              <w:t>; history of thyroid hormone or corticosteroid replacement in previous 2 months; co-morbid diabetes mellitus, heart failure, chronic liver or pulmonary disorder; history of head trauma or seizure; known psychological or mental disorders; pregnancy</w:t>
            </w:r>
          </w:p>
        </w:tc>
        <w:tc>
          <w:tcPr>
            <w:tcW w:w="1701" w:type="dxa"/>
          </w:tcPr>
          <w:p w14:paraId="4BC7B359" w14:textId="77777777" w:rsidR="0063693D" w:rsidRDefault="0063693D" w:rsidP="00FA01E6">
            <w:pPr>
              <w:autoSpaceDE w:val="0"/>
              <w:autoSpaceDN w:val="0"/>
              <w:adjustRightInd w:val="0"/>
              <w:rPr>
                <w:rFonts w:cs="AdvOT1ef757c0"/>
              </w:rPr>
            </w:pPr>
            <w:r>
              <w:rPr>
                <w:rFonts w:cs="AdvOT1ef757c0"/>
              </w:rPr>
              <w:t>LT</w:t>
            </w:r>
            <w:r w:rsidRPr="00A03719">
              <w:rPr>
                <w:rFonts w:cs="AdvOT1ef757c0"/>
                <w:vertAlign w:val="subscript"/>
              </w:rPr>
              <w:t>4</w:t>
            </w:r>
            <w:r>
              <w:rPr>
                <w:rFonts w:cs="AdvOT1ef757c0"/>
              </w:rPr>
              <w:t xml:space="preserve"> treatment (100 µg/day)</w:t>
            </w:r>
          </w:p>
          <w:p w14:paraId="47384D46" w14:textId="77777777" w:rsidR="0063693D" w:rsidRDefault="0063693D" w:rsidP="00B94C53">
            <w:pPr>
              <w:autoSpaceDE w:val="0"/>
              <w:autoSpaceDN w:val="0"/>
              <w:adjustRightInd w:val="0"/>
              <w:rPr>
                <w:rFonts w:cs="AdvOT1ef757c0"/>
              </w:rPr>
            </w:pPr>
          </w:p>
        </w:tc>
        <w:tc>
          <w:tcPr>
            <w:tcW w:w="3260" w:type="dxa"/>
          </w:tcPr>
          <w:p w14:paraId="55F95E81" w14:textId="77777777" w:rsidR="0063693D" w:rsidRDefault="0063693D" w:rsidP="00FA01E6">
            <w:pPr>
              <w:rPr>
                <w:rFonts w:ascii="Calibri" w:hAnsi="Calibri"/>
                <w:i/>
                <w:color w:val="000000"/>
              </w:rPr>
            </w:pPr>
            <w:r>
              <w:rPr>
                <w:rFonts w:ascii="Calibri" w:hAnsi="Calibri"/>
                <w:i/>
                <w:color w:val="000000"/>
              </w:rPr>
              <w:t xml:space="preserve">Main outcome: </w:t>
            </w:r>
            <w:r w:rsidRPr="00310F62">
              <w:rPr>
                <w:rFonts w:ascii="Calibri" w:hAnsi="Calibri"/>
                <w:color w:val="000000"/>
              </w:rPr>
              <w:t>Depression score</w:t>
            </w:r>
          </w:p>
        </w:tc>
      </w:tr>
      <w:tr w:rsidR="0063693D" w14:paraId="5117811F" w14:textId="77777777" w:rsidTr="00B94C53">
        <w:tc>
          <w:tcPr>
            <w:tcW w:w="1809" w:type="dxa"/>
          </w:tcPr>
          <w:p w14:paraId="7B951B46" w14:textId="77777777" w:rsidR="0063693D" w:rsidRDefault="0063693D" w:rsidP="00B94C53">
            <w:pPr>
              <w:rPr>
                <w:rFonts w:ascii="Calibri" w:hAnsi="Calibri"/>
                <w:color w:val="000000"/>
              </w:rPr>
            </w:pPr>
            <w:r>
              <w:rPr>
                <w:rFonts w:ascii="Calibri" w:hAnsi="Calibri"/>
                <w:color w:val="000000"/>
              </w:rPr>
              <w:lastRenderedPageBreak/>
              <w:t>Reuters, 2012, Brazil</w:t>
            </w:r>
          </w:p>
          <w:p w14:paraId="22443B7A" w14:textId="77777777" w:rsidR="00043A14" w:rsidRDefault="00043A14" w:rsidP="00B94C53">
            <w:pPr>
              <w:rPr>
                <w:rFonts w:ascii="Calibri" w:hAnsi="Calibri"/>
                <w:color w:val="000000"/>
              </w:rPr>
            </w:pPr>
          </w:p>
          <w:p w14:paraId="2EAA724A" w14:textId="77777777" w:rsidR="00043A14" w:rsidRDefault="00043A14" w:rsidP="00B94C53">
            <w:pPr>
              <w:rPr>
                <w:rFonts w:ascii="Calibri" w:hAnsi="Calibri"/>
                <w:color w:val="000000"/>
              </w:rPr>
            </w:pPr>
            <w:r>
              <w:rPr>
                <w:rFonts w:ascii="Calibri" w:hAnsi="Calibri"/>
                <w:color w:val="000000"/>
              </w:rPr>
              <w:t xml:space="preserve">n=71 (87% </w:t>
            </w:r>
            <w:r w:rsidR="004F0FA7">
              <w:rPr>
                <w:rFonts w:ascii="Calibri" w:hAnsi="Calibri"/>
                <w:color w:val="000000"/>
              </w:rPr>
              <w:t>female</w:t>
            </w:r>
            <w:r>
              <w:rPr>
                <w:rFonts w:ascii="Calibri" w:hAnsi="Calibri"/>
                <w:color w:val="000000"/>
              </w:rPr>
              <w:t>)</w:t>
            </w:r>
          </w:p>
        </w:tc>
        <w:tc>
          <w:tcPr>
            <w:tcW w:w="1560" w:type="dxa"/>
          </w:tcPr>
          <w:p w14:paraId="5BEF58D9" w14:textId="77777777" w:rsidR="00043A14" w:rsidRDefault="0063693D" w:rsidP="00B94C53">
            <w:pPr>
              <w:rPr>
                <w:rFonts w:ascii="Calibri" w:hAnsi="Calibri"/>
                <w:color w:val="000000"/>
              </w:rPr>
            </w:pPr>
            <w:r>
              <w:rPr>
                <w:rFonts w:ascii="Calibri" w:hAnsi="Calibri"/>
                <w:color w:val="000000"/>
              </w:rPr>
              <w:t xml:space="preserve">RCT, </w:t>
            </w:r>
          </w:p>
          <w:p w14:paraId="0830601E" w14:textId="77777777" w:rsidR="00043A14" w:rsidRDefault="0063693D" w:rsidP="00B94C53">
            <w:pPr>
              <w:rPr>
                <w:rFonts w:ascii="Calibri" w:hAnsi="Calibri"/>
                <w:color w:val="000000"/>
              </w:rPr>
            </w:pPr>
            <w:r>
              <w:rPr>
                <w:rFonts w:ascii="Calibri" w:hAnsi="Calibri"/>
                <w:color w:val="000000"/>
              </w:rPr>
              <w:t>P</w:t>
            </w:r>
            <w:r w:rsidR="00043A14">
              <w:rPr>
                <w:rFonts w:ascii="Calibri" w:hAnsi="Calibri"/>
                <w:color w:val="000000"/>
              </w:rPr>
              <w:t>lacebo,</w:t>
            </w:r>
          </w:p>
          <w:p w14:paraId="42E405DC" w14:textId="77777777" w:rsidR="0063693D" w:rsidRDefault="0063693D" w:rsidP="00B94C53">
            <w:pPr>
              <w:rPr>
                <w:rFonts w:ascii="Calibri" w:hAnsi="Calibri"/>
                <w:color w:val="000000"/>
              </w:rPr>
            </w:pPr>
            <w:r>
              <w:rPr>
                <w:rFonts w:ascii="Calibri" w:hAnsi="Calibri"/>
                <w:color w:val="000000"/>
              </w:rPr>
              <w:t>6 months</w:t>
            </w:r>
            <w:r w:rsidR="00043A14">
              <w:rPr>
                <w:rFonts w:ascii="Calibri" w:hAnsi="Calibri"/>
                <w:color w:val="000000"/>
              </w:rPr>
              <w:t xml:space="preserve">, </w:t>
            </w:r>
            <w:r>
              <w:rPr>
                <w:rFonts w:ascii="Calibri" w:hAnsi="Calibri"/>
                <w:color w:val="000000"/>
              </w:rPr>
              <w:t>outpatient clinic</w:t>
            </w:r>
          </w:p>
        </w:tc>
        <w:tc>
          <w:tcPr>
            <w:tcW w:w="4394" w:type="dxa"/>
          </w:tcPr>
          <w:p w14:paraId="40C1B425" w14:textId="77777777" w:rsidR="0063693D" w:rsidRDefault="0063693D" w:rsidP="00FA01E6">
            <w:pPr>
              <w:autoSpaceDE w:val="0"/>
              <w:autoSpaceDN w:val="0"/>
              <w:adjustRightInd w:val="0"/>
              <w:rPr>
                <w:rFonts w:cstheme="minorHAnsi"/>
                <w:i/>
              </w:rPr>
            </w:pPr>
            <w:r>
              <w:rPr>
                <w:rFonts w:cstheme="minorHAnsi"/>
                <w:i/>
              </w:rPr>
              <w:t>Inclusion</w:t>
            </w:r>
            <w:r w:rsidR="00C80836">
              <w:rPr>
                <w:rFonts w:cstheme="minorHAnsi"/>
                <w:i/>
              </w:rPr>
              <w:t xml:space="preserve"> criteria</w:t>
            </w:r>
            <w:r>
              <w:rPr>
                <w:rFonts w:cstheme="minorHAnsi"/>
                <w:i/>
              </w:rPr>
              <w:t xml:space="preserve">: </w:t>
            </w:r>
            <w:r>
              <w:rPr>
                <w:rFonts w:cstheme="minorHAnsi"/>
              </w:rPr>
              <w:t>SCH</w:t>
            </w:r>
            <w:r w:rsidR="0006294E">
              <w:rPr>
                <w:rFonts w:cstheme="minorHAnsi"/>
              </w:rPr>
              <w:t>o</w:t>
            </w:r>
            <w:r>
              <w:rPr>
                <w:rFonts w:cstheme="minorHAnsi"/>
              </w:rPr>
              <w:t xml:space="preserve"> as defined by </w:t>
            </w:r>
            <w:r>
              <w:t xml:space="preserve">TSH &gt; 4.0 </w:t>
            </w:r>
            <w:r w:rsidR="00A51FC8">
              <w:t>µ</w:t>
            </w:r>
            <w:r>
              <w:t>U</w:t>
            </w:r>
            <w:r w:rsidR="00A51FC8">
              <w:t>I</w:t>
            </w:r>
            <w:r>
              <w:t>/</w:t>
            </w:r>
            <w:r w:rsidR="00A51FC8">
              <w:t xml:space="preserve">ml </w:t>
            </w:r>
            <w:r>
              <w:t>and FT</w:t>
            </w:r>
            <w:r w:rsidRPr="00EB2C91">
              <w:rPr>
                <w:vertAlign w:val="subscript"/>
              </w:rPr>
              <w:t>4</w:t>
            </w:r>
            <w:r>
              <w:t xml:space="preserve"> WNL measured twice </w:t>
            </w:r>
            <w:r w:rsidRPr="00F35E1F">
              <w:rPr>
                <w:rFonts w:cs="AdvP7C2E"/>
              </w:rPr>
              <w:t>at</w:t>
            </w:r>
            <w:r>
              <w:rPr>
                <w:rFonts w:cs="AdvP7C2E"/>
              </w:rPr>
              <w:t xml:space="preserve"> </w:t>
            </w:r>
            <w:r w:rsidRPr="00F35E1F">
              <w:rPr>
                <w:rFonts w:cs="AdvP7C2E"/>
              </w:rPr>
              <w:t>least six weeks apart</w:t>
            </w:r>
            <w:r>
              <w:t>; if SCH</w:t>
            </w:r>
            <w:r w:rsidR="0006294E">
              <w:t>o</w:t>
            </w:r>
            <w:r>
              <w:t xml:space="preserve"> developed after hyperthyroidism treatment, confirmation of euthyroidism for ≥ 1 year beforehand</w:t>
            </w:r>
          </w:p>
          <w:p w14:paraId="6228C682" w14:textId="77777777" w:rsidR="0063693D" w:rsidRDefault="0063693D" w:rsidP="00FA01E6">
            <w:pPr>
              <w:rPr>
                <w:rFonts w:cstheme="minorHAnsi"/>
                <w:i/>
              </w:rPr>
            </w:pPr>
          </w:p>
          <w:p w14:paraId="5154459D" w14:textId="77777777" w:rsidR="0063693D" w:rsidRDefault="0063693D" w:rsidP="00FA01E6">
            <w:pPr>
              <w:rPr>
                <w:rFonts w:cstheme="minorHAnsi"/>
                <w:i/>
              </w:rPr>
            </w:pPr>
            <w:r>
              <w:rPr>
                <w:rFonts w:cstheme="minorHAnsi"/>
                <w:i/>
              </w:rPr>
              <w:t>Exclusion</w:t>
            </w:r>
            <w:r w:rsidR="00C80836">
              <w:rPr>
                <w:rFonts w:cstheme="minorHAnsi"/>
                <w:i/>
              </w:rPr>
              <w:t xml:space="preserve"> criteria</w:t>
            </w:r>
            <w:r>
              <w:rPr>
                <w:rFonts w:cstheme="minorHAnsi"/>
                <w:i/>
              </w:rPr>
              <w:t xml:space="preserve">: </w:t>
            </w:r>
            <w:r>
              <w:t>Chronic diseases or medications that could affect thyroid or neuromuscular function;  severe psychiatric disturbances; school attendance for &lt; 3 years</w:t>
            </w:r>
          </w:p>
        </w:tc>
        <w:tc>
          <w:tcPr>
            <w:tcW w:w="1701" w:type="dxa"/>
          </w:tcPr>
          <w:p w14:paraId="28FF7074" w14:textId="77777777" w:rsidR="0063693D" w:rsidRDefault="0063693D" w:rsidP="00FA01E6">
            <w:pPr>
              <w:autoSpaceDE w:val="0"/>
              <w:autoSpaceDN w:val="0"/>
              <w:adjustRightInd w:val="0"/>
              <w:rPr>
                <w:rFonts w:cs="AdvOT1ef757c0"/>
              </w:rPr>
            </w:pPr>
            <w:r>
              <w:rPr>
                <w:rFonts w:cs="AdvOT1ef757c0"/>
              </w:rPr>
              <w:t>LT</w:t>
            </w:r>
            <w:r w:rsidRPr="00A03719">
              <w:rPr>
                <w:rFonts w:cs="AdvOT1ef757c0"/>
                <w:vertAlign w:val="subscript"/>
              </w:rPr>
              <w:t>4</w:t>
            </w:r>
            <w:r>
              <w:rPr>
                <w:rFonts w:cs="AdvOT1ef757c0"/>
              </w:rPr>
              <w:t xml:space="preserve"> treatment (initial: 25-75 µg/day titrated to achieve TSH WNL)</w:t>
            </w:r>
          </w:p>
        </w:tc>
        <w:tc>
          <w:tcPr>
            <w:tcW w:w="3260" w:type="dxa"/>
          </w:tcPr>
          <w:p w14:paraId="6A89D280" w14:textId="77777777" w:rsidR="0063693D" w:rsidRDefault="0063693D" w:rsidP="00FA01E6">
            <w:pPr>
              <w:autoSpaceDE w:val="0"/>
              <w:autoSpaceDN w:val="0"/>
              <w:adjustRightInd w:val="0"/>
              <w:rPr>
                <w:rFonts w:cs="AdvOT1ef757c0"/>
              </w:rPr>
            </w:pPr>
            <w:r>
              <w:rPr>
                <w:rFonts w:cs="AdvOT1ef757c0"/>
              </w:rPr>
              <w:t>Primary and secondary outcomes not explicitly stated; however, generic health-related QoL, psychiatric symptoms, and muscular function appear to be the main outcomes</w:t>
            </w:r>
          </w:p>
          <w:p w14:paraId="445D79D4" w14:textId="77777777" w:rsidR="0063693D" w:rsidRDefault="0063693D" w:rsidP="00FA01E6">
            <w:pPr>
              <w:rPr>
                <w:rFonts w:ascii="Calibri" w:hAnsi="Calibri"/>
                <w:i/>
                <w:color w:val="000000"/>
              </w:rPr>
            </w:pPr>
          </w:p>
        </w:tc>
      </w:tr>
      <w:tr w:rsidR="0063693D" w14:paraId="4FF076C7" w14:textId="77777777" w:rsidTr="00B94C53">
        <w:tc>
          <w:tcPr>
            <w:tcW w:w="1809" w:type="dxa"/>
          </w:tcPr>
          <w:p w14:paraId="0DC16A91" w14:textId="77777777" w:rsidR="0063693D" w:rsidRDefault="0063693D" w:rsidP="00B94C53">
            <w:pPr>
              <w:rPr>
                <w:rFonts w:cstheme="minorHAnsi"/>
              </w:rPr>
            </w:pPr>
            <w:r>
              <w:rPr>
                <w:rFonts w:cstheme="minorHAnsi"/>
              </w:rPr>
              <w:t>Cabral, 2011, Brazil</w:t>
            </w:r>
          </w:p>
          <w:p w14:paraId="5021EA28" w14:textId="77777777" w:rsidR="00043A14" w:rsidRDefault="00043A14" w:rsidP="00B94C53">
            <w:pPr>
              <w:rPr>
                <w:rFonts w:cstheme="minorHAnsi"/>
              </w:rPr>
            </w:pPr>
          </w:p>
          <w:p w14:paraId="4020E430" w14:textId="77777777" w:rsidR="00043A14" w:rsidRPr="00173CD4" w:rsidRDefault="00043A14" w:rsidP="00B94C53">
            <w:pPr>
              <w:rPr>
                <w:rFonts w:cstheme="minorHAnsi"/>
              </w:rPr>
            </w:pPr>
            <w:r>
              <w:rPr>
                <w:rFonts w:ascii="Calibri" w:hAnsi="Calibri"/>
                <w:color w:val="000000"/>
              </w:rPr>
              <w:t xml:space="preserve">n=32 (100% </w:t>
            </w:r>
            <w:r w:rsidR="004F0FA7">
              <w:rPr>
                <w:rFonts w:ascii="Calibri" w:hAnsi="Calibri"/>
                <w:color w:val="000000"/>
              </w:rPr>
              <w:t>female</w:t>
            </w:r>
            <w:r>
              <w:rPr>
                <w:rFonts w:ascii="Calibri" w:hAnsi="Calibri"/>
                <w:color w:val="000000"/>
              </w:rPr>
              <w:t>)</w:t>
            </w:r>
          </w:p>
        </w:tc>
        <w:tc>
          <w:tcPr>
            <w:tcW w:w="1560" w:type="dxa"/>
          </w:tcPr>
          <w:p w14:paraId="48DECF3E" w14:textId="77777777" w:rsidR="00043A14" w:rsidRDefault="0063693D" w:rsidP="00B94C53">
            <w:pPr>
              <w:rPr>
                <w:rFonts w:ascii="Calibri" w:hAnsi="Calibri"/>
                <w:color w:val="000000"/>
              </w:rPr>
            </w:pPr>
            <w:r>
              <w:rPr>
                <w:rFonts w:ascii="Calibri" w:hAnsi="Calibri"/>
                <w:color w:val="000000"/>
              </w:rPr>
              <w:t xml:space="preserve">RCT, </w:t>
            </w:r>
          </w:p>
          <w:p w14:paraId="26C15424" w14:textId="77777777" w:rsidR="00043A14" w:rsidRDefault="00043A14" w:rsidP="00B94C53">
            <w:pPr>
              <w:rPr>
                <w:rFonts w:ascii="Calibri" w:hAnsi="Calibri"/>
                <w:color w:val="000000"/>
              </w:rPr>
            </w:pPr>
            <w:r>
              <w:rPr>
                <w:rFonts w:ascii="Calibri" w:hAnsi="Calibri"/>
                <w:color w:val="000000"/>
              </w:rPr>
              <w:t>No treatment,</w:t>
            </w:r>
          </w:p>
          <w:p w14:paraId="61C5C204" w14:textId="77777777" w:rsidR="0063693D" w:rsidRDefault="0063693D" w:rsidP="00B94C53">
            <w:pPr>
              <w:rPr>
                <w:rFonts w:ascii="Calibri" w:hAnsi="Calibri"/>
                <w:color w:val="000000"/>
              </w:rPr>
            </w:pPr>
            <w:r>
              <w:rPr>
                <w:rFonts w:ascii="Calibri" w:hAnsi="Calibri"/>
                <w:color w:val="000000"/>
              </w:rPr>
              <w:t>1 year</w:t>
            </w:r>
            <w:r w:rsidR="00043A14">
              <w:rPr>
                <w:rFonts w:ascii="Calibri" w:hAnsi="Calibri"/>
                <w:color w:val="000000"/>
              </w:rPr>
              <w:t>,</w:t>
            </w:r>
            <w:r>
              <w:rPr>
                <w:rFonts w:ascii="Calibri" w:hAnsi="Calibri"/>
                <w:color w:val="000000"/>
              </w:rPr>
              <w:t xml:space="preserve"> outpatient clinic</w:t>
            </w:r>
          </w:p>
        </w:tc>
        <w:tc>
          <w:tcPr>
            <w:tcW w:w="4394" w:type="dxa"/>
          </w:tcPr>
          <w:p w14:paraId="7AB10497" w14:textId="77777777" w:rsidR="0063693D" w:rsidRPr="00F35E1F" w:rsidRDefault="0063693D" w:rsidP="00FA01E6">
            <w:pPr>
              <w:autoSpaceDE w:val="0"/>
              <w:autoSpaceDN w:val="0"/>
              <w:adjustRightInd w:val="0"/>
              <w:rPr>
                <w:rFonts w:cs="AdvP7C2E"/>
              </w:rPr>
            </w:pPr>
            <w:r w:rsidRPr="00F35E1F">
              <w:rPr>
                <w:rFonts w:cs="AdvOT82c4f4c4"/>
                <w:i/>
              </w:rPr>
              <w:t>Inclusion</w:t>
            </w:r>
            <w:r w:rsidR="00C80836">
              <w:rPr>
                <w:rFonts w:cs="AdvOT82c4f4c4"/>
                <w:i/>
              </w:rPr>
              <w:t xml:space="preserve"> </w:t>
            </w:r>
            <w:r w:rsidR="00C80836">
              <w:rPr>
                <w:rFonts w:cstheme="minorHAnsi"/>
                <w:i/>
              </w:rPr>
              <w:t>criteria</w:t>
            </w:r>
            <w:r w:rsidRPr="00F35E1F">
              <w:rPr>
                <w:rFonts w:cs="AdvOT82c4f4c4"/>
                <w:i/>
              </w:rPr>
              <w:t>:</w:t>
            </w:r>
            <w:r w:rsidRPr="00F35E1F">
              <w:rPr>
                <w:rFonts w:cs="AdvOT82c4f4c4"/>
              </w:rPr>
              <w:t xml:space="preserve"> Female patients with mild SCH</w:t>
            </w:r>
            <w:r w:rsidR="0006294E">
              <w:rPr>
                <w:rFonts w:cs="AdvOT82c4f4c4"/>
              </w:rPr>
              <w:t>o</w:t>
            </w:r>
            <w:r w:rsidRPr="00F35E1F">
              <w:rPr>
                <w:rFonts w:cs="AdvOT82c4f4c4"/>
              </w:rPr>
              <w:t>; elevated TSH of 4.0 to 12 mIU/L and FT</w:t>
            </w:r>
            <w:r w:rsidRPr="00F35E1F">
              <w:rPr>
                <w:rFonts w:cs="AdvOT82c4f4c4"/>
                <w:vertAlign w:val="subscript"/>
              </w:rPr>
              <w:t>4</w:t>
            </w:r>
            <w:r w:rsidRPr="00F35E1F">
              <w:rPr>
                <w:rFonts w:cs="AdvOT82c4f4c4"/>
              </w:rPr>
              <w:t xml:space="preserve"> WNL </w:t>
            </w:r>
            <w:r w:rsidRPr="00F35E1F">
              <w:rPr>
                <w:rFonts w:cs="AdvP7C2E"/>
              </w:rPr>
              <w:t>documented at least twice and at</w:t>
            </w:r>
          </w:p>
          <w:p w14:paraId="740A1FB2" w14:textId="77777777" w:rsidR="0063693D" w:rsidRPr="00F35E1F" w:rsidRDefault="0063693D" w:rsidP="00FA01E6">
            <w:pPr>
              <w:autoSpaceDE w:val="0"/>
              <w:autoSpaceDN w:val="0"/>
              <w:adjustRightInd w:val="0"/>
              <w:rPr>
                <w:rFonts w:cs="AdvP7C2E"/>
              </w:rPr>
            </w:pPr>
            <w:r w:rsidRPr="00F35E1F">
              <w:rPr>
                <w:rFonts w:cs="AdvP7C2E"/>
              </w:rPr>
              <w:t>least six weeks apart; no previ</w:t>
            </w:r>
            <w:r>
              <w:rPr>
                <w:rFonts w:cs="AdvP7C2E"/>
              </w:rPr>
              <w:t>ous history of thyroid disease</w:t>
            </w:r>
          </w:p>
          <w:p w14:paraId="436EDFD5" w14:textId="77777777" w:rsidR="0063693D" w:rsidRPr="00F35E1F" w:rsidRDefault="0063693D" w:rsidP="00FA01E6">
            <w:pPr>
              <w:autoSpaceDE w:val="0"/>
              <w:autoSpaceDN w:val="0"/>
              <w:adjustRightInd w:val="0"/>
              <w:rPr>
                <w:rFonts w:cs="AdvP7C2E"/>
              </w:rPr>
            </w:pPr>
          </w:p>
          <w:p w14:paraId="0F8DC513" w14:textId="77777777" w:rsidR="0063693D" w:rsidRPr="00F35E1F" w:rsidRDefault="0063693D" w:rsidP="00FA01E6">
            <w:pPr>
              <w:autoSpaceDE w:val="0"/>
              <w:autoSpaceDN w:val="0"/>
              <w:adjustRightInd w:val="0"/>
              <w:rPr>
                <w:rFonts w:cs="AdvOT82c4f4c4"/>
              </w:rPr>
            </w:pPr>
            <w:r w:rsidRPr="00F35E1F">
              <w:rPr>
                <w:rFonts w:cs="AdvP7C2E"/>
                <w:i/>
              </w:rPr>
              <w:t>Exclusion</w:t>
            </w:r>
            <w:r w:rsidR="00C80836">
              <w:rPr>
                <w:rFonts w:cs="AdvP7C2E"/>
                <w:i/>
              </w:rPr>
              <w:t xml:space="preserve"> </w:t>
            </w:r>
            <w:r w:rsidR="00C80836">
              <w:rPr>
                <w:rFonts w:cstheme="minorHAnsi"/>
                <w:i/>
              </w:rPr>
              <w:t>criteria</w:t>
            </w:r>
            <w:r w:rsidRPr="00F35E1F">
              <w:rPr>
                <w:rFonts w:cs="AdvP7C2E"/>
                <w:i/>
              </w:rPr>
              <w:t>:</w:t>
            </w:r>
            <w:r w:rsidRPr="00F35E1F">
              <w:rPr>
                <w:rFonts w:cs="AdvP7C2E"/>
              </w:rPr>
              <w:t xml:space="preserve"> </w:t>
            </w:r>
            <w:r>
              <w:rPr>
                <w:rFonts w:cs="AdvP7C2E"/>
              </w:rPr>
              <w:t>History of alcohol use;</w:t>
            </w:r>
            <w:r w:rsidRPr="00F35E1F">
              <w:rPr>
                <w:rFonts w:cs="AdvP7C2E"/>
              </w:rPr>
              <w:t xml:space="preserve"> any cardiovascular disease or concomitant</w:t>
            </w:r>
            <w:r>
              <w:rPr>
                <w:rFonts w:cs="AdvP7C2E"/>
              </w:rPr>
              <w:t xml:space="preserve"> </w:t>
            </w:r>
            <w:r w:rsidRPr="00F35E1F">
              <w:rPr>
                <w:rFonts w:cs="AdvP7C2E"/>
              </w:rPr>
              <w:t>non-thyroid illnesses</w:t>
            </w:r>
          </w:p>
        </w:tc>
        <w:tc>
          <w:tcPr>
            <w:tcW w:w="1701" w:type="dxa"/>
          </w:tcPr>
          <w:p w14:paraId="4CCE2372" w14:textId="77777777" w:rsidR="0063693D" w:rsidRDefault="0063693D" w:rsidP="00FA01E6">
            <w:pPr>
              <w:autoSpaceDE w:val="0"/>
              <w:autoSpaceDN w:val="0"/>
              <w:adjustRightInd w:val="0"/>
              <w:rPr>
                <w:rFonts w:cs="AdvOT1ef757c0"/>
              </w:rPr>
            </w:pPr>
            <w:r>
              <w:rPr>
                <w:rFonts w:cs="AdvOT1ef757c0"/>
              </w:rPr>
              <w:t>LT</w:t>
            </w:r>
            <w:r w:rsidRPr="00A03719">
              <w:rPr>
                <w:rFonts w:cs="AdvOT1ef757c0"/>
                <w:vertAlign w:val="subscript"/>
              </w:rPr>
              <w:t>4</w:t>
            </w:r>
            <w:r>
              <w:rPr>
                <w:rFonts w:cs="AdvOT1ef757c0"/>
              </w:rPr>
              <w:t xml:space="preserve"> treatment (initial: 0.75 µg/kg/day titrated to achieve TSH, FT</w:t>
            </w:r>
            <w:r w:rsidRPr="00E115A8">
              <w:rPr>
                <w:rFonts w:cs="AdvOT1ef757c0"/>
                <w:vertAlign w:val="subscript"/>
              </w:rPr>
              <w:t>4</w:t>
            </w:r>
            <w:r>
              <w:rPr>
                <w:rFonts w:cs="AdvOT1ef757c0"/>
              </w:rPr>
              <w:t xml:space="preserve"> WNL</w:t>
            </w:r>
          </w:p>
        </w:tc>
        <w:tc>
          <w:tcPr>
            <w:tcW w:w="3260" w:type="dxa"/>
          </w:tcPr>
          <w:p w14:paraId="1B32B970" w14:textId="77777777" w:rsidR="0063693D" w:rsidRDefault="0063693D" w:rsidP="00FA01E6">
            <w:pPr>
              <w:autoSpaceDE w:val="0"/>
              <w:autoSpaceDN w:val="0"/>
              <w:adjustRightInd w:val="0"/>
              <w:rPr>
                <w:rFonts w:cs="AdvOT1ef757c0"/>
              </w:rPr>
            </w:pPr>
            <w:r>
              <w:rPr>
                <w:rFonts w:cs="AdvOT1ef757c0"/>
              </w:rPr>
              <w:t>Primary and secondary outcomes not explicitly stated; however, endothelial function</w:t>
            </w:r>
            <w:r w:rsidRPr="00AE5E1F">
              <w:rPr>
                <w:rFonts w:cs="AdvOT1ef757c0"/>
              </w:rPr>
              <w:t xml:space="preserve"> and </w:t>
            </w:r>
            <w:r>
              <w:rPr>
                <w:rFonts w:cs="AdvOT1ef757c0"/>
              </w:rPr>
              <w:t xml:space="preserve">carotid artery intima-media thickness appear to be the main outcomes. </w:t>
            </w:r>
          </w:p>
          <w:p w14:paraId="0400BC2F" w14:textId="77777777" w:rsidR="0063693D" w:rsidRDefault="0063693D" w:rsidP="00FA01E6">
            <w:pPr>
              <w:autoSpaceDE w:val="0"/>
              <w:autoSpaceDN w:val="0"/>
              <w:adjustRightInd w:val="0"/>
              <w:rPr>
                <w:rFonts w:cs="AdvOT1ef757c0"/>
              </w:rPr>
            </w:pPr>
          </w:p>
          <w:p w14:paraId="2B3FF6EC" w14:textId="77777777" w:rsidR="0063693D" w:rsidRPr="000A0E84" w:rsidRDefault="0063693D" w:rsidP="00FA01E6">
            <w:pPr>
              <w:autoSpaceDE w:val="0"/>
              <w:autoSpaceDN w:val="0"/>
              <w:adjustRightInd w:val="0"/>
              <w:rPr>
                <w:rFonts w:cs="AdvOT1ef757c0"/>
                <w:i/>
              </w:rPr>
            </w:pPr>
            <w:r>
              <w:rPr>
                <w:rFonts w:cs="AdvOT1ef757c0"/>
              </w:rPr>
              <w:t>Lipid levels also reported</w:t>
            </w:r>
          </w:p>
        </w:tc>
      </w:tr>
      <w:tr w:rsidR="0063693D" w14:paraId="1B673755" w14:textId="77777777" w:rsidTr="00B94C53">
        <w:tc>
          <w:tcPr>
            <w:tcW w:w="1809" w:type="dxa"/>
          </w:tcPr>
          <w:p w14:paraId="57098F3A" w14:textId="77777777" w:rsidR="0063693D" w:rsidRDefault="0063693D" w:rsidP="00B94C53">
            <w:pPr>
              <w:rPr>
                <w:rFonts w:cstheme="minorHAnsi"/>
              </w:rPr>
            </w:pPr>
            <w:r>
              <w:rPr>
                <w:rFonts w:cstheme="minorHAnsi"/>
              </w:rPr>
              <w:t xml:space="preserve">Parle, 2010, </w:t>
            </w:r>
          </w:p>
          <w:p w14:paraId="24C8833B" w14:textId="77777777" w:rsidR="0063693D" w:rsidRDefault="0063693D" w:rsidP="00B94C53">
            <w:pPr>
              <w:rPr>
                <w:rFonts w:cstheme="minorHAnsi"/>
              </w:rPr>
            </w:pPr>
            <w:r>
              <w:rPr>
                <w:rFonts w:cstheme="minorHAnsi"/>
              </w:rPr>
              <w:t>UK</w:t>
            </w:r>
          </w:p>
          <w:p w14:paraId="3B5F3C23" w14:textId="77777777" w:rsidR="00043A14" w:rsidRDefault="00043A14" w:rsidP="00B94C53">
            <w:pPr>
              <w:rPr>
                <w:rFonts w:cstheme="minorHAnsi"/>
              </w:rPr>
            </w:pPr>
          </w:p>
          <w:p w14:paraId="4F92CC0D" w14:textId="77777777" w:rsidR="00043A14" w:rsidRPr="00173CD4" w:rsidRDefault="00043A14" w:rsidP="00B94C53">
            <w:pPr>
              <w:rPr>
                <w:rFonts w:cstheme="minorHAnsi"/>
              </w:rPr>
            </w:pPr>
            <w:r>
              <w:rPr>
                <w:rFonts w:ascii="Calibri" w:hAnsi="Calibri"/>
                <w:color w:val="000000"/>
              </w:rPr>
              <w:t xml:space="preserve">n=94 (61% </w:t>
            </w:r>
            <w:r w:rsidR="004F0FA7">
              <w:rPr>
                <w:rFonts w:ascii="Calibri" w:hAnsi="Calibri"/>
                <w:color w:val="000000"/>
              </w:rPr>
              <w:t>female</w:t>
            </w:r>
            <w:r>
              <w:rPr>
                <w:rFonts w:ascii="Calibri" w:hAnsi="Calibri"/>
                <w:color w:val="000000"/>
              </w:rPr>
              <w:t>)</w:t>
            </w:r>
          </w:p>
        </w:tc>
        <w:tc>
          <w:tcPr>
            <w:tcW w:w="1560" w:type="dxa"/>
          </w:tcPr>
          <w:p w14:paraId="4DAAF78C" w14:textId="77777777" w:rsidR="00043A14" w:rsidRDefault="0063693D" w:rsidP="00B94C53">
            <w:pPr>
              <w:rPr>
                <w:rFonts w:ascii="Calibri" w:hAnsi="Calibri"/>
                <w:color w:val="000000"/>
              </w:rPr>
            </w:pPr>
            <w:r>
              <w:rPr>
                <w:rFonts w:ascii="Calibri" w:hAnsi="Calibri"/>
                <w:color w:val="000000"/>
              </w:rPr>
              <w:t xml:space="preserve">RCT, </w:t>
            </w:r>
          </w:p>
          <w:p w14:paraId="32E7941F" w14:textId="77777777" w:rsidR="00043A14" w:rsidRDefault="00043A14" w:rsidP="00B94C53">
            <w:pPr>
              <w:rPr>
                <w:rFonts w:ascii="Calibri" w:hAnsi="Calibri"/>
                <w:color w:val="000000"/>
              </w:rPr>
            </w:pPr>
            <w:r>
              <w:rPr>
                <w:rFonts w:ascii="Calibri" w:hAnsi="Calibri"/>
                <w:color w:val="000000"/>
              </w:rPr>
              <w:t>Placebo,</w:t>
            </w:r>
          </w:p>
          <w:p w14:paraId="792A3011" w14:textId="77777777" w:rsidR="0063693D" w:rsidRDefault="0063693D" w:rsidP="00B94C53">
            <w:pPr>
              <w:rPr>
                <w:rFonts w:ascii="Calibri" w:hAnsi="Calibri"/>
                <w:color w:val="000000"/>
              </w:rPr>
            </w:pPr>
            <w:r>
              <w:rPr>
                <w:rFonts w:ascii="Calibri" w:hAnsi="Calibri"/>
                <w:color w:val="000000"/>
              </w:rPr>
              <w:t>12 months</w:t>
            </w:r>
            <w:r w:rsidR="00043A14">
              <w:rPr>
                <w:rFonts w:ascii="Calibri" w:hAnsi="Calibri"/>
                <w:color w:val="000000"/>
              </w:rPr>
              <w:t xml:space="preserve">, </w:t>
            </w:r>
            <w:r>
              <w:rPr>
                <w:rFonts w:ascii="Calibri" w:hAnsi="Calibri"/>
                <w:color w:val="000000"/>
              </w:rPr>
              <w:t>primary care clinic</w:t>
            </w:r>
          </w:p>
        </w:tc>
        <w:tc>
          <w:tcPr>
            <w:tcW w:w="4394" w:type="dxa"/>
          </w:tcPr>
          <w:p w14:paraId="6282EEF7" w14:textId="77777777" w:rsidR="0063693D" w:rsidRPr="006328FA" w:rsidRDefault="0063693D" w:rsidP="00FA01E6">
            <w:pPr>
              <w:autoSpaceDE w:val="0"/>
              <w:autoSpaceDN w:val="0"/>
              <w:adjustRightInd w:val="0"/>
              <w:rPr>
                <w:rFonts w:cs="AdvOT82c4f4c4"/>
              </w:rPr>
            </w:pPr>
            <w:r>
              <w:rPr>
                <w:rFonts w:cs="AdvOT82c4f4c4"/>
                <w:i/>
              </w:rPr>
              <w:t>Inclusion</w:t>
            </w:r>
            <w:r w:rsidR="00C80836">
              <w:rPr>
                <w:rFonts w:cs="AdvOT82c4f4c4"/>
                <w:i/>
              </w:rPr>
              <w:t xml:space="preserve"> </w:t>
            </w:r>
            <w:r w:rsidR="00C80836">
              <w:rPr>
                <w:rFonts w:cstheme="minorHAnsi"/>
                <w:i/>
              </w:rPr>
              <w:t>criteria</w:t>
            </w:r>
            <w:r>
              <w:rPr>
                <w:rFonts w:cs="AdvOT82c4f4c4"/>
                <w:i/>
              </w:rPr>
              <w:t>:</w:t>
            </w:r>
            <w:r>
              <w:rPr>
                <w:rFonts w:cs="AdvOT82c4f4c4"/>
              </w:rPr>
              <w:t xml:space="preserve"> Age </w:t>
            </w:r>
            <w:r>
              <w:rPr>
                <w:rFonts w:cstheme="minorHAnsi"/>
              </w:rPr>
              <w:t>≥</w:t>
            </w:r>
            <w:r>
              <w:rPr>
                <w:rFonts w:cs="AdvOT82c4f4c4"/>
              </w:rPr>
              <w:t xml:space="preserve"> 65 years; SCH</w:t>
            </w:r>
            <w:r w:rsidR="0006294E">
              <w:rPr>
                <w:rFonts w:cs="AdvOT82c4f4c4"/>
              </w:rPr>
              <w:t>o</w:t>
            </w:r>
            <w:r>
              <w:rPr>
                <w:rFonts w:cs="AdvOT82c4f4c4"/>
              </w:rPr>
              <w:t xml:space="preserve"> with TSH &gt; 5.5 mU/L and FT</w:t>
            </w:r>
            <w:r w:rsidRPr="00490DC4">
              <w:rPr>
                <w:rFonts w:cs="AdvOT82c4f4c4"/>
                <w:vertAlign w:val="subscript"/>
              </w:rPr>
              <w:t>4</w:t>
            </w:r>
            <w:r>
              <w:rPr>
                <w:rFonts w:cs="AdvOT82c4f4c4"/>
              </w:rPr>
              <w:t xml:space="preserve"> WNL; </w:t>
            </w:r>
            <w:r>
              <w:t xml:space="preserve">registered with one of 20 family practices in the greater Birmingham area of the UK </w:t>
            </w:r>
          </w:p>
          <w:p w14:paraId="54165E0F" w14:textId="77777777" w:rsidR="0063693D" w:rsidRDefault="0063693D" w:rsidP="00FA01E6">
            <w:pPr>
              <w:autoSpaceDE w:val="0"/>
              <w:autoSpaceDN w:val="0"/>
              <w:adjustRightInd w:val="0"/>
              <w:rPr>
                <w:rFonts w:cs="AdvOT82c4f4c4"/>
                <w:i/>
              </w:rPr>
            </w:pPr>
          </w:p>
          <w:p w14:paraId="7923479A" w14:textId="77777777" w:rsidR="0063693D" w:rsidRPr="00950F75" w:rsidRDefault="0063693D" w:rsidP="00FA01E6">
            <w:pPr>
              <w:autoSpaceDE w:val="0"/>
              <w:autoSpaceDN w:val="0"/>
              <w:adjustRightInd w:val="0"/>
              <w:rPr>
                <w:rFonts w:cs="AdvOT82c4f4c4"/>
              </w:rPr>
            </w:pPr>
            <w:r>
              <w:rPr>
                <w:rFonts w:cs="AdvOT82c4f4c4"/>
                <w:i/>
              </w:rPr>
              <w:t>Exclusion</w:t>
            </w:r>
            <w:r w:rsidR="00C80836">
              <w:rPr>
                <w:rFonts w:cs="AdvOT82c4f4c4"/>
                <w:i/>
              </w:rPr>
              <w:t xml:space="preserve"> </w:t>
            </w:r>
            <w:r w:rsidR="00C80836">
              <w:rPr>
                <w:rFonts w:cstheme="minorHAnsi"/>
                <w:i/>
              </w:rPr>
              <w:t>criteria</w:t>
            </w:r>
            <w:r>
              <w:rPr>
                <w:rFonts w:cs="AdvOT82c4f4c4"/>
                <w:i/>
              </w:rPr>
              <w:t>:</w:t>
            </w:r>
            <w:r>
              <w:rPr>
                <w:rFonts w:cs="AdvOT82c4f4c4"/>
              </w:rPr>
              <w:t xml:space="preserve"> Current LT</w:t>
            </w:r>
            <w:r w:rsidRPr="00490DC4">
              <w:rPr>
                <w:rFonts w:cs="AdvOT82c4f4c4"/>
                <w:vertAlign w:val="subscript"/>
              </w:rPr>
              <w:t>4</w:t>
            </w:r>
            <w:r>
              <w:rPr>
                <w:rFonts w:cs="AdvOT82c4f4c4"/>
              </w:rPr>
              <w:t xml:space="preserve"> or antithyroid treatment or recent treatment for hyperthyroidism </w:t>
            </w:r>
          </w:p>
        </w:tc>
        <w:tc>
          <w:tcPr>
            <w:tcW w:w="1701" w:type="dxa"/>
          </w:tcPr>
          <w:p w14:paraId="597EDD33" w14:textId="77777777" w:rsidR="0063693D" w:rsidRDefault="0063693D" w:rsidP="00FA01E6">
            <w:pPr>
              <w:autoSpaceDE w:val="0"/>
              <w:autoSpaceDN w:val="0"/>
              <w:adjustRightInd w:val="0"/>
              <w:rPr>
                <w:rFonts w:cs="AdvOT1ef757c0"/>
              </w:rPr>
            </w:pPr>
            <w:r>
              <w:rPr>
                <w:rFonts w:cs="AdvOT1ef757c0"/>
              </w:rPr>
              <w:t>LT</w:t>
            </w:r>
            <w:r w:rsidRPr="00A03719">
              <w:rPr>
                <w:rFonts w:cs="AdvOT1ef757c0"/>
                <w:vertAlign w:val="subscript"/>
              </w:rPr>
              <w:t>4</w:t>
            </w:r>
            <w:r>
              <w:rPr>
                <w:rFonts w:cs="AdvOT1ef757c0"/>
              </w:rPr>
              <w:t xml:space="preserve"> treatment (initial: 25 µg/day titrated to achieve TSH WNL)</w:t>
            </w:r>
          </w:p>
        </w:tc>
        <w:tc>
          <w:tcPr>
            <w:tcW w:w="3260" w:type="dxa"/>
          </w:tcPr>
          <w:p w14:paraId="72F8C9E9" w14:textId="77777777" w:rsidR="0063693D" w:rsidRDefault="0063693D" w:rsidP="00FA01E6">
            <w:pPr>
              <w:autoSpaceDE w:val="0"/>
              <w:autoSpaceDN w:val="0"/>
              <w:adjustRightInd w:val="0"/>
              <w:rPr>
                <w:rFonts w:cs="AdvOT1ef757c0"/>
              </w:rPr>
            </w:pPr>
            <w:r>
              <w:rPr>
                <w:rFonts w:cs="AdvOT1ef757c0"/>
              </w:rPr>
              <w:t>Main outcome: cognitive function, depression score</w:t>
            </w:r>
          </w:p>
          <w:p w14:paraId="4D66EE6C" w14:textId="77777777" w:rsidR="0063693D" w:rsidRDefault="0063693D" w:rsidP="00FA01E6">
            <w:pPr>
              <w:autoSpaceDE w:val="0"/>
              <w:autoSpaceDN w:val="0"/>
              <w:adjustRightInd w:val="0"/>
              <w:rPr>
                <w:rFonts w:cs="AdvOT1ef757c0"/>
              </w:rPr>
            </w:pPr>
          </w:p>
          <w:p w14:paraId="00D58BF7" w14:textId="77777777" w:rsidR="0063693D" w:rsidRPr="007D61CD" w:rsidRDefault="0063693D" w:rsidP="00B94C53">
            <w:pPr>
              <w:autoSpaceDE w:val="0"/>
              <w:autoSpaceDN w:val="0"/>
              <w:adjustRightInd w:val="0"/>
              <w:rPr>
                <w:rFonts w:cs="AdvOT1ef757c0"/>
              </w:rPr>
            </w:pPr>
            <w:r>
              <w:rPr>
                <w:rFonts w:cs="AdvOT1ef757c0"/>
              </w:rPr>
              <w:t>WDAEs</w:t>
            </w:r>
          </w:p>
        </w:tc>
      </w:tr>
      <w:tr w:rsidR="0063693D" w14:paraId="47254640" w14:textId="77777777" w:rsidTr="00B94C53">
        <w:tc>
          <w:tcPr>
            <w:tcW w:w="1809" w:type="dxa"/>
          </w:tcPr>
          <w:p w14:paraId="61C27EFC" w14:textId="77777777" w:rsidR="0063693D" w:rsidRDefault="0063693D" w:rsidP="00FA01E6">
            <w:pPr>
              <w:rPr>
                <w:rFonts w:cstheme="minorHAnsi"/>
              </w:rPr>
            </w:pPr>
            <w:r w:rsidRPr="00173CD4">
              <w:rPr>
                <w:rFonts w:cstheme="minorHAnsi"/>
              </w:rPr>
              <w:t>Mainenti</w:t>
            </w:r>
            <w:r>
              <w:rPr>
                <w:rFonts w:cstheme="minorHAnsi"/>
              </w:rPr>
              <w:t>,</w:t>
            </w:r>
          </w:p>
          <w:p w14:paraId="7D8E7D58" w14:textId="77777777" w:rsidR="0063693D" w:rsidRDefault="0063693D" w:rsidP="00FA01E6">
            <w:pPr>
              <w:rPr>
                <w:rFonts w:cstheme="minorHAnsi"/>
              </w:rPr>
            </w:pPr>
            <w:r>
              <w:rPr>
                <w:rFonts w:cstheme="minorHAnsi"/>
              </w:rPr>
              <w:t>2009, Brazil</w:t>
            </w:r>
          </w:p>
          <w:p w14:paraId="5E6BA1C9" w14:textId="77777777" w:rsidR="007F4F06" w:rsidRDefault="007F4F06" w:rsidP="00FA01E6">
            <w:pPr>
              <w:rPr>
                <w:rFonts w:cstheme="minorHAnsi"/>
              </w:rPr>
            </w:pPr>
          </w:p>
          <w:p w14:paraId="622A8FEF" w14:textId="77777777" w:rsidR="007F4F06" w:rsidRPr="00B94C53" w:rsidRDefault="007F4F06" w:rsidP="00FA01E6">
            <w:pPr>
              <w:rPr>
                <w:rFonts w:ascii="Calibri" w:hAnsi="Calibri"/>
                <w:color w:val="000000"/>
              </w:rPr>
            </w:pPr>
            <w:r>
              <w:rPr>
                <w:rFonts w:cstheme="minorHAnsi"/>
              </w:rPr>
              <w:t xml:space="preserve">n=23 (100% </w:t>
            </w:r>
            <w:r w:rsidR="004F0FA7">
              <w:rPr>
                <w:rFonts w:ascii="Calibri" w:hAnsi="Calibri"/>
                <w:color w:val="000000"/>
              </w:rPr>
              <w:t>female</w:t>
            </w:r>
            <w:r>
              <w:rPr>
                <w:rFonts w:cstheme="minorHAnsi"/>
              </w:rPr>
              <w:t>)</w:t>
            </w:r>
          </w:p>
        </w:tc>
        <w:tc>
          <w:tcPr>
            <w:tcW w:w="1560" w:type="dxa"/>
          </w:tcPr>
          <w:p w14:paraId="15E09D97" w14:textId="77777777" w:rsidR="007F4F06" w:rsidRDefault="0063693D" w:rsidP="00FA01E6">
            <w:pPr>
              <w:rPr>
                <w:rFonts w:ascii="Calibri" w:hAnsi="Calibri"/>
                <w:color w:val="000000"/>
              </w:rPr>
            </w:pPr>
            <w:r>
              <w:rPr>
                <w:rFonts w:ascii="Calibri" w:hAnsi="Calibri"/>
                <w:color w:val="000000"/>
              </w:rPr>
              <w:t xml:space="preserve">RCT, </w:t>
            </w:r>
          </w:p>
          <w:p w14:paraId="650A748F" w14:textId="77777777" w:rsidR="0063693D" w:rsidRDefault="007F4F06" w:rsidP="00FA01E6">
            <w:pPr>
              <w:rPr>
                <w:rFonts w:ascii="Calibri" w:hAnsi="Calibri"/>
                <w:color w:val="000000"/>
              </w:rPr>
            </w:pPr>
            <w:r>
              <w:rPr>
                <w:rFonts w:ascii="Calibri" w:hAnsi="Calibri"/>
                <w:color w:val="000000"/>
              </w:rPr>
              <w:t>No treatment</w:t>
            </w:r>
            <w:r w:rsidR="0063693D">
              <w:rPr>
                <w:rFonts w:ascii="Calibri" w:hAnsi="Calibri"/>
                <w:color w:val="000000"/>
              </w:rPr>
              <w:t>, 6 months</w:t>
            </w:r>
            <w:r>
              <w:rPr>
                <w:rFonts w:ascii="Calibri" w:hAnsi="Calibri"/>
                <w:color w:val="000000"/>
              </w:rPr>
              <w:t>,</w:t>
            </w:r>
            <w:r w:rsidR="0063693D">
              <w:rPr>
                <w:rFonts w:ascii="Calibri" w:hAnsi="Calibri"/>
                <w:color w:val="000000"/>
              </w:rPr>
              <w:t xml:space="preserve"> university hospital outpatient </w:t>
            </w:r>
            <w:r w:rsidR="0063693D">
              <w:rPr>
                <w:rFonts w:ascii="Calibri" w:hAnsi="Calibri"/>
                <w:color w:val="000000"/>
              </w:rPr>
              <w:lastRenderedPageBreak/>
              <w:t>endocrine clinic</w:t>
            </w:r>
          </w:p>
          <w:p w14:paraId="5D266F75" w14:textId="77777777" w:rsidR="0063693D" w:rsidRDefault="0063693D" w:rsidP="00FA01E6">
            <w:pPr>
              <w:rPr>
                <w:rFonts w:ascii="Calibri" w:hAnsi="Calibri"/>
                <w:color w:val="000000"/>
              </w:rPr>
            </w:pPr>
          </w:p>
          <w:p w14:paraId="268ECFB8" w14:textId="77777777" w:rsidR="0063693D" w:rsidRDefault="0063693D" w:rsidP="00FA01E6">
            <w:pPr>
              <w:rPr>
                <w:rFonts w:ascii="Calibri" w:hAnsi="Calibri"/>
                <w:color w:val="000000"/>
              </w:rPr>
            </w:pPr>
          </w:p>
          <w:p w14:paraId="4FC3951E" w14:textId="77777777" w:rsidR="0063693D" w:rsidRDefault="0063693D" w:rsidP="00FA01E6">
            <w:pPr>
              <w:rPr>
                <w:rFonts w:ascii="Calibri" w:hAnsi="Calibri"/>
                <w:color w:val="000000"/>
              </w:rPr>
            </w:pPr>
          </w:p>
        </w:tc>
        <w:tc>
          <w:tcPr>
            <w:tcW w:w="4394" w:type="dxa"/>
          </w:tcPr>
          <w:p w14:paraId="1D3C807C" w14:textId="77777777" w:rsidR="0063693D" w:rsidRPr="003969F7" w:rsidRDefault="0063693D" w:rsidP="00FA01E6">
            <w:pPr>
              <w:autoSpaceDE w:val="0"/>
              <w:autoSpaceDN w:val="0"/>
              <w:adjustRightInd w:val="0"/>
              <w:rPr>
                <w:rFonts w:cstheme="minorHAnsi"/>
              </w:rPr>
            </w:pPr>
            <w:r w:rsidRPr="003969F7">
              <w:rPr>
                <w:rFonts w:cstheme="minorHAnsi"/>
                <w:i/>
              </w:rPr>
              <w:lastRenderedPageBreak/>
              <w:t>Inclusion</w:t>
            </w:r>
            <w:r w:rsidR="00C80836">
              <w:rPr>
                <w:rFonts w:cstheme="minorHAnsi"/>
                <w:i/>
              </w:rPr>
              <w:t xml:space="preserve"> criteria</w:t>
            </w:r>
            <w:r>
              <w:rPr>
                <w:rFonts w:cstheme="minorHAnsi"/>
              </w:rPr>
              <w:t>: U</w:t>
            </w:r>
            <w:r w:rsidRPr="003969F7">
              <w:rPr>
                <w:rFonts w:cstheme="minorHAnsi"/>
              </w:rPr>
              <w:t xml:space="preserve">ntreated </w:t>
            </w:r>
            <w:r w:rsidR="00A51FC8">
              <w:rPr>
                <w:rFonts w:cstheme="minorHAnsi"/>
              </w:rPr>
              <w:t>females</w:t>
            </w:r>
            <w:r w:rsidRPr="003969F7">
              <w:rPr>
                <w:rFonts w:cstheme="minorHAnsi"/>
              </w:rPr>
              <w:t>, aged</w:t>
            </w:r>
            <w:r>
              <w:rPr>
                <w:rFonts w:cstheme="minorHAnsi"/>
              </w:rPr>
              <w:t xml:space="preserve"> </w:t>
            </w:r>
            <w:r w:rsidRPr="003969F7">
              <w:rPr>
                <w:rFonts w:cstheme="minorHAnsi"/>
              </w:rPr>
              <w:t>between 30 and 60 y</w:t>
            </w:r>
            <w:r w:rsidR="00A3063F">
              <w:rPr>
                <w:rFonts w:cstheme="minorHAnsi"/>
              </w:rPr>
              <w:t>ears</w:t>
            </w:r>
            <w:r w:rsidRPr="003969F7">
              <w:rPr>
                <w:rFonts w:cstheme="minorHAnsi"/>
              </w:rPr>
              <w:t xml:space="preserve"> old, presenting elevated serum TSH levels</w:t>
            </w:r>
            <w:r>
              <w:rPr>
                <w:rFonts w:cstheme="minorHAnsi"/>
              </w:rPr>
              <w:t xml:space="preserve"> </w:t>
            </w:r>
            <w:r w:rsidRPr="003969F7">
              <w:rPr>
                <w:rFonts w:cstheme="minorHAnsi"/>
              </w:rPr>
              <w:t>(&gt;4.0 mU/</w:t>
            </w:r>
            <w:r w:rsidR="00A51FC8">
              <w:rPr>
                <w:rFonts w:cstheme="minorHAnsi"/>
              </w:rPr>
              <w:t>l</w:t>
            </w:r>
            <w:r w:rsidRPr="003969F7">
              <w:rPr>
                <w:rFonts w:cstheme="minorHAnsi"/>
              </w:rPr>
              <w:t>) and FT4 values within the normal range (0.8-1.9 n</w:t>
            </w:r>
            <w:r>
              <w:rPr>
                <w:rFonts w:cstheme="minorHAnsi"/>
              </w:rPr>
              <w:t>g/dL</w:t>
            </w:r>
            <w:r w:rsidRPr="003969F7">
              <w:rPr>
                <w:rFonts w:cstheme="minorHAnsi"/>
              </w:rPr>
              <w:t xml:space="preserve">) in two blood samples (interval between samples: </w:t>
            </w:r>
            <w:r>
              <w:rPr>
                <w:rFonts w:cstheme="minorHAnsi"/>
              </w:rPr>
              <w:t>≥ 4</w:t>
            </w:r>
            <w:r w:rsidRPr="003969F7">
              <w:rPr>
                <w:rFonts w:cstheme="minorHAnsi"/>
              </w:rPr>
              <w:t xml:space="preserve"> weeks).</w:t>
            </w:r>
          </w:p>
          <w:p w14:paraId="3519CDB2" w14:textId="77777777" w:rsidR="0063693D" w:rsidRDefault="0063693D" w:rsidP="00FA01E6">
            <w:pPr>
              <w:autoSpaceDE w:val="0"/>
              <w:autoSpaceDN w:val="0"/>
              <w:adjustRightInd w:val="0"/>
              <w:rPr>
                <w:rFonts w:cstheme="minorHAnsi"/>
                <w:i/>
              </w:rPr>
            </w:pPr>
          </w:p>
          <w:p w14:paraId="39F4E56E" w14:textId="77777777" w:rsidR="0063693D" w:rsidRPr="003969F7" w:rsidRDefault="0063693D" w:rsidP="00FA01E6">
            <w:pPr>
              <w:autoSpaceDE w:val="0"/>
              <w:autoSpaceDN w:val="0"/>
              <w:adjustRightInd w:val="0"/>
              <w:rPr>
                <w:rFonts w:cstheme="minorHAnsi"/>
              </w:rPr>
            </w:pPr>
            <w:r w:rsidRPr="003969F7">
              <w:rPr>
                <w:rFonts w:cstheme="minorHAnsi"/>
                <w:i/>
              </w:rPr>
              <w:lastRenderedPageBreak/>
              <w:t>Exclusion</w:t>
            </w:r>
            <w:r w:rsidR="00C80836">
              <w:rPr>
                <w:rFonts w:cstheme="minorHAnsi"/>
                <w:i/>
              </w:rPr>
              <w:t xml:space="preserve"> criteria</w:t>
            </w:r>
            <w:r>
              <w:rPr>
                <w:rFonts w:cstheme="minorHAnsi"/>
              </w:rPr>
              <w:t>: U</w:t>
            </w:r>
            <w:r w:rsidRPr="003969F7">
              <w:rPr>
                <w:rFonts w:cstheme="minorHAnsi"/>
              </w:rPr>
              <w:t>se of drugs that could</w:t>
            </w:r>
            <w:r>
              <w:rPr>
                <w:rFonts w:cstheme="minorHAnsi"/>
              </w:rPr>
              <w:t xml:space="preserve"> </w:t>
            </w:r>
            <w:r w:rsidRPr="003969F7">
              <w:rPr>
                <w:rFonts w:cstheme="minorHAnsi"/>
              </w:rPr>
              <w:t>influence thyroid function, heart rate and blood pressure; diagnosed</w:t>
            </w:r>
            <w:r w:rsidR="00A3063F">
              <w:rPr>
                <w:rFonts w:cstheme="minorHAnsi"/>
              </w:rPr>
              <w:t xml:space="preserve"> </w:t>
            </w:r>
            <w:r w:rsidRPr="003969F7">
              <w:rPr>
                <w:rFonts w:cstheme="minorHAnsi"/>
              </w:rPr>
              <w:t>cardiac diseases or systemic arterial hypertension; presence</w:t>
            </w:r>
          </w:p>
          <w:p w14:paraId="0312768B" w14:textId="77777777" w:rsidR="0063693D" w:rsidRPr="000A108B" w:rsidRDefault="0063693D" w:rsidP="00FA01E6">
            <w:pPr>
              <w:autoSpaceDE w:val="0"/>
              <w:autoSpaceDN w:val="0"/>
              <w:adjustRightInd w:val="0"/>
              <w:rPr>
                <w:rFonts w:ascii="Calibri" w:hAnsi="Calibri"/>
                <w:color w:val="000000"/>
              </w:rPr>
            </w:pPr>
            <w:r w:rsidRPr="003969F7">
              <w:rPr>
                <w:rFonts w:cstheme="minorHAnsi"/>
              </w:rPr>
              <w:t>of pain or other physical problems that could interfere with</w:t>
            </w:r>
            <w:r>
              <w:rPr>
                <w:rFonts w:cstheme="minorHAnsi"/>
              </w:rPr>
              <w:t xml:space="preserve"> walking</w:t>
            </w:r>
          </w:p>
        </w:tc>
        <w:tc>
          <w:tcPr>
            <w:tcW w:w="1701" w:type="dxa"/>
          </w:tcPr>
          <w:p w14:paraId="765A7435" w14:textId="77777777" w:rsidR="0063693D" w:rsidRPr="000A108B" w:rsidRDefault="0063693D" w:rsidP="00FA01E6">
            <w:pPr>
              <w:autoSpaceDE w:val="0"/>
              <w:autoSpaceDN w:val="0"/>
              <w:adjustRightInd w:val="0"/>
              <w:rPr>
                <w:rFonts w:cstheme="minorHAnsi"/>
              </w:rPr>
            </w:pPr>
            <w:r>
              <w:rPr>
                <w:rFonts w:cstheme="minorHAnsi"/>
              </w:rPr>
              <w:lastRenderedPageBreak/>
              <w:t>LT</w:t>
            </w:r>
            <w:r w:rsidRPr="000A108B">
              <w:rPr>
                <w:rFonts w:cstheme="minorHAnsi"/>
                <w:vertAlign w:val="subscript"/>
              </w:rPr>
              <w:t>4</w:t>
            </w:r>
            <w:r>
              <w:rPr>
                <w:rFonts w:cstheme="minorHAnsi"/>
              </w:rPr>
              <w:t xml:space="preserve"> treatment </w:t>
            </w:r>
            <w:r>
              <w:rPr>
                <w:rFonts w:cs="AdvOT1ef757c0"/>
              </w:rPr>
              <w:t>(initial: 0.75 µg/kg/day titrated to achieve TSH WNL)</w:t>
            </w:r>
            <w:r w:rsidRPr="000A108B">
              <w:rPr>
                <w:rFonts w:cstheme="minorHAnsi"/>
              </w:rPr>
              <w:t xml:space="preserve"> </w:t>
            </w:r>
          </w:p>
          <w:p w14:paraId="0728FA90" w14:textId="77777777" w:rsidR="0063693D" w:rsidRPr="000A108B" w:rsidRDefault="0063693D" w:rsidP="00FA01E6">
            <w:pPr>
              <w:rPr>
                <w:rFonts w:cstheme="minorHAnsi"/>
                <w:color w:val="000000"/>
              </w:rPr>
            </w:pPr>
          </w:p>
        </w:tc>
        <w:tc>
          <w:tcPr>
            <w:tcW w:w="3260" w:type="dxa"/>
          </w:tcPr>
          <w:p w14:paraId="4A2120AE" w14:textId="77777777" w:rsidR="0063693D" w:rsidRDefault="0063693D" w:rsidP="00FA01E6">
            <w:pPr>
              <w:rPr>
                <w:rFonts w:ascii="Calibri" w:hAnsi="Calibri"/>
                <w:color w:val="000000"/>
              </w:rPr>
            </w:pPr>
            <w:r>
              <w:rPr>
                <w:rFonts w:ascii="Calibri" w:hAnsi="Calibri"/>
                <w:color w:val="000000"/>
              </w:rPr>
              <w:t>Outcomes not pre-specified; the following relevant outcomes were presented: SBP, DBP</w:t>
            </w:r>
          </w:p>
          <w:p w14:paraId="73EFA027" w14:textId="77777777" w:rsidR="0063693D" w:rsidRDefault="0063693D" w:rsidP="00FA01E6">
            <w:pPr>
              <w:rPr>
                <w:rFonts w:ascii="Calibri" w:hAnsi="Calibri"/>
                <w:color w:val="000000"/>
              </w:rPr>
            </w:pPr>
          </w:p>
          <w:p w14:paraId="4ADFFC6B" w14:textId="77777777" w:rsidR="0063693D" w:rsidRDefault="0063693D" w:rsidP="00FA01E6">
            <w:pPr>
              <w:rPr>
                <w:rFonts w:ascii="Calibri" w:hAnsi="Calibri"/>
                <w:color w:val="000000"/>
              </w:rPr>
            </w:pPr>
          </w:p>
          <w:p w14:paraId="0DE35F47" w14:textId="77777777" w:rsidR="0063693D" w:rsidRDefault="0063693D" w:rsidP="00FA01E6">
            <w:pPr>
              <w:rPr>
                <w:rFonts w:ascii="Calibri" w:hAnsi="Calibri"/>
                <w:color w:val="000000"/>
              </w:rPr>
            </w:pPr>
          </w:p>
          <w:p w14:paraId="66CAE86E" w14:textId="77777777" w:rsidR="0063693D" w:rsidRDefault="0063693D" w:rsidP="00FA01E6">
            <w:pPr>
              <w:rPr>
                <w:rFonts w:ascii="Calibri" w:hAnsi="Calibri"/>
                <w:color w:val="000000"/>
              </w:rPr>
            </w:pPr>
          </w:p>
          <w:p w14:paraId="1143A24D" w14:textId="77777777" w:rsidR="0063693D" w:rsidRDefault="0063693D" w:rsidP="00FA01E6">
            <w:pPr>
              <w:rPr>
                <w:rFonts w:ascii="Calibri" w:hAnsi="Calibri"/>
                <w:color w:val="000000"/>
              </w:rPr>
            </w:pPr>
          </w:p>
          <w:p w14:paraId="6AB60B62" w14:textId="77777777" w:rsidR="0063693D" w:rsidRDefault="0063693D" w:rsidP="00FA01E6">
            <w:pPr>
              <w:rPr>
                <w:rFonts w:ascii="Calibri" w:hAnsi="Calibri"/>
                <w:color w:val="000000"/>
              </w:rPr>
            </w:pPr>
          </w:p>
          <w:p w14:paraId="64DF9D45" w14:textId="77777777" w:rsidR="0063693D" w:rsidRDefault="0063693D" w:rsidP="00FA01E6">
            <w:pPr>
              <w:rPr>
                <w:rFonts w:ascii="Calibri" w:hAnsi="Calibri"/>
                <w:color w:val="000000"/>
              </w:rPr>
            </w:pPr>
          </w:p>
          <w:p w14:paraId="71A144C4" w14:textId="77777777" w:rsidR="0063693D" w:rsidRDefault="0063693D" w:rsidP="00FA01E6">
            <w:pPr>
              <w:rPr>
                <w:rFonts w:ascii="Calibri" w:hAnsi="Calibri"/>
                <w:color w:val="000000"/>
              </w:rPr>
            </w:pPr>
          </w:p>
          <w:p w14:paraId="52D81833" w14:textId="77777777" w:rsidR="0063693D" w:rsidRPr="000A108B" w:rsidRDefault="0063693D" w:rsidP="00FA01E6">
            <w:pPr>
              <w:rPr>
                <w:rFonts w:ascii="Calibri" w:hAnsi="Calibri"/>
                <w:color w:val="000000"/>
              </w:rPr>
            </w:pPr>
          </w:p>
        </w:tc>
      </w:tr>
      <w:tr w:rsidR="0063693D" w14:paraId="3CF4545F" w14:textId="77777777" w:rsidTr="00B94C53">
        <w:tc>
          <w:tcPr>
            <w:tcW w:w="1809" w:type="dxa"/>
          </w:tcPr>
          <w:p w14:paraId="7C04EA66" w14:textId="77777777" w:rsidR="0063693D" w:rsidRDefault="0063693D" w:rsidP="00B94C53">
            <w:pPr>
              <w:rPr>
                <w:rFonts w:cstheme="minorHAnsi"/>
              </w:rPr>
            </w:pPr>
            <w:r>
              <w:rPr>
                <w:rFonts w:cstheme="minorHAnsi"/>
              </w:rPr>
              <w:lastRenderedPageBreak/>
              <w:t>Nagasaki, 2009, Japan</w:t>
            </w:r>
          </w:p>
          <w:p w14:paraId="63A1537F" w14:textId="77777777" w:rsidR="007F4F06" w:rsidRDefault="007F4F06" w:rsidP="00B94C53">
            <w:pPr>
              <w:rPr>
                <w:rFonts w:cstheme="minorHAnsi"/>
              </w:rPr>
            </w:pPr>
          </w:p>
          <w:p w14:paraId="3F0D267F" w14:textId="77777777" w:rsidR="007F4F06" w:rsidRPr="00173CD4" w:rsidRDefault="007F4F06" w:rsidP="00B94C53">
            <w:pPr>
              <w:rPr>
                <w:rFonts w:cstheme="minorHAnsi"/>
              </w:rPr>
            </w:pPr>
            <w:r>
              <w:rPr>
                <w:rFonts w:ascii="Calibri" w:hAnsi="Calibri"/>
                <w:color w:val="000000"/>
              </w:rPr>
              <w:t xml:space="preserve">n=95 (100% </w:t>
            </w:r>
            <w:r w:rsidR="004F0FA7">
              <w:rPr>
                <w:rFonts w:ascii="Calibri" w:hAnsi="Calibri"/>
                <w:color w:val="000000"/>
              </w:rPr>
              <w:t>female</w:t>
            </w:r>
            <w:r>
              <w:rPr>
                <w:rFonts w:ascii="Calibri" w:hAnsi="Calibri"/>
                <w:color w:val="000000"/>
              </w:rPr>
              <w:t>)</w:t>
            </w:r>
          </w:p>
        </w:tc>
        <w:tc>
          <w:tcPr>
            <w:tcW w:w="1560" w:type="dxa"/>
          </w:tcPr>
          <w:p w14:paraId="768ABD89" w14:textId="77777777" w:rsidR="007F4F06" w:rsidRDefault="0063693D" w:rsidP="00B94C53">
            <w:pPr>
              <w:rPr>
                <w:rFonts w:ascii="Calibri" w:hAnsi="Calibri"/>
                <w:color w:val="000000"/>
              </w:rPr>
            </w:pPr>
            <w:r>
              <w:rPr>
                <w:rFonts w:ascii="Calibri" w:hAnsi="Calibri"/>
                <w:color w:val="000000"/>
              </w:rPr>
              <w:t xml:space="preserve">RCT, </w:t>
            </w:r>
          </w:p>
          <w:p w14:paraId="43962416" w14:textId="77777777" w:rsidR="007F4F06" w:rsidRDefault="007F4F06" w:rsidP="00B94C53">
            <w:pPr>
              <w:rPr>
                <w:rFonts w:ascii="Calibri" w:hAnsi="Calibri"/>
                <w:color w:val="000000"/>
              </w:rPr>
            </w:pPr>
            <w:r>
              <w:rPr>
                <w:rFonts w:ascii="Calibri" w:hAnsi="Calibri"/>
                <w:color w:val="000000"/>
              </w:rPr>
              <w:t>Placebo,</w:t>
            </w:r>
          </w:p>
          <w:p w14:paraId="71F32872" w14:textId="77777777" w:rsidR="0063693D" w:rsidRDefault="0063693D" w:rsidP="00B94C53">
            <w:pPr>
              <w:rPr>
                <w:rFonts w:ascii="Calibri" w:hAnsi="Calibri"/>
                <w:color w:val="000000"/>
              </w:rPr>
            </w:pPr>
            <w:r>
              <w:rPr>
                <w:rFonts w:ascii="Calibri" w:hAnsi="Calibri"/>
                <w:color w:val="000000"/>
              </w:rPr>
              <w:t>5 months</w:t>
            </w:r>
            <w:r w:rsidR="007F4F06">
              <w:rPr>
                <w:rFonts w:ascii="Calibri" w:hAnsi="Calibri"/>
                <w:color w:val="000000"/>
              </w:rPr>
              <w:t xml:space="preserve">, </w:t>
            </w:r>
            <w:r>
              <w:rPr>
                <w:rFonts w:ascii="Calibri" w:hAnsi="Calibri"/>
                <w:color w:val="000000"/>
              </w:rPr>
              <w:t>outpatient clinic</w:t>
            </w:r>
          </w:p>
        </w:tc>
        <w:tc>
          <w:tcPr>
            <w:tcW w:w="4394" w:type="dxa"/>
          </w:tcPr>
          <w:p w14:paraId="1863900F" w14:textId="77777777" w:rsidR="0063693D" w:rsidRDefault="0063693D" w:rsidP="00FA01E6">
            <w:pPr>
              <w:autoSpaceDE w:val="0"/>
              <w:autoSpaceDN w:val="0"/>
              <w:adjustRightInd w:val="0"/>
              <w:rPr>
                <w:rFonts w:cs="AdvOT82c4f4c4"/>
                <w:i/>
              </w:rPr>
            </w:pPr>
            <w:r>
              <w:rPr>
                <w:rFonts w:cs="AdvOT82c4f4c4"/>
                <w:i/>
              </w:rPr>
              <w:t>Inclusion</w:t>
            </w:r>
            <w:r w:rsidR="00C80836">
              <w:rPr>
                <w:rFonts w:cs="AdvOT82c4f4c4"/>
                <w:i/>
              </w:rPr>
              <w:t xml:space="preserve"> </w:t>
            </w:r>
            <w:r w:rsidR="00C80836">
              <w:rPr>
                <w:rFonts w:cstheme="minorHAnsi"/>
                <w:i/>
              </w:rPr>
              <w:t>criteria</w:t>
            </w:r>
            <w:r>
              <w:rPr>
                <w:rFonts w:cs="AdvOT82c4f4c4"/>
                <w:i/>
              </w:rPr>
              <w:t xml:space="preserve">: </w:t>
            </w:r>
            <w:r w:rsidR="00A51FC8" w:rsidRPr="00B94C53">
              <w:rPr>
                <w:rFonts w:cs="AdvOT82c4f4c4"/>
              </w:rPr>
              <w:t>Consecutively rec</w:t>
            </w:r>
            <w:r w:rsidR="00A51FC8">
              <w:rPr>
                <w:rFonts w:cs="AdvOT82c4f4c4"/>
              </w:rPr>
              <w:t>ruited females</w:t>
            </w:r>
            <w:r>
              <w:rPr>
                <w:rFonts w:cs="AdvOT82c4f4c4"/>
              </w:rPr>
              <w:t xml:space="preserve"> </w:t>
            </w:r>
            <w:r>
              <w:t>with SCH</w:t>
            </w:r>
            <w:r w:rsidR="0006294E">
              <w:t>o</w:t>
            </w:r>
            <w:r>
              <w:t xml:space="preserve"> due to autoimmune chronic thyroiditis; </w:t>
            </w:r>
            <w:r>
              <w:rPr>
                <w:rFonts w:cs="AdvOT82c4f4c4"/>
              </w:rPr>
              <w:t xml:space="preserve">TSH &gt; </w:t>
            </w:r>
            <w:r w:rsidR="00DD60C6">
              <w:rPr>
                <w:rFonts w:cs="AdvOT82c4f4c4"/>
              </w:rPr>
              <w:t xml:space="preserve">upper limit of normal </w:t>
            </w:r>
            <w:r>
              <w:rPr>
                <w:rFonts w:cs="AdvOT82c4f4c4"/>
              </w:rPr>
              <w:t>with FT</w:t>
            </w:r>
            <w:r w:rsidRPr="00D7499C">
              <w:rPr>
                <w:rFonts w:cs="AdvOT82c4f4c4"/>
                <w:vertAlign w:val="subscript"/>
              </w:rPr>
              <w:t>3</w:t>
            </w:r>
            <w:r>
              <w:rPr>
                <w:rFonts w:cs="AdvOT82c4f4c4"/>
              </w:rPr>
              <w:t xml:space="preserve"> and FT</w:t>
            </w:r>
            <w:r w:rsidRPr="00D7499C">
              <w:rPr>
                <w:rFonts w:cs="AdvOT82c4f4c4"/>
                <w:vertAlign w:val="subscript"/>
              </w:rPr>
              <w:t>4</w:t>
            </w:r>
            <w:r>
              <w:rPr>
                <w:rFonts w:cs="AdvOT82c4f4c4"/>
              </w:rPr>
              <w:t xml:space="preserve"> WNL;</w:t>
            </w:r>
          </w:p>
          <w:p w14:paraId="3E9A3FA1" w14:textId="77777777" w:rsidR="0063693D" w:rsidRDefault="0063693D" w:rsidP="00FA01E6">
            <w:pPr>
              <w:autoSpaceDE w:val="0"/>
              <w:autoSpaceDN w:val="0"/>
              <w:adjustRightInd w:val="0"/>
              <w:rPr>
                <w:rFonts w:cs="AdvOT82c4f4c4"/>
                <w:i/>
              </w:rPr>
            </w:pPr>
          </w:p>
          <w:p w14:paraId="3E87D576" w14:textId="77777777" w:rsidR="0063693D" w:rsidRPr="002D5792" w:rsidRDefault="0063693D" w:rsidP="00FA01E6">
            <w:pPr>
              <w:autoSpaceDE w:val="0"/>
              <w:autoSpaceDN w:val="0"/>
              <w:adjustRightInd w:val="0"/>
              <w:rPr>
                <w:rFonts w:cs="AdvOT82c4f4c4"/>
              </w:rPr>
            </w:pPr>
            <w:r>
              <w:rPr>
                <w:rFonts w:cs="AdvOT82c4f4c4"/>
                <w:i/>
              </w:rPr>
              <w:t>Exclusion</w:t>
            </w:r>
            <w:r w:rsidR="00C80836">
              <w:rPr>
                <w:rFonts w:cs="AdvOT82c4f4c4"/>
                <w:i/>
              </w:rPr>
              <w:t xml:space="preserve"> </w:t>
            </w:r>
            <w:r w:rsidR="00C80836">
              <w:rPr>
                <w:rFonts w:cstheme="minorHAnsi"/>
                <w:i/>
              </w:rPr>
              <w:t>criteria</w:t>
            </w:r>
            <w:r>
              <w:rPr>
                <w:rFonts w:cs="AdvOT82c4f4c4"/>
                <w:i/>
              </w:rPr>
              <w:t>:</w:t>
            </w:r>
            <w:r>
              <w:t xml:space="preserve"> Hypertension; hyperlipidemia; diabetes mellitus; concurrent treatment with hormone replacement therapy, lipid-lowering, antihypertensive, or anti-platelet drugs, or bisphosphonates or etidronate</w:t>
            </w:r>
          </w:p>
        </w:tc>
        <w:tc>
          <w:tcPr>
            <w:tcW w:w="1701" w:type="dxa"/>
          </w:tcPr>
          <w:p w14:paraId="7C14DEC3" w14:textId="77777777" w:rsidR="0063693D" w:rsidRDefault="0063693D" w:rsidP="00FA01E6">
            <w:pPr>
              <w:autoSpaceDE w:val="0"/>
              <w:autoSpaceDN w:val="0"/>
              <w:adjustRightInd w:val="0"/>
              <w:rPr>
                <w:rFonts w:cs="AdvOT1ef757c0"/>
              </w:rPr>
            </w:pPr>
            <w:r>
              <w:rPr>
                <w:rFonts w:cs="AdvOT1ef757c0"/>
              </w:rPr>
              <w:t>LT</w:t>
            </w:r>
            <w:r w:rsidRPr="00A03719">
              <w:rPr>
                <w:rFonts w:cs="AdvOT1ef757c0"/>
                <w:vertAlign w:val="subscript"/>
              </w:rPr>
              <w:t>4</w:t>
            </w:r>
            <w:r>
              <w:rPr>
                <w:rFonts w:cs="AdvOT1ef757c0"/>
              </w:rPr>
              <w:t xml:space="preserve"> treatment (initial: 12.5 µg/day titrated to achieve TSH WNL)</w:t>
            </w:r>
          </w:p>
        </w:tc>
        <w:tc>
          <w:tcPr>
            <w:tcW w:w="3260" w:type="dxa"/>
          </w:tcPr>
          <w:p w14:paraId="47B2E94F" w14:textId="77777777" w:rsidR="0063693D" w:rsidRDefault="0063693D" w:rsidP="00FA01E6">
            <w:pPr>
              <w:autoSpaceDE w:val="0"/>
              <w:autoSpaceDN w:val="0"/>
              <w:adjustRightInd w:val="0"/>
              <w:rPr>
                <w:rFonts w:cs="AdvOT1ef757c0"/>
              </w:rPr>
            </w:pPr>
            <w:r>
              <w:rPr>
                <w:rFonts w:cs="AdvOT1ef757c0"/>
              </w:rPr>
              <w:t>Main outcome: arterial stiffness</w:t>
            </w:r>
          </w:p>
          <w:p w14:paraId="35AD48F4" w14:textId="77777777" w:rsidR="0063693D" w:rsidRDefault="0063693D" w:rsidP="00FA01E6">
            <w:pPr>
              <w:autoSpaceDE w:val="0"/>
              <w:autoSpaceDN w:val="0"/>
              <w:adjustRightInd w:val="0"/>
              <w:rPr>
                <w:rFonts w:cs="AdvOT1ef757c0"/>
              </w:rPr>
            </w:pPr>
          </w:p>
          <w:p w14:paraId="53D47688" w14:textId="77777777" w:rsidR="0063693D" w:rsidRDefault="0063693D" w:rsidP="00FA01E6">
            <w:pPr>
              <w:autoSpaceDE w:val="0"/>
              <w:autoSpaceDN w:val="0"/>
              <w:adjustRightInd w:val="0"/>
              <w:rPr>
                <w:rFonts w:cs="AdvOT1ef757c0"/>
              </w:rPr>
            </w:pPr>
            <w:r>
              <w:rPr>
                <w:rFonts w:cs="AdvOT1ef757c0"/>
              </w:rPr>
              <w:t>Lipid profile, SBP, DBP, BMI also reported</w:t>
            </w:r>
          </w:p>
          <w:p w14:paraId="18D41A99" w14:textId="77777777" w:rsidR="0063693D" w:rsidRDefault="0063693D" w:rsidP="00FA01E6">
            <w:pPr>
              <w:autoSpaceDE w:val="0"/>
              <w:autoSpaceDN w:val="0"/>
              <w:adjustRightInd w:val="0"/>
              <w:rPr>
                <w:rFonts w:cs="AdvOT1ef757c0"/>
              </w:rPr>
            </w:pPr>
          </w:p>
          <w:p w14:paraId="1C0D153C" w14:textId="77777777" w:rsidR="0063693D" w:rsidRPr="003C24CD" w:rsidRDefault="0063693D" w:rsidP="00FA01E6">
            <w:pPr>
              <w:autoSpaceDE w:val="0"/>
              <w:autoSpaceDN w:val="0"/>
              <w:adjustRightInd w:val="0"/>
              <w:rPr>
                <w:rFonts w:cs="AdvOT1ef757c0"/>
              </w:rPr>
            </w:pPr>
            <w:r>
              <w:rPr>
                <w:rFonts w:cs="AdvOT1ef757c0"/>
              </w:rPr>
              <w:t>WDAEs  also reported</w:t>
            </w:r>
          </w:p>
        </w:tc>
      </w:tr>
      <w:tr w:rsidR="0063693D" w14:paraId="1D44BBF0" w14:textId="77777777" w:rsidTr="00B94C53">
        <w:tc>
          <w:tcPr>
            <w:tcW w:w="1809" w:type="dxa"/>
          </w:tcPr>
          <w:p w14:paraId="0455957C" w14:textId="77777777" w:rsidR="0063693D" w:rsidRDefault="0063693D" w:rsidP="00B94C53">
            <w:pPr>
              <w:rPr>
                <w:rFonts w:cstheme="minorHAnsi"/>
              </w:rPr>
            </w:pPr>
            <w:r>
              <w:rPr>
                <w:rFonts w:cstheme="minorHAnsi"/>
              </w:rPr>
              <w:t>Mikhail, 2008, Kuwait</w:t>
            </w:r>
          </w:p>
          <w:p w14:paraId="625468C6" w14:textId="77777777" w:rsidR="007F4F06" w:rsidRDefault="007F4F06" w:rsidP="00B94C53">
            <w:pPr>
              <w:rPr>
                <w:rFonts w:cstheme="minorHAnsi"/>
              </w:rPr>
            </w:pPr>
          </w:p>
          <w:p w14:paraId="5B444CA5" w14:textId="77777777" w:rsidR="007F4F06" w:rsidRPr="00173CD4" w:rsidRDefault="007F4F06" w:rsidP="00B94C53">
            <w:pPr>
              <w:rPr>
                <w:rFonts w:cstheme="minorHAnsi"/>
              </w:rPr>
            </w:pPr>
            <w:r>
              <w:rPr>
                <w:rFonts w:ascii="Calibri" w:hAnsi="Calibri"/>
                <w:color w:val="000000"/>
              </w:rPr>
              <w:t xml:space="preserve">n=120 (98% </w:t>
            </w:r>
            <w:r w:rsidR="004F0FA7">
              <w:rPr>
                <w:rFonts w:ascii="Calibri" w:hAnsi="Calibri"/>
                <w:color w:val="000000"/>
              </w:rPr>
              <w:t>female</w:t>
            </w:r>
            <w:r>
              <w:rPr>
                <w:rFonts w:ascii="Calibri" w:hAnsi="Calibri"/>
                <w:color w:val="000000"/>
              </w:rPr>
              <w:t>)</w:t>
            </w:r>
          </w:p>
        </w:tc>
        <w:tc>
          <w:tcPr>
            <w:tcW w:w="1560" w:type="dxa"/>
          </w:tcPr>
          <w:p w14:paraId="663D322D" w14:textId="77777777" w:rsidR="007F4F06" w:rsidRDefault="0063693D" w:rsidP="00FA01E6">
            <w:pPr>
              <w:rPr>
                <w:rFonts w:ascii="Calibri" w:hAnsi="Calibri"/>
                <w:color w:val="000000"/>
              </w:rPr>
            </w:pPr>
            <w:r>
              <w:rPr>
                <w:rFonts w:ascii="Calibri" w:hAnsi="Calibri"/>
                <w:color w:val="000000"/>
              </w:rPr>
              <w:t xml:space="preserve">RCT, </w:t>
            </w:r>
          </w:p>
          <w:p w14:paraId="54BAD930" w14:textId="77777777" w:rsidR="007F4F06" w:rsidRDefault="007F4F06" w:rsidP="00FA01E6">
            <w:pPr>
              <w:rPr>
                <w:rFonts w:ascii="Calibri" w:hAnsi="Calibri"/>
                <w:color w:val="000000"/>
              </w:rPr>
            </w:pPr>
            <w:r>
              <w:rPr>
                <w:rFonts w:ascii="Calibri" w:hAnsi="Calibri"/>
                <w:color w:val="000000"/>
              </w:rPr>
              <w:t>Placebo,</w:t>
            </w:r>
            <w:r w:rsidR="0063693D">
              <w:rPr>
                <w:rFonts w:ascii="Calibri" w:hAnsi="Calibri"/>
                <w:color w:val="000000"/>
              </w:rPr>
              <w:t xml:space="preserve"> </w:t>
            </w:r>
          </w:p>
          <w:p w14:paraId="1F2AF569" w14:textId="77777777" w:rsidR="0063693D" w:rsidRDefault="0063693D" w:rsidP="00FA01E6">
            <w:pPr>
              <w:rPr>
                <w:rFonts w:ascii="Calibri" w:hAnsi="Calibri"/>
                <w:color w:val="000000"/>
              </w:rPr>
            </w:pPr>
            <w:r>
              <w:rPr>
                <w:rFonts w:ascii="Calibri" w:hAnsi="Calibri"/>
                <w:color w:val="000000"/>
              </w:rPr>
              <w:t>52 weeks</w:t>
            </w:r>
            <w:r w:rsidR="007F4F06">
              <w:rPr>
                <w:rFonts w:ascii="Calibri" w:hAnsi="Calibri"/>
                <w:color w:val="000000"/>
              </w:rPr>
              <w:t>,</w:t>
            </w:r>
            <w:r>
              <w:rPr>
                <w:rFonts w:ascii="Calibri" w:hAnsi="Calibri"/>
                <w:color w:val="000000"/>
              </w:rPr>
              <w:t xml:space="preserve"> outpatient clinic</w:t>
            </w:r>
          </w:p>
          <w:p w14:paraId="4E1570FF" w14:textId="77777777" w:rsidR="0063693D" w:rsidRDefault="0063693D" w:rsidP="00FA01E6">
            <w:pPr>
              <w:rPr>
                <w:rFonts w:ascii="Calibri" w:hAnsi="Calibri"/>
                <w:color w:val="000000"/>
              </w:rPr>
            </w:pPr>
          </w:p>
          <w:p w14:paraId="279CB4CA" w14:textId="77777777" w:rsidR="0063693D" w:rsidRDefault="0063693D" w:rsidP="00FA01E6">
            <w:pPr>
              <w:rPr>
                <w:rFonts w:ascii="Calibri" w:hAnsi="Calibri"/>
                <w:color w:val="000000"/>
              </w:rPr>
            </w:pPr>
          </w:p>
        </w:tc>
        <w:tc>
          <w:tcPr>
            <w:tcW w:w="4394" w:type="dxa"/>
          </w:tcPr>
          <w:p w14:paraId="41D06E2B" w14:textId="77777777" w:rsidR="0063693D" w:rsidRPr="00762056" w:rsidRDefault="0063693D" w:rsidP="00FA01E6">
            <w:pPr>
              <w:autoSpaceDE w:val="0"/>
              <w:autoSpaceDN w:val="0"/>
              <w:adjustRightInd w:val="0"/>
              <w:rPr>
                <w:rFonts w:cs="AdvOT82c4f4c4"/>
              </w:rPr>
            </w:pPr>
            <w:r>
              <w:rPr>
                <w:rFonts w:cs="AdvOT82c4f4c4"/>
                <w:i/>
              </w:rPr>
              <w:t>Inclusion</w:t>
            </w:r>
            <w:r w:rsidR="00C80836">
              <w:rPr>
                <w:rFonts w:cs="AdvOT82c4f4c4"/>
                <w:i/>
              </w:rPr>
              <w:t xml:space="preserve"> </w:t>
            </w:r>
            <w:r w:rsidR="00C80836">
              <w:rPr>
                <w:rFonts w:cstheme="minorHAnsi"/>
                <w:i/>
              </w:rPr>
              <w:t>criteria</w:t>
            </w:r>
            <w:r>
              <w:rPr>
                <w:rFonts w:cs="AdvOT82c4f4c4"/>
                <w:i/>
              </w:rPr>
              <w:t>:</w:t>
            </w:r>
            <w:r>
              <w:t xml:space="preserve"> Age between 15 and 60 years; TSH &gt; 4.0 mIU/L and &lt; 10 mIU/L on 2 separate tests with FT</w:t>
            </w:r>
            <w:r w:rsidRPr="00762056">
              <w:rPr>
                <w:vertAlign w:val="subscript"/>
              </w:rPr>
              <w:t>4</w:t>
            </w:r>
            <w:r>
              <w:t xml:space="preserve"> WNL</w:t>
            </w:r>
          </w:p>
          <w:p w14:paraId="741F37B7" w14:textId="77777777" w:rsidR="0063693D" w:rsidRDefault="0063693D" w:rsidP="00FA01E6">
            <w:pPr>
              <w:autoSpaceDE w:val="0"/>
              <w:autoSpaceDN w:val="0"/>
              <w:adjustRightInd w:val="0"/>
              <w:rPr>
                <w:rFonts w:cs="AdvOT82c4f4c4"/>
                <w:i/>
              </w:rPr>
            </w:pPr>
          </w:p>
          <w:p w14:paraId="6CA96E59" w14:textId="77777777" w:rsidR="0063693D" w:rsidRPr="001D3795" w:rsidRDefault="0063693D" w:rsidP="00FA01E6">
            <w:pPr>
              <w:autoSpaceDE w:val="0"/>
              <w:autoSpaceDN w:val="0"/>
              <w:adjustRightInd w:val="0"/>
              <w:rPr>
                <w:rFonts w:cs="AdvOT82c4f4c4"/>
                <w:i/>
              </w:rPr>
            </w:pPr>
            <w:r>
              <w:rPr>
                <w:rFonts w:cs="AdvOT82c4f4c4"/>
                <w:i/>
              </w:rPr>
              <w:t>Exclusion</w:t>
            </w:r>
            <w:r w:rsidR="00C80836">
              <w:rPr>
                <w:rFonts w:cs="AdvOT82c4f4c4"/>
                <w:i/>
              </w:rPr>
              <w:t xml:space="preserve"> </w:t>
            </w:r>
            <w:r w:rsidR="00C80836">
              <w:rPr>
                <w:rFonts w:cstheme="minorHAnsi"/>
                <w:i/>
              </w:rPr>
              <w:t>criteria</w:t>
            </w:r>
            <w:r>
              <w:rPr>
                <w:rFonts w:cs="AdvOT82c4f4c4"/>
                <w:i/>
              </w:rPr>
              <w:t>:</w:t>
            </w:r>
            <w:r>
              <w:t xml:space="preserve"> History of thyroid disease; history of radioiodine treatment or any thyroid medication; dyslipidemia or use of lipid-lowering agents during the year before enrollment; cigarette smoking; coronary artery disease; diabetes; renal or hepatic failure; other systemic diseases</w:t>
            </w:r>
          </w:p>
        </w:tc>
        <w:tc>
          <w:tcPr>
            <w:tcW w:w="1701" w:type="dxa"/>
          </w:tcPr>
          <w:p w14:paraId="3AFB4ABD" w14:textId="77777777" w:rsidR="0063693D" w:rsidRDefault="0063693D" w:rsidP="00FA01E6">
            <w:pPr>
              <w:autoSpaceDE w:val="0"/>
              <w:autoSpaceDN w:val="0"/>
              <w:adjustRightInd w:val="0"/>
              <w:rPr>
                <w:rFonts w:cs="AdvOT1ef757c0"/>
              </w:rPr>
            </w:pPr>
            <w:r>
              <w:rPr>
                <w:rFonts w:cs="AdvOT1ef757c0"/>
              </w:rPr>
              <w:t>LT</w:t>
            </w:r>
            <w:r w:rsidRPr="00A03719">
              <w:rPr>
                <w:rFonts w:cs="AdvOT1ef757c0"/>
                <w:vertAlign w:val="subscript"/>
              </w:rPr>
              <w:t>4</w:t>
            </w:r>
            <w:r>
              <w:rPr>
                <w:rFonts w:cs="AdvOT1ef757c0"/>
              </w:rPr>
              <w:t xml:space="preserve"> treatment (initial: 25 µg/day titrated to achieve TSH WNL)</w:t>
            </w:r>
          </w:p>
        </w:tc>
        <w:tc>
          <w:tcPr>
            <w:tcW w:w="3260" w:type="dxa"/>
          </w:tcPr>
          <w:p w14:paraId="556EF89E" w14:textId="77777777" w:rsidR="0063693D" w:rsidRPr="00380E9A" w:rsidRDefault="0063693D" w:rsidP="00FA01E6">
            <w:pPr>
              <w:autoSpaceDE w:val="0"/>
              <w:autoSpaceDN w:val="0"/>
              <w:adjustRightInd w:val="0"/>
              <w:rPr>
                <w:rFonts w:cs="AdvOT1ef757c0"/>
              </w:rPr>
            </w:pPr>
            <w:r>
              <w:rPr>
                <w:rFonts w:cs="AdvOT1ef757c0"/>
              </w:rPr>
              <w:t>Main outcome: lipid profile</w:t>
            </w:r>
          </w:p>
        </w:tc>
      </w:tr>
      <w:tr w:rsidR="0063693D" w14:paraId="5A9458C8" w14:textId="77777777" w:rsidTr="00B94C53">
        <w:tc>
          <w:tcPr>
            <w:tcW w:w="1809" w:type="dxa"/>
          </w:tcPr>
          <w:p w14:paraId="70EAA74C" w14:textId="77777777" w:rsidR="0063693D" w:rsidRDefault="0063693D" w:rsidP="00B94C53">
            <w:pPr>
              <w:rPr>
                <w:rFonts w:cstheme="minorHAnsi"/>
              </w:rPr>
            </w:pPr>
            <w:r>
              <w:rPr>
                <w:rFonts w:cstheme="minorHAnsi"/>
              </w:rPr>
              <w:t>Texeira (a), 2008, Brazil</w:t>
            </w:r>
          </w:p>
          <w:p w14:paraId="752108E4" w14:textId="77777777" w:rsidR="007F4F06" w:rsidRDefault="007F4F06" w:rsidP="00B94C53">
            <w:pPr>
              <w:rPr>
                <w:rFonts w:cstheme="minorHAnsi"/>
              </w:rPr>
            </w:pPr>
          </w:p>
          <w:p w14:paraId="0F5EFD74" w14:textId="77777777" w:rsidR="007F4F06" w:rsidRPr="00173CD4" w:rsidRDefault="007F4F06" w:rsidP="00B94C53">
            <w:pPr>
              <w:rPr>
                <w:rFonts w:cstheme="minorHAnsi"/>
              </w:rPr>
            </w:pPr>
            <w:r>
              <w:rPr>
                <w:rFonts w:ascii="Calibri" w:hAnsi="Calibri"/>
                <w:color w:val="000000"/>
              </w:rPr>
              <w:t xml:space="preserve">n=60 (95% </w:t>
            </w:r>
            <w:r w:rsidR="004F0FA7">
              <w:rPr>
                <w:rFonts w:ascii="Calibri" w:hAnsi="Calibri"/>
                <w:color w:val="000000"/>
              </w:rPr>
              <w:t>female</w:t>
            </w:r>
            <w:r>
              <w:rPr>
                <w:rFonts w:ascii="Calibri" w:hAnsi="Calibri"/>
                <w:color w:val="000000"/>
              </w:rPr>
              <w:t>)</w:t>
            </w:r>
          </w:p>
        </w:tc>
        <w:tc>
          <w:tcPr>
            <w:tcW w:w="1560" w:type="dxa"/>
          </w:tcPr>
          <w:p w14:paraId="4A2E10E6" w14:textId="77777777" w:rsidR="007F4F06" w:rsidRDefault="0063693D" w:rsidP="00FA01E6">
            <w:pPr>
              <w:rPr>
                <w:rFonts w:ascii="Calibri" w:hAnsi="Calibri"/>
                <w:color w:val="000000"/>
              </w:rPr>
            </w:pPr>
            <w:r>
              <w:rPr>
                <w:rFonts w:ascii="Calibri" w:hAnsi="Calibri"/>
                <w:color w:val="000000"/>
              </w:rPr>
              <w:t xml:space="preserve">RCT, </w:t>
            </w:r>
          </w:p>
          <w:p w14:paraId="644B2583" w14:textId="77777777" w:rsidR="007F4F06" w:rsidRDefault="007F4F06" w:rsidP="00FA01E6">
            <w:pPr>
              <w:rPr>
                <w:rFonts w:ascii="Calibri" w:hAnsi="Calibri"/>
                <w:color w:val="000000"/>
              </w:rPr>
            </w:pPr>
            <w:r>
              <w:rPr>
                <w:rFonts w:ascii="Calibri" w:hAnsi="Calibri"/>
                <w:color w:val="000000"/>
              </w:rPr>
              <w:t>Placebo,</w:t>
            </w:r>
            <w:r w:rsidR="0063693D">
              <w:rPr>
                <w:rFonts w:ascii="Calibri" w:hAnsi="Calibri"/>
                <w:color w:val="000000"/>
              </w:rPr>
              <w:t xml:space="preserve"> </w:t>
            </w:r>
          </w:p>
          <w:p w14:paraId="31EB0A40" w14:textId="77777777" w:rsidR="0063693D" w:rsidRDefault="0063693D" w:rsidP="00FA01E6">
            <w:pPr>
              <w:rPr>
                <w:rFonts w:ascii="Calibri" w:hAnsi="Calibri"/>
                <w:color w:val="000000"/>
              </w:rPr>
            </w:pPr>
            <w:r>
              <w:rPr>
                <w:rFonts w:ascii="Calibri" w:hAnsi="Calibri"/>
                <w:color w:val="000000"/>
              </w:rPr>
              <w:t>6 months</w:t>
            </w:r>
            <w:r w:rsidR="007F4F06">
              <w:rPr>
                <w:rFonts w:ascii="Calibri" w:hAnsi="Calibri"/>
                <w:color w:val="000000"/>
              </w:rPr>
              <w:t>,</w:t>
            </w:r>
            <w:r>
              <w:rPr>
                <w:rFonts w:ascii="Calibri" w:hAnsi="Calibri"/>
                <w:color w:val="000000"/>
              </w:rPr>
              <w:t xml:space="preserve"> outpatient clinic</w:t>
            </w:r>
          </w:p>
          <w:p w14:paraId="20F5162A" w14:textId="77777777" w:rsidR="0063693D" w:rsidRDefault="0063693D" w:rsidP="00FA01E6">
            <w:pPr>
              <w:rPr>
                <w:rFonts w:ascii="Calibri" w:hAnsi="Calibri"/>
                <w:color w:val="000000"/>
              </w:rPr>
            </w:pPr>
          </w:p>
        </w:tc>
        <w:tc>
          <w:tcPr>
            <w:tcW w:w="4394" w:type="dxa"/>
            <w:vMerge w:val="restart"/>
          </w:tcPr>
          <w:p w14:paraId="756005B9" w14:textId="77777777" w:rsidR="0063693D" w:rsidRDefault="0063693D" w:rsidP="00FA01E6">
            <w:pPr>
              <w:autoSpaceDE w:val="0"/>
              <w:autoSpaceDN w:val="0"/>
              <w:adjustRightInd w:val="0"/>
            </w:pPr>
            <w:r w:rsidRPr="007E25DF">
              <w:rPr>
                <w:i/>
              </w:rPr>
              <w:t>Inclusion</w:t>
            </w:r>
            <w:r w:rsidR="00C80836">
              <w:rPr>
                <w:rFonts w:cstheme="minorHAnsi"/>
                <w:i/>
              </w:rPr>
              <w:t xml:space="preserve"> criteria</w:t>
            </w:r>
            <w:r>
              <w:t xml:space="preserve">: TSH &gt; 4.0 </w:t>
            </w:r>
            <w:r w:rsidR="00A51FC8">
              <w:t>µ</w:t>
            </w:r>
            <w:r>
              <w:t>U</w:t>
            </w:r>
            <w:r w:rsidR="00A51FC8">
              <w:t>I</w:t>
            </w:r>
            <w:r>
              <w:t>/</w:t>
            </w:r>
            <w:r w:rsidR="00A51FC8">
              <w:t xml:space="preserve">ml </w:t>
            </w:r>
            <w:r>
              <w:t>on two occasions within a minimal interval of 6 weeks and FT</w:t>
            </w:r>
            <w:r w:rsidRPr="007E25DF">
              <w:rPr>
                <w:vertAlign w:val="subscript"/>
              </w:rPr>
              <w:t>4</w:t>
            </w:r>
            <w:r>
              <w:t xml:space="preserve"> WNL; patients with a history of hyperthyroidism needed to be clinically euthyroid for at least one year prior to developing SCH</w:t>
            </w:r>
            <w:r w:rsidR="0006294E">
              <w:t>o</w:t>
            </w:r>
            <w:r>
              <w:t>.</w:t>
            </w:r>
          </w:p>
          <w:p w14:paraId="7FC87A72" w14:textId="77777777" w:rsidR="0063693D" w:rsidRDefault="0063693D" w:rsidP="00FA01E6">
            <w:pPr>
              <w:autoSpaceDE w:val="0"/>
              <w:autoSpaceDN w:val="0"/>
              <w:adjustRightInd w:val="0"/>
            </w:pPr>
          </w:p>
          <w:p w14:paraId="490E6B83" w14:textId="77777777" w:rsidR="0063693D" w:rsidRPr="00D03859" w:rsidRDefault="0063693D" w:rsidP="00FA01E6">
            <w:pPr>
              <w:autoSpaceDE w:val="0"/>
              <w:autoSpaceDN w:val="0"/>
              <w:adjustRightInd w:val="0"/>
              <w:rPr>
                <w:rFonts w:cs="AdvOT82c4f4c4"/>
                <w:i/>
              </w:rPr>
            </w:pPr>
            <w:r w:rsidRPr="00BF4B8A">
              <w:rPr>
                <w:i/>
              </w:rPr>
              <w:t>Exclusion</w:t>
            </w:r>
            <w:r w:rsidR="00C80836">
              <w:rPr>
                <w:i/>
              </w:rPr>
              <w:t xml:space="preserve"> </w:t>
            </w:r>
            <w:r w:rsidR="00C80836">
              <w:rPr>
                <w:rFonts w:cstheme="minorHAnsi"/>
                <w:i/>
              </w:rPr>
              <w:t>criteria</w:t>
            </w:r>
            <w:r>
              <w:t xml:space="preserve">: ‘Other diseases’; use of drugs that affect thyroid function or lipid profile; BMI </w:t>
            </w:r>
            <w:r>
              <w:rPr>
                <w:rFonts w:cstheme="minorHAnsi"/>
              </w:rPr>
              <w:t>≥</w:t>
            </w:r>
            <w:r>
              <w:t xml:space="preserve"> 30 kg/m</w:t>
            </w:r>
            <w:r w:rsidRPr="00BF4B8A">
              <w:rPr>
                <w:vertAlign w:val="superscript"/>
              </w:rPr>
              <w:t>2</w:t>
            </w:r>
          </w:p>
        </w:tc>
        <w:tc>
          <w:tcPr>
            <w:tcW w:w="1701" w:type="dxa"/>
            <w:vMerge w:val="restart"/>
          </w:tcPr>
          <w:p w14:paraId="493F636C" w14:textId="77777777" w:rsidR="0063693D" w:rsidRDefault="0063693D" w:rsidP="00FA01E6">
            <w:pPr>
              <w:autoSpaceDE w:val="0"/>
              <w:autoSpaceDN w:val="0"/>
              <w:adjustRightInd w:val="0"/>
              <w:rPr>
                <w:rFonts w:cs="AdvOT1ef757c0"/>
              </w:rPr>
            </w:pPr>
            <w:r>
              <w:rPr>
                <w:rFonts w:cs="AdvOT1ef757c0"/>
              </w:rPr>
              <w:lastRenderedPageBreak/>
              <w:t>LT</w:t>
            </w:r>
            <w:r w:rsidRPr="00A03719">
              <w:rPr>
                <w:rFonts w:cs="AdvOT1ef757c0"/>
                <w:vertAlign w:val="subscript"/>
              </w:rPr>
              <w:t>4</w:t>
            </w:r>
            <w:r>
              <w:rPr>
                <w:rFonts w:cs="AdvOT1ef757c0"/>
              </w:rPr>
              <w:t xml:space="preserve"> treatment (25-75 µg/day titrated to achieve TSH, FT</w:t>
            </w:r>
            <w:r w:rsidRPr="004D3B5B">
              <w:rPr>
                <w:rFonts w:cs="AdvOT1ef757c0"/>
                <w:vertAlign w:val="subscript"/>
              </w:rPr>
              <w:t>4</w:t>
            </w:r>
            <w:r>
              <w:rPr>
                <w:rFonts w:cs="AdvOT1ef757c0"/>
              </w:rPr>
              <w:t xml:space="preserve"> WNL)</w:t>
            </w:r>
          </w:p>
        </w:tc>
        <w:tc>
          <w:tcPr>
            <w:tcW w:w="3260" w:type="dxa"/>
            <w:vMerge w:val="restart"/>
          </w:tcPr>
          <w:p w14:paraId="1FD5F01E" w14:textId="77777777" w:rsidR="0063693D" w:rsidRDefault="0063693D" w:rsidP="00FA01E6">
            <w:pPr>
              <w:autoSpaceDE w:val="0"/>
              <w:autoSpaceDN w:val="0"/>
              <w:adjustRightInd w:val="0"/>
              <w:rPr>
                <w:rFonts w:cs="AdvOT1ef757c0"/>
              </w:rPr>
            </w:pPr>
            <w:r>
              <w:rPr>
                <w:rFonts w:cs="AdvOT1ef757c0"/>
              </w:rPr>
              <w:t>Primary outcome: lipid profile</w:t>
            </w:r>
          </w:p>
          <w:p w14:paraId="6D69661E" w14:textId="77777777" w:rsidR="0063693D" w:rsidRDefault="0063693D" w:rsidP="00FA01E6">
            <w:pPr>
              <w:autoSpaceDE w:val="0"/>
              <w:autoSpaceDN w:val="0"/>
              <w:adjustRightInd w:val="0"/>
              <w:rPr>
                <w:rFonts w:cs="AdvOT1ef757c0"/>
              </w:rPr>
            </w:pPr>
          </w:p>
          <w:p w14:paraId="7F7F8814" w14:textId="77777777" w:rsidR="0063693D" w:rsidRPr="004F2609" w:rsidRDefault="0063693D" w:rsidP="00B94C53">
            <w:pPr>
              <w:autoSpaceDE w:val="0"/>
              <w:autoSpaceDN w:val="0"/>
              <w:adjustRightInd w:val="0"/>
              <w:rPr>
                <w:rFonts w:cs="AdvOT1ef757c0"/>
              </w:rPr>
            </w:pPr>
            <w:r>
              <w:rPr>
                <w:rFonts w:cs="AdvOT1ef757c0"/>
              </w:rPr>
              <w:t>BMI, WDAEs</w:t>
            </w:r>
          </w:p>
        </w:tc>
      </w:tr>
      <w:tr w:rsidR="0063693D" w14:paraId="39844A54" w14:textId="77777777" w:rsidTr="00B94C53">
        <w:tc>
          <w:tcPr>
            <w:tcW w:w="1809" w:type="dxa"/>
          </w:tcPr>
          <w:p w14:paraId="081ED1B1" w14:textId="77777777" w:rsidR="0063693D" w:rsidRDefault="0063693D" w:rsidP="00B94C53">
            <w:pPr>
              <w:rPr>
                <w:rFonts w:cstheme="minorHAnsi"/>
              </w:rPr>
            </w:pPr>
            <w:r>
              <w:rPr>
                <w:rFonts w:cstheme="minorHAnsi"/>
              </w:rPr>
              <w:lastRenderedPageBreak/>
              <w:t>Texeira (b) 2008, Brazil</w:t>
            </w:r>
          </w:p>
          <w:p w14:paraId="215F2F65" w14:textId="77777777" w:rsidR="007F4F06" w:rsidRDefault="007F4F06" w:rsidP="00B94C53">
            <w:pPr>
              <w:rPr>
                <w:rFonts w:cstheme="minorHAnsi"/>
              </w:rPr>
            </w:pPr>
          </w:p>
          <w:p w14:paraId="5BAA0317" w14:textId="77777777" w:rsidR="007F4F06" w:rsidRPr="00173CD4" w:rsidRDefault="007F4F06" w:rsidP="00B94C53">
            <w:pPr>
              <w:rPr>
                <w:rFonts w:cstheme="minorHAnsi"/>
              </w:rPr>
            </w:pPr>
            <w:r>
              <w:rPr>
                <w:rFonts w:ascii="Calibri" w:hAnsi="Calibri"/>
                <w:color w:val="000000"/>
              </w:rPr>
              <w:t xml:space="preserve">n=60 (95% </w:t>
            </w:r>
            <w:r w:rsidR="004F0FA7">
              <w:rPr>
                <w:rFonts w:ascii="Calibri" w:hAnsi="Calibri"/>
                <w:color w:val="000000"/>
              </w:rPr>
              <w:t>female</w:t>
            </w:r>
            <w:r>
              <w:rPr>
                <w:rFonts w:ascii="Calibri" w:hAnsi="Calibri"/>
                <w:color w:val="000000"/>
              </w:rPr>
              <w:t>)</w:t>
            </w:r>
          </w:p>
        </w:tc>
        <w:tc>
          <w:tcPr>
            <w:tcW w:w="1560" w:type="dxa"/>
          </w:tcPr>
          <w:p w14:paraId="24457B8C" w14:textId="77777777" w:rsidR="007F4F06" w:rsidRDefault="0063693D" w:rsidP="00B94C53">
            <w:pPr>
              <w:rPr>
                <w:rFonts w:ascii="Calibri" w:hAnsi="Calibri"/>
                <w:color w:val="000000"/>
              </w:rPr>
            </w:pPr>
            <w:r>
              <w:rPr>
                <w:rFonts w:ascii="Calibri" w:hAnsi="Calibri"/>
                <w:color w:val="000000"/>
              </w:rPr>
              <w:t xml:space="preserve">RCT, </w:t>
            </w:r>
          </w:p>
          <w:p w14:paraId="18A17CCF" w14:textId="77777777" w:rsidR="007F4F06" w:rsidRDefault="007F4F06" w:rsidP="00B94C53">
            <w:pPr>
              <w:rPr>
                <w:rFonts w:ascii="Calibri" w:hAnsi="Calibri"/>
                <w:color w:val="000000"/>
              </w:rPr>
            </w:pPr>
            <w:r>
              <w:rPr>
                <w:rFonts w:ascii="Calibri" w:hAnsi="Calibri"/>
                <w:color w:val="000000"/>
              </w:rPr>
              <w:t>Placebo,</w:t>
            </w:r>
            <w:r w:rsidR="0063693D">
              <w:rPr>
                <w:rFonts w:ascii="Calibri" w:hAnsi="Calibri"/>
                <w:color w:val="000000"/>
              </w:rPr>
              <w:t xml:space="preserve"> </w:t>
            </w:r>
          </w:p>
          <w:p w14:paraId="063DC79A" w14:textId="77777777" w:rsidR="0063693D" w:rsidRDefault="0063693D" w:rsidP="00B94C53">
            <w:pPr>
              <w:rPr>
                <w:rFonts w:ascii="Calibri" w:hAnsi="Calibri"/>
                <w:color w:val="000000"/>
              </w:rPr>
            </w:pPr>
            <w:r>
              <w:rPr>
                <w:rFonts w:ascii="Calibri" w:hAnsi="Calibri"/>
                <w:color w:val="000000"/>
              </w:rPr>
              <w:t>12 months</w:t>
            </w:r>
            <w:r w:rsidR="007F4F06">
              <w:rPr>
                <w:rFonts w:ascii="Calibri" w:hAnsi="Calibri"/>
                <w:color w:val="000000"/>
              </w:rPr>
              <w:t xml:space="preserve">, </w:t>
            </w:r>
            <w:r>
              <w:rPr>
                <w:rFonts w:ascii="Calibri" w:hAnsi="Calibri"/>
                <w:color w:val="000000"/>
              </w:rPr>
              <w:t>outpatient clinic</w:t>
            </w:r>
          </w:p>
        </w:tc>
        <w:tc>
          <w:tcPr>
            <w:tcW w:w="4394" w:type="dxa"/>
            <w:vMerge/>
          </w:tcPr>
          <w:p w14:paraId="0B1F0D7B" w14:textId="77777777" w:rsidR="0063693D" w:rsidRDefault="0063693D" w:rsidP="00FA01E6">
            <w:pPr>
              <w:autoSpaceDE w:val="0"/>
              <w:autoSpaceDN w:val="0"/>
              <w:adjustRightInd w:val="0"/>
              <w:rPr>
                <w:rFonts w:cs="AdvOT82c4f4c4"/>
                <w:i/>
              </w:rPr>
            </w:pPr>
          </w:p>
        </w:tc>
        <w:tc>
          <w:tcPr>
            <w:tcW w:w="1701" w:type="dxa"/>
            <w:vMerge/>
          </w:tcPr>
          <w:p w14:paraId="4154D371" w14:textId="77777777" w:rsidR="0063693D" w:rsidRDefault="0063693D" w:rsidP="00FA01E6">
            <w:pPr>
              <w:autoSpaceDE w:val="0"/>
              <w:autoSpaceDN w:val="0"/>
              <w:adjustRightInd w:val="0"/>
              <w:rPr>
                <w:rFonts w:cs="AdvOT1ef757c0"/>
              </w:rPr>
            </w:pPr>
          </w:p>
        </w:tc>
        <w:tc>
          <w:tcPr>
            <w:tcW w:w="3260" w:type="dxa"/>
            <w:vMerge/>
          </w:tcPr>
          <w:p w14:paraId="6E4072E2" w14:textId="77777777" w:rsidR="0063693D" w:rsidRDefault="0063693D" w:rsidP="00FA01E6">
            <w:pPr>
              <w:autoSpaceDE w:val="0"/>
              <w:autoSpaceDN w:val="0"/>
              <w:adjustRightInd w:val="0"/>
              <w:rPr>
                <w:rFonts w:cs="AdvOT1ef757c0"/>
              </w:rPr>
            </w:pPr>
          </w:p>
        </w:tc>
      </w:tr>
      <w:tr w:rsidR="0063693D" w14:paraId="50761626" w14:textId="77777777" w:rsidTr="00B94C53">
        <w:tc>
          <w:tcPr>
            <w:tcW w:w="1809" w:type="dxa"/>
          </w:tcPr>
          <w:p w14:paraId="232446AB" w14:textId="77777777" w:rsidR="0063693D" w:rsidRDefault="0063693D" w:rsidP="00B94C53">
            <w:pPr>
              <w:rPr>
                <w:rFonts w:cstheme="minorHAnsi"/>
              </w:rPr>
            </w:pPr>
            <w:r>
              <w:rPr>
                <w:rFonts w:cstheme="minorHAnsi"/>
              </w:rPr>
              <w:t>Duman, 2007, Turkey</w:t>
            </w:r>
          </w:p>
          <w:p w14:paraId="41B7D2E8" w14:textId="77777777" w:rsidR="007F4F06" w:rsidRDefault="007F4F06" w:rsidP="00B94C53">
            <w:pPr>
              <w:rPr>
                <w:rFonts w:cstheme="minorHAnsi"/>
              </w:rPr>
            </w:pPr>
          </w:p>
          <w:p w14:paraId="4422DE61" w14:textId="77777777" w:rsidR="007F4F06" w:rsidRPr="00173CD4" w:rsidRDefault="007F4F06" w:rsidP="00B94C53">
            <w:pPr>
              <w:rPr>
                <w:rFonts w:cstheme="minorHAnsi"/>
              </w:rPr>
            </w:pPr>
            <w:r>
              <w:rPr>
                <w:rFonts w:ascii="Calibri" w:hAnsi="Calibri"/>
                <w:color w:val="000000"/>
              </w:rPr>
              <w:t xml:space="preserve">n=63 (100% </w:t>
            </w:r>
            <w:r w:rsidR="004F0FA7">
              <w:rPr>
                <w:rFonts w:ascii="Calibri" w:hAnsi="Calibri"/>
                <w:color w:val="000000"/>
              </w:rPr>
              <w:t>female</w:t>
            </w:r>
            <w:r>
              <w:rPr>
                <w:rFonts w:ascii="Calibri" w:hAnsi="Calibri"/>
                <w:color w:val="000000"/>
              </w:rPr>
              <w:t>)</w:t>
            </w:r>
          </w:p>
        </w:tc>
        <w:tc>
          <w:tcPr>
            <w:tcW w:w="1560" w:type="dxa"/>
          </w:tcPr>
          <w:p w14:paraId="08BA0FC0" w14:textId="77777777" w:rsidR="000922C5" w:rsidRDefault="0063693D" w:rsidP="00B94C53">
            <w:pPr>
              <w:rPr>
                <w:rFonts w:ascii="Calibri" w:hAnsi="Calibri"/>
                <w:color w:val="000000"/>
              </w:rPr>
            </w:pPr>
            <w:r>
              <w:rPr>
                <w:rFonts w:ascii="Calibri" w:hAnsi="Calibri"/>
                <w:color w:val="000000"/>
              </w:rPr>
              <w:t xml:space="preserve">RCT, </w:t>
            </w:r>
          </w:p>
          <w:p w14:paraId="64FAEA6D" w14:textId="77777777" w:rsidR="0063693D" w:rsidRDefault="000922C5" w:rsidP="00B94C53">
            <w:pPr>
              <w:rPr>
                <w:rFonts w:ascii="Calibri" w:hAnsi="Calibri"/>
                <w:color w:val="000000"/>
              </w:rPr>
            </w:pPr>
            <w:r>
              <w:rPr>
                <w:rFonts w:ascii="Calibri" w:hAnsi="Calibri"/>
                <w:color w:val="000000"/>
              </w:rPr>
              <w:t>No treatment</w:t>
            </w:r>
            <w:r w:rsidR="0063693D">
              <w:rPr>
                <w:rFonts w:ascii="Calibri" w:hAnsi="Calibri"/>
                <w:color w:val="000000"/>
              </w:rPr>
              <w:t>, 8 months</w:t>
            </w:r>
            <w:r>
              <w:rPr>
                <w:rFonts w:ascii="Calibri" w:hAnsi="Calibri"/>
                <w:color w:val="000000"/>
              </w:rPr>
              <w:t>,</w:t>
            </w:r>
            <w:r w:rsidR="0063693D">
              <w:rPr>
                <w:rFonts w:ascii="Calibri" w:hAnsi="Calibri"/>
                <w:color w:val="000000"/>
              </w:rPr>
              <w:t xml:space="preserve"> outpatient clinic</w:t>
            </w:r>
          </w:p>
        </w:tc>
        <w:tc>
          <w:tcPr>
            <w:tcW w:w="4394" w:type="dxa"/>
          </w:tcPr>
          <w:p w14:paraId="090041DA" w14:textId="77777777" w:rsidR="0063693D" w:rsidRPr="00C956B3" w:rsidRDefault="0063693D" w:rsidP="00FA01E6">
            <w:pPr>
              <w:autoSpaceDE w:val="0"/>
              <w:autoSpaceDN w:val="0"/>
              <w:adjustRightInd w:val="0"/>
              <w:rPr>
                <w:rFonts w:cs="AdvOT82c4f4c4"/>
              </w:rPr>
            </w:pPr>
            <w:r>
              <w:rPr>
                <w:rFonts w:cs="AdvOT82c4f4c4"/>
                <w:i/>
              </w:rPr>
              <w:t>Inclusion</w:t>
            </w:r>
            <w:r w:rsidR="00C80836">
              <w:rPr>
                <w:rFonts w:cs="AdvOT82c4f4c4"/>
                <w:i/>
              </w:rPr>
              <w:t xml:space="preserve"> </w:t>
            </w:r>
            <w:r w:rsidR="00C80836">
              <w:rPr>
                <w:rFonts w:cstheme="minorHAnsi"/>
                <w:i/>
              </w:rPr>
              <w:t>criteria</w:t>
            </w:r>
            <w:r>
              <w:rPr>
                <w:rFonts w:cs="AdvOT82c4f4c4"/>
                <w:i/>
              </w:rPr>
              <w:t xml:space="preserve">: </w:t>
            </w:r>
            <w:r>
              <w:rPr>
                <w:rFonts w:cs="AdvOT82c4f4c4"/>
              </w:rPr>
              <w:t xml:space="preserve">Criteria not specified; however, study enrolled pre-menopausal, non-pregnant </w:t>
            </w:r>
            <w:r w:rsidR="00A51FC8">
              <w:rPr>
                <w:rFonts w:cs="AdvOT82c4f4c4"/>
              </w:rPr>
              <w:t xml:space="preserve">females </w:t>
            </w:r>
            <w:r>
              <w:rPr>
                <w:rFonts w:cs="AdvOT82c4f4c4"/>
              </w:rPr>
              <w:t>with newly diagnosed SCH</w:t>
            </w:r>
            <w:r w:rsidR="0006294E">
              <w:rPr>
                <w:rFonts w:cs="AdvOT82c4f4c4"/>
              </w:rPr>
              <w:t>o</w:t>
            </w:r>
            <w:r>
              <w:rPr>
                <w:rFonts w:cs="AdvOT82c4f4c4"/>
              </w:rPr>
              <w:t xml:space="preserve"> (TSH &gt; 4.2 </w:t>
            </w:r>
            <w:r w:rsidR="00A51FC8">
              <w:rPr>
                <w:rFonts w:cs="AdvOT82c4f4c4"/>
              </w:rPr>
              <w:t>µ</w:t>
            </w:r>
            <w:r>
              <w:rPr>
                <w:rFonts w:cs="AdvOT82c4f4c4"/>
              </w:rPr>
              <w:t>U/</w:t>
            </w:r>
            <w:r w:rsidR="00A51FC8">
              <w:rPr>
                <w:rFonts w:cs="AdvOT82c4f4c4"/>
              </w:rPr>
              <w:t>ml</w:t>
            </w:r>
            <w:r>
              <w:rPr>
                <w:rFonts w:cs="AdvOT82c4f4c4"/>
              </w:rPr>
              <w:t>) and positive antithyroid antibodies</w:t>
            </w:r>
            <w:r w:rsidR="00A51FC8">
              <w:rPr>
                <w:rFonts w:cs="AdvOT82c4f4c4"/>
              </w:rPr>
              <w:t>; Hashimoto’s thyroiditis</w:t>
            </w:r>
          </w:p>
          <w:p w14:paraId="69EAEB09" w14:textId="77777777" w:rsidR="0063693D" w:rsidRDefault="0063693D" w:rsidP="00FA01E6">
            <w:pPr>
              <w:autoSpaceDE w:val="0"/>
              <w:autoSpaceDN w:val="0"/>
              <w:adjustRightInd w:val="0"/>
              <w:rPr>
                <w:rFonts w:cs="AdvOT82c4f4c4"/>
                <w:i/>
              </w:rPr>
            </w:pPr>
          </w:p>
          <w:p w14:paraId="7447A3DD" w14:textId="77777777" w:rsidR="0063693D" w:rsidRPr="001D3795" w:rsidRDefault="0063693D" w:rsidP="00FA01E6">
            <w:pPr>
              <w:autoSpaceDE w:val="0"/>
              <w:autoSpaceDN w:val="0"/>
              <w:adjustRightInd w:val="0"/>
              <w:rPr>
                <w:rFonts w:cs="AdvOT82c4f4c4"/>
                <w:i/>
              </w:rPr>
            </w:pPr>
            <w:r>
              <w:rPr>
                <w:rFonts w:cs="AdvOT82c4f4c4"/>
                <w:i/>
              </w:rPr>
              <w:t>Exclusion</w:t>
            </w:r>
            <w:r w:rsidR="00C80836">
              <w:rPr>
                <w:rFonts w:cs="AdvOT82c4f4c4"/>
                <w:i/>
              </w:rPr>
              <w:t xml:space="preserve"> </w:t>
            </w:r>
            <w:r w:rsidR="00C80836">
              <w:rPr>
                <w:rFonts w:cstheme="minorHAnsi"/>
                <w:i/>
              </w:rPr>
              <w:t>criteria</w:t>
            </w:r>
            <w:r>
              <w:rPr>
                <w:rFonts w:cs="AdvOT82c4f4c4"/>
                <w:i/>
              </w:rPr>
              <w:t xml:space="preserve">: </w:t>
            </w:r>
            <w:r>
              <w:t>Smoking; obesity (BMI &gt;30 kg/m</w:t>
            </w:r>
            <w:r w:rsidRPr="003C3E65">
              <w:rPr>
                <w:vertAlign w:val="superscript"/>
              </w:rPr>
              <w:t>2</w:t>
            </w:r>
            <w:r>
              <w:t>); diabetes mellitus; hypertension; coronary artery disease; renal or hepatic failure; familial hypercholesterolemia</w:t>
            </w:r>
          </w:p>
        </w:tc>
        <w:tc>
          <w:tcPr>
            <w:tcW w:w="1701" w:type="dxa"/>
          </w:tcPr>
          <w:p w14:paraId="7B664F31" w14:textId="77777777" w:rsidR="0063693D" w:rsidRDefault="0063693D" w:rsidP="00FA01E6">
            <w:pPr>
              <w:autoSpaceDE w:val="0"/>
              <w:autoSpaceDN w:val="0"/>
              <w:adjustRightInd w:val="0"/>
              <w:rPr>
                <w:rFonts w:cs="AdvOT1ef757c0"/>
              </w:rPr>
            </w:pPr>
            <w:r>
              <w:rPr>
                <w:rFonts w:cs="AdvOT1ef757c0"/>
              </w:rPr>
              <w:t>LT</w:t>
            </w:r>
            <w:r w:rsidRPr="00A03719">
              <w:rPr>
                <w:rFonts w:cs="AdvOT1ef757c0"/>
                <w:vertAlign w:val="subscript"/>
              </w:rPr>
              <w:t>4</w:t>
            </w:r>
            <w:r>
              <w:rPr>
                <w:rFonts w:cs="AdvOT1ef757c0"/>
              </w:rPr>
              <w:t xml:space="preserve"> treatment (initial: 25 µg/day, titrated to achieve euthyroidism)</w:t>
            </w:r>
          </w:p>
        </w:tc>
        <w:tc>
          <w:tcPr>
            <w:tcW w:w="3260" w:type="dxa"/>
          </w:tcPr>
          <w:p w14:paraId="1EF8F906" w14:textId="77777777" w:rsidR="0063693D" w:rsidRPr="007F11B9" w:rsidRDefault="0063693D" w:rsidP="00FA01E6">
            <w:pPr>
              <w:autoSpaceDE w:val="0"/>
              <w:autoSpaceDN w:val="0"/>
              <w:adjustRightInd w:val="0"/>
              <w:rPr>
                <w:rFonts w:cs="AdvOT1ef757c0"/>
              </w:rPr>
            </w:pPr>
            <w:r>
              <w:rPr>
                <w:rFonts w:cs="AdvOT1ef757c0"/>
              </w:rPr>
              <w:t>Main outcomes: endothelial function, lipid profile</w:t>
            </w:r>
          </w:p>
        </w:tc>
      </w:tr>
      <w:tr w:rsidR="0063693D" w14:paraId="4550B283" w14:textId="77777777" w:rsidTr="00B94C53">
        <w:tc>
          <w:tcPr>
            <w:tcW w:w="1809" w:type="dxa"/>
          </w:tcPr>
          <w:p w14:paraId="5D3C87C5" w14:textId="77777777" w:rsidR="0063693D" w:rsidRDefault="0063693D" w:rsidP="00B94C53">
            <w:pPr>
              <w:rPr>
                <w:rFonts w:ascii="Calibri" w:hAnsi="Calibri"/>
                <w:color w:val="000000"/>
              </w:rPr>
            </w:pPr>
            <w:r>
              <w:rPr>
                <w:rFonts w:ascii="Calibri" w:hAnsi="Calibri"/>
                <w:color w:val="000000"/>
              </w:rPr>
              <w:t>Fadeyev, 2006, Russia</w:t>
            </w:r>
          </w:p>
          <w:p w14:paraId="763173D8" w14:textId="77777777" w:rsidR="000922C5" w:rsidRDefault="000922C5" w:rsidP="00B94C53">
            <w:pPr>
              <w:rPr>
                <w:rFonts w:ascii="Calibri" w:hAnsi="Calibri"/>
                <w:color w:val="000000"/>
              </w:rPr>
            </w:pPr>
          </w:p>
          <w:p w14:paraId="62361928" w14:textId="77777777" w:rsidR="000922C5" w:rsidRDefault="000922C5" w:rsidP="00B94C53">
            <w:pPr>
              <w:rPr>
                <w:rFonts w:ascii="Calibri" w:hAnsi="Calibri"/>
                <w:color w:val="000000"/>
              </w:rPr>
            </w:pPr>
            <w:r>
              <w:rPr>
                <w:rFonts w:ascii="Calibri" w:hAnsi="Calibri"/>
                <w:color w:val="000000"/>
              </w:rPr>
              <w:t xml:space="preserve">n=33 (88% </w:t>
            </w:r>
            <w:r w:rsidR="004F0FA7">
              <w:rPr>
                <w:rFonts w:ascii="Calibri" w:hAnsi="Calibri"/>
                <w:color w:val="000000"/>
              </w:rPr>
              <w:t>female</w:t>
            </w:r>
            <w:r>
              <w:rPr>
                <w:rFonts w:ascii="Calibri" w:hAnsi="Calibri"/>
                <w:color w:val="000000"/>
              </w:rPr>
              <w:t>)</w:t>
            </w:r>
          </w:p>
        </w:tc>
        <w:tc>
          <w:tcPr>
            <w:tcW w:w="1560" w:type="dxa"/>
          </w:tcPr>
          <w:p w14:paraId="506FFEC1" w14:textId="77777777" w:rsidR="000922C5" w:rsidRDefault="0063693D" w:rsidP="00B94C53">
            <w:pPr>
              <w:rPr>
                <w:rFonts w:ascii="Calibri" w:hAnsi="Calibri"/>
                <w:color w:val="000000"/>
              </w:rPr>
            </w:pPr>
            <w:r>
              <w:rPr>
                <w:rFonts w:ascii="Calibri" w:hAnsi="Calibri"/>
                <w:color w:val="000000"/>
              </w:rPr>
              <w:t xml:space="preserve">RCT, </w:t>
            </w:r>
          </w:p>
          <w:p w14:paraId="738D092D" w14:textId="77777777" w:rsidR="0063693D" w:rsidRDefault="000922C5" w:rsidP="00B94C53">
            <w:pPr>
              <w:rPr>
                <w:rFonts w:ascii="Calibri" w:hAnsi="Calibri"/>
                <w:color w:val="000000"/>
              </w:rPr>
            </w:pPr>
            <w:r>
              <w:rPr>
                <w:rFonts w:ascii="Calibri" w:hAnsi="Calibri"/>
                <w:color w:val="000000"/>
              </w:rPr>
              <w:t>No treatment,</w:t>
            </w:r>
            <w:r w:rsidR="0063693D">
              <w:rPr>
                <w:rFonts w:ascii="Calibri" w:hAnsi="Calibri"/>
                <w:color w:val="000000"/>
              </w:rPr>
              <w:t xml:space="preserve"> 6 months</w:t>
            </w:r>
            <w:r>
              <w:rPr>
                <w:rFonts w:ascii="Calibri" w:hAnsi="Calibri"/>
                <w:color w:val="000000"/>
              </w:rPr>
              <w:t xml:space="preserve">, </w:t>
            </w:r>
            <w:r w:rsidR="0063693D">
              <w:rPr>
                <w:rFonts w:ascii="Calibri" w:hAnsi="Calibri"/>
                <w:color w:val="000000"/>
              </w:rPr>
              <w:t>outpatient clinic</w:t>
            </w:r>
          </w:p>
        </w:tc>
        <w:tc>
          <w:tcPr>
            <w:tcW w:w="4394" w:type="dxa"/>
          </w:tcPr>
          <w:p w14:paraId="04A6061A" w14:textId="77777777" w:rsidR="0063693D" w:rsidRPr="0044050B" w:rsidRDefault="0063693D" w:rsidP="00FA01E6">
            <w:pPr>
              <w:rPr>
                <w:rFonts w:cstheme="minorHAnsi"/>
              </w:rPr>
            </w:pPr>
            <w:r>
              <w:rPr>
                <w:rFonts w:cstheme="minorHAnsi"/>
                <w:i/>
              </w:rPr>
              <w:t>Inclusion</w:t>
            </w:r>
            <w:r w:rsidR="00C80836">
              <w:rPr>
                <w:rFonts w:cstheme="minorHAnsi"/>
                <w:i/>
              </w:rPr>
              <w:t xml:space="preserve"> criteria</w:t>
            </w:r>
            <w:r>
              <w:rPr>
                <w:rFonts w:cstheme="minorHAnsi"/>
                <w:i/>
              </w:rPr>
              <w:t>:</w:t>
            </w:r>
            <w:r>
              <w:rPr>
                <w:rFonts w:cstheme="minorHAnsi"/>
              </w:rPr>
              <w:t xml:space="preserve"> SCH</w:t>
            </w:r>
            <w:r w:rsidR="0006294E">
              <w:rPr>
                <w:rFonts w:cstheme="minorHAnsi"/>
              </w:rPr>
              <w:t>o</w:t>
            </w:r>
            <w:r>
              <w:rPr>
                <w:rFonts w:cstheme="minorHAnsi"/>
              </w:rPr>
              <w:t xml:space="preserve"> as defined by TSH &gt; 4.0 mIU/L and FT</w:t>
            </w:r>
            <w:r w:rsidRPr="0044050B">
              <w:rPr>
                <w:rFonts w:cstheme="minorHAnsi"/>
                <w:vertAlign w:val="subscript"/>
              </w:rPr>
              <w:t xml:space="preserve">4 </w:t>
            </w:r>
            <w:r>
              <w:rPr>
                <w:rFonts w:cstheme="minorHAnsi"/>
              </w:rPr>
              <w:t xml:space="preserve">WNL measured twice; </w:t>
            </w:r>
            <w:r>
              <w:t xml:space="preserve">clinically-proven </w:t>
            </w:r>
            <w:r w:rsidR="00A3063F">
              <w:t>cardiovascular disease</w:t>
            </w:r>
          </w:p>
          <w:p w14:paraId="7044C592" w14:textId="77777777" w:rsidR="0063693D" w:rsidRDefault="0063693D" w:rsidP="00FA01E6">
            <w:pPr>
              <w:rPr>
                <w:rFonts w:cstheme="minorHAnsi"/>
                <w:i/>
              </w:rPr>
            </w:pPr>
          </w:p>
          <w:p w14:paraId="195C5FBD" w14:textId="77777777" w:rsidR="0063693D" w:rsidRDefault="0063693D" w:rsidP="00B94C53">
            <w:pPr>
              <w:rPr>
                <w:rFonts w:cstheme="minorHAnsi"/>
                <w:i/>
              </w:rPr>
            </w:pPr>
            <w:r>
              <w:rPr>
                <w:rFonts w:cstheme="minorHAnsi"/>
                <w:i/>
              </w:rPr>
              <w:t>Exclusion</w:t>
            </w:r>
            <w:r w:rsidR="00C80836">
              <w:rPr>
                <w:rFonts w:cstheme="minorHAnsi"/>
                <w:i/>
              </w:rPr>
              <w:t xml:space="preserve"> criteria</w:t>
            </w:r>
            <w:r>
              <w:rPr>
                <w:rFonts w:cstheme="minorHAnsi"/>
                <w:i/>
              </w:rPr>
              <w:t>:</w:t>
            </w:r>
            <w:r w:rsidRPr="00996F1F">
              <w:rPr>
                <w:rFonts w:cstheme="minorHAnsi"/>
              </w:rPr>
              <w:t xml:space="preserve"> D</w:t>
            </w:r>
            <w:r>
              <w:rPr>
                <w:rFonts w:cstheme="minorHAnsi"/>
              </w:rPr>
              <w:t>iabetes</w:t>
            </w:r>
            <w:r>
              <w:t xml:space="preserve"> or </w:t>
            </w:r>
            <w:r w:rsidR="00A3063F">
              <w:t>impaired glucose tolerance</w:t>
            </w:r>
            <w:r>
              <w:t xml:space="preserve">; </w:t>
            </w:r>
            <w:r w:rsidR="00A3063F">
              <w:t xml:space="preserve">myocardial infarction </w:t>
            </w:r>
            <w:r>
              <w:t>within previous 6 months; history of amiodarone use; cardiac insufficiency; severe oncologic or other somatic disease;  liver or kidney insufficiency</w:t>
            </w:r>
          </w:p>
        </w:tc>
        <w:tc>
          <w:tcPr>
            <w:tcW w:w="1701" w:type="dxa"/>
          </w:tcPr>
          <w:p w14:paraId="07D18624" w14:textId="77777777" w:rsidR="0063693D" w:rsidRDefault="0063693D" w:rsidP="00FA01E6">
            <w:pPr>
              <w:autoSpaceDE w:val="0"/>
              <w:autoSpaceDN w:val="0"/>
              <w:adjustRightInd w:val="0"/>
              <w:rPr>
                <w:rFonts w:cs="AdvOT1ef757c0"/>
              </w:rPr>
            </w:pPr>
            <w:r>
              <w:rPr>
                <w:rFonts w:cs="AdvOT1ef757c0"/>
              </w:rPr>
              <w:t>LT</w:t>
            </w:r>
            <w:r w:rsidRPr="00A03719">
              <w:rPr>
                <w:rFonts w:cs="AdvOT1ef757c0"/>
                <w:vertAlign w:val="subscript"/>
              </w:rPr>
              <w:t>4</w:t>
            </w:r>
            <w:r>
              <w:rPr>
                <w:rFonts w:cs="AdvOT1ef757c0"/>
              </w:rPr>
              <w:t xml:space="preserve"> treatment (initial: 25 µg/day, titrated to achieve TSH WNL)</w:t>
            </w:r>
          </w:p>
        </w:tc>
        <w:tc>
          <w:tcPr>
            <w:tcW w:w="3260" w:type="dxa"/>
          </w:tcPr>
          <w:p w14:paraId="0C13DA90" w14:textId="77777777" w:rsidR="0063693D" w:rsidRPr="00730BA4" w:rsidRDefault="0063693D" w:rsidP="00FA01E6">
            <w:pPr>
              <w:rPr>
                <w:rFonts w:ascii="Calibri" w:hAnsi="Calibri"/>
                <w:color w:val="000000"/>
              </w:rPr>
            </w:pPr>
            <w:r>
              <w:rPr>
                <w:rFonts w:ascii="Calibri" w:hAnsi="Calibri"/>
                <w:i/>
                <w:color w:val="000000"/>
              </w:rPr>
              <w:t xml:space="preserve">Main outcomes: </w:t>
            </w:r>
            <w:r>
              <w:rPr>
                <w:rFonts w:ascii="Calibri" w:hAnsi="Calibri"/>
                <w:color w:val="000000"/>
              </w:rPr>
              <w:t>No relevant efficacy outcomes</w:t>
            </w:r>
          </w:p>
          <w:p w14:paraId="70B484BA" w14:textId="77777777" w:rsidR="0063693D" w:rsidRDefault="0063693D" w:rsidP="00FA01E6">
            <w:pPr>
              <w:rPr>
                <w:rFonts w:ascii="Calibri" w:hAnsi="Calibri"/>
                <w:color w:val="000000"/>
              </w:rPr>
            </w:pPr>
          </w:p>
          <w:p w14:paraId="5854B92C" w14:textId="77777777" w:rsidR="0063693D" w:rsidRPr="00B4243E" w:rsidRDefault="0063693D" w:rsidP="00FA01E6">
            <w:pPr>
              <w:rPr>
                <w:rFonts w:ascii="Calibri" w:hAnsi="Calibri"/>
                <w:i/>
              </w:rPr>
            </w:pPr>
            <w:r>
              <w:rPr>
                <w:rFonts w:ascii="Calibri" w:hAnsi="Calibri"/>
              </w:rPr>
              <w:t>AEs also reported</w:t>
            </w:r>
          </w:p>
        </w:tc>
      </w:tr>
      <w:tr w:rsidR="0063693D" w14:paraId="5F47CCBF" w14:textId="77777777" w:rsidTr="00B94C53">
        <w:tc>
          <w:tcPr>
            <w:tcW w:w="1809" w:type="dxa"/>
          </w:tcPr>
          <w:p w14:paraId="43DD2A26" w14:textId="77777777" w:rsidR="0063693D" w:rsidRDefault="0063693D" w:rsidP="00B94C53">
            <w:pPr>
              <w:rPr>
                <w:rFonts w:cstheme="minorHAnsi"/>
              </w:rPr>
            </w:pPr>
            <w:r>
              <w:rPr>
                <w:rFonts w:cstheme="minorHAnsi"/>
              </w:rPr>
              <w:t>Iqbal, 2006, Norway</w:t>
            </w:r>
          </w:p>
          <w:p w14:paraId="16A6D67D" w14:textId="77777777" w:rsidR="000922C5" w:rsidRDefault="000922C5" w:rsidP="00B94C53">
            <w:pPr>
              <w:rPr>
                <w:rFonts w:cstheme="minorHAnsi"/>
              </w:rPr>
            </w:pPr>
          </w:p>
          <w:p w14:paraId="197F355B" w14:textId="77777777" w:rsidR="000922C5" w:rsidRPr="00173CD4" w:rsidRDefault="000922C5" w:rsidP="00B94C53">
            <w:pPr>
              <w:rPr>
                <w:rFonts w:cstheme="minorHAnsi"/>
              </w:rPr>
            </w:pPr>
            <w:r>
              <w:rPr>
                <w:rFonts w:ascii="Calibri" w:hAnsi="Calibri"/>
                <w:color w:val="000000"/>
              </w:rPr>
              <w:t xml:space="preserve">n=64 (48% </w:t>
            </w:r>
            <w:r w:rsidR="004F0FA7">
              <w:rPr>
                <w:rFonts w:ascii="Calibri" w:hAnsi="Calibri"/>
                <w:color w:val="000000"/>
              </w:rPr>
              <w:t>female</w:t>
            </w:r>
            <w:r>
              <w:rPr>
                <w:rFonts w:ascii="Calibri" w:hAnsi="Calibri"/>
                <w:color w:val="000000"/>
              </w:rPr>
              <w:t>)</w:t>
            </w:r>
          </w:p>
        </w:tc>
        <w:tc>
          <w:tcPr>
            <w:tcW w:w="1560" w:type="dxa"/>
          </w:tcPr>
          <w:p w14:paraId="402EA386" w14:textId="77777777" w:rsidR="000922C5" w:rsidRDefault="0063693D" w:rsidP="00B94C53">
            <w:pPr>
              <w:rPr>
                <w:rFonts w:ascii="Calibri" w:hAnsi="Calibri"/>
                <w:color w:val="000000"/>
              </w:rPr>
            </w:pPr>
            <w:r>
              <w:rPr>
                <w:rFonts w:ascii="Calibri" w:hAnsi="Calibri"/>
                <w:color w:val="000000"/>
              </w:rPr>
              <w:t xml:space="preserve">RCT, </w:t>
            </w:r>
          </w:p>
          <w:p w14:paraId="58441FC0" w14:textId="77777777" w:rsidR="000922C5" w:rsidRDefault="000922C5" w:rsidP="00B94C53">
            <w:pPr>
              <w:rPr>
                <w:rFonts w:ascii="Calibri" w:hAnsi="Calibri"/>
                <w:color w:val="000000"/>
              </w:rPr>
            </w:pPr>
            <w:r>
              <w:rPr>
                <w:rFonts w:ascii="Calibri" w:hAnsi="Calibri"/>
                <w:color w:val="000000"/>
              </w:rPr>
              <w:t>Placebo,</w:t>
            </w:r>
            <w:r w:rsidR="0063693D">
              <w:rPr>
                <w:rFonts w:ascii="Calibri" w:hAnsi="Calibri"/>
                <w:color w:val="000000"/>
              </w:rPr>
              <w:t xml:space="preserve"> </w:t>
            </w:r>
          </w:p>
          <w:p w14:paraId="4882DAF2" w14:textId="77777777" w:rsidR="0063693D" w:rsidRDefault="0063693D" w:rsidP="00B94C53">
            <w:pPr>
              <w:rPr>
                <w:rFonts w:ascii="Calibri" w:hAnsi="Calibri"/>
                <w:color w:val="000000"/>
              </w:rPr>
            </w:pPr>
            <w:r>
              <w:rPr>
                <w:rFonts w:ascii="Calibri" w:hAnsi="Calibri"/>
                <w:color w:val="000000"/>
              </w:rPr>
              <w:t>12 months</w:t>
            </w:r>
            <w:r w:rsidR="000922C5">
              <w:rPr>
                <w:rFonts w:ascii="Calibri" w:hAnsi="Calibri"/>
                <w:color w:val="000000"/>
              </w:rPr>
              <w:t xml:space="preserve">, </w:t>
            </w:r>
            <w:r>
              <w:rPr>
                <w:rFonts w:ascii="Calibri" w:hAnsi="Calibri"/>
                <w:color w:val="000000"/>
              </w:rPr>
              <w:t>outpatient clinic</w:t>
            </w:r>
          </w:p>
        </w:tc>
        <w:tc>
          <w:tcPr>
            <w:tcW w:w="4394" w:type="dxa"/>
          </w:tcPr>
          <w:p w14:paraId="5F1659B8" w14:textId="77777777" w:rsidR="0063693D" w:rsidRPr="00134629" w:rsidRDefault="0063693D" w:rsidP="00FA01E6">
            <w:pPr>
              <w:autoSpaceDE w:val="0"/>
              <w:autoSpaceDN w:val="0"/>
              <w:adjustRightInd w:val="0"/>
              <w:rPr>
                <w:rFonts w:cs="AdvOT82c4f4c4"/>
              </w:rPr>
            </w:pPr>
            <w:r>
              <w:rPr>
                <w:rFonts w:cs="AdvOT82c4f4c4"/>
                <w:i/>
              </w:rPr>
              <w:t>Inclusion</w:t>
            </w:r>
            <w:r w:rsidR="00C80836">
              <w:rPr>
                <w:rFonts w:cs="AdvOT82c4f4c4"/>
                <w:i/>
              </w:rPr>
              <w:t xml:space="preserve"> </w:t>
            </w:r>
            <w:r w:rsidR="00C80836">
              <w:rPr>
                <w:rFonts w:cstheme="minorHAnsi"/>
                <w:i/>
              </w:rPr>
              <w:t>criteria</w:t>
            </w:r>
            <w:r>
              <w:rPr>
                <w:rFonts w:cs="AdvOT82c4f4c4"/>
                <w:i/>
              </w:rPr>
              <w:t>:</w:t>
            </w:r>
            <w:r>
              <w:rPr>
                <w:rFonts w:cs="AdvOT82c4f4c4"/>
              </w:rPr>
              <w:t xml:space="preserve"> Age </w:t>
            </w:r>
            <w:r>
              <w:rPr>
                <w:rFonts w:cstheme="minorHAnsi"/>
              </w:rPr>
              <w:t>≥</w:t>
            </w:r>
            <w:r>
              <w:rPr>
                <w:rFonts w:cs="AdvOT82c4f4c4"/>
              </w:rPr>
              <w:t xml:space="preserve"> 30 years; living in the municipality of Troms</w:t>
            </w:r>
            <w:r>
              <w:rPr>
                <w:rFonts w:cstheme="minorHAnsi"/>
              </w:rPr>
              <w:t>ø</w:t>
            </w:r>
            <w:r>
              <w:rPr>
                <w:rFonts w:cs="AdvOT82c4f4c4"/>
              </w:rPr>
              <w:t xml:space="preserve">; </w:t>
            </w:r>
            <w:r>
              <w:t>serum TSH between 3.5 and 10 mIU/L and FT</w:t>
            </w:r>
            <w:r w:rsidRPr="00B93331">
              <w:rPr>
                <w:vertAlign w:val="subscript"/>
              </w:rPr>
              <w:t>3</w:t>
            </w:r>
            <w:r>
              <w:t xml:space="preserve"> and FT</w:t>
            </w:r>
            <w:r w:rsidRPr="00B93331">
              <w:rPr>
                <w:vertAlign w:val="subscript"/>
              </w:rPr>
              <w:t>4</w:t>
            </w:r>
            <w:r>
              <w:t xml:space="preserve"> WNL; no obvious clinical symptoms of hypothyroidism</w:t>
            </w:r>
            <w:r>
              <w:rPr>
                <w:rFonts w:cs="AdvOT82c4f4c4"/>
              </w:rPr>
              <w:t xml:space="preserve"> </w:t>
            </w:r>
          </w:p>
          <w:p w14:paraId="777CBF95" w14:textId="77777777" w:rsidR="0063693D" w:rsidRDefault="0063693D" w:rsidP="00FA01E6">
            <w:pPr>
              <w:autoSpaceDE w:val="0"/>
              <w:autoSpaceDN w:val="0"/>
              <w:adjustRightInd w:val="0"/>
              <w:rPr>
                <w:rFonts w:cs="AdvOT82c4f4c4"/>
                <w:i/>
              </w:rPr>
            </w:pPr>
          </w:p>
          <w:p w14:paraId="07CEABDF" w14:textId="77777777" w:rsidR="0063693D" w:rsidRPr="001D3795" w:rsidRDefault="0063693D" w:rsidP="00FA01E6">
            <w:pPr>
              <w:autoSpaceDE w:val="0"/>
              <w:autoSpaceDN w:val="0"/>
              <w:adjustRightInd w:val="0"/>
              <w:rPr>
                <w:rFonts w:cs="AdvOT82c4f4c4"/>
                <w:i/>
              </w:rPr>
            </w:pPr>
            <w:r>
              <w:rPr>
                <w:rFonts w:cs="AdvOT82c4f4c4"/>
                <w:i/>
              </w:rPr>
              <w:t>Exclusion</w:t>
            </w:r>
            <w:r w:rsidR="00C80836">
              <w:rPr>
                <w:rFonts w:cs="AdvOT82c4f4c4"/>
                <w:i/>
              </w:rPr>
              <w:t xml:space="preserve"> </w:t>
            </w:r>
            <w:r w:rsidR="00C80836">
              <w:rPr>
                <w:rFonts w:cstheme="minorHAnsi"/>
                <w:i/>
              </w:rPr>
              <w:t>criteria</w:t>
            </w:r>
            <w:r>
              <w:rPr>
                <w:rFonts w:cs="AdvOT82c4f4c4"/>
                <w:i/>
              </w:rPr>
              <w:t>:</w:t>
            </w:r>
            <w:r>
              <w:t xml:space="preserve"> Age &gt; 80 years; history of coronary infarction, angina pectoris or stroke; using thyroid or lipid-lowering medication</w:t>
            </w:r>
          </w:p>
        </w:tc>
        <w:tc>
          <w:tcPr>
            <w:tcW w:w="1701" w:type="dxa"/>
          </w:tcPr>
          <w:p w14:paraId="1EA43D7D" w14:textId="77777777" w:rsidR="0063693D" w:rsidRDefault="0063693D" w:rsidP="00FA01E6">
            <w:pPr>
              <w:autoSpaceDE w:val="0"/>
              <w:autoSpaceDN w:val="0"/>
              <w:adjustRightInd w:val="0"/>
              <w:rPr>
                <w:rFonts w:cs="AdvOT1ef757c0"/>
              </w:rPr>
            </w:pPr>
            <w:r>
              <w:rPr>
                <w:rFonts w:cs="AdvOT1ef757c0"/>
              </w:rPr>
              <w:t>LT</w:t>
            </w:r>
            <w:r w:rsidRPr="00A03719">
              <w:rPr>
                <w:rFonts w:cs="AdvOT1ef757c0"/>
                <w:vertAlign w:val="subscript"/>
              </w:rPr>
              <w:t>4</w:t>
            </w:r>
            <w:r>
              <w:rPr>
                <w:rFonts w:cs="AdvOT1ef757c0"/>
              </w:rPr>
              <w:t xml:space="preserve"> treatment (initial: 50 µg/day, titrated to achieve TSH WNL)</w:t>
            </w:r>
          </w:p>
        </w:tc>
        <w:tc>
          <w:tcPr>
            <w:tcW w:w="3260" w:type="dxa"/>
          </w:tcPr>
          <w:p w14:paraId="1DD7B616" w14:textId="77777777" w:rsidR="0063693D" w:rsidRDefault="0063693D" w:rsidP="00FA01E6">
            <w:pPr>
              <w:autoSpaceDE w:val="0"/>
              <w:autoSpaceDN w:val="0"/>
              <w:adjustRightInd w:val="0"/>
              <w:rPr>
                <w:rFonts w:cs="AdvOT1ef757c0"/>
              </w:rPr>
            </w:pPr>
            <w:r>
              <w:rPr>
                <w:rFonts w:cs="AdvOT1ef757c0"/>
              </w:rPr>
              <w:t>Main outcome: lipid profile</w:t>
            </w:r>
          </w:p>
          <w:p w14:paraId="77711D04" w14:textId="77777777" w:rsidR="0063693D" w:rsidRDefault="0063693D" w:rsidP="00FA01E6">
            <w:pPr>
              <w:autoSpaceDE w:val="0"/>
              <w:autoSpaceDN w:val="0"/>
              <w:adjustRightInd w:val="0"/>
              <w:rPr>
                <w:rFonts w:cs="AdvOT1ef757c0"/>
              </w:rPr>
            </w:pPr>
          </w:p>
          <w:p w14:paraId="4973170B" w14:textId="77777777" w:rsidR="0063693D" w:rsidRPr="0023513F" w:rsidRDefault="0063693D" w:rsidP="00FA01E6">
            <w:pPr>
              <w:autoSpaceDE w:val="0"/>
              <w:autoSpaceDN w:val="0"/>
              <w:adjustRightInd w:val="0"/>
              <w:rPr>
                <w:rFonts w:cs="AdvOT1ef757c0"/>
              </w:rPr>
            </w:pPr>
            <w:r>
              <w:rPr>
                <w:rFonts w:cs="AdvOT1ef757c0"/>
              </w:rPr>
              <w:t>BMI also reported</w:t>
            </w:r>
          </w:p>
        </w:tc>
      </w:tr>
      <w:tr w:rsidR="0063693D" w14:paraId="263DBDEE" w14:textId="77777777" w:rsidTr="00B94C53">
        <w:tc>
          <w:tcPr>
            <w:tcW w:w="1809" w:type="dxa"/>
          </w:tcPr>
          <w:p w14:paraId="6086ADBA" w14:textId="77777777" w:rsidR="0063693D" w:rsidRDefault="0063693D" w:rsidP="00FA01E6">
            <w:pPr>
              <w:rPr>
                <w:rFonts w:ascii="Calibri" w:hAnsi="Calibri"/>
                <w:color w:val="000000"/>
              </w:rPr>
            </w:pPr>
            <w:r>
              <w:rPr>
                <w:rFonts w:ascii="Calibri" w:hAnsi="Calibri"/>
                <w:color w:val="000000"/>
              </w:rPr>
              <w:lastRenderedPageBreak/>
              <w:t>Jorde, 2006, Norway</w:t>
            </w:r>
          </w:p>
          <w:p w14:paraId="29C39974" w14:textId="77777777" w:rsidR="0073058B" w:rsidRDefault="0073058B" w:rsidP="00FA01E6">
            <w:pPr>
              <w:rPr>
                <w:rFonts w:ascii="Calibri" w:hAnsi="Calibri"/>
                <w:color w:val="000000"/>
              </w:rPr>
            </w:pPr>
          </w:p>
          <w:p w14:paraId="4FE2CBA9" w14:textId="77777777" w:rsidR="0073058B" w:rsidRDefault="0073058B" w:rsidP="00FA01E6">
            <w:pPr>
              <w:rPr>
                <w:rFonts w:ascii="Calibri" w:hAnsi="Calibri"/>
                <w:color w:val="000000"/>
              </w:rPr>
            </w:pPr>
            <w:r>
              <w:rPr>
                <w:rFonts w:ascii="Calibri" w:hAnsi="Calibri"/>
                <w:color w:val="000000"/>
              </w:rPr>
              <w:t xml:space="preserve">n=70 (46% </w:t>
            </w:r>
            <w:r w:rsidR="004F0FA7">
              <w:rPr>
                <w:rFonts w:ascii="Calibri" w:hAnsi="Calibri"/>
                <w:color w:val="000000"/>
              </w:rPr>
              <w:t>female</w:t>
            </w:r>
            <w:r>
              <w:rPr>
                <w:rFonts w:ascii="Calibri" w:hAnsi="Calibri"/>
                <w:color w:val="000000"/>
              </w:rPr>
              <w:t>)</w:t>
            </w:r>
          </w:p>
          <w:p w14:paraId="4AABE80A" w14:textId="77777777" w:rsidR="0063693D" w:rsidRDefault="0063693D" w:rsidP="00FA01E6">
            <w:pPr>
              <w:rPr>
                <w:rFonts w:ascii="Calibri" w:hAnsi="Calibri"/>
                <w:color w:val="000000"/>
              </w:rPr>
            </w:pPr>
          </w:p>
          <w:p w14:paraId="3FF192B6" w14:textId="77777777" w:rsidR="0063693D" w:rsidRPr="00E20B41" w:rsidRDefault="0063693D" w:rsidP="00FA01E6">
            <w:pPr>
              <w:rPr>
                <w:rFonts w:ascii="Calibri" w:hAnsi="Calibri"/>
                <w:color w:val="000000"/>
              </w:rPr>
            </w:pPr>
          </w:p>
        </w:tc>
        <w:tc>
          <w:tcPr>
            <w:tcW w:w="1560" w:type="dxa"/>
          </w:tcPr>
          <w:p w14:paraId="31962A1B" w14:textId="77777777" w:rsidR="0073058B" w:rsidRDefault="0063693D" w:rsidP="00FA01E6">
            <w:pPr>
              <w:rPr>
                <w:rFonts w:ascii="Calibri" w:hAnsi="Calibri"/>
                <w:color w:val="000000"/>
              </w:rPr>
            </w:pPr>
            <w:r>
              <w:rPr>
                <w:rFonts w:ascii="Calibri" w:hAnsi="Calibri"/>
                <w:color w:val="000000"/>
              </w:rPr>
              <w:t xml:space="preserve">RCT, </w:t>
            </w:r>
          </w:p>
          <w:p w14:paraId="68DA2D6A" w14:textId="77777777" w:rsidR="0073058B" w:rsidRDefault="0073058B" w:rsidP="00FA01E6">
            <w:pPr>
              <w:rPr>
                <w:rFonts w:ascii="Calibri" w:hAnsi="Calibri"/>
                <w:color w:val="000000"/>
              </w:rPr>
            </w:pPr>
            <w:r>
              <w:rPr>
                <w:rFonts w:ascii="Calibri" w:hAnsi="Calibri"/>
                <w:color w:val="000000"/>
              </w:rPr>
              <w:t>Placebo,</w:t>
            </w:r>
          </w:p>
          <w:p w14:paraId="150D3305" w14:textId="77777777" w:rsidR="0073058B" w:rsidRDefault="0063693D" w:rsidP="00FA01E6">
            <w:pPr>
              <w:rPr>
                <w:rFonts w:ascii="Calibri" w:hAnsi="Calibri"/>
                <w:color w:val="000000"/>
              </w:rPr>
            </w:pPr>
            <w:r>
              <w:rPr>
                <w:rFonts w:ascii="Calibri" w:hAnsi="Calibri"/>
                <w:color w:val="000000"/>
              </w:rPr>
              <w:t>12 months</w:t>
            </w:r>
            <w:r w:rsidR="0073058B">
              <w:rPr>
                <w:rFonts w:ascii="Calibri" w:hAnsi="Calibri"/>
                <w:color w:val="000000"/>
              </w:rPr>
              <w:t>,</w:t>
            </w:r>
          </w:p>
          <w:p w14:paraId="366B15CB" w14:textId="77777777" w:rsidR="0063693D" w:rsidRDefault="0063693D" w:rsidP="00FA01E6">
            <w:pPr>
              <w:rPr>
                <w:rFonts w:ascii="Calibri" w:hAnsi="Calibri"/>
                <w:color w:val="000000"/>
              </w:rPr>
            </w:pPr>
            <w:r>
              <w:rPr>
                <w:rFonts w:ascii="Calibri" w:hAnsi="Calibri"/>
                <w:color w:val="000000"/>
              </w:rPr>
              <w:t xml:space="preserve">university clinic setting </w:t>
            </w:r>
          </w:p>
        </w:tc>
        <w:tc>
          <w:tcPr>
            <w:tcW w:w="4394" w:type="dxa"/>
          </w:tcPr>
          <w:p w14:paraId="452FD175" w14:textId="77777777" w:rsidR="0063693D" w:rsidRDefault="0063693D" w:rsidP="00FA01E6">
            <w:pPr>
              <w:rPr>
                <w:rFonts w:ascii="Calibri" w:hAnsi="Calibri"/>
                <w:color w:val="000000"/>
              </w:rPr>
            </w:pPr>
            <w:r w:rsidRPr="008178FE">
              <w:rPr>
                <w:rFonts w:cstheme="minorHAnsi"/>
                <w:i/>
              </w:rPr>
              <w:t>Inclusion</w:t>
            </w:r>
            <w:r w:rsidR="00C80836">
              <w:rPr>
                <w:rFonts w:cstheme="minorHAnsi"/>
                <w:i/>
              </w:rPr>
              <w:t xml:space="preserve"> criteria</w:t>
            </w:r>
            <w:r>
              <w:rPr>
                <w:rFonts w:cstheme="minorHAnsi"/>
              </w:rPr>
              <w:t xml:space="preserve">: </w:t>
            </w:r>
            <w:r w:rsidR="00A51FC8">
              <w:rPr>
                <w:rFonts w:cstheme="minorHAnsi"/>
              </w:rPr>
              <w:t xml:space="preserve">Age </w:t>
            </w:r>
            <w:r>
              <w:rPr>
                <w:rFonts w:cstheme="minorHAnsi"/>
              </w:rPr>
              <w:t xml:space="preserve">≥ 29 years; living in municipality of </w:t>
            </w:r>
            <w:r>
              <w:rPr>
                <w:rFonts w:ascii="Calibri" w:hAnsi="Calibri"/>
                <w:color w:val="000000"/>
              </w:rPr>
              <w:t>Tr</w:t>
            </w:r>
            <w:r>
              <w:rPr>
                <w:rFonts w:ascii="Calibri" w:hAnsi="Calibri" w:cs="Calibri"/>
                <w:color w:val="000000"/>
              </w:rPr>
              <w:t>ø</w:t>
            </w:r>
            <w:r>
              <w:rPr>
                <w:rFonts w:ascii="Calibri" w:hAnsi="Calibri"/>
                <w:color w:val="000000"/>
              </w:rPr>
              <w:t>mso; either participated in the second phase of the 4</w:t>
            </w:r>
            <w:r w:rsidRPr="00FF658F">
              <w:rPr>
                <w:rFonts w:ascii="Calibri" w:hAnsi="Calibri"/>
                <w:color w:val="000000"/>
                <w:vertAlign w:val="superscript"/>
              </w:rPr>
              <w:t>th</w:t>
            </w:r>
            <w:r>
              <w:rPr>
                <w:rFonts w:ascii="Calibri" w:hAnsi="Calibri"/>
                <w:color w:val="000000"/>
              </w:rPr>
              <w:t xml:space="preserve"> Tr</w:t>
            </w:r>
            <w:r>
              <w:rPr>
                <w:rFonts w:ascii="Calibri" w:hAnsi="Calibri" w:cs="Calibri"/>
                <w:color w:val="000000"/>
              </w:rPr>
              <w:t>ø</w:t>
            </w:r>
            <w:r>
              <w:rPr>
                <w:rFonts w:ascii="Calibri" w:hAnsi="Calibri"/>
                <w:color w:val="000000"/>
              </w:rPr>
              <w:t>mso study or became 30, 40, 45, 60, or 75 years old during 2001; completed a health questionnaire; with TSH between 3.5-10.0 mIU/L (FT</w:t>
            </w:r>
            <w:r w:rsidRPr="00EC2BAA">
              <w:rPr>
                <w:rFonts w:ascii="Calibri" w:hAnsi="Calibri"/>
                <w:color w:val="000000"/>
                <w:vertAlign w:val="subscript"/>
              </w:rPr>
              <w:t>3</w:t>
            </w:r>
            <w:r>
              <w:rPr>
                <w:rFonts w:ascii="Calibri" w:hAnsi="Calibri"/>
                <w:color w:val="000000"/>
              </w:rPr>
              <w:t>, FT</w:t>
            </w:r>
            <w:r w:rsidRPr="00EC2BAA">
              <w:rPr>
                <w:rFonts w:ascii="Calibri" w:hAnsi="Calibri"/>
                <w:color w:val="000000"/>
                <w:vertAlign w:val="subscript"/>
              </w:rPr>
              <w:t>4</w:t>
            </w:r>
            <w:r>
              <w:rPr>
                <w:rFonts w:ascii="Calibri" w:hAnsi="Calibri"/>
                <w:color w:val="000000"/>
              </w:rPr>
              <w:t xml:space="preserve"> WNL) and no obvious symptoms of </w:t>
            </w:r>
            <w:r w:rsidR="00A3063F">
              <w:rPr>
                <w:rFonts w:ascii="Calibri" w:hAnsi="Calibri"/>
                <w:color w:val="000000"/>
              </w:rPr>
              <w:t>hypothyroidism</w:t>
            </w:r>
            <w:r>
              <w:rPr>
                <w:rFonts w:ascii="Calibri" w:hAnsi="Calibri"/>
                <w:color w:val="000000"/>
              </w:rPr>
              <w:t>.</w:t>
            </w:r>
          </w:p>
          <w:p w14:paraId="56833EA2" w14:textId="77777777" w:rsidR="0063693D" w:rsidRDefault="0063693D" w:rsidP="00FA01E6">
            <w:pPr>
              <w:rPr>
                <w:rFonts w:ascii="Calibri" w:hAnsi="Calibri"/>
                <w:color w:val="000000"/>
              </w:rPr>
            </w:pPr>
          </w:p>
          <w:p w14:paraId="0406B17C" w14:textId="77777777" w:rsidR="0063693D" w:rsidRPr="00B65444" w:rsidRDefault="0063693D" w:rsidP="00FA01E6">
            <w:pPr>
              <w:rPr>
                <w:rFonts w:cstheme="minorHAnsi"/>
                <w:color w:val="000000"/>
              </w:rPr>
            </w:pPr>
            <w:r w:rsidRPr="008178FE">
              <w:rPr>
                <w:rFonts w:cstheme="minorHAnsi"/>
                <w:i/>
                <w:color w:val="000000"/>
              </w:rPr>
              <w:t>Exclusion</w:t>
            </w:r>
            <w:r w:rsidR="00C80836">
              <w:rPr>
                <w:rFonts w:cstheme="minorHAnsi"/>
                <w:i/>
                <w:color w:val="000000"/>
              </w:rPr>
              <w:t xml:space="preserve"> </w:t>
            </w:r>
            <w:r w:rsidR="00C80836">
              <w:rPr>
                <w:rFonts w:cstheme="minorHAnsi"/>
                <w:i/>
              </w:rPr>
              <w:t>criteria</w:t>
            </w:r>
            <w:r w:rsidRPr="008178FE">
              <w:rPr>
                <w:rFonts w:cstheme="minorHAnsi"/>
                <w:color w:val="000000"/>
              </w:rPr>
              <w:t xml:space="preserve">: </w:t>
            </w:r>
            <w:r>
              <w:rPr>
                <w:rFonts w:cstheme="minorHAnsi"/>
                <w:color w:val="000000"/>
              </w:rPr>
              <w:t>Self-reported h</w:t>
            </w:r>
            <w:r w:rsidRPr="008178FE">
              <w:rPr>
                <w:rFonts w:cstheme="minorHAnsi"/>
              </w:rPr>
              <w:t>istory of coronary</w:t>
            </w:r>
            <w:r>
              <w:rPr>
                <w:rFonts w:cstheme="minorHAnsi"/>
              </w:rPr>
              <w:t xml:space="preserve"> </w:t>
            </w:r>
            <w:r w:rsidRPr="008178FE">
              <w:rPr>
                <w:rFonts w:cstheme="minorHAnsi"/>
              </w:rPr>
              <w:t>infarction, angina pectoris, or stroke</w:t>
            </w:r>
            <w:r>
              <w:rPr>
                <w:rFonts w:cstheme="minorHAnsi"/>
              </w:rPr>
              <w:t xml:space="preserve">; </w:t>
            </w:r>
            <w:r w:rsidRPr="008178FE">
              <w:rPr>
                <w:rFonts w:cstheme="minorHAnsi"/>
              </w:rPr>
              <w:t>participat</w:t>
            </w:r>
            <w:r>
              <w:rPr>
                <w:rFonts w:cstheme="minorHAnsi"/>
              </w:rPr>
              <w:t xml:space="preserve">ion in other follow-up studies; use of thyroid medication; age &gt; </w:t>
            </w:r>
            <w:r w:rsidRPr="008178FE">
              <w:rPr>
                <w:rFonts w:cstheme="minorHAnsi"/>
              </w:rPr>
              <w:t>80</w:t>
            </w:r>
            <w:r>
              <w:rPr>
                <w:rFonts w:cstheme="minorHAnsi"/>
              </w:rPr>
              <w:t xml:space="preserve"> years; other </w:t>
            </w:r>
            <w:r w:rsidRPr="008178FE">
              <w:rPr>
                <w:rFonts w:cstheme="minorHAnsi"/>
              </w:rPr>
              <w:t>serious diseases reported in</w:t>
            </w:r>
            <w:r>
              <w:rPr>
                <w:rFonts w:cstheme="minorHAnsi"/>
              </w:rPr>
              <w:t xml:space="preserve"> hospital records.</w:t>
            </w:r>
          </w:p>
        </w:tc>
        <w:tc>
          <w:tcPr>
            <w:tcW w:w="1701" w:type="dxa"/>
          </w:tcPr>
          <w:p w14:paraId="0FD3935A" w14:textId="77777777" w:rsidR="0063693D" w:rsidRDefault="00DD60C6" w:rsidP="00FA01E6">
            <w:pPr>
              <w:rPr>
                <w:rFonts w:ascii="Calibri" w:hAnsi="Calibri"/>
                <w:color w:val="000000"/>
              </w:rPr>
            </w:pPr>
            <w:r>
              <w:rPr>
                <w:rFonts w:ascii="Calibri" w:hAnsi="Calibri"/>
                <w:color w:val="000000"/>
              </w:rPr>
              <w:t xml:space="preserve">thyroxine </w:t>
            </w:r>
            <w:r w:rsidR="0063693D">
              <w:rPr>
                <w:rFonts w:ascii="Calibri" w:hAnsi="Calibri"/>
                <w:color w:val="000000"/>
              </w:rPr>
              <w:t xml:space="preserve">tablets (in 25-, 50-, and 100- </w:t>
            </w:r>
            <w:r w:rsidR="0063693D">
              <w:rPr>
                <w:rFonts w:ascii="Calibri" w:hAnsi="Calibri" w:cs="Calibri"/>
                <w:color w:val="000000"/>
              </w:rPr>
              <w:t>µg</w:t>
            </w:r>
            <w:r w:rsidR="0063693D">
              <w:rPr>
                <w:rFonts w:ascii="Calibri" w:hAnsi="Calibri"/>
                <w:color w:val="000000"/>
              </w:rPr>
              <w:t xml:space="preserve"> strength) or matching placebo</w:t>
            </w:r>
          </w:p>
          <w:p w14:paraId="42C8AB1A" w14:textId="77777777" w:rsidR="0063693D" w:rsidRDefault="00B22423" w:rsidP="00B94C53">
            <w:pPr>
              <w:rPr>
                <w:rFonts w:ascii="Calibri" w:hAnsi="Calibri"/>
                <w:color w:val="000000"/>
              </w:rPr>
            </w:pPr>
            <w:r>
              <w:rPr>
                <w:rFonts w:ascii="Calibri" w:hAnsi="Calibri"/>
                <w:color w:val="000000"/>
              </w:rPr>
              <w:t>(set dose</w:t>
            </w:r>
            <w:r w:rsidR="000B1B93">
              <w:rPr>
                <w:rFonts w:ascii="Calibri" w:hAnsi="Calibri"/>
                <w:color w:val="000000"/>
              </w:rPr>
              <w:t xml:space="preserve">s in first 12 weeks followed by </w:t>
            </w:r>
            <w:r>
              <w:rPr>
                <w:rFonts w:ascii="Calibri" w:hAnsi="Calibri"/>
                <w:color w:val="000000"/>
              </w:rPr>
              <w:t xml:space="preserve">individual dose </w:t>
            </w:r>
            <w:r w:rsidR="0063693D">
              <w:rPr>
                <w:rFonts w:ascii="Calibri" w:hAnsi="Calibri"/>
                <w:color w:val="000000"/>
              </w:rPr>
              <w:t>adjust</w:t>
            </w:r>
            <w:r>
              <w:rPr>
                <w:rFonts w:ascii="Calibri" w:hAnsi="Calibri"/>
                <w:color w:val="000000"/>
              </w:rPr>
              <w:t>ments thereafter</w:t>
            </w:r>
            <w:r w:rsidR="0063693D">
              <w:rPr>
                <w:rFonts w:ascii="Calibri" w:hAnsi="Calibri"/>
                <w:color w:val="000000"/>
              </w:rPr>
              <w:t xml:space="preserve"> to achieve a TSH </w:t>
            </w:r>
            <w:r w:rsidR="0063693D">
              <w:rPr>
                <w:rFonts w:cstheme="minorHAnsi"/>
              </w:rPr>
              <w:t>between 0.5-1.5 mIU/L</w:t>
            </w:r>
            <w:r>
              <w:rPr>
                <w:rFonts w:ascii="Calibri" w:hAnsi="Calibri"/>
                <w:color w:val="000000"/>
              </w:rPr>
              <w:t>).</w:t>
            </w:r>
          </w:p>
        </w:tc>
        <w:tc>
          <w:tcPr>
            <w:tcW w:w="3260" w:type="dxa"/>
          </w:tcPr>
          <w:p w14:paraId="2758E242" w14:textId="77777777" w:rsidR="0063693D" w:rsidRDefault="0063693D" w:rsidP="00FA01E6">
            <w:pPr>
              <w:rPr>
                <w:rFonts w:ascii="Calibri" w:hAnsi="Calibri"/>
                <w:color w:val="000000"/>
              </w:rPr>
            </w:pPr>
            <w:r w:rsidRPr="000A0E84">
              <w:rPr>
                <w:rFonts w:ascii="Calibri" w:hAnsi="Calibri"/>
                <w:i/>
                <w:color w:val="000000"/>
              </w:rPr>
              <w:t>Primary</w:t>
            </w:r>
            <w:r>
              <w:rPr>
                <w:rFonts w:ascii="Calibri" w:hAnsi="Calibri"/>
                <w:color w:val="000000"/>
              </w:rPr>
              <w:t>: Depressed mood; mental health status/psychological distress; cognitive function; hypothyroid symptoms</w:t>
            </w:r>
          </w:p>
          <w:p w14:paraId="17ECC157" w14:textId="77777777" w:rsidR="0063693D" w:rsidRDefault="0063693D" w:rsidP="00FA01E6">
            <w:pPr>
              <w:rPr>
                <w:rFonts w:ascii="Calibri" w:hAnsi="Calibri"/>
                <w:color w:val="000000"/>
              </w:rPr>
            </w:pPr>
          </w:p>
          <w:p w14:paraId="70C1E565" w14:textId="77777777" w:rsidR="0063693D" w:rsidRDefault="0063693D" w:rsidP="00FA01E6">
            <w:pPr>
              <w:rPr>
                <w:rFonts w:ascii="Calibri" w:hAnsi="Calibri"/>
                <w:color w:val="000000"/>
              </w:rPr>
            </w:pPr>
          </w:p>
          <w:p w14:paraId="598A35C5" w14:textId="77777777" w:rsidR="0063693D" w:rsidRDefault="0063693D" w:rsidP="00FA01E6">
            <w:pPr>
              <w:rPr>
                <w:rFonts w:ascii="Calibri" w:hAnsi="Calibri"/>
                <w:color w:val="000000"/>
              </w:rPr>
            </w:pPr>
          </w:p>
        </w:tc>
      </w:tr>
      <w:tr w:rsidR="00E558E9" w:rsidRPr="000A108B" w14:paraId="1C883737" w14:textId="77777777" w:rsidTr="00B94C53">
        <w:tc>
          <w:tcPr>
            <w:tcW w:w="1809" w:type="dxa"/>
          </w:tcPr>
          <w:p w14:paraId="29AC1480" w14:textId="77777777" w:rsidR="00E558E9" w:rsidRDefault="00E558E9" w:rsidP="00B94C53">
            <w:pPr>
              <w:rPr>
                <w:rFonts w:cstheme="minorHAnsi"/>
              </w:rPr>
            </w:pPr>
            <w:r>
              <w:rPr>
                <w:rFonts w:cstheme="minorHAnsi"/>
              </w:rPr>
              <w:t>Caraccio, 2005, Italy</w:t>
            </w:r>
          </w:p>
          <w:p w14:paraId="499B3F73" w14:textId="77777777" w:rsidR="00E558E9" w:rsidRDefault="00E558E9" w:rsidP="00B94C53">
            <w:pPr>
              <w:rPr>
                <w:rFonts w:cstheme="minorHAnsi"/>
              </w:rPr>
            </w:pPr>
          </w:p>
          <w:p w14:paraId="63DE0D85" w14:textId="77777777" w:rsidR="00E558E9" w:rsidRDefault="00E558E9" w:rsidP="00B94C53">
            <w:pPr>
              <w:rPr>
                <w:rFonts w:cstheme="minorHAnsi"/>
              </w:rPr>
            </w:pPr>
            <w:r>
              <w:rPr>
                <w:rFonts w:cstheme="minorHAnsi"/>
              </w:rPr>
              <w:t>n=23 (91% female)</w:t>
            </w:r>
          </w:p>
        </w:tc>
        <w:tc>
          <w:tcPr>
            <w:tcW w:w="1560" w:type="dxa"/>
          </w:tcPr>
          <w:p w14:paraId="58B992FD" w14:textId="77777777" w:rsidR="00E558E9" w:rsidRDefault="00E558E9" w:rsidP="00E558E9">
            <w:pPr>
              <w:rPr>
                <w:rFonts w:ascii="Calibri" w:hAnsi="Calibri"/>
                <w:color w:val="000000"/>
              </w:rPr>
            </w:pPr>
            <w:r>
              <w:rPr>
                <w:rFonts w:ascii="Calibri" w:hAnsi="Calibri"/>
                <w:color w:val="000000"/>
              </w:rPr>
              <w:t xml:space="preserve">RCT, </w:t>
            </w:r>
          </w:p>
          <w:p w14:paraId="6248CE6C" w14:textId="77777777" w:rsidR="00E558E9" w:rsidRDefault="00E558E9" w:rsidP="00E558E9">
            <w:pPr>
              <w:rPr>
                <w:rFonts w:ascii="Calibri" w:hAnsi="Calibri"/>
                <w:color w:val="000000"/>
              </w:rPr>
            </w:pPr>
            <w:r>
              <w:rPr>
                <w:rFonts w:ascii="Calibri" w:hAnsi="Calibri"/>
                <w:color w:val="000000"/>
              </w:rPr>
              <w:t>Placebo,</w:t>
            </w:r>
          </w:p>
          <w:p w14:paraId="1E23EF43" w14:textId="77777777" w:rsidR="00E558E9" w:rsidRDefault="00E558E9" w:rsidP="00E558E9">
            <w:pPr>
              <w:rPr>
                <w:rFonts w:ascii="Calibri" w:hAnsi="Calibri"/>
                <w:color w:val="000000"/>
              </w:rPr>
            </w:pPr>
            <w:r>
              <w:rPr>
                <w:rFonts w:ascii="Calibri" w:hAnsi="Calibri"/>
                <w:color w:val="000000"/>
              </w:rPr>
              <w:t>6 months,</w:t>
            </w:r>
          </w:p>
          <w:p w14:paraId="639E91A3" w14:textId="77777777" w:rsidR="00E558E9" w:rsidRDefault="00E558E9" w:rsidP="00E558E9">
            <w:pPr>
              <w:rPr>
                <w:rFonts w:ascii="Calibri" w:hAnsi="Calibri"/>
                <w:color w:val="000000"/>
              </w:rPr>
            </w:pPr>
            <w:r>
              <w:rPr>
                <w:rFonts w:ascii="Calibri" w:hAnsi="Calibri"/>
                <w:color w:val="000000"/>
              </w:rPr>
              <w:t>outpatient clinic</w:t>
            </w:r>
          </w:p>
        </w:tc>
        <w:tc>
          <w:tcPr>
            <w:tcW w:w="4394" w:type="dxa"/>
          </w:tcPr>
          <w:p w14:paraId="5546122D" w14:textId="77777777" w:rsidR="005C1CF8" w:rsidRDefault="005C1CF8" w:rsidP="005C1CF8">
            <w:pPr>
              <w:autoSpaceDE w:val="0"/>
              <w:autoSpaceDN w:val="0"/>
              <w:adjustRightInd w:val="0"/>
            </w:pPr>
            <w:r>
              <w:rPr>
                <w:rFonts w:cs="AdvOT82c4f4c4"/>
                <w:i/>
              </w:rPr>
              <w:t xml:space="preserve">Inclusion </w:t>
            </w:r>
            <w:r>
              <w:rPr>
                <w:rFonts w:cstheme="minorHAnsi"/>
                <w:i/>
              </w:rPr>
              <w:t>criteria</w:t>
            </w:r>
            <w:r>
              <w:rPr>
                <w:rFonts w:cs="AdvOT82c4f4c4"/>
                <w:i/>
              </w:rPr>
              <w:t xml:space="preserve">: </w:t>
            </w:r>
            <w:r w:rsidRPr="00FD23AA">
              <w:rPr>
                <w:rFonts w:cs="AdvOT82c4f4c4"/>
              </w:rPr>
              <w:t>Patients with SCH</w:t>
            </w:r>
            <w:r>
              <w:rPr>
                <w:rFonts w:cs="AdvOT82c4f4c4"/>
              </w:rPr>
              <w:t>o</w:t>
            </w:r>
            <w:r w:rsidRPr="00FD23AA">
              <w:rPr>
                <w:rFonts w:cs="AdvOT82c4f4c4"/>
              </w:rPr>
              <w:t xml:space="preserve"> as</w:t>
            </w:r>
            <w:r>
              <w:rPr>
                <w:rFonts w:cs="AdvOT82c4f4c4"/>
                <w:i/>
              </w:rPr>
              <w:t xml:space="preserve"> </w:t>
            </w:r>
            <w:r>
              <w:t xml:space="preserve">documented by TSH &gt; 3.6 mIU/L and free thyroid hormone levels within normal range; </w:t>
            </w:r>
            <w:r>
              <w:rPr>
                <w:rFonts w:cs="AdvOT82c4f4c4"/>
              </w:rPr>
              <w:t>positive antithyroid antibodies; Hashimoto’s thyroiditis</w:t>
            </w:r>
          </w:p>
          <w:p w14:paraId="7C341AC4" w14:textId="77777777" w:rsidR="005C1CF8" w:rsidRDefault="005C1CF8" w:rsidP="005C1CF8">
            <w:pPr>
              <w:autoSpaceDE w:val="0"/>
              <w:autoSpaceDN w:val="0"/>
              <w:adjustRightInd w:val="0"/>
            </w:pPr>
          </w:p>
          <w:p w14:paraId="75F3C9E9" w14:textId="77777777" w:rsidR="00E558E9" w:rsidRDefault="005C1CF8" w:rsidP="005C1CF8">
            <w:pPr>
              <w:autoSpaceDE w:val="0"/>
              <w:autoSpaceDN w:val="0"/>
              <w:adjustRightInd w:val="0"/>
              <w:rPr>
                <w:rFonts w:cs="AdvOT82c4f4c4"/>
                <w:i/>
              </w:rPr>
            </w:pPr>
            <w:r w:rsidRPr="00FD23AA">
              <w:rPr>
                <w:i/>
              </w:rPr>
              <w:t>Exclusion</w:t>
            </w:r>
            <w:r>
              <w:rPr>
                <w:i/>
              </w:rPr>
              <w:t xml:space="preserve"> </w:t>
            </w:r>
            <w:r>
              <w:rPr>
                <w:rFonts w:cstheme="minorHAnsi"/>
                <w:i/>
              </w:rPr>
              <w:t>criteria</w:t>
            </w:r>
            <w:r>
              <w:t>: neurological, cardiovascular, respiratory, and other systemic diseases</w:t>
            </w:r>
          </w:p>
        </w:tc>
        <w:tc>
          <w:tcPr>
            <w:tcW w:w="1701" w:type="dxa"/>
          </w:tcPr>
          <w:p w14:paraId="2495E176" w14:textId="77777777" w:rsidR="00E558E9" w:rsidRDefault="007B4D7E" w:rsidP="008E0E75">
            <w:pPr>
              <w:autoSpaceDE w:val="0"/>
              <w:autoSpaceDN w:val="0"/>
              <w:adjustRightInd w:val="0"/>
              <w:rPr>
                <w:rFonts w:cs="AdvOT1ef757c0"/>
              </w:rPr>
            </w:pPr>
            <w:r>
              <w:rPr>
                <w:rFonts w:cs="AdvOT1ef757c0"/>
              </w:rPr>
              <w:t>LT</w:t>
            </w:r>
            <w:r w:rsidRPr="00A03719">
              <w:rPr>
                <w:rFonts w:cs="AdvOT1ef757c0"/>
                <w:vertAlign w:val="subscript"/>
              </w:rPr>
              <w:t>4</w:t>
            </w:r>
            <w:r>
              <w:rPr>
                <w:rFonts w:cs="AdvOT1ef757c0"/>
              </w:rPr>
              <w:t xml:space="preserve"> treatment (initial: </w:t>
            </w:r>
            <w:r w:rsidR="008E0E75">
              <w:rPr>
                <w:rFonts w:cs="AdvOT1ef757c0"/>
              </w:rPr>
              <w:t>25</w:t>
            </w:r>
            <w:r>
              <w:rPr>
                <w:rFonts w:cs="AdvOT1ef757c0"/>
              </w:rPr>
              <w:t xml:space="preserve"> µg/day, titrated to achieve TSH WNL)</w:t>
            </w:r>
          </w:p>
        </w:tc>
        <w:tc>
          <w:tcPr>
            <w:tcW w:w="3260" w:type="dxa"/>
          </w:tcPr>
          <w:p w14:paraId="24F74269" w14:textId="77777777" w:rsidR="00E558E9" w:rsidRDefault="008E0E75" w:rsidP="00FA01E6">
            <w:pPr>
              <w:autoSpaceDE w:val="0"/>
              <w:autoSpaceDN w:val="0"/>
              <w:adjustRightInd w:val="0"/>
              <w:rPr>
                <w:rFonts w:cs="AdvOT1ef757c0"/>
              </w:rPr>
            </w:pPr>
            <w:r>
              <w:rPr>
                <w:rFonts w:cs="AdvOT1ef757c0"/>
              </w:rPr>
              <w:t>Primary outcomes: energy and metabolic outcomes</w:t>
            </w:r>
          </w:p>
          <w:p w14:paraId="3CBB881E" w14:textId="77777777" w:rsidR="008E0E75" w:rsidRDefault="008E0E75" w:rsidP="00FA01E6">
            <w:pPr>
              <w:autoSpaceDE w:val="0"/>
              <w:autoSpaceDN w:val="0"/>
              <w:adjustRightInd w:val="0"/>
              <w:rPr>
                <w:rFonts w:cs="AdvOT1ef757c0"/>
              </w:rPr>
            </w:pPr>
          </w:p>
          <w:p w14:paraId="0161B5CD" w14:textId="77777777" w:rsidR="008E0E75" w:rsidRDefault="008E0E75" w:rsidP="00FA01E6">
            <w:pPr>
              <w:autoSpaceDE w:val="0"/>
              <w:autoSpaceDN w:val="0"/>
              <w:adjustRightInd w:val="0"/>
              <w:rPr>
                <w:rFonts w:cs="AdvOT1ef757c0"/>
              </w:rPr>
            </w:pPr>
            <w:r>
              <w:rPr>
                <w:rFonts w:cs="AdvOT1ef757c0"/>
              </w:rPr>
              <w:t>BMI also reported</w:t>
            </w:r>
          </w:p>
        </w:tc>
      </w:tr>
      <w:tr w:rsidR="0063693D" w:rsidRPr="000A108B" w14:paraId="002BECA4" w14:textId="77777777" w:rsidTr="00B94C53">
        <w:tc>
          <w:tcPr>
            <w:tcW w:w="1809" w:type="dxa"/>
          </w:tcPr>
          <w:p w14:paraId="30BB063C" w14:textId="77777777" w:rsidR="0063693D" w:rsidRDefault="0063693D" w:rsidP="00B94C53">
            <w:pPr>
              <w:rPr>
                <w:rFonts w:cstheme="minorHAnsi"/>
              </w:rPr>
            </w:pPr>
            <w:r>
              <w:rPr>
                <w:rFonts w:cstheme="minorHAnsi"/>
              </w:rPr>
              <w:t>Yazici, 2004, Turkey</w:t>
            </w:r>
          </w:p>
          <w:p w14:paraId="11EAF531" w14:textId="77777777" w:rsidR="0073058B" w:rsidRDefault="0073058B" w:rsidP="00B94C53">
            <w:pPr>
              <w:rPr>
                <w:rFonts w:cstheme="minorHAnsi"/>
              </w:rPr>
            </w:pPr>
          </w:p>
          <w:p w14:paraId="7DCD1C45" w14:textId="77777777" w:rsidR="0073058B" w:rsidRPr="00173CD4" w:rsidRDefault="0073058B" w:rsidP="00B94C53">
            <w:pPr>
              <w:rPr>
                <w:rFonts w:cstheme="minorHAnsi"/>
              </w:rPr>
            </w:pPr>
            <w:r>
              <w:rPr>
                <w:rFonts w:ascii="Calibri" w:hAnsi="Calibri"/>
                <w:color w:val="000000"/>
              </w:rPr>
              <w:t xml:space="preserve">n=45 (84% </w:t>
            </w:r>
            <w:r w:rsidR="004F0FA7">
              <w:rPr>
                <w:rFonts w:ascii="Calibri" w:hAnsi="Calibri"/>
                <w:color w:val="000000"/>
              </w:rPr>
              <w:t>female</w:t>
            </w:r>
            <w:r>
              <w:rPr>
                <w:rFonts w:ascii="Calibri" w:hAnsi="Calibri"/>
                <w:color w:val="000000"/>
              </w:rPr>
              <w:t>)</w:t>
            </w:r>
          </w:p>
        </w:tc>
        <w:tc>
          <w:tcPr>
            <w:tcW w:w="1560" w:type="dxa"/>
          </w:tcPr>
          <w:p w14:paraId="40C285DB" w14:textId="77777777" w:rsidR="0073058B" w:rsidRDefault="0063693D" w:rsidP="00B94C53">
            <w:pPr>
              <w:rPr>
                <w:rFonts w:ascii="Calibri" w:hAnsi="Calibri"/>
                <w:color w:val="000000"/>
              </w:rPr>
            </w:pPr>
            <w:r>
              <w:rPr>
                <w:rFonts w:ascii="Calibri" w:hAnsi="Calibri"/>
                <w:color w:val="000000"/>
              </w:rPr>
              <w:t xml:space="preserve">RCT, </w:t>
            </w:r>
          </w:p>
          <w:p w14:paraId="0195EB51" w14:textId="77777777" w:rsidR="0073058B" w:rsidRDefault="0073058B" w:rsidP="00B94C53">
            <w:pPr>
              <w:rPr>
                <w:rFonts w:ascii="Calibri" w:hAnsi="Calibri"/>
                <w:color w:val="000000"/>
              </w:rPr>
            </w:pPr>
            <w:r>
              <w:rPr>
                <w:rFonts w:ascii="Calibri" w:hAnsi="Calibri"/>
                <w:color w:val="000000"/>
              </w:rPr>
              <w:t>Placebo,</w:t>
            </w:r>
          </w:p>
          <w:p w14:paraId="6F714436" w14:textId="77777777" w:rsidR="0063693D" w:rsidRDefault="0063693D" w:rsidP="00B94C53">
            <w:pPr>
              <w:rPr>
                <w:rFonts w:ascii="Calibri" w:hAnsi="Calibri"/>
                <w:color w:val="000000"/>
              </w:rPr>
            </w:pPr>
            <w:r>
              <w:rPr>
                <w:rFonts w:ascii="Calibri" w:hAnsi="Calibri"/>
                <w:color w:val="000000"/>
              </w:rPr>
              <w:t>1 year</w:t>
            </w:r>
            <w:r w:rsidR="0073058B">
              <w:rPr>
                <w:rFonts w:ascii="Calibri" w:hAnsi="Calibri"/>
                <w:color w:val="000000"/>
              </w:rPr>
              <w:t xml:space="preserve">, </w:t>
            </w:r>
            <w:r>
              <w:rPr>
                <w:rFonts w:ascii="Calibri" w:hAnsi="Calibri"/>
                <w:color w:val="000000"/>
              </w:rPr>
              <w:t xml:space="preserve">cardiology clinic </w:t>
            </w:r>
          </w:p>
        </w:tc>
        <w:tc>
          <w:tcPr>
            <w:tcW w:w="4394" w:type="dxa"/>
          </w:tcPr>
          <w:p w14:paraId="6752B7E3" w14:textId="77777777" w:rsidR="0063693D" w:rsidRDefault="0063693D" w:rsidP="00FA01E6">
            <w:pPr>
              <w:autoSpaceDE w:val="0"/>
              <w:autoSpaceDN w:val="0"/>
              <w:adjustRightInd w:val="0"/>
            </w:pPr>
            <w:r>
              <w:rPr>
                <w:rFonts w:cs="AdvOT82c4f4c4"/>
                <w:i/>
              </w:rPr>
              <w:t>Inclusion</w:t>
            </w:r>
            <w:r w:rsidR="00C80836">
              <w:rPr>
                <w:rFonts w:cstheme="minorHAnsi"/>
                <w:i/>
              </w:rPr>
              <w:t xml:space="preserve"> criteria</w:t>
            </w:r>
            <w:r>
              <w:rPr>
                <w:rFonts w:cs="AdvOT82c4f4c4"/>
                <w:i/>
              </w:rPr>
              <w:t xml:space="preserve">: </w:t>
            </w:r>
            <w:r>
              <w:rPr>
                <w:rFonts w:cs="AdvOT82c4f4c4"/>
              </w:rPr>
              <w:t>Patients with SCH</w:t>
            </w:r>
            <w:r w:rsidR="0006294E">
              <w:rPr>
                <w:rFonts w:cs="AdvOT82c4f4c4"/>
              </w:rPr>
              <w:t>o</w:t>
            </w:r>
            <w:r>
              <w:rPr>
                <w:rFonts w:cs="AdvOT82c4f4c4"/>
              </w:rPr>
              <w:t xml:space="preserve"> and st</w:t>
            </w:r>
            <w:r>
              <w:t>able elevated serum TSH and normal thyroid hormone levels for ≥ 1 year before enrollment</w:t>
            </w:r>
          </w:p>
          <w:p w14:paraId="6B6576F9" w14:textId="77777777" w:rsidR="0063693D" w:rsidRDefault="0063693D" w:rsidP="00FA01E6">
            <w:pPr>
              <w:autoSpaceDE w:val="0"/>
              <w:autoSpaceDN w:val="0"/>
              <w:adjustRightInd w:val="0"/>
            </w:pPr>
          </w:p>
          <w:p w14:paraId="2E9223CC" w14:textId="77777777" w:rsidR="0063693D" w:rsidRPr="00695773" w:rsidRDefault="0063693D" w:rsidP="00FA01E6">
            <w:pPr>
              <w:autoSpaceDE w:val="0"/>
              <w:autoSpaceDN w:val="0"/>
              <w:adjustRightInd w:val="0"/>
              <w:rPr>
                <w:rFonts w:cs="AdvOT82c4f4c4"/>
              </w:rPr>
            </w:pPr>
            <w:r w:rsidRPr="00695773">
              <w:rPr>
                <w:i/>
              </w:rPr>
              <w:t>Exclusion</w:t>
            </w:r>
            <w:r w:rsidR="00C80836">
              <w:rPr>
                <w:i/>
              </w:rPr>
              <w:t xml:space="preserve"> </w:t>
            </w:r>
            <w:r w:rsidR="00C80836">
              <w:rPr>
                <w:rFonts w:cstheme="minorHAnsi"/>
                <w:i/>
              </w:rPr>
              <w:t>criteria</w:t>
            </w:r>
            <w:r>
              <w:t>: Cardiovascular disease</w:t>
            </w:r>
          </w:p>
        </w:tc>
        <w:tc>
          <w:tcPr>
            <w:tcW w:w="1701" w:type="dxa"/>
          </w:tcPr>
          <w:p w14:paraId="37740DF8" w14:textId="77777777" w:rsidR="0063693D" w:rsidRDefault="0063693D" w:rsidP="00FA01E6">
            <w:pPr>
              <w:autoSpaceDE w:val="0"/>
              <w:autoSpaceDN w:val="0"/>
              <w:adjustRightInd w:val="0"/>
              <w:rPr>
                <w:rFonts w:cs="AdvOT1ef757c0"/>
              </w:rPr>
            </w:pPr>
            <w:r>
              <w:rPr>
                <w:rFonts w:cs="AdvOT1ef757c0"/>
              </w:rPr>
              <w:t>LT</w:t>
            </w:r>
            <w:r w:rsidRPr="00A03719">
              <w:rPr>
                <w:rFonts w:cs="AdvOT1ef757c0"/>
                <w:vertAlign w:val="subscript"/>
              </w:rPr>
              <w:t>4</w:t>
            </w:r>
            <w:r>
              <w:rPr>
                <w:rFonts w:cs="AdvOT1ef757c0"/>
              </w:rPr>
              <w:t xml:space="preserve"> treatment (initial: 50 µg/day, titrated to achieve TSH WNL)</w:t>
            </w:r>
          </w:p>
        </w:tc>
        <w:tc>
          <w:tcPr>
            <w:tcW w:w="3260" w:type="dxa"/>
          </w:tcPr>
          <w:p w14:paraId="7A48BA28" w14:textId="77777777" w:rsidR="0063693D" w:rsidRDefault="0063693D" w:rsidP="00FA01E6">
            <w:pPr>
              <w:autoSpaceDE w:val="0"/>
              <w:autoSpaceDN w:val="0"/>
              <w:adjustRightInd w:val="0"/>
              <w:rPr>
                <w:rFonts w:cs="AdvOT1ef757c0"/>
              </w:rPr>
            </w:pPr>
            <w:r>
              <w:rPr>
                <w:rFonts w:cs="AdvOT1ef757c0"/>
              </w:rPr>
              <w:t>Primary and secondary outcomes not explicitly stated; however, m</w:t>
            </w:r>
            <w:r w:rsidRPr="00AE5E1F">
              <w:rPr>
                <w:rFonts w:cs="AdvOT1ef757c0"/>
              </w:rPr>
              <w:t>yocardial function and structure</w:t>
            </w:r>
            <w:r>
              <w:rPr>
                <w:rFonts w:cs="AdvOT1ef757c0"/>
              </w:rPr>
              <w:t xml:space="preserve"> appear to be the main outcomes. </w:t>
            </w:r>
          </w:p>
          <w:p w14:paraId="531A9348" w14:textId="77777777" w:rsidR="0063693D" w:rsidRDefault="0063693D" w:rsidP="00FA01E6">
            <w:pPr>
              <w:autoSpaceDE w:val="0"/>
              <w:autoSpaceDN w:val="0"/>
              <w:adjustRightInd w:val="0"/>
              <w:rPr>
                <w:rFonts w:cs="AdvOT1ef757c0"/>
              </w:rPr>
            </w:pPr>
          </w:p>
          <w:p w14:paraId="3D9109A6" w14:textId="77777777" w:rsidR="0063693D" w:rsidRPr="000A0E84" w:rsidRDefault="0063693D" w:rsidP="00FA01E6">
            <w:pPr>
              <w:autoSpaceDE w:val="0"/>
              <w:autoSpaceDN w:val="0"/>
              <w:adjustRightInd w:val="0"/>
              <w:rPr>
                <w:rFonts w:cs="AdvOT1ef757c0"/>
                <w:i/>
              </w:rPr>
            </w:pPr>
            <w:r>
              <w:rPr>
                <w:rFonts w:cs="AdvOT1ef757c0"/>
              </w:rPr>
              <w:t>BMI, SBP, and DBP also reported</w:t>
            </w:r>
          </w:p>
        </w:tc>
      </w:tr>
      <w:tr w:rsidR="0063693D" w:rsidRPr="000A108B" w14:paraId="0F430C9D" w14:textId="77777777" w:rsidTr="00B94C53">
        <w:tc>
          <w:tcPr>
            <w:tcW w:w="1809" w:type="dxa"/>
          </w:tcPr>
          <w:p w14:paraId="3022000F" w14:textId="77777777" w:rsidR="0063693D" w:rsidRDefault="0063693D" w:rsidP="00B94C53">
            <w:pPr>
              <w:rPr>
                <w:rFonts w:cstheme="minorHAnsi"/>
              </w:rPr>
            </w:pPr>
            <w:r>
              <w:rPr>
                <w:rFonts w:cstheme="minorHAnsi"/>
              </w:rPr>
              <w:t>Monzani, 2004, Italy</w:t>
            </w:r>
          </w:p>
          <w:p w14:paraId="236906EF" w14:textId="77777777" w:rsidR="0073058B" w:rsidRDefault="0073058B" w:rsidP="00B94C53">
            <w:pPr>
              <w:rPr>
                <w:rFonts w:cstheme="minorHAnsi"/>
              </w:rPr>
            </w:pPr>
          </w:p>
          <w:p w14:paraId="0F3BCBA1" w14:textId="77777777" w:rsidR="0073058B" w:rsidRPr="00173CD4" w:rsidRDefault="0073058B" w:rsidP="00B94C53">
            <w:pPr>
              <w:rPr>
                <w:rFonts w:cstheme="minorHAnsi"/>
              </w:rPr>
            </w:pPr>
            <w:r>
              <w:rPr>
                <w:rFonts w:ascii="Calibri" w:hAnsi="Calibri"/>
                <w:color w:val="000000"/>
              </w:rPr>
              <w:t xml:space="preserve">n=45 (82% </w:t>
            </w:r>
            <w:r w:rsidR="004F0FA7">
              <w:rPr>
                <w:rFonts w:ascii="Calibri" w:hAnsi="Calibri"/>
                <w:color w:val="000000"/>
              </w:rPr>
              <w:t>female</w:t>
            </w:r>
            <w:r>
              <w:rPr>
                <w:rFonts w:ascii="Calibri" w:hAnsi="Calibri"/>
                <w:color w:val="000000"/>
              </w:rPr>
              <w:t>)</w:t>
            </w:r>
          </w:p>
        </w:tc>
        <w:tc>
          <w:tcPr>
            <w:tcW w:w="1560" w:type="dxa"/>
          </w:tcPr>
          <w:p w14:paraId="03FF99F0" w14:textId="77777777" w:rsidR="0073058B" w:rsidRDefault="0063693D" w:rsidP="00B94C53">
            <w:pPr>
              <w:rPr>
                <w:rFonts w:ascii="Calibri" w:hAnsi="Calibri"/>
                <w:color w:val="000000"/>
              </w:rPr>
            </w:pPr>
            <w:r>
              <w:rPr>
                <w:rFonts w:ascii="Calibri" w:hAnsi="Calibri"/>
                <w:color w:val="000000"/>
              </w:rPr>
              <w:t xml:space="preserve">RCT, </w:t>
            </w:r>
          </w:p>
          <w:p w14:paraId="7FC1335F" w14:textId="77777777" w:rsidR="0073058B" w:rsidRDefault="0073058B" w:rsidP="00B94C53">
            <w:pPr>
              <w:rPr>
                <w:rFonts w:ascii="Calibri" w:hAnsi="Calibri"/>
                <w:color w:val="000000"/>
              </w:rPr>
            </w:pPr>
            <w:r>
              <w:rPr>
                <w:rFonts w:ascii="Calibri" w:hAnsi="Calibri"/>
                <w:color w:val="000000"/>
              </w:rPr>
              <w:t>Placebo,</w:t>
            </w:r>
          </w:p>
          <w:p w14:paraId="31DCC3A4" w14:textId="77777777" w:rsidR="0063693D" w:rsidRDefault="0063693D" w:rsidP="00B94C53">
            <w:pPr>
              <w:rPr>
                <w:rFonts w:ascii="Calibri" w:hAnsi="Calibri"/>
                <w:color w:val="000000"/>
              </w:rPr>
            </w:pPr>
            <w:r>
              <w:rPr>
                <w:rFonts w:ascii="Calibri" w:hAnsi="Calibri"/>
                <w:color w:val="000000"/>
              </w:rPr>
              <w:t>6 months</w:t>
            </w:r>
            <w:r w:rsidR="0073058B">
              <w:rPr>
                <w:rFonts w:ascii="Calibri" w:hAnsi="Calibri"/>
                <w:color w:val="000000"/>
              </w:rPr>
              <w:t xml:space="preserve">, </w:t>
            </w:r>
            <w:r>
              <w:rPr>
                <w:rFonts w:ascii="Calibri" w:hAnsi="Calibri"/>
                <w:color w:val="000000"/>
              </w:rPr>
              <w:t xml:space="preserve">outpatient clinic </w:t>
            </w:r>
          </w:p>
        </w:tc>
        <w:tc>
          <w:tcPr>
            <w:tcW w:w="4394" w:type="dxa"/>
          </w:tcPr>
          <w:p w14:paraId="7D4A356E" w14:textId="77777777" w:rsidR="0063693D" w:rsidRPr="006B65EF" w:rsidRDefault="0063693D" w:rsidP="00FA01E6">
            <w:pPr>
              <w:autoSpaceDE w:val="0"/>
              <w:autoSpaceDN w:val="0"/>
              <w:adjustRightInd w:val="0"/>
              <w:rPr>
                <w:rFonts w:cs="AdvOT82c4f4c4"/>
              </w:rPr>
            </w:pPr>
            <w:r>
              <w:rPr>
                <w:rFonts w:cs="AdvOT82c4f4c4"/>
                <w:i/>
              </w:rPr>
              <w:t>Inclusion</w:t>
            </w:r>
            <w:r w:rsidR="00C80836">
              <w:rPr>
                <w:rFonts w:cs="AdvOT82c4f4c4"/>
                <w:i/>
              </w:rPr>
              <w:t xml:space="preserve"> </w:t>
            </w:r>
            <w:r w:rsidR="00C80836">
              <w:rPr>
                <w:rFonts w:cstheme="minorHAnsi"/>
                <w:i/>
              </w:rPr>
              <w:t>criteria</w:t>
            </w:r>
            <w:r>
              <w:rPr>
                <w:rFonts w:cs="AdvOT82c4f4c4"/>
                <w:i/>
              </w:rPr>
              <w:t>:</w:t>
            </w:r>
            <w:r>
              <w:rPr>
                <w:rFonts w:cs="AdvOT82c4f4c4"/>
              </w:rPr>
              <w:t xml:space="preserve"> Documented TSH &gt; 3.6 mIU/L for </w:t>
            </w:r>
            <w:r>
              <w:rPr>
                <w:rFonts w:cstheme="minorHAnsi"/>
              </w:rPr>
              <w:t>≥</w:t>
            </w:r>
            <w:r>
              <w:rPr>
                <w:rFonts w:cs="AdvOT82c4f4c4"/>
              </w:rPr>
              <w:t xml:space="preserve"> 6 months before enrollment</w:t>
            </w:r>
          </w:p>
          <w:p w14:paraId="22F0A869" w14:textId="77777777" w:rsidR="0063693D" w:rsidRDefault="0063693D" w:rsidP="00FA01E6">
            <w:pPr>
              <w:autoSpaceDE w:val="0"/>
              <w:autoSpaceDN w:val="0"/>
              <w:adjustRightInd w:val="0"/>
              <w:rPr>
                <w:rFonts w:cs="AdvOT82c4f4c4"/>
                <w:i/>
              </w:rPr>
            </w:pPr>
          </w:p>
          <w:p w14:paraId="057989E8" w14:textId="77777777" w:rsidR="0063693D" w:rsidRDefault="0063693D" w:rsidP="00FA01E6">
            <w:pPr>
              <w:autoSpaceDE w:val="0"/>
              <w:autoSpaceDN w:val="0"/>
              <w:adjustRightInd w:val="0"/>
            </w:pPr>
            <w:r>
              <w:rPr>
                <w:rFonts w:cs="AdvOT82c4f4c4"/>
                <w:i/>
              </w:rPr>
              <w:t>Exclusion</w:t>
            </w:r>
            <w:r w:rsidR="00C80836">
              <w:rPr>
                <w:rFonts w:cs="AdvOT82c4f4c4"/>
                <w:i/>
              </w:rPr>
              <w:t xml:space="preserve"> </w:t>
            </w:r>
            <w:r w:rsidR="00C80836">
              <w:rPr>
                <w:rFonts w:cstheme="minorHAnsi"/>
                <w:i/>
              </w:rPr>
              <w:t>criteria</w:t>
            </w:r>
            <w:r>
              <w:rPr>
                <w:rFonts w:cs="AdvOT82c4f4c4"/>
                <w:i/>
              </w:rPr>
              <w:t xml:space="preserve">: </w:t>
            </w:r>
            <w:r>
              <w:rPr>
                <w:rFonts w:cs="AdvOT82c4f4c4"/>
              </w:rPr>
              <w:t xml:space="preserve">Age &gt; 55 years; </w:t>
            </w:r>
            <w:r>
              <w:t>obesity (BMI &gt; 30 kg/m</w:t>
            </w:r>
            <w:r w:rsidRPr="006B65EF">
              <w:rPr>
                <w:vertAlign w:val="superscript"/>
              </w:rPr>
              <w:t>2</w:t>
            </w:r>
            <w:r>
              <w:t xml:space="preserve">); smoking; hypertension; diabetes </w:t>
            </w:r>
            <w:r>
              <w:lastRenderedPageBreak/>
              <w:t>mellitus; renal or hepatic failure; other systemic disease</w:t>
            </w:r>
          </w:p>
          <w:p w14:paraId="22AC40E1" w14:textId="77777777" w:rsidR="0063693D" w:rsidRPr="006B65EF" w:rsidRDefault="0063693D" w:rsidP="00FA01E6">
            <w:pPr>
              <w:autoSpaceDE w:val="0"/>
              <w:autoSpaceDN w:val="0"/>
              <w:adjustRightInd w:val="0"/>
              <w:rPr>
                <w:rFonts w:cs="AdvOT82c4f4c4"/>
              </w:rPr>
            </w:pPr>
          </w:p>
        </w:tc>
        <w:tc>
          <w:tcPr>
            <w:tcW w:w="1701" w:type="dxa"/>
          </w:tcPr>
          <w:p w14:paraId="4541C909" w14:textId="77777777" w:rsidR="0063693D" w:rsidRDefault="0063693D" w:rsidP="00FA01E6">
            <w:pPr>
              <w:autoSpaceDE w:val="0"/>
              <w:autoSpaceDN w:val="0"/>
              <w:adjustRightInd w:val="0"/>
              <w:rPr>
                <w:rFonts w:cs="AdvOT1ef757c0"/>
              </w:rPr>
            </w:pPr>
            <w:r>
              <w:rPr>
                <w:rFonts w:cs="AdvOT1ef757c0"/>
              </w:rPr>
              <w:lastRenderedPageBreak/>
              <w:t>LT</w:t>
            </w:r>
            <w:r w:rsidRPr="00A03719">
              <w:rPr>
                <w:rFonts w:cs="AdvOT1ef757c0"/>
                <w:vertAlign w:val="subscript"/>
              </w:rPr>
              <w:t>4</w:t>
            </w:r>
            <w:r>
              <w:rPr>
                <w:rFonts w:cs="AdvOT1ef757c0"/>
              </w:rPr>
              <w:t xml:space="preserve"> treatment (initial: 25 µg/day, titrated to achieve TSH WNL)</w:t>
            </w:r>
          </w:p>
        </w:tc>
        <w:tc>
          <w:tcPr>
            <w:tcW w:w="3260" w:type="dxa"/>
          </w:tcPr>
          <w:p w14:paraId="07CA3B2F" w14:textId="77777777" w:rsidR="0063693D" w:rsidRDefault="0063693D" w:rsidP="00FA01E6">
            <w:pPr>
              <w:autoSpaceDE w:val="0"/>
              <w:autoSpaceDN w:val="0"/>
              <w:adjustRightInd w:val="0"/>
              <w:rPr>
                <w:rFonts w:cs="AdvOT1ef757c0"/>
              </w:rPr>
            </w:pPr>
            <w:r>
              <w:rPr>
                <w:rFonts w:cs="AdvOT1ef757c0"/>
              </w:rPr>
              <w:t>Main outcomes: carotid artery intima-media thickness, lipid profile</w:t>
            </w:r>
          </w:p>
          <w:p w14:paraId="744D368A" w14:textId="77777777" w:rsidR="0063693D" w:rsidRDefault="0063693D" w:rsidP="00FA01E6">
            <w:pPr>
              <w:autoSpaceDE w:val="0"/>
              <w:autoSpaceDN w:val="0"/>
              <w:adjustRightInd w:val="0"/>
              <w:rPr>
                <w:rFonts w:cs="AdvOT1ef757c0"/>
              </w:rPr>
            </w:pPr>
          </w:p>
          <w:p w14:paraId="51323C60" w14:textId="77777777" w:rsidR="0063693D" w:rsidRPr="00F00326" w:rsidRDefault="0063693D" w:rsidP="00FA01E6">
            <w:pPr>
              <w:autoSpaceDE w:val="0"/>
              <w:autoSpaceDN w:val="0"/>
              <w:adjustRightInd w:val="0"/>
              <w:rPr>
                <w:rFonts w:cs="AdvOT1ef757c0"/>
              </w:rPr>
            </w:pPr>
            <w:r>
              <w:rPr>
                <w:rFonts w:cs="AdvOT1ef757c0"/>
              </w:rPr>
              <w:t>BMI also reported</w:t>
            </w:r>
          </w:p>
        </w:tc>
      </w:tr>
      <w:tr w:rsidR="0063693D" w:rsidRPr="000A108B" w14:paraId="76700630" w14:textId="77777777" w:rsidTr="00B94C53">
        <w:tc>
          <w:tcPr>
            <w:tcW w:w="1809" w:type="dxa"/>
          </w:tcPr>
          <w:p w14:paraId="1A479F6E" w14:textId="77777777" w:rsidR="0063693D" w:rsidRDefault="0063693D" w:rsidP="00B94C53">
            <w:pPr>
              <w:rPr>
                <w:rFonts w:cstheme="minorHAnsi"/>
              </w:rPr>
            </w:pPr>
            <w:r>
              <w:rPr>
                <w:rFonts w:cstheme="minorHAnsi"/>
              </w:rPr>
              <w:t>Caraccio, 2002, Italy</w:t>
            </w:r>
          </w:p>
          <w:p w14:paraId="48BC01DF" w14:textId="77777777" w:rsidR="0073058B" w:rsidRDefault="0073058B" w:rsidP="00B94C53">
            <w:pPr>
              <w:rPr>
                <w:rFonts w:cstheme="minorHAnsi"/>
              </w:rPr>
            </w:pPr>
          </w:p>
          <w:p w14:paraId="6FA0A9B7" w14:textId="77777777" w:rsidR="0073058B" w:rsidRPr="00173CD4" w:rsidRDefault="0073058B" w:rsidP="00B94C53">
            <w:pPr>
              <w:rPr>
                <w:rFonts w:cstheme="minorHAnsi"/>
              </w:rPr>
            </w:pPr>
            <w:r>
              <w:rPr>
                <w:rFonts w:ascii="Calibri" w:hAnsi="Calibri"/>
                <w:color w:val="000000"/>
              </w:rPr>
              <w:t xml:space="preserve">n=49 (86% </w:t>
            </w:r>
            <w:r w:rsidR="004F0FA7">
              <w:rPr>
                <w:rFonts w:ascii="Calibri" w:hAnsi="Calibri"/>
                <w:color w:val="000000"/>
              </w:rPr>
              <w:t>female</w:t>
            </w:r>
            <w:r>
              <w:rPr>
                <w:rFonts w:ascii="Calibri" w:hAnsi="Calibri"/>
                <w:color w:val="000000"/>
              </w:rPr>
              <w:t>)</w:t>
            </w:r>
          </w:p>
        </w:tc>
        <w:tc>
          <w:tcPr>
            <w:tcW w:w="1560" w:type="dxa"/>
          </w:tcPr>
          <w:p w14:paraId="019BCC4B" w14:textId="77777777" w:rsidR="0073058B" w:rsidRDefault="0063693D" w:rsidP="00B94C53">
            <w:pPr>
              <w:rPr>
                <w:rFonts w:ascii="Calibri" w:hAnsi="Calibri"/>
                <w:color w:val="000000"/>
              </w:rPr>
            </w:pPr>
            <w:r>
              <w:rPr>
                <w:rFonts w:ascii="Calibri" w:hAnsi="Calibri"/>
                <w:color w:val="000000"/>
              </w:rPr>
              <w:t xml:space="preserve">RCT, </w:t>
            </w:r>
          </w:p>
          <w:p w14:paraId="50F901A2" w14:textId="77777777" w:rsidR="0073058B" w:rsidRDefault="0073058B" w:rsidP="00B94C53">
            <w:pPr>
              <w:rPr>
                <w:rFonts w:ascii="Calibri" w:hAnsi="Calibri"/>
                <w:color w:val="000000"/>
              </w:rPr>
            </w:pPr>
            <w:r>
              <w:rPr>
                <w:rFonts w:ascii="Calibri" w:hAnsi="Calibri"/>
                <w:color w:val="000000"/>
              </w:rPr>
              <w:t>Placebo,</w:t>
            </w:r>
          </w:p>
          <w:p w14:paraId="7BC07A04" w14:textId="77777777" w:rsidR="0063693D" w:rsidRDefault="0063693D" w:rsidP="00B94C53">
            <w:pPr>
              <w:rPr>
                <w:rFonts w:ascii="Calibri" w:hAnsi="Calibri"/>
                <w:color w:val="000000"/>
              </w:rPr>
            </w:pPr>
            <w:r>
              <w:rPr>
                <w:rFonts w:ascii="Calibri" w:hAnsi="Calibri"/>
                <w:color w:val="000000"/>
              </w:rPr>
              <w:t>6 months</w:t>
            </w:r>
            <w:r w:rsidR="0073058B">
              <w:rPr>
                <w:rFonts w:ascii="Calibri" w:hAnsi="Calibri"/>
                <w:color w:val="000000"/>
              </w:rPr>
              <w:t xml:space="preserve">, </w:t>
            </w:r>
            <w:r>
              <w:rPr>
                <w:rFonts w:ascii="Calibri" w:hAnsi="Calibri"/>
                <w:color w:val="000000"/>
              </w:rPr>
              <w:t>outpatient clinic</w:t>
            </w:r>
          </w:p>
        </w:tc>
        <w:tc>
          <w:tcPr>
            <w:tcW w:w="4394" w:type="dxa"/>
          </w:tcPr>
          <w:p w14:paraId="2215F2C7" w14:textId="77777777" w:rsidR="0063693D" w:rsidRDefault="0063693D" w:rsidP="00FA01E6">
            <w:pPr>
              <w:autoSpaceDE w:val="0"/>
              <w:autoSpaceDN w:val="0"/>
              <w:adjustRightInd w:val="0"/>
            </w:pPr>
            <w:r>
              <w:rPr>
                <w:rFonts w:cs="AdvOT82c4f4c4"/>
                <w:i/>
              </w:rPr>
              <w:t>Inclusion</w:t>
            </w:r>
            <w:r w:rsidR="00C80836">
              <w:rPr>
                <w:rFonts w:cs="AdvOT82c4f4c4"/>
                <w:i/>
              </w:rPr>
              <w:t xml:space="preserve"> </w:t>
            </w:r>
            <w:r w:rsidR="00C80836">
              <w:rPr>
                <w:rFonts w:cstheme="minorHAnsi"/>
                <w:i/>
              </w:rPr>
              <w:t>criteria</w:t>
            </w:r>
            <w:r>
              <w:rPr>
                <w:rFonts w:cs="AdvOT82c4f4c4"/>
                <w:i/>
              </w:rPr>
              <w:t xml:space="preserve">: </w:t>
            </w:r>
            <w:r w:rsidRPr="00FD23AA">
              <w:rPr>
                <w:rFonts w:cs="AdvOT82c4f4c4"/>
              </w:rPr>
              <w:t>Patients with stable SCH</w:t>
            </w:r>
            <w:r w:rsidR="0006294E">
              <w:rPr>
                <w:rFonts w:cs="AdvOT82c4f4c4"/>
              </w:rPr>
              <w:t>o</w:t>
            </w:r>
            <w:r w:rsidRPr="00FD23AA">
              <w:rPr>
                <w:rFonts w:cs="AdvOT82c4f4c4"/>
              </w:rPr>
              <w:t xml:space="preserve"> as</w:t>
            </w:r>
            <w:r>
              <w:rPr>
                <w:rFonts w:cs="AdvOT82c4f4c4"/>
                <w:i/>
              </w:rPr>
              <w:t xml:space="preserve"> </w:t>
            </w:r>
            <w:r>
              <w:t xml:space="preserve">documented by TSH &gt; 3.6 mIU/L for </w:t>
            </w:r>
            <w:r>
              <w:rPr>
                <w:rFonts w:cstheme="minorHAnsi"/>
              </w:rPr>
              <w:t>≥</w:t>
            </w:r>
            <w:r>
              <w:t xml:space="preserve"> 6 months before the study; positive antithyroid antibody titers </w:t>
            </w:r>
          </w:p>
          <w:p w14:paraId="3F0F7191" w14:textId="77777777" w:rsidR="0063693D" w:rsidRDefault="0063693D" w:rsidP="00FA01E6">
            <w:pPr>
              <w:autoSpaceDE w:val="0"/>
              <w:autoSpaceDN w:val="0"/>
              <w:adjustRightInd w:val="0"/>
            </w:pPr>
          </w:p>
          <w:p w14:paraId="4E84A722" w14:textId="77777777" w:rsidR="0063693D" w:rsidRPr="006530AB" w:rsidRDefault="0063693D" w:rsidP="00FA01E6">
            <w:pPr>
              <w:autoSpaceDE w:val="0"/>
              <w:autoSpaceDN w:val="0"/>
              <w:adjustRightInd w:val="0"/>
              <w:rPr>
                <w:rFonts w:cs="AdvOT82c4f4c4"/>
              </w:rPr>
            </w:pPr>
            <w:r w:rsidRPr="00FD23AA">
              <w:rPr>
                <w:i/>
              </w:rPr>
              <w:t>Exclusion</w:t>
            </w:r>
            <w:r w:rsidR="00C80836">
              <w:rPr>
                <w:i/>
              </w:rPr>
              <w:t xml:space="preserve"> </w:t>
            </w:r>
            <w:r w:rsidR="00C80836">
              <w:rPr>
                <w:rFonts w:cstheme="minorHAnsi"/>
                <w:i/>
              </w:rPr>
              <w:t>criteria</w:t>
            </w:r>
            <w:r>
              <w:t>: Obesity (BMI &gt; 30 kg/m</w:t>
            </w:r>
            <w:r w:rsidRPr="00FD23AA">
              <w:rPr>
                <w:vertAlign w:val="superscript"/>
              </w:rPr>
              <w:t>2</w:t>
            </w:r>
            <w:r>
              <w:t xml:space="preserve">); smoking; primary or secondary dyslipidemia; serum total cholesterol </w:t>
            </w:r>
            <w:r>
              <w:rPr>
                <w:rFonts w:cstheme="minorHAnsi"/>
              </w:rPr>
              <w:t>≥</w:t>
            </w:r>
            <w:r>
              <w:t xml:space="preserve"> 7.8 mmol/L; serum triglycerides </w:t>
            </w:r>
            <w:r>
              <w:rPr>
                <w:rFonts w:cstheme="minorHAnsi"/>
              </w:rPr>
              <w:t>≥</w:t>
            </w:r>
            <w:r>
              <w:t xml:space="preserve"> 4.6 mmol/L; diabetes mellitus; renal and hepatic failure; other systemic diseases</w:t>
            </w:r>
          </w:p>
        </w:tc>
        <w:tc>
          <w:tcPr>
            <w:tcW w:w="1701" w:type="dxa"/>
          </w:tcPr>
          <w:p w14:paraId="520CACED" w14:textId="77777777" w:rsidR="0063693D" w:rsidRDefault="0063693D" w:rsidP="00FA01E6">
            <w:pPr>
              <w:autoSpaceDE w:val="0"/>
              <w:autoSpaceDN w:val="0"/>
              <w:adjustRightInd w:val="0"/>
              <w:rPr>
                <w:rFonts w:cs="AdvOT1ef757c0"/>
              </w:rPr>
            </w:pPr>
            <w:r>
              <w:rPr>
                <w:rFonts w:cs="AdvOT1ef757c0"/>
              </w:rPr>
              <w:t>LT</w:t>
            </w:r>
            <w:r w:rsidRPr="00A03719">
              <w:rPr>
                <w:rFonts w:cs="AdvOT1ef757c0"/>
                <w:vertAlign w:val="subscript"/>
              </w:rPr>
              <w:t>4</w:t>
            </w:r>
            <w:r>
              <w:rPr>
                <w:rFonts w:cs="AdvOT1ef757c0"/>
              </w:rPr>
              <w:t xml:space="preserve"> treatment (initial: 25 µg/day, titrated to achieve TSH WNL)</w:t>
            </w:r>
          </w:p>
        </w:tc>
        <w:tc>
          <w:tcPr>
            <w:tcW w:w="3260" w:type="dxa"/>
          </w:tcPr>
          <w:p w14:paraId="4B52D750" w14:textId="77777777" w:rsidR="0063693D" w:rsidRDefault="0063693D" w:rsidP="00FA01E6">
            <w:pPr>
              <w:autoSpaceDE w:val="0"/>
              <w:autoSpaceDN w:val="0"/>
              <w:adjustRightInd w:val="0"/>
              <w:rPr>
                <w:rFonts w:cs="AdvOT1ef757c0"/>
              </w:rPr>
            </w:pPr>
            <w:r>
              <w:rPr>
                <w:rFonts w:cs="AdvOT1ef757c0"/>
              </w:rPr>
              <w:t>Main outcome: lipid profile.</w:t>
            </w:r>
          </w:p>
          <w:p w14:paraId="441B0263" w14:textId="77777777" w:rsidR="0063693D" w:rsidRDefault="0063693D" w:rsidP="00FA01E6">
            <w:pPr>
              <w:autoSpaceDE w:val="0"/>
              <w:autoSpaceDN w:val="0"/>
              <w:adjustRightInd w:val="0"/>
              <w:rPr>
                <w:rFonts w:cs="AdvOT1ef757c0"/>
              </w:rPr>
            </w:pPr>
          </w:p>
          <w:p w14:paraId="5B376023" w14:textId="77777777" w:rsidR="0063693D" w:rsidRPr="00B2763A" w:rsidRDefault="0063693D" w:rsidP="00FA01E6">
            <w:pPr>
              <w:autoSpaceDE w:val="0"/>
              <w:autoSpaceDN w:val="0"/>
              <w:adjustRightInd w:val="0"/>
              <w:rPr>
                <w:rFonts w:cs="AdvOT1ef757c0"/>
              </w:rPr>
            </w:pPr>
            <w:r>
              <w:rPr>
                <w:rFonts w:cs="AdvOT1ef757c0"/>
              </w:rPr>
              <w:t>BMI also reported</w:t>
            </w:r>
          </w:p>
        </w:tc>
      </w:tr>
      <w:tr w:rsidR="0063693D" w:rsidRPr="000A108B" w14:paraId="54F36F01" w14:textId="77777777" w:rsidTr="00B94C53">
        <w:tc>
          <w:tcPr>
            <w:tcW w:w="1809" w:type="dxa"/>
          </w:tcPr>
          <w:p w14:paraId="42AA59B8" w14:textId="77777777" w:rsidR="0063693D" w:rsidRDefault="0063693D" w:rsidP="00B94C53">
            <w:pPr>
              <w:rPr>
                <w:rFonts w:cstheme="minorHAnsi"/>
              </w:rPr>
            </w:pPr>
            <w:r>
              <w:rPr>
                <w:rFonts w:cstheme="minorHAnsi"/>
              </w:rPr>
              <w:t>Monzani, 2001, Italy</w:t>
            </w:r>
          </w:p>
          <w:p w14:paraId="1C40D278" w14:textId="77777777" w:rsidR="0073058B" w:rsidRDefault="0073058B" w:rsidP="00B94C53">
            <w:pPr>
              <w:rPr>
                <w:rFonts w:cstheme="minorHAnsi"/>
              </w:rPr>
            </w:pPr>
          </w:p>
          <w:p w14:paraId="7DD70B46" w14:textId="77777777" w:rsidR="0073058B" w:rsidRPr="00173CD4" w:rsidRDefault="0073058B" w:rsidP="00B94C53">
            <w:pPr>
              <w:rPr>
                <w:rFonts w:cstheme="minorHAnsi"/>
              </w:rPr>
            </w:pPr>
            <w:r>
              <w:rPr>
                <w:rFonts w:ascii="Calibri" w:hAnsi="Calibri"/>
                <w:color w:val="000000"/>
              </w:rPr>
              <w:t xml:space="preserve">n=20 (90% </w:t>
            </w:r>
            <w:r w:rsidR="004F0FA7">
              <w:rPr>
                <w:rFonts w:ascii="Calibri" w:hAnsi="Calibri"/>
                <w:color w:val="000000"/>
              </w:rPr>
              <w:t>female</w:t>
            </w:r>
            <w:r>
              <w:rPr>
                <w:rFonts w:ascii="Calibri" w:hAnsi="Calibri"/>
                <w:color w:val="000000"/>
              </w:rPr>
              <w:t>)</w:t>
            </w:r>
          </w:p>
        </w:tc>
        <w:tc>
          <w:tcPr>
            <w:tcW w:w="1560" w:type="dxa"/>
          </w:tcPr>
          <w:p w14:paraId="3DD879C9" w14:textId="77777777" w:rsidR="0073058B" w:rsidRDefault="0063693D" w:rsidP="00B94C53">
            <w:pPr>
              <w:rPr>
                <w:rFonts w:ascii="Calibri" w:hAnsi="Calibri"/>
                <w:color w:val="000000"/>
              </w:rPr>
            </w:pPr>
            <w:r>
              <w:rPr>
                <w:rFonts w:ascii="Calibri" w:hAnsi="Calibri"/>
                <w:color w:val="000000"/>
              </w:rPr>
              <w:t xml:space="preserve">RCT, </w:t>
            </w:r>
          </w:p>
          <w:p w14:paraId="34C4E984" w14:textId="77777777" w:rsidR="0073058B" w:rsidRDefault="0073058B" w:rsidP="00B94C53">
            <w:pPr>
              <w:rPr>
                <w:rFonts w:ascii="Calibri" w:hAnsi="Calibri"/>
                <w:color w:val="000000"/>
              </w:rPr>
            </w:pPr>
            <w:r>
              <w:rPr>
                <w:rFonts w:ascii="Calibri" w:hAnsi="Calibri"/>
                <w:color w:val="000000"/>
              </w:rPr>
              <w:t>Placebo,</w:t>
            </w:r>
          </w:p>
          <w:p w14:paraId="013F2A19" w14:textId="77777777" w:rsidR="0063693D" w:rsidRDefault="004E4953" w:rsidP="00B94C53">
            <w:pPr>
              <w:rPr>
                <w:rFonts w:ascii="Calibri" w:hAnsi="Calibri"/>
                <w:color w:val="000000"/>
              </w:rPr>
            </w:pPr>
            <w:r>
              <w:rPr>
                <w:rFonts w:ascii="Calibri" w:hAnsi="Calibri"/>
                <w:color w:val="000000"/>
              </w:rPr>
              <w:t>6 months</w:t>
            </w:r>
            <w:r w:rsidR="0073058B">
              <w:rPr>
                <w:rFonts w:ascii="Calibri" w:hAnsi="Calibri"/>
                <w:color w:val="000000"/>
              </w:rPr>
              <w:t xml:space="preserve">, </w:t>
            </w:r>
            <w:r w:rsidR="0063693D">
              <w:rPr>
                <w:rFonts w:ascii="Calibri" w:hAnsi="Calibri"/>
                <w:color w:val="000000"/>
              </w:rPr>
              <w:t>outpatient internal medicine clinic</w:t>
            </w:r>
          </w:p>
        </w:tc>
        <w:tc>
          <w:tcPr>
            <w:tcW w:w="4394" w:type="dxa"/>
          </w:tcPr>
          <w:p w14:paraId="6F3EBCF2" w14:textId="77777777" w:rsidR="0063693D" w:rsidRDefault="0063693D" w:rsidP="00FA01E6">
            <w:pPr>
              <w:autoSpaceDE w:val="0"/>
              <w:autoSpaceDN w:val="0"/>
              <w:adjustRightInd w:val="0"/>
            </w:pPr>
            <w:r>
              <w:rPr>
                <w:rFonts w:cs="AdvOT82c4f4c4"/>
                <w:i/>
              </w:rPr>
              <w:t>Inclusion</w:t>
            </w:r>
            <w:r w:rsidR="00C80836">
              <w:rPr>
                <w:rFonts w:cs="AdvOT82c4f4c4"/>
                <w:i/>
              </w:rPr>
              <w:t xml:space="preserve"> </w:t>
            </w:r>
            <w:r w:rsidR="00C80836">
              <w:rPr>
                <w:rFonts w:cstheme="minorHAnsi"/>
                <w:i/>
              </w:rPr>
              <w:t>criteria</w:t>
            </w:r>
            <w:r>
              <w:rPr>
                <w:rFonts w:cs="AdvOT82c4f4c4"/>
                <w:i/>
              </w:rPr>
              <w:t xml:space="preserve">: </w:t>
            </w:r>
            <w:r>
              <w:rPr>
                <w:rFonts w:cs="AdvOT82c4f4c4"/>
              </w:rPr>
              <w:t xml:space="preserve">TSH &gt; 3.6 </w:t>
            </w:r>
            <w:r w:rsidR="00220B3F">
              <w:rPr>
                <w:rFonts w:cs="AdvOT82c4f4c4"/>
              </w:rPr>
              <w:t>mIU</w:t>
            </w:r>
            <w:r>
              <w:rPr>
                <w:rFonts w:cs="AdvOT82c4f4c4"/>
              </w:rPr>
              <w:t>/L (range: 3.8-12.0 mIU/L) and FT</w:t>
            </w:r>
            <w:r w:rsidRPr="003626FE">
              <w:rPr>
                <w:rFonts w:cs="AdvOT82c4f4c4"/>
                <w:vertAlign w:val="subscript"/>
              </w:rPr>
              <w:t>3</w:t>
            </w:r>
            <w:r>
              <w:rPr>
                <w:rFonts w:cs="AdvOT82c4f4c4"/>
              </w:rPr>
              <w:t xml:space="preserve"> and FT</w:t>
            </w:r>
            <w:r w:rsidRPr="003626FE">
              <w:rPr>
                <w:rFonts w:cs="AdvOT82c4f4c4"/>
                <w:vertAlign w:val="subscript"/>
              </w:rPr>
              <w:t>4</w:t>
            </w:r>
            <w:r>
              <w:rPr>
                <w:rFonts w:cs="AdvOT82c4f4c4"/>
              </w:rPr>
              <w:t xml:space="preserve"> WNL; </w:t>
            </w:r>
            <w:r>
              <w:t>stable elevated serum TSH and normal thyroid hormone levels for ≥ 1 y</w:t>
            </w:r>
            <w:r w:rsidR="005B099C">
              <w:t>ea</w:t>
            </w:r>
            <w:r>
              <w:t>r before enrollment.</w:t>
            </w:r>
          </w:p>
          <w:p w14:paraId="54E39523" w14:textId="77777777" w:rsidR="0063693D" w:rsidRDefault="0063693D" w:rsidP="00FA01E6">
            <w:pPr>
              <w:autoSpaceDE w:val="0"/>
              <w:autoSpaceDN w:val="0"/>
              <w:adjustRightInd w:val="0"/>
            </w:pPr>
          </w:p>
          <w:p w14:paraId="39DD4372" w14:textId="77777777" w:rsidR="0063693D" w:rsidRPr="003626FE" w:rsidRDefault="0063693D" w:rsidP="00FA01E6">
            <w:pPr>
              <w:autoSpaceDE w:val="0"/>
              <w:autoSpaceDN w:val="0"/>
              <w:adjustRightInd w:val="0"/>
              <w:rPr>
                <w:rFonts w:cs="AdvOT82c4f4c4"/>
                <w:sz w:val="20"/>
                <w:szCs w:val="20"/>
              </w:rPr>
            </w:pPr>
            <w:r w:rsidRPr="00A03719">
              <w:rPr>
                <w:i/>
              </w:rPr>
              <w:t>Exclusion</w:t>
            </w:r>
            <w:r w:rsidR="00C80836">
              <w:rPr>
                <w:i/>
              </w:rPr>
              <w:t xml:space="preserve"> </w:t>
            </w:r>
            <w:r w:rsidR="00C80836">
              <w:rPr>
                <w:rFonts w:cstheme="minorHAnsi"/>
                <w:i/>
              </w:rPr>
              <w:t>criteria</w:t>
            </w:r>
            <w:r>
              <w:t>: Cardiovascular and respiratory diseases</w:t>
            </w:r>
          </w:p>
        </w:tc>
        <w:tc>
          <w:tcPr>
            <w:tcW w:w="1701" w:type="dxa"/>
          </w:tcPr>
          <w:p w14:paraId="78713D2F" w14:textId="77777777" w:rsidR="0063693D" w:rsidRDefault="0063693D" w:rsidP="00FA01E6">
            <w:pPr>
              <w:autoSpaceDE w:val="0"/>
              <w:autoSpaceDN w:val="0"/>
              <w:adjustRightInd w:val="0"/>
              <w:rPr>
                <w:rFonts w:cs="AdvOT1ef757c0"/>
              </w:rPr>
            </w:pPr>
            <w:r>
              <w:rPr>
                <w:rFonts w:cs="AdvOT1ef757c0"/>
              </w:rPr>
              <w:t>LT</w:t>
            </w:r>
            <w:r w:rsidRPr="00A03719">
              <w:rPr>
                <w:rFonts w:cs="AdvOT1ef757c0"/>
                <w:vertAlign w:val="subscript"/>
              </w:rPr>
              <w:t>4</w:t>
            </w:r>
            <w:r>
              <w:rPr>
                <w:rFonts w:cs="AdvOT1ef757c0"/>
              </w:rPr>
              <w:t xml:space="preserve"> treatment (initial: 50 µg/day, titrated to achieve TSH WNL)</w:t>
            </w:r>
          </w:p>
        </w:tc>
        <w:tc>
          <w:tcPr>
            <w:tcW w:w="3260" w:type="dxa"/>
          </w:tcPr>
          <w:p w14:paraId="2B452CEF" w14:textId="77777777" w:rsidR="0063693D" w:rsidRDefault="0063693D" w:rsidP="00FA01E6">
            <w:pPr>
              <w:autoSpaceDE w:val="0"/>
              <w:autoSpaceDN w:val="0"/>
              <w:adjustRightInd w:val="0"/>
              <w:rPr>
                <w:rFonts w:cs="AdvOT1ef757c0"/>
              </w:rPr>
            </w:pPr>
            <w:r>
              <w:rPr>
                <w:rFonts w:cs="AdvOT1ef757c0"/>
              </w:rPr>
              <w:t>Primary and secondary outcomes not explicitly stated; however, m</w:t>
            </w:r>
            <w:r w:rsidRPr="00AE5E1F">
              <w:rPr>
                <w:rFonts w:cs="AdvOT1ef757c0"/>
              </w:rPr>
              <w:t>yocardial function and structure</w:t>
            </w:r>
            <w:r>
              <w:rPr>
                <w:rFonts w:cs="AdvOT1ef757c0"/>
              </w:rPr>
              <w:t xml:space="preserve"> appear to be the main outcomes. </w:t>
            </w:r>
          </w:p>
          <w:p w14:paraId="17D9A637" w14:textId="77777777" w:rsidR="0063693D" w:rsidRDefault="0063693D" w:rsidP="00FA01E6">
            <w:pPr>
              <w:autoSpaceDE w:val="0"/>
              <w:autoSpaceDN w:val="0"/>
              <w:adjustRightInd w:val="0"/>
              <w:rPr>
                <w:rFonts w:cs="AdvOT1ef757c0"/>
              </w:rPr>
            </w:pPr>
          </w:p>
          <w:p w14:paraId="13CA5A35" w14:textId="77777777" w:rsidR="0063693D" w:rsidRPr="00AE5E1F" w:rsidRDefault="0063693D" w:rsidP="00FA01E6">
            <w:pPr>
              <w:autoSpaceDE w:val="0"/>
              <w:autoSpaceDN w:val="0"/>
              <w:adjustRightInd w:val="0"/>
              <w:rPr>
                <w:rFonts w:cs="AdvOT1ef757c0"/>
              </w:rPr>
            </w:pPr>
            <w:r>
              <w:rPr>
                <w:rFonts w:cs="AdvOT1ef757c0"/>
              </w:rPr>
              <w:t>BMI, SBP, and DBP also reported</w:t>
            </w:r>
          </w:p>
        </w:tc>
      </w:tr>
      <w:tr w:rsidR="0063693D" w14:paraId="2493350D" w14:textId="77777777" w:rsidTr="00B94C53">
        <w:tc>
          <w:tcPr>
            <w:tcW w:w="1809" w:type="dxa"/>
          </w:tcPr>
          <w:p w14:paraId="19F66BB5" w14:textId="77777777" w:rsidR="0063693D" w:rsidRDefault="0063693D" w:rsidP="00FA01E6">
            <w:pPr>
              <w:rPr>
                <w:rFonts w:cstheme="minorHAnsi"/>
              </w:rPr>
            </w:pPr>
            <w:r w:rsidRPr="00173CD4">
              <w:rPr>
                <w:rFonts w:cstheme="minorHAnsi"/>
              </w:rPr>
              <w:t>Andersen</w:t>
            </w:r>
            <w:r>
              <w:rPr>
                <w:rFonts w:cstheme="minorHAnsi"/>
              </w:rPr>
              <w:t>,</w:t>
            </w:r>
          </w:p>
          <w:p w14:paraId="1D8EB946" w14:textId="77777777" w:rsidR="0063693D" w:rsidRDefault="0063693D" w:rsidP="00FA01E6">
            <w:pPr>
              <w:rPr>
                <w:rFonts w:cstheme="minorHAnsi"/>
                <w:color w:val="000000"/>
              </w:rPr>
            </w:pPr>
            <w:r>
              <w:rPr>
                <w:rFonts w:cstheme="minorHAnsi"/>
                <w:color w:val="000000"/>
              </w:rPr>
              <w:t xml:space="preserve">2016, Denmark </w:t>
            </w:r>
          </w:p>
          <w:p w14:paraId="076686F4" w14:textId="77777777" w:rsidR="0073058B" w:rsidRDefault="0073058B" w:rsidP="00FA01E6">
            <w:pPr>
              <w:rPr>
                <w:rFonts w:cstheme="minorHAnsi"/>
                <w:color w:val="000000"/>
              </w:rPr>
            </w:pPr>
          </w:p>
          <w:p w14:paraId="0353EDED" w14:textId="77777777" w:rsidR="0073058B" w:rsidRDefault="0073058B" w:rsidP="00FA01E6">
            <w:pPr>
              <w:rPr>
                <w:rFonts w:cstheme="minorHAnsi"/>
                <w:color w:val="000000"/>
              </w:rPr>
            </w:pPr>
            <w:r>
              <w:rPr>
                <w:rFonts w:cstheme="minorHAnsi"/>
                <w:color w:val="000000"/>
              </w:rPr>
              <w:t xml:space="preserve">n=1,192 (64% </w:t>
            </w:r>
            <w:r w:rsidR="004F0FA7">
              <w:rPr>
                <w:rFonts w:ascii="Calibri" w:hAnsi="Calibri"/>
                <w:color w:val="000000"/>
              </w:rPr>
              <w:t>female</w:t>
            </w:r>
            <w:r>
              <w:rPr>
                <w:rFonts w:cstheme="minorHAnsi"/>
                <w:color w:val="000000"/>
              </w:rPr>
              <w:t>)</w:t>
            </w:r>
          </w:p>
          <w:p w14:paraId="45DB41D0" w14:textId="77777777" w:rsidR="0063693D" w:rsidRDefault="0063693D" w:rsidP="00FA01E6">
            <w:pPr>
              <w:rPr>
                <w:rFonts w:cstheme="minorHAnsi"/>
                <w:color w:val="000000"/>
              </w:rPr>
            </w:pPr>
          </w:p>
          <w:p w14:paraId="0778A28F" w14:textId="77777777" w:rsidR="0063693D" w:rsidRPr="00173CD4" w:rsidRDefault="0063693D" w:rsidP="00FA01E6">
            <w:pPr>
              <w:rPr>
                <w:rFonts w:cstheme="minorHAnsi"/>
                <w:color w:val="000000"/>
              </w:rPr>
            </w:pPr>
          </w:p>
        </w:tc>
        <w:tc>
          <w:tcPr>
            <w:tcW w:w="1560" w:type="dxa"/>
          </w:tcPr>
          <w:p w14:paraId="3A00F1D6" w14:textId="77777777" w:rsidR="0063693D" w:rsidRDefault="0063693D" w:rsidP="00FA01E6">
            <w:pPr>
              <w:rPr>
                <w:rFonts w:ascii="Calibri" w:hAnsi="Calibri"/>
                <w:color w:val="000000"/>
              </w:rPr>
            </w:pPr>
            <w:r>
              <w:rPr>
                <w:rFonts w:ascii="Calibri" w:hAnsi="Calibri"/>
                <w:color w:val="000000"/>
              </w:rPr>
              <w:t>Registry-based retrospective cohort study</w:t>
            </w:r>
            <w:r w:rsidR="0073058B">
              <w:rPr>
                <w:rFonts w:ascii="Calibri" w:hAnsi="Calibri"/>
                <w:color w:val="000000"/>
              </w:rPr>
              <w:t>,</w:t>
            </w:r>
            <w:r w:rsidR="0073058B" w:rsidRPr="0077284F">
              <w:rPr>
                <w:rFonts w:ascii="Calibri" w:hAnsi="Calibri"/>
                <w:color w:val="000000"/>
              </w:rPr>
              <w:t xml:space="preserve"> </w:t>
            </w:r>
            <w:r w:rsidRPr="0077284F">
              <w:rPr>
                <w:rFonts w:ascii="Calibri" w:hAnsi="Calibri"/>
                <w:color w:val="000000"/>
              </w:rPr>
              <w:t>time</w:t>
            </w:r>
            <w:r w:rsidRPr="00BB0964">
              <w:rPr>
                <w:rFonts w:ascii="Calibri" w:hAnsi="Calibri"/>
                <w:color w:val="000000"/>
              </w:rPr>
              <w:t>-to-event</w:t>
            </w:r>
            <w:r w:rsidR="00752543">
              <w:rPr>
                <w:rFonts w:ascii="Calibri" w:hAnsi="Calibri"/>
                <w:color w:val="000000"/>
              </w:rPr>
              <w:t xml:space="preserve"> (median follow-up of 5.6 years), </w:t>
            </w:r>
            <w:r w:rsidR="0073058B">
              <w:rPr>
                <w:rFonts w:ascii="Calibri" w:hAnsi="Calibri"/>
                <w:color w:val="000000"/>
              </w:rPr>
              <w:t xml:space="preserve"> </w:t>
            </w:r>
            <w:r>
              <w:rPr>
                <w:rFonts w:ascii="Calibri" w:hAnsi="Calibri"/>
                <w:color w:val="000000"/>
              </w:rPr>
              <w:t xml:space="preserve">primary care and hospital outpatients </w:t>
            </w:r>
          </w:p>
          <w:p w14:paraId="514A66D3" w14:textId="77777777" w:rsidR="0063693D" w:rsidRDefault="0063693D" w:rsidP="00B94C53">
            <w:pPr>
              <w:autoSpaceDE w:val="0"/>
              <w:autoSpaceDN w:val="0"/>
              <w:adjustRightInd w:val="0"/>
              <w:rPr>
                <w:rFonts w:ascii="Calibri" w:hAnsi="Calibri"/>
                <w:color w:val="000000"/>
              </w:rPr>
            </w:pPr>
          </w:p>
        </w:tc>
        <w:tc>
          <w:tcPr>
            <w:tcW w:w="4394" w:type="dxa"/>
          </w:tcPr>
          <w:p w14:paraId="2E577C74" w14:textId="77777777" w:rsidR="0063693D" w:rsidRPr="001D3795" w:rsidRDefault="0063693D" w:rsidP="00FA01E6">
            <w:pPr>
              <w:autoSpaceDE w:val="0"/>
              <w:autoSpaceDN w:val="0"/>
              <w:adjustRightInd w:val="0"/>
              <w:rPr>
                <w:rFonts w:cs="AdvOT82c4f4c4"/>
              </w:rPr>
            </w:pPr>
            <w:r w:rsidRPr="001D3795">
              <w:rPr>
                <w:rFonts w:cs="AdvOT82c4f4c4"/>
                <w:i/>
              </w:rPr>
              <w:t>Inclusion</w:t>
            </w:r>
            <w:r w:rsidR="0083568E">
              <w:rPr>
                <w:rFonts w:cstheme="minorHAnsi"/>
                <w:i/>
              </w:rPr>
              <w:t xml:space="preserve"> criteria</w:t>
            </w:r>
            <w:r w:rsidRPr="001D3795">
              <w:rPr>
                <w:rFonts w:cs="AdvOT82c4f4c4"/>
                <w:i/>
              </w:rPr>
              <w:t>:</w:t>
            </w:r>
            <w:r>
              <w:rPr>
                <w:rFonts w:cs="AdvOT82c4f4c4"/>
                <w:i/>
              </w:rPr>
              <w:t xml:space="preserve"> </w:t>
            </w:r>
            <w:r w:rsidRPr="001D3795">
              <w:rPr>
                <w:rFonts w:cs="AdvOT82c4f4c4"/>
              </w:rPr>
              <w:t>Primary care</w:t>
            </w:r>
            <w:r>
              <w:rPr>
                <w:rFonts w:cs="AdvOT82c4f4c4"/>
              </w:rPr>
              <w:t xml:space="preserve"> and hospital outpatients with S</w:t>
            </w:r>
            <w:r w:rsidR="005B099C">
              <w:rPr>
                <w:rFonts w:cs="AdvOT82c4f4c4"/>
              </w:rPr>
              <w:t>CHo</w:t>
            </w:r>
            <w:r w:rsidRPr="001D3795">
              <w:rPr>
                <w:rFonts w:cs="AdvOT82c4f4c4"/>
              </w:rPr>
              <w:t xml:space="preserve"> </w:t>
            </w:r>
            <w:r w:rsidR="005B099C">
              <w:rPr>
                <w:rFonts w:cs="AdvOT82c4f4c4"/>
              </w:rPr>
              <w:t>(TSH &gt;5.0 mIU/L and FT</w:t>
            </w:r>
            <w:r w:rsidR="005B099C" w:rsidRPr="003626FE">
              <w:rPr>
                <w:rFonts w:cs="AdvOT82c4f4c4"/>
                <w:vertAlign w:val="subscript"/>
              </w:rPr>
              <w:t>4</w:t>
            </w:r>
            <w:r w:rsidR="005B099C">
              <w:rPr>
                <w:rFonts w:cs="AdvOT82c4f4c4"/>
              </w:rPr>
              <w:t xml:space="preserve"> WNL) </w:t>
            </w:r>
            <w:r w:rsidRPr="001D3795">
              <w:rPr>
                <w:rFonts w:cs="AdvOT82c4f4c4"/>
              </w:rPr>
              <w:t>aged</w:t>
            </w:r>
            <w:r>
              <w:rPr>
                <w:rFonts w:cs="AdvOT82c4f4c4"/>
              </w:rPr>
              <w:t xml:space="preserve"> ≥</w:t>
            </w:r>
            <w:r w:rsidRPr="001D3795">
              <w:rPr>
                <w:rFonts w:cs="AdvOT82c4f4c4"/>
              </w:rPr>
              <w:t xml:space="preserve"> 18 years</w:t>
            </w:r>
            <w:r>
              <w:rPr>
                <w:rFonts w:cs="AdvOT82c4f4c4"/>
              </w:rPr>
              <w:t>; known heart disease; underwent</w:t>
            </w:r>
            <w:r w:rsidRPr="001D3795">
              <w:rPr>
                <w:rFonts w:cs="AdvOT82c4f4c4"/>
              </w:rPr>
              <w:t xml:space="preserve"> </w:t>
            </w:r>
            <w:r w:rsidR="005B099C">
              <w:rPr>
                <w:rFonts w:ascii="Calibri" w:hAnsi="Calibri"/>
                <w:color w:val="000000"/>
              </w:rPr>
              <w:t xml:space="preserve">thyroid function tests </w:t>
            </w:r>
            <w:r w:rsidRPr="001D3795">
              <w:rPr>
                <w:rFonts w:cs="AdvOT82c4f4c4"/>
              </w:rPr>
              <w:t xml:space="preserve"> between</w:t>
            </w:r>
            <w:r>
              <w:rPr>
                <w:rFonts w:cs="AdvOT82c4f4c4"/>
              </w:rPr>
              <w:t xml:space="preserve"> 1997 and 2011;</w:t>
            </w:r>
            <w:r w:rsidRPr="001D3795">
              <w:rPr>
                <w:rFonts w:cs="AdvOT82c4f4c4"/>
              </w:rPr>
              <w:t xml:space="preserve"> </w:t>
            </w:r>
            <w:r>
              <w:rPr>
                <w:rFonts w:cs="AdvOT82c4f4c4"/>
              </w:rPr>
              <w:t>citizens of three distinct regions of Denmark (Copenhagen region; Roskilde; north region of Denmark)</w:t>
            </w:r>
          </w:p>
          <w:p w14:paraId="6D4E32C6" w14:textId="77777777" w:rsidR="0063693D" w:rsidRPr="001D3795" w:rsidRDefault="0063693D" w:rsidP="00FA01E6">
            <w:pPr>
              <w:rPr>
                <w:rFonts w:cs="AdvOT82c4f4c4"/>
              </w:rPr>
            </w:pPr>
          </w:p>
          <w:p w14:paraId="6BFEBE74" w14:textId="77777777" w:rsidR="0063693D" w:rsidRDefault="0063693D" w:rsidP="00B94C53">
            <w:pPr>
              <w:autoSpaceDE w:val="0"/>
              <w:autoSpaceDN w:val="0"/>
              <w:adjustRightInd w:val="0"/>
              <w:rPr>
                <w:rFonts w:ascii="Calibri" w:hAnsi="Calibri"/>
                <w:color w:val="000000"/>
              </w:rPr>
            </w:pPr>
            <w:r w:rsidRPr="001D3795">
              <w:rPr>
                <w:rFonts w:cs="AdvOT82c4f4c4"/>
                <w:i/>
              </w:rPr>
              <w:t>Exclusion</w:t>
            </w:r>
            <w:r w:rsidR="0083568E">
              <w:rPr>
                <w:rFonts w:cstheme="minorHAnsi"/>
                <w:i/>
              </w:rPr>
              <w:t xml:space="preserve"> criteria</w:t>
            </w:r>
            <w:r w:rsidRPr="001D3795">
              <w:rPr>
                <w:rFonts w:cs="AdvOT82c4f4c4"/>
                <w:i/>
              </w:rPr>
              <w:t>:</w:t>
            </w:r>
            <w:r w:rsidRPr="001D3795">
              <w:rPr>
                <w:rFonts w:cs="AdvOT82c4f4c4"/>
              </w:rPr>
              <w:t xml:space="preserve"> </w:t>
            </w:r>
            <w:r>
              <w:rPr>
                <w:rFonts w:cs="AdvOT82c4f4c4"/>
              </w:rPr>
              <w:t>H</w:t>
            </w:r>
            <w:r w:rsidRPr="001D3795">
              <w:rPr>
                <w:rFonts w:cs="AdvOT82c4f4c4"/>
              </w:rPr>
              <w:t>istory of thyroid disease</w:t>
            </w:r>
            <w:r>
              <w:rPr>
                <w:rFonts w:cs="AdvOT82c4f4c4"/>
              </w:rPr>
              <w:t xml:space="preserve"> or thyroid</w:t>
            </w:r>
            <w:r w:rsidRPr="001D3795">
              <w:rPr>
                <w:rFonts w:cs="AdvOT82c4f4c4"/>
              </w:rPr>
              <w:t xml:space="preserve"> medication or</w:t>
            </w:r>
            <w:r>
              <w:rPr>
                <w:rFonts w:cs="AdvOT82c4f4c4"/>
              </w:rPr>
              <w:t xml:space="preserve"> use of </w:t>
            </w:r>
            <w:r w:rsidRPr="001D3795">
              <w:rPr>
                <w:rFonts w:cs="AdvOT82c4f4c4"/>
              </w:rPr>
              <w:t>medication affecting thyroid function.</w:t>
            </w:r>
          </w:p>
        </w:tc>
        <w:tc>
          <w:tcPr>
            <w:tcW w:w="1701" w:type="dxa"/>
          </w:tcPr>
          <w:p w14:paraId="26DD50F8" w14:textId="77777777" w:rsidR="0063693D" w:rsidRDefault="0063693D" w:rsidP="00FA01E6">
            <w:pPr>
              <w:autoSpaceDE w:val="0"/>
              <w:autoSpaceDN w:val="0"/>
              <w:adjustRightInd w:val="0"/>
              <w:rPr>
                <w:rFonts w:cs="AdvOT1ef757c0"/>
              </w:rPr>
            </w:pPr>
            <w:r>
              <w:rPr>
                <w:rFonts w:cs="AdvOT1ef757c0"/>
              </w:rPr>
              <w:t xml:space="preserve">Treated: those who initiated </w:t>
            </w:r>
            <w:r>
              <w:rPr>
                <w:rFonts w:cstheme="minorHAnsi"/>
              </w:rPr>
              <w:t>LT</w:t>
            </w:r>
            <w:r w:rsidRPr="000A108B">
              <w:rPr>
                <w:rFonts w:cstheme="minorHAnsi"/>
                <w:vertAlign w:val="subscript"/>
              </w:rPr>
              <w:t>4</w:t>
            </w:r>
            <w:r>
              <w:rPr>
                <w:rFonts w:cstheme="minorHAnsi"/>
                <w:vertAlign w:val="subscript"/>
              </w:rPr>
              <w:t xml:space="preserve"> </w:t>
            </w:r>
            <w:r>
              <w:rPr>
                <w:rFonts w:cs="AdvOT1ef757c0"/>
              </w:rPr>
              <w:t>during follow-up</w:t>
            </w:r>
          </w:p>
          <w:p w14:paraId="1377F211" w14:textId="77777777" w:rsidR="0063693D" w:rsidRDefault="0063693D" w:rsidP="00FA01E6">
            <w:pPr>
              <w:autoSpaceDE w:val="0"/>
              <w:autoSpaceDN w:val="0"/>
              <w:adjustRightInd w:val="0"/>
              <w:rPr>
                <w:rFonts w:cs="AdvOT1ef757c0"/>
              </w:rPr>
            </w:pPr>
          </w:p>
          <w:p w14:paraId="7B8E43F3" w14:textId="77777777" w:rsidR="0063693D" w:rsidRDefault="0063693D" w:rsidP="00FA01E6">
            <w:pPr>
              <w:rPr>
                <w:rFonts w:ascii="Calibri" w:hAnsi="Calibri"/>
                <w:color w:val="000000"/>
              </w:rPr>
            </w:pPr>
          </w:p>
        </w:tc>
        <w:tc>
          <w:tcPr>
            <w:tcW w:w="3260" w:type="dxa"/>
          </w:tcPr>
          <w:p w14:paraId="1BD1AFF3" w14:textId="77777777" w:rsidR="0063693D" w:rsidRDefault="0063693D" w:rsidP="00FA01E6">
            <w:pPr>
              <w:autoSpaceDE w:val="0"/>
              <w:autoSpaceDN w:val="0"/>
              <w:adjustRightInd w:val="0"/>
              <w:rPr>
                <w:rFonts w:cs="AdvOT1ef757c0"/>
              </w:rPr>
            </w:pPr>
            <w:r w:rsidRPr="000A0E84">
              <w:rPr>
                <w:rFonts w:cs="AdvOT1ef757c0"/>
                <w:i/>
              </w:rPr>
              <w:t>Primary</w:t>
            </w:r>
            <w:r>
              <w:rPr>
                <w:rFonts w:cs="AdvOT1ef757c0"/>
              </w:rPr>
              <w:t xml:space="preserve">: </w:t>
            </w:r>
            <w:r w:rsidRPr="000A0E84">
              <w:rPr>
                <w:rFonts w:cs="AdvOT1ef757c0"/>
              </w:rPr>
              <w:t xml:space="preserve"> all-cause mortality</w:t>
            </w:r>
          </w:p>
          <w:p w14:paraId="5657BBB1" w14:textId="77777777" w:rsidR="0063693D" w:rsidRDefault="0063693D" w:rsidP="00FA01E6">
            <w:pPr>
              <w:autoSpaceDE w:val="0"/>
              <w:autoSpaceDN w:val="0"/>
              <w:adjustRightInd w:val="0"/>
              <w:rPr>
                <w:rFonts w:cs="AdvOT1ef757c0"/>
              </w:rPr>
            </w:pPr>
          </w:p>
          <w:p w14:paraId="7EC85AE6" w14:textId="77777777" w:rsidR="0063693D" w:rsidRDefault="0063693D" w:rsidP="00FA01E6">
            <w:pPr>
              <w:autoSpaceDE w:val="0"/>
              <w:autoSpaceDN w:val="0"/>
              <w:adjustRightInd w:val="0"/>
              <w:rPr>
                <w:rFonts w:cs="AdvOT1ef757c0"/>
              </w:rPr>
            </w:pPr>
            <w:r w:rsidRPr="000A0E84">
              <w:rPr>
                <w:rFonts w:cs="AdvOT1ef757c0"/>
                <w:i/>
              </w:rPr>
              <w:t>Secondary</w:t>
            </w:r>
            <w:r>
              <w:rPr>
                <w:rFonts w:cs="AdvOT1ef757c0"/>
              </w:rPr>
              <w:t>:</w:t>
            </w:r>
            <w:r w:rsidRPr="000A0E84">
              <w:rPr>
                <w:rFonts w:cs="AdvOT1ef757c0"/>
              </w:rPr>
              <w:t xml:space="preserve"> </w:t>
            </w:r>
            <w:r>
              <w:rPr>
                <w:rFonts w:cs="AdvOT1ef757c0"/>
              </w:rPr>
              <w:t xml:space="preserve">all-cause hospital admissions and major CV events </w:t>
            </w:r>
          </w:p>
          <w:p w14:paraId="67543572" w14:textId="77777777" w:rsidR="0063693D" w:rsidRDefault="0063693D" w:rsidP="00FA01E6">
            <w:pPr>
              <w:rPr>
                <w:rFonts w:ascii="Calibri" w:hAnsi="Calibri"/>
                <w:color w:val="000000"/>
              </w:rPr>
            </w:pPr>
          </w:p>
        </w:tc>
      </w:tr>
      <w:tr w:rsidR="0063693D" w14:paraId="6FEA1D57" w14:textId="77777777" w:rsidTr="00B94C53">
        <w:tc>
          <w:tcPr>
            <w:tcW w:w="1809" w:type="dxa"/>
          </w:tcPr>
          <w:p w14:paraId="3E66F702" w14:textId="77777777" w:rsidR="0063693D" w:rsidRDefault="0063693D" w:rsidP="00FA01E6">
            <w:pPr>
              <w:rPr>
                <w:rFonts w:cstheme="minorHAnsi"/>
              </w:rPr>
            </w:pPr>
            <w:r w:rsidRPr="00173CD4">
              <w:rPr>
                <w:rFonts w:cstheme="minorHAnsi"/>
              </w:rPr>
              <w:lastRenderedPageBreak/>
              <w:t>Andersen</w:t>
            </w:r>
            <w:r>
              <w:rPr>
                <w:rFonts w:cstheme="minorHAnsi"/>
              </w:rPr>
              <w:t>,</w:t>
            </w:r>
          </w:p>
          <w:p w14:paraId="0F1EE5EA" w14:textId="77777777" w:rsidR="0063693D" w:rsidRDefault="0063693D" w:rsidP="00FA01E6">
            <w:pPr>
              <w:rPr>
                <w:rFonts w:ascii="Calibri" w:hAnsi="Calibri"/>
                <w:color w:val="000000"/>
              </w:rPr>
            </w:pPr>
            <w:r>
              <w:rPr>
                <w:rFonts w:cstheme="minorHAnsi"/>
                <w:color w:val="000000"/>
              </w:rPr>
              <w:t>2015,</w:t>
            </w:r>
            <w:r>
              <w:rPr>
                <w:rFonts w:ascii="Calibri" w:hAnsi="Calibri"/>
                <w:color w:val="000000"/>
              </w:rPr>
              <w:t xml:space="preserve"> Denmark </w:t>
            </w:r>
          </w:p>
          <w:p w14:paraId="2F6701D9" w14:textId="77777777" w:rsidR="0063693D" w:rsidRDefault="0063693D" w:rsidP="00FA01E6">
            <w:pPr>
              <w:rPr>
                <w:rFonts w:cstheme="minorHAnsi"/>
                <w:color w:val="000000"/>
              </w:rPr>
            </w:pPr>
          </w:p>
          <w:p w14:paraId="1DBEB262" w14:textId="77777777" w:rsidR="0063693D" w:rsidRPr="00B94C53" w:rsidRDefault="00752543" w:rsidP="00FA01E6">
            <w:pPr>
              <w:rPr>
                <w:rFonts w:ascii="Calibri" w:hAnsi="Calibri"/>
                <w:color w:val="000000"/>
              </w:rPr>
            </w:pPr>
            <w:r w:rsidRPr="00646604">
              <w:rPr>
                <w:rFonts w:ascii="Calibri" w:hAnsi="Calibri"/>
                <w:color w:val="000000"/>
              </w:rPr>
              <w:t>n=12,212</w:t>
            </w:r>
            <w:r>
              <w:rPr>
                <w:rFonts w:ascii="Calibri" w:hAnsi="Calibri"/>
                <w:color w:val="000000"/>
              </w:rPr>
              <w:t xml:space="preserve"> (80% </w:t>
            </w:r>
            <w:r w:rsidR="004F0FA7">
              <w:rPr>
                <w:rFonts w:ascii="Calibri" w:hAnsi="Calibri"/>
                <w:color w:val="000000"/>
              </w:rPr>
              <w:t>female</w:t>
            </w:r>
            <w:r>
              <w:rPr>
                <w:rFonts w:ascii="Calibri" w:hAnsi="Calibri"/>
                <w:color w:val="000000"/>
              </w:rPr>
              <w:t>)</w:t>
            </w:r>
          </w:p>
          <w:p w14:paraId="37CE1732" w14:textId="77777777" w:rsidR="0063693D" w:rsidRDefault="0063693D" w:rsidP="00FA01E6">
            <w:pPr>
              <w:rPr>
                <w:rFonts w:cstheme="minorHAnsi"/>
                <w:color w:val="000000"/>
              </w:rPr>
            </w:pPr>
          </w:p>
          <w:p w14:paraId="785C987A" w14:textId="77777777" w:rsidR="0063693D" w:rsidRDefault="0063693D" w:rsidP="00FA01E6">
            <w:pPr>
              <w:rPr>
                <w:rFonts w:cstheme="minorHAnsi"/>
                <w:color w:val="000000"/>
              </w:rPr>
            </w:pPr>
          </w:p>
          <w:p w14:paraId="13526CD2" w14:textId="77777777" w:rsidR="0063693D" w:rsidRPr="00173CD4" w:rsidRDefault="0063693D" w:rsidP="00FA01E6">
            <w:pPr>
              <w:rPr>
                <w:rFonts w:cstheme="minorHAnsi"/>
                <w:color w:val="000000"/>
              </w:rPr>
            </w:pPr>
          </w:p>
        </w:tc>
        <w:tc>
          <w:tcPr>
            <w:tcW w:w="1560" w:type="dxa"/>
          </w:tcPr>
          <w:p w14:paraId="5C25685D" w14:textId="77777777" w:rsidR="0063693D" w:rsidRDefault="0063693D" w:rsidP="00FA01E6">
            <w:pPr>
              <w:rPr>
                <w:rFonts w:ascii="Calibri" w:hAnsi="Calibri"/>
                <w:color w:val="000000"/>
              </w:rPr>
            </w:pPr>
            <w:r w:rsidRPr="00646604">
              <w:rPr>
                <w:rFonts w:ascii="Calibri" w:hAnsi="Calibri"/>
                <w:color w:val="000000"/>
              </w:rPr>
              <w:t>Registry-based retrospective cohort study</w:t>
            </w:r>
            <w:r w:rsidR="00752543">
              <w:rPr>
                <w:rFonts w:ascii="Calibri" w:hAnsi="Calibri"/>
                <w:color w:val="000000"/>
              </w:rPr>
              <w:t>,</w:t>
            </w:r>
            <w:r w:rsidRPr="00646604">
              <w:rPr>
                <w:rFonts w:ascii="Calibri" w:hAnsi="Calibri"/>
                <w:color w:val="000000"/>
              </w:rPr>
              <w:t xml:space="preserve"> time-to-event</w:t>
            </w:r>
            <w:r w:rsidR="00752543">
              <w:rPr>
                <w:rFonts w:ascii="Calibri" w:hAnsi="Calibri"/>
                <w:color w:val="000000"/>
              </w:rPr>
              <w:t xml:space="preserve"> (median follow-up of 5.0 years),</w:t>
            </w:r>
            <w:r w:rsidR="00752543" w:rsidRPr="00646604">
              <w:rPr>
                <w:rFonts w:ascii="Calibri" w:hAnsi="Calibri"/>
                <w:color w:val="000000"/>
              </w:rPr>
              <w:t xml:space="preserve"> </w:t>
            </w:r>
            <w:r w:rsidRPr="00646604">
              <w:rPr>
                <w:rFonts w:ascii="Calibri" w:hAnsi="Calibri"/>
                <w:color w:val="000000"/>
              </w:rPr>
              <w:t>primary care</w:t>
            </w:r>
          </w:p>
          <w:p w14:paraId="22219AD8" w14:textId="77777777" w:rsidR="0063693D" w:rsidRPr="00646604" w:rsidRDefault="0063693D" w:rsidP="00B94C53">
            <w:pPr>
              <w:autoSpaceDE w:val="0"/>
              <w:autoSpaceDN w:val="0"/>
              <w:adjustRightInd w:val="0"/>
              <w:rPr>
                <w:rFonts w:ascii="Calibri" w:hAnsi="Calibri"/>
                <w:color w:val="000000"/>
              </w:rPr>
            </w:pPr>
          </w:p>
        </w:tc>
        <w:tc>
          <w:tcPr>
            <w:tcW w:w="4394" w:type="dxa"/>
          </w:tcPr>
          <w:p w14:paraId="7E3E08E3" w14:textId="77777777" w:rsidR="0063693D" w:rsidRPr="001D3795" w:rsidRDefault="0063693D" w:rsidP="00FA01E6">
            <w:pPr>
              <w:autoSpaceDE w:val="0"/>
              <w:autoSpaceDN w:val="0"/>
              <w:adjustRightInd w:val="0"/>
              <w:rPr>
                <w:rFonts w:cs="AdvOT82c4f4c4"/>
              </w:rPr>
            </w:pPr>
            <w:r w:rsidRPr="001D3795">
              <w:rPr>
                <w:rFonts w:cs="AdvOT82c4f4c4"/>
                <w:i/>
              </w:rPr>
              <w:t>Inclusion</w:t>
            </w:r>
            <w:r w:rsidR="0083568E">
              <w:rPr>
                <w:rFonts w:cs="AdvOT82c4f4c4"/>
                <w:i/>
              </w:rPr>
              <w:t xml:space="preserve"> </w:t>
            </w:r>
            <w:r w:rsidR="0083568E">
              <w:rPr>
                <w:rFonts w:cstheme="minorHAnsi"/>
                <w:i/>
              </w:rPr>
              <w:t>criteria</w:t>
            </w:r>
            <w:r w:rsidRPr="001D3795">
              <w:rPr>
                <w:rFonts w:cs="AdvOT82c4f4c4"/>
                <w:i/>
              </w:rPr>
              <w:t>:</w:t>
            </w:r>
            <w:r>
              <w:rPr>
                <w:rFonts w:cs="AdvOT82c4f4c4"/>
                <w:i/>
              </w:rPr>
              <w:t xml:space="preserve"> </w:t>
            </w:r>
            <w:r w:rsidRPr="001D3795">
              <w:rPr>
                <w:rFonts w:cs="AdvOT82c4f4c4"/>
              </w:rPr>
              <w:t>Primary care patients</w:t>
            </w:r>
            <w:r>
              <w:rPr>
                <w:rFonts w:cs="AdvOT82c4f4c4"/>
              </w:rPr>
              <w:t xml:space="preserve"> with S</w:t>
            </w:r>
            <w:r w:rsidR="005B099C">
              <w:rPr>
                <w:rFonts w:cs="AdvOT82c4f4c4"/>
              </w:rPr>
              <w:t>CHo (TSH &gt;5.0 mIU/L and FT</w:t>
            </w:r>
            <w:r w:rsidR="005B099C" w:rsidRPr="003626FE">
              <w:rPr>
                <w:rFonts w:cs="AdvOT82c4f4c4"/>
                <w:vertAlign w:val="subscript"/>
              </w:rPr>
              <w:t>4</w:t>
            </w:r>
            <w:r w:rsidR="005B099C">
              <w:rPr>
                <w:rFonts w:cs="AdvOT82c4f4c4"/>
              </w:rPr>
              <w:t xml:space="preserve"> WNL) </w:t>
            </w:r>
            <w:r w:rsidRPr="001D3795">
              <w:rPr>
                <w:rFonts w:cs="AdvOT82c4f4c4"/>
              </w:rPr>
              <w:t>aged</w:t>
            </w:r>
            <w:r>
              <w:rPr>
                <w:rFonts w:cs="AdvOT82c4f4c4"/>
              </w:rPr>
              <w:t xml:space="preserve"> ≥</w:t>
            </w:r>
            <w:r w:rsidRPr="001D3795">
              <w:rPr>
                <w:rFonts w:cs="AdvOT82c4f4c4"/>
              </w:rPr>
              <w:t xml:space="preserve"> 18 years</w:t>
            </w:r>
            <w:r>
              <w:rPr>
                <w:rFonts w:cs="AdvOT82c4f4c4"/>
              </w:rPr>
              <w:t xml:space="preserve">; had been referred by their </w:t>
            </w:r>
            <w:r w:rsidR="005B099C">
              <w:rPr>
                <w:rFonts w:cs="AdvOT82c4f4c4"/>
              </w:rPr>
              <w:t xml:space="preserve">general practitioner </w:t>
            </w:r>
            <w:r>
              <w:rPr>
                <w:rFonts w:cs="AdvOT82c4f4c4"/>
              </w:rPr>
              <w:t>for</w:t>
            </w:r>
            <w:r w:rsidRPr="001D3795">
              <w:rPr>
                <w:rFonts w:cs="AdvOT82c4f4c4"/>
              </w:rPr>
              <w:t xml:space="preserve"> </w:t>
            </w:r>
            <w:r w:rsidR="005B099C">
              <w:rPr>
                <w:rFonts w:cs="AdvOT82c4f4c4"/>
              </w:rPr>
              <w:t>thyroid function tests</w:t>
            </w:r>
            <w:r w:rsidR="005B099C" w:rsidRPr="001D3795">
              <w:rPr>
                <w:rFonts w:cs="AdvOT82c4f4c4"/>
              </w:rPr>
              <w:t xml:space="preserve"> </w:t>
            </w:r>
            <w:r w:rsidRPr="001D3795">
              <w:rPr>
                <w:rFonts w:cs="AdvOT82c4f4c4"/>
              </w:rPr>
              <w:t>between</w:t>
            </w:r>
            <w:r>
              <w:rPr>
                <w:rFonts w:cs="AdvOT82c4f4c4"/>
              </w:rPr>
              <w:t xml:space="preserve"> January 1</w:t>
            </w:r>
            <w:r w:rsidR="005B099C">
              <w:rPr>
                <w:rFonts w:cs="AdvOT82c4f4c4"/>
              </w:rPr>
              <w:t xml:space="preserve"> </w:t>
            </w:r>
            <w:r w:rsidRPr="001D3795">
              <w:rPr>
                <w:rFonts w:cs="AdvOT82c4f4c4"/>
              </w:rPr>
              <w:t xml:space="preserve">2000 and </w:t>
            </w:r>
            <w:r>
              <w:rPr>
                <w:rFonts w:cs="AdvOT82c4f4c4"/>
              </w:rPr>
              <w:t xml:space="preserve">December 31 </w:t>
            </w:r>
            <w:r w:rsidRPr="001D3795">
              <w:rPr>
                <w:rFonts w:cs="AdvOT82c4f4c4"/>
              </w:rPr>
              <w:t>2009</w:t>
            </w:r>
            <w:r>
              <w:rPr>
                <w:rFonts w:cs="AdvOT82c4f4c4"/>
              </w:rPr>
              <w:t>;</w:t>
            </w:r>
            <w:r w:rsidRPr="001D3795">
              <w:rPr>
                <w:rFonts w:cs="AdvOT82c4f4c4"/>
              </w:rPr>
              <w:t xml:space="preserve"> </w:t>
            </w:r>
            <w:r>
              <w:rPr>
                <w:rFonts w:cs="AdvOT82c4f4c4"/>
              </w:rPr>
              <w:t xml:space="preserve">citizens of Copenhagen </w:t>
            </w:r>
          </w:p>
          <w:p w14:paraId="2CE7E40D" w14:textId="77777777" w:rsidR="0063693D" w:rsidRPr="001D3795" w:rsidRDefault="0063693D" w:rsidP="00FA01E6">
            <w:pPr>
              <w:rPr>
                <w:rFonts w:cs="AdvOT82c4f4c4"/>
              </w:rPr>
            </w:pPr>
          </w:p>
          <w:p w14:paraId="57249CAA" w14:textId="77777777" w:rsidR="0063693D" w:rsidRPr="000A108B" w:rsidRDefault="0063693D" w:rsidP="00FA01E6">
            <w:pPr>
              <w:rPr>
                <w:rFonts w:ascii="Calibri" w:hAnsi="Calibri"/>
                <w:color w:val="000000"/>
              </w:rPr>
            </w:pPr>
            <w:r w:rsidRPr="001D3795">
              <w:rPr>
                <w:rFonts w:cs="AdvOT82c4f4c4"/>
                <w:i/>
              </w:rPr>
              <w:t>Exclusion</w:t>
            </w:r>
            <w:r w:rsidR="0083568E">
              <w:rPr>
                <w:rFonts w:cstheme="minorHAnsi"/>
                <w:i/>
              </w:rPr>
              <w:t xml:space="preserve"> criteria</w:t>
            </w:r>
            <w:r w:rsidRPr="001D3795">
              <w:rPr>
                <w:rFonts w:cs="AdvOT82c4f4c4"/>
                <w:i/>
              </w:rPr>
              <w:t>:</w:t>
            </w:r>
            <w:r w:rsidRPr="001D3795">
              <w:rPr>
                <w:rFonts w:cs="AdvOT82c4f4c4"/>
              </w:rPr>
              <w:t xml:space="preserve"> </w:t>
            </w:r>
            <w:r>
              <w:rPr>
                <w:rFonts w:cs="AdvOT82c4f4c4"/>
              </w:rPr>
              <w:t>H</w:t>
            </w:r>
            <w:r w:rsidRPr="001D3795">
              <w:rPr>
                <w:rFonts w:cs="AdvOT82c4f4c4"/>
              </w:rPr>
              <w:t>istory of thyroid disease</w:t>
            </w:r>
            <w:r>
              <w:rPr>
                <w:rFonts w:cs="AdvOT82c4f4c4"/>
              </w:rPr>
              <w:t xml:space="preserve"> or thyroid</w:t>
            </w:r>
            <w:r w:rsidRPr="001D3795">
              <w:rPr>
                <w:rFonts w:cs="AdvOT82c4f4c4"/>
              </w:rPr>
              <w:t xml:space="preserve"> medication or</w:t>
            </w:r>
            <w:r>
              <w:rPr>
                <w:rFonts w:cs="AdvOT82c4f4c4"/>
              </w:rPr>
              <w:t xml:space="preserve"> use of </w:t>
            </w:r>
            <w:r w:rsidRPr="001D3795">
              <w:rPr>
                <w:rFonts w:cs="AdvOT82c4f4c4"/>
              </w:rPr>
              <w:t>medication affecting thyroid function.</w:t>
            </w:r>
          </w:p>
        </w:tc>
        <w:tc>
          <w:tcPr>
            <w:tcW w:w="1701" w:type="dxa"/>
          </w:tcPr>
          <w:p w14:paraId="329B0CB6" w14:textId="77777777" w:rsidR="0063693D" w:rsidRDefault="0063693D" w:rsidP="00FA01E6">
            <w:pPr>
              <w:autoSpaceDE w:val="0"/>
              <w:autoSpaceDN w:val="0"/>
              <w:adjustRightInd w:val="0"/>
              <w:rPr>
                <w:rFonts w:cs="AdvOT1ef757c0"/>
              </w:rPr>
            </w:pPr>
            <w:r>
              <w:rPr>
                <w:rFonts w:cs="AdvOT1ef757c0"/>
              </w:rPr>
              <w:t xml:space="preserve">Treated: </w:t>
            </w:r>
            <w:r w:rsidRPr="007F45BD">
              <w:rPr>
                <w:rFonts w:cs="AdvOT1ef757c0"/>
              </w:rPr>
              <w:t xml:space="preserve">those who initiated </w:t>
            </w:r>
            <w:r>
              <w:rPr>
                <w:rFonts w:cstheme="minorHAnsi"/>
              </w:rPr>
              <w:t>LT</w:t>
            </w:r>
            <w:r w:rsidRPr="000A108B">
              <w:rPr>
                <w:rFonts w:cstheme="minorHAnsi"/>
                <w:vertAlign w:val="subscript"/>
              </w:rPr>
              <w:t>4</w:t>
            </w:r>
            <w:r>
              <w:rPr>
                <w:rFonts w:cstheme="minorHAnsi"/>
                <w:vertAlign w:val="subscript"/>
              </w:rPr>
              <w:t xml:space="preserve"> </w:t>
            </w:r>
            <w:r>
              <w:rPr>
                <w:rFonts w:cs="AdvOT1ef757c0"/>
              </w:rPr>
              <w:t>≤ 6</w:t>
            </w:r>
            <w:r w:rsidRPr="007F45BD">
              <w:rPr>
                <w:rFonts w:cs="AdvOT1ef757c0"/>
              </w:rPr>
              <w:t xml:space="preserve"> months from the date of</w:t>
            </w:r>
            <w:r>
              <w:rPr>
                <w:rFonts w:cs="AdvOT1ef757c0"/>
              </w:rPr>
              <w:t xml:space="preserve"> </w:t>
            </w:r>
            <w:r w:rsidRPr="007F45BD">
              <w:rPr>
                <w:rFonts w:cs="AdvOT1ef757c0"/>
              </w:rPr>
              <w:t xml:space="preserve">first </w:t>
            </w:r>
            <w:r w:rsidR="005B099C">
              <w:rPr>
                <w:rFonts w:cs="AdvOT1ef757c0"/>
              </w:rPr>
              <w:t>thyroid function test</w:t>
            </w:r>
          </w:p>
          <w:p w14:paraId="01436BA0" w14:textId="77777777" w:rsidR="0063693D" w:rsidRDefault="0063693D" w:rsidP="00FA01E6">
            <w:pPr>
              <w:autoSpaceDE w:val="0"/>
              <w:autoSpaceDN w:val="0"/>
              <w:adjustRightInd w:val="0"/>
              <w:rPr>
                <w:rFonts w:cs="AdvOT1ef757c0"/>
              </w:rPr>
            </w:pPr>
          </w:p>
          <w:p w14:paraId="128493DF" w14:textId="77777777" w:rsidR="0063693D" w:rsidRDefault="0063693D" w:rsidP="00FA01E6">
            <w:pPr>
              <w:autoSpaceDE w:val="0"/>
              <w:autoSpaceDN w:val="0"/>
              <w:adjustRightInd w:val="0"/>
              <w:rPr>
                <w:rFonts w:cs="AdvOT1ef757c0"/>
              </w:rPr>
            </w:pPr>
          </w:p>
          <w:p w14:paraId="03299514" w14:textId="77777777" w:rsidR="0063693D" w:rsidRPr="007F45BD" w:rsidRDefault="0063693D" w:rsidP="00FA01E6">
            <w:pPr>
              <w:autoSpaceDE w:val="0"/>
              <w:autoSpaceDN w:val="0"/>
              <w:adjustRightInd w:val="0"/>
              <w:rPr>
                <w:color w:val="000000"/>
              </w:rPr>
            </w:pPr>
            <w:r w:rsidRPr="007F45BD">
              <w:rPr>
                <w:rFonts w:cs="AdvOT1ef757c0"/>
              </w:rPr>
              <w:t xml:space="preserve"> </w:t>
            </w:r>
          </w:p>
          <w:p w14:paraId="6D48CEAE" w14:textId="77777777" w:rsidR="0063693D" w:rsidRPr="007F45BD" w:rsidRDefault="0063693D" w:rsidP="00FA01E6">
            <w:pPr>
              <w:autoSpaceDE w:val="0"/>
              <w:autoSpaceDN w:val="0"/>
              <w:adjustRightInd w:val="0"/>
              <w:rPr>
                <w:color w:val="000000"/>
              </w:rPr>
            </w:pPr>
          </w:p>
        </w:tc>
        <w:tc>
          <w:tcPr>
            <w:tcW w:w="3260" w:type="dxa"/>
          </w:tcPr>
          <w:p w14:paraId="1D2DEA6E" w14:textId="77777777" w:rsidR="0063693D" w:rsidRDefault="0063693D" w:rsidP="00FA01E6">
            <w:pPr>
              <w:autoSpaceDE w:val="0"/>
              <w:autoSpaceDN w:val="0"/>
              <w:adjustRightInd w:val="0"/>
              <w:rPr>
                <w:rFonts w:cs="AdvOT1ef757c0"/>
              </w:rPr>
            </w:pPr>
            <w:r w:rsidRPr="000A0E84">
              <w:rPr>
                <w:rFonts w:cs="AdvOT1ef757c0"/>
                <w:i/>
              </w:rPr>
              <w:t>Primary</w:t>
            </w:r>
            <w:r>
              <w:rPr>
                <w:rFonts w:cs="AdvOT1ef757c0"/>
              </w:rPr>
              <w:t xml:space="preserve">: </w:t>
            </w:r>
            <w:r w:rsidRPr="000A0E84">
              <w:rPr>
                <w:rFonts w:cs="AdvOT1ef757c0"/>
              </w:rPr>
              <w:t xml:space="preserve"> all-cause mortality</w:t>
            </w:r>
          </w:p>
          <w:p w14:paraId="05873E7A" w14:textId="77777777" w:rsidR="0063693D" w:rsidRDefault="0063693D" w:rsidP="00FA01E6">
            <w:pPr>
              <w:autoSpaceDE w:val="0"/>
              <w:autoSpaceDN w:val="0"/>
              <w:adjustRightInd w:val="0"/>
              <w:rPr>
                <w:rFonts w:cs="AdvOT1ef757c0"/>
              </w:rPr>
            </w:pPr>
            <w:r w:rsidRPr="000A0E84">
              <w:rPr>
                <w:rFonts w:cs="AdvOT1ef757c0"/>
                <w:i/>
              </w:rPr>
              <w:t>Secondary</w:t>
            </w:r>
            <w:r>
              <w:rPr>
                <w:rFonts w:cs="AdvOT1ef757c0"/>
              </w:rPr>
              <w:t>:</w:t>
            </w:r>
            <w:r w:rsidRPr="000A0E84">
              <w:rPr>
                <w:rFonts w:cs="AdvOT1ef757c0"/>
              </w:rPr>
              <w:t xml:space="preserve"> </w:t>
            </w:r>
            <w:r w:rsidR="005B099C">
              <w:rPr>
                <w:rFonts w:cs="AdvOT1ef757c0"/>
              </w:rPr>
              <w:t xml:space="preserve">myocardial infarction </w:t>
            </w:r>
            <w:r>
              <w:rPr>
                <w:rFonts w:cs="AdvOT1ef757c0"/>
              </w:rPr>
              <w:t>(fatal, non-fatal)</w:t>
            </w:r>
            <w:r w:rsidRPr="000A0E84">
              <w:rPr>
                <w:rFonts w:cs="AdvOT1ef757c0"/>
              </w:rPr>
              <w:t xml:space="preserve">, </w:t>
            </w:r>
            <w:r>
              <w:rPr>
                <w:rFonts w:cs="AdvOT1ef757c0"/>
              </w:rPr>
              <w:t>CV</w:t>
            </w:r>
            <w:r w:rsidRPr="000A0E84">
              <w:rPr>
                <w:rFonts w:cs="AdvOT1ef757c0"/>
              </w:rPr>
              <w:t xml:space="preserve"> death</w:t>
            </w:r>
          </w:p>
          <w:p w14:paraId="307490DC" w14:textId="77777777" w:rsidR="0063693D" w:rsidRDefault="0063693D" w:rsidP="00FA01E6">
            <w:pPr>
              <w:autoSpaceDE w:val="0"/>
              <w:autoSpaceDN w:val="0"/>
              <w:adjustRightInd w:val="0"/>
              <w:rPr>
                <w:rFonts w:cs="AdvOT1ef757c0"/>
              </w:rPr>
            </w:pPr>
          </w:p>
          <w:p w14:paraId="02E606CA" w14:textId="77777777" w:rsidR="0063693D" w:rsidRPr="000A0E84" w:rsidRDefault="0063693D" w:rsidP="00FA01E6">
            <w:pPr>
              <w:autoSpaceDE w:val="0"/>
              <w:autoSpaceDN w:val="0"/>
              <w:adjustRightInd w:val="0"/>
              <w:rPr>
                <w:color w:val="000000"/>
              </w:rPr>
            </w:pPr>
          </w:p>
          <w:p w14:paraId="4D9F3612" w14:textId="77777777" w:rsidR="0063693D" w:rsidRPr="000A0E84" w:rsidRDefault="0063693D" w:rsidP="00FA01E6">
            <w:pPr>
              <w:rPr>
                <w:color w:val="000000"/>
              </w:rPr>
            </w:pPr>
          </w:p>
        </w:tc>
      </w:tr>
      <w:tr w:rsidR="0063693D" w:rsidRPr="005A1013" w14:paraId="62262F8D" w14:textId="77777777" w:rsidTr="00B94C53">
        <w:tc>
          <w:tcPr>
            <w:tcW w:w="1809" w:type="dxa"/>
          </w:tcPr>
          <w:p w14:paraId="03748A6B" w14:textId="77777777" w:rsidR="0063693D" w:rsidRDefault="0063693D" w:rsidP="00B94C53">
            <w:pPr>
              <w:rPr>
                <w:rFonts w:cstheme="minorHAnsi"/>
              </w:rPr>
            </w:pPr>
            <w:r>
              <w:rPr>
                <w:rFonts w:cstheme="minorHAnsi"/>
              </w:rPr>
              <w:t xml:space="preserve">Razvi, 2012, </w:t>
            </w:r>
          </w:p>
          <w:p w14:paraId="28EEEF6F" w14:textId="77777777" w:rsidR="0063693D" w:rsidRDefault="0063693D" w:rsidP="00B94C53">
            <w:pPr>
              <w:rPr>
                <w:rFonts w:cstheme="minorHAnsi"/>
              </w:rPr>
            </w:pPr>
            <w:r>
              <w:rPr>
                <w:rFonts w:cstheme="minorHAnsi"/>
              </w:rPr>
              <w:t>UK</w:t>
            </w:r>
          </w:p>
          <w:p w14:paraId="71643084" w14:textId="77777777" w:rsidR="00752543" w:rsidRDefault="00752543" w:rsidP="00B94C53">
            <w:pPr>
              <w:rPr>
                <w:rFonts w:cstheme="minorHAnsi"/>
              </w:rPr>
            </w:pPr>
          </w:p>
          <w:p w14:paraId="2BA624D3" w14:textId="77777777" w:rsidR="00752543" w:rsidRPr="00B94C53" w:rsidRDefault="00752543" w:rsidP="00B94C53">
            <w:pPr>
              <w:rPr>
                <w:rFonts w:cstheme="minorHAnsi"/>
                <w:color w:val="000000"/>
              </w:rPr>
            </w:pPr>
            <w:r w:rsidRPr="00B513FE">
              <w:rPr>
                <w:rFonts w:cstheme="minorHAnsi"/>
                <w:color w:val="000000"/>
              </w:rPr>
              <w:t>n=4,735</w:t>
            </w:r>
            <w:r>
              <w:rPr>
                <w:rFonts w:cstheme="minorHAnsi"/>
                <w:color w:val="000000"/>
              </w:rPr>
              <w:t xml:space="preserve"> (83% </w:t>
            </w:r>
            <w:r w:rsidR="004F0FA7">
              <w:rPr>
                <w:rFonts w:ascii="Calibri" w:hAnsi="Calibri"/>
                <w:color w:val="000000"/>
              </w:rPr>
              <w:t>female</w:t>
            </w:r>
            <w:r>
              <w:rPr>
                <w:rFonts w:cstheme="minorHAnsi"/>
                <w:color w:val="000000"/>
              </w:rPr>
              <w:t>)</w:t>
            </w:r>
          </w:p>
        </w:tc>
        <w:tc>
          <w:tcPr>
            <w:tcW w:w="1560" w:type="dxa"/>
          </w:tcPr>
          <w:p w14:paraId="1FDF89A5" w14:textId="77777777" w:rsidR="0063693D" w:rsidRPr="00B513FE" w:rsidRDefault="0063693D" w:rsidP="00FA01E6">
            <w:pPr>
              <w:rPr>
                <w:rFonts w:cstheme="minorHAnsi"/>
                <w:color w:val="000000"/>
              </w:rPr>
            </w:pPr>
            <w:r w:rsidRPr="00B513FE">
              <w:rPr>
                <w:color w:val="000000"/>
              </w:rPr>
              <w:t>Registry-based retrospective cohort study</w:t>
            </w:r>
            <w:r w:rsidR="00752543">
              <w:rPr>
                <w:color w:val="000000"/>
              </w:rPr>
              <w:t>,</w:t>
            </w:r>
            <w:r w:rsidR="00752543" w:rsidRPr="00B513FE">
              <w:rPr>
                <w:color w:val="000000"/>
              </w:rPr>
              <w:t xml:space="preserve"> </w:t>
            </w:r>
            <w:r w:rsidRPr="00B513FE">
              <w:rPr>
                <w:color w:val="000000"/>
              </w:rPr>
              <w:t>time-to-event</w:t>
            </w:r>
            <w:r w:rsidR="00752543">
              <w:rPr>
                <w:color w:val="000000"/>
              </w:rPr>
              <w:t xml:space="preserve"> </w:t>
            </w:r>
            <w:r w:rsidR="00752543">
              <w:rPr>
                <w:rFonts w:ascii="Calibri" w:hAnsi="Calibri"/>
                <w:color w:val="000000"/>
              </w:rPr>
              <w:t>(median follow-up of 7.6 years)</w:t>
            </w:r>
            <w:r w:rsidR="00752543">
              <w:rPr>
                <w:color w:val="000000"/>
              </w:rPr>
              <w:t>,</w:t>
            </w:r>
            <w:r w:rsidR="00752543" w:rsidRPr="00B513FE">
              <w:rPr>
                <w:color w:val="000000"/>
              </w:rPr>
              <w:t xml:space="preserve"> </w:t>
            </w:r>
            <w:r w:rsidRPr="00B513FE">
              <w:rPr>
                <w:color w:val="000000"/>
              </w:rPr>
              <w:t>primary care patients</w:t>
            </w:r>
          </w:p>
          <w:p w14:paraId="5DB0545C" w14:textId="77777777" w:rsidR="0063693D" w:rsidRPr="00B513FE" w:rsidRDefault="0063693D" w:rsidP="00FA01E6">
            <w:pPr>
              <w:autoSpaceDE w:val="0"/>
              <w:autoSpaceDN w:val="0"/>
              <w:adjustRightInd w:val="0"/>
              <w:rPr>
                <w:rFonts w:cstheme="minorHAnsi"/>
                <w:color w:val="000000"/>
              </w:rPr>
            </w:pPr>
          </w:p>
          <w:p w14:paraId="50A129F5" w14:textId="77777777" w:rsidR="0063693D" w:rsidRPr="00B513FE" w:rsidRDefault="0063693D" w:rsidP="00FA01E6">
            <w:pPr>
              <w:rPr>
                <w:rFonts w:cstheme="minorHAnsi"/>
                <w:color w:val="000000"/>
              </w:rPr>
            </w:pPr>
          </w:p>
          <w:p w14:paraId="51D3825B" w14:textId="77777777" w:rsidR="0063693D" w:rsidRPr="00B513FE" w:rsidRDefault="0063693D" w:rsidP="00FA01E6">
            <w:pPr>
              <w:rPr>
                <w:color w:val="000000"/>
              </w:rPr>
            </w:pPr>
          </w:p>
          <w:p w14:paraId="3A3CBB8B" w14:textId="77777777" w:rsidR="0063693D" w:rsidRPr="00B513FE" w:rsidRDefault="0063693D" w:rsidP="00FA01E6">
            <w:pPr>
              <w:rPr>
                <w:color w:val="000000"/>
              </w:rPr>
            </w:pPr>
          </w:p>
        </w:tc>
        <w:tc>
          <w:tcPr>
            <w:tcW w:w="4394" w:type="dxa"/>
          </w:tcPr>
          <w:p w14:paraId="46F39F35" w14:textId="77777777" w:rsidR="0063693D" w:rsidRDefault="0063693D" w:rsidP="00FA01E6">
            <w:pPr>
              <w:autoSpaceDE w:val="0"/>
              <w:autoSpaceDN w:val="0"/>
              <w:adjustRightInd w:val="0"/>
              <w:rPr>
                <w:rFonts w:cs="AdvOT82c4f4c4"/>
              </w:rPr>
            </w:pPr>
            <w:r>
              <w:rPr>
                <w:rFonts w:cs="AdvOT82c4f4c4"/>
                <w:i/>
              </w:rPr>
              <w:t>Inclusion</w:t>
            </w:r>
            <w:r w:rsidR="0083568E">
              <w:rPr>
                <w:rFonts w:cstheme="minorHAnsi"/>
                <w:i/>
              </w:rPr>
              <w:t xml:space="preserve"> criteria</w:t>
            </w:r>
            <w:r>
              <w:rPr>
                <w:rFonts w:cs="AdvOT82c4f4c4"/>
                <w:i/>
              </w:rPr>
              <w:t>:</w:t>
            </w:r>
            <w:r>
              <w:rPr>
                <w:rFonts w:cs="AdvOT82c4f4c4"/>
              </w:rPr>
              <w:t xml:space="preserve"> Primary care patients with SCH</w:t>
            </w:r>
            <w:r w:rsidR="0006294E">
              <w:rPr>
                <w:rFonts w:cs="AdvOT82c4f4c4"/>
              </w:rPr>
              <w:t>o</w:t>
            </w:r>
            <w:r>
              <w:rPr>
                <w:rFonts w:cs="AdvOT82c4f4c4"/>
              </w:rPr>
              <w:t xml:space="preserve"> within the UK General Practitioner Research Database aged ≥</w:t>
            </w:r>
            <w:r w:rsidRPr="001D3795">
              <w:rPr>
                <w:rFonts w:cs="AdvOT82c4f4c4"/>
              </w:rPr>
              <w:t xml:space="preserve"> </w:t>
            </w:r>
            <w:r>
              <w:rPr>
                <w:rFonts w:cs="AdvOT82c4f4c4"/>
              </w:rPr>
              <w:t>40</w:t>
            </w:r>
            <w:r w:rsidRPr="001D3795">
              <w:rPr>
                <w:rFonts w:cs="AdvOT82c4f4c4"/>
              </w:rPr>
              <w:t xml:space="preserve"> years</w:t>
            </w:r>
            <w:r>
              <w:rPr>
                <w:rFonts w:cs="AdvOT82c4f4c4"/>
              </w:rPr>
              <w:t xml:space="preserve"> with first-ever increased serum TSH of 5.01 to 10.00 mIU/L and FT4 WNL</w:t>
            </w:r>
          </w:p>
          <w:p w14:paraId="0B2F9AAF" w14:textId="77777777" w:rsidR="0063693D" w:rsidRPr="00FC0787" w:rsidRDefault="0063693D" w:rsidP="00FA01E6">
            <w:pPr>
              <w:autoSpaceDE w:val="0"/>
              <w:autoSpaceDN w:val="0"/>
              <w:adjustRightInd w:val="0"/>
              <w:rPr>
                <w:rFonts w:cs="AdvOT82c4f4c4"/>
              </w:rPr>
            </w:pPr>
          </w:p>
          <w:p w14:paraId="3C4DEAAA" w14:textId="77777777" w:rsidR="0063693D" w:rsidRPr="00B513FE" w:rsidRDefault="0063693D" w:rsidP="00FA01E6">
            <w:pPr>
              <w:autoSpaceDE w:val="0"/>
              <w:autoSpaceDN w:val="0"/>
              <w:adjustRightInd w:val="0"/>
              <w:rPr>
                <w:rFonts w:cs="AdvOT82c4f4c4"/>
                <w:i/>
              </w:rPr>
            </w:pPr>
            <w:r w:rsidRPr="00FC0787">
              <w:rPr>
                <w:rFonts w:cs="Berkeley-Medium"/>
                <w:i/>
                <w:color w:val="231F20"/>
              </w:rPr>
              <w:t>Exclusion</w:t>
            </w:r>
            <w:r w:rsidR="0083568E">
              <w:rPr>
                <w:rFonts w:cstheme="minorHAnsi"/>
                <w:i/>
              </w:rPr>
              <w:t xml:space="preserve"> criteria</w:t>
            </w:r>
            <w:r w:rsidRPr="00FC0787">
              <w:rPr>
                <w:rFonts w:cs="Berkeley-Medium"/>
                <w:i/>
                <w:color w:val="231F20"/>
              </w:rPr>
              <w:t>:</w:t>
            </w:r>
            <w:r w:rsidRPr="00FC0787">
              <w:rPr>
                <w:rFonts w:cs="Berkeley-Medium"/>
                <w:color w:val="231F20"/>
              </w:rPr>
              <w:t xml:space="preserve"> History of </w:t>
            </w:r>
            <w:r>
              <w:rPr>
                <w:rFonts w:cs="Berkeley-Medium"/>
                <w:color w:val="231F20"/>
              </w:rPr>
              <w:t>IHD</w:t>
            </w:r>
            <w:r w:rsidRPr="00FC0787">
              <w:rPr>
                <w:rFonts w:cs="Berkeley-Medium"/>
                <w:color w:val="231F20"/>
              </w:rPr>
              <w:t xml:space="preserve"> or cerebrovascular disease; individuals registered with practices</w:t>
            </w:r>
            <w:r w:rsidR="005B099C">
              <w:rPr>
                <w:rFonts w:cs="Berkeley-Medium"/>
                <w:color w:val="231F20"/>
              </w:rPr>
              <w:t xml:space="preserve"> </w:t>
            </w:r>
            <w:r w:rsidRPr="00FC0787">
              <w:rPr>
                <w:rFonts w:cs="Berkeley-Medium"/>
                <w:color w:val="231F20"/>
              </w:rPr>
              <w:t xml:space="preserve">that did not fulfill </w:t>
            </w:r>
            <w:r>
              <w:rPr>
                <w:rFonts w:cs="Berkeley-Medium"/>
                <w:color w:val="231F20"/>
              </w:rPr>
              <w:t>≥</w:t>
            </w:r>
            <w:r w:rsidRPr="00FC0787">
              <w:rPr>
                <w:rFonts w:cs="Berkeley-Medium"/>
                <w:color w:val="231F20"/>
              </w:rPr>
              <w:t>12 months of predefined data</w:t>
            </w:r>
            <w:r w:rsidR="00752543">
              <w:rPr>
                <w:rFonts w:cs="Berkeley-Medium"/>
                <w:color w:val="231F20"/>
              </w:rPr>
              <w:t xml:space="preserve"> </w:t>
            </w:r>
            <w:r w:rsidRPr="00FC0787">
              <w:rPr>
                <w:rFonts w:cs="Berkeley-Medium"/>
                <w:color w:val="231F20"/>
              </w:rPr>
              <w:t>quality criteria leading up to their index elevated</w:t>
            </w:r>
            <w:r>
              <w:rPr>
                <w:rFonts w:cs="Berkeley-Medium"/>
                <w:color w:val="231F20"/>
              </w:rPr>
              <w:t xml:space="preserve"> TSH;</w:t>
            </w:r>
            <w:r w:rsidRPr="00FC0787">
              <w:rPr>
                <w:rFonts w:cs="Berkeley-Medium"/>
                <w:color w:val="231F20"/>
              </w:rPr>
              <w:t xml:space="preserve"> poor-quality records (i.e., lack of continuous follow-up or with incomplete or inaccurate data); individuals treated at any time before their index elevated TSH with amiodarone hydrochloride or lithium carbonate or for </w:t>
            </w:r>
            <w:r>
              <w:rPr>
                <w:rFonts w:cs="Berkeley-Medium"/>
                <w:color w:val="231F20"/>
              </w:rPr>
              <w:t>≤ 1 year</w:t>
            </w:r>
            <w:r w:rsidRPr="00FC0787">
              <w:rPr>
                <w:rFonts w:cs="Berkeley-Medium"/>
                <w:color w:val="231F20"/>
              </w:rPr>
              <w:t xml:space="preserve"> with an oral corticosteroid.</w:t>
            </w:r>
          </w:p>
        </w:tc>
        <w:tc>
          <w:tcPr>
            <w:tcW w:w="1701" w:type="dxa"/>
          </w:tcPr>
          <w:p w14:paraId="1430535A" w14:textId="77777777" w:rsidR="0063693D" w:rsidRDefault="0063693D" w:rsidP="00FA01E6">
            <w:pPr>
              <w:autoSpaceDE w:val="0"/>
              <w:autoSpaceDN w:val="0"/>
              <w:adjustRightInd w:val="0"/>
              <w:rPr>
                <w:rFonts w:cs="AdvOT1ef757c0"/>
              </w:rPr>
            </w:pPr>
            <w:r>
              <w:rPr>
                <w:rFonts w:cs="AdvOT1ef757c0"/>
              </w:rPr>
              <w:t>Treated: those who initiated LT4 during follow-up</w:t>
            </w:r>
          </w:p>
        </w:tc>
        <w:tc>
          <w:tcPr>
            <w:tcW w:w="3260" w:type="dxa"/>
          </w:tcPr>
          <w:p w14:paraId="1CFA6423" w14:textId="77777777" w:rsidR="0063693D" w:rsidRPr="005A1013" w:rsidRDefault="0063693D" w:rsidP="00FA01E6">
            <w:pPr>
              <w:autoSpaceDE w:val="0"/>
              <w:autoSpaceDN w:val="0"/>
              <w:adjustRightInd w:val="0"/>
              <w:rPr>
                <w:rFonts w:cs="Berkeley-Medium"/>
                <w:color w:val="231F20"/>
              </w:rPr>
            </w:pPr>
            <w:r w:rsidRPr="005A1013">
              <w:rPr>
                <w:rFonts w:cs="AdvOT1ef757c0"/>
                <w:i/>
              </w:rPr>
              <w:t xml:space="preserve">Primary: </w:t>
            </w:r>
            <w:r w:rsidRPr="005A1013">
              <w:rPr>
                <w:rFonts w:cs="Berkeley-Medium"/>
                <w:color w:val="231F20"/>
              </w:rPr>
              <w:t xml:space="preserve">composite of incident fatal and nonfatal first-recorded diagnosis of </w:t>
            </w:r>
            <w:r w:rsidR="005B099C">
              <w:rPr>
                <w:rFonts w:ascii="Calibri" w:hAnsi="Calibri"/>
                <w:color w:val="000000"/>
              </w:rPr>
              <w:t>ischemic heart disease</w:t>
            </w:r>
          </w:p>
          <w:p w14:paraId="4CE04E48" w14:textId="77777777" w:rsidR="0063693D" w:rsidRPr="005A1013" w:rsidRDefault="0063693D" w:rsidP="00FA01E6">
            <w:pPr>
              <w:autoSpaceDE w:val="0"/>
              <w:autoSpaceDN w:val="0"/>
              <w:adjustRightInd w:val="0"/>
              <w:rPr>
                <w:rFonts w:cs="Berkeley-Medium"/>
                <w:color w:val="231F20"/>
              </w:rPr>
            </w:pPr>
          </w:p>
          <w:p w14:paraId="54280981" w14:textId="77777777" w:rsidR="0063693D" w:rsidRDefault="0063693D" w:rsidP="00FA01E6">
            <w:pPr>
              <w:autoSpaceDE w:val="0"/>
              <w:autoSpaceDN w:val="0"/>
              <w:adjustRightInd w:val="0"/>
              <w:rPr>
                <w:rFonts w:cs="Berkeley-Medium"/>
                <w:color w:val="231F20"/>
              </w:rPr>
            </w:pPr>
            <w:r w:rsidRPr="005A1013">
              <w:rPr>
                <w:rFonts w:cs="Berkeley-Medium"/>
                <w:i/>
                <w:color w:val="231F20"/>
              </w:rPr>
              <w:t>Secondary</w:t>
            </w:r>
            <w:r w:rsidRPr="005A1013">
              <w:rPr>
                <w:rFonts w:cs="Berkeley-Medium"/>
                <w:color w:val="231F20"/>
              </w:rPr>
              <w:t>:</w:t>
            </w:r>
            <w:r>
              <w:rPr>
                <w:rFonts w:cs="Berkeley-Medium"/>
                <w:color w:val="231F20"/>
              </w:rPr>
              <w:t xml:space="preserve"> </w:t>
            </w:r>
            <w:r w:rsidRPr="005A1013">
              <w:rPr>
                <w:rFonts w:cs="Berkeley-Medium"/>
                <w:color w:val="231F20"/>
              </w:rPr>
              <w:t>first fatal and nonfatal cerebrovascular disease</w:t>
            </w:r>
            <w:r w:rsidR="005B099C">
              <w:rPr>
                <w:rFonts w:cs="Berkeley-Medium"/>
                <w:color w:val="231F20"/>
              </w:rPr>
              <w:t>,</w:t>
            </w:r>
            <w:r w:rsidRPr="005A1013">
              <w:rPr>
                <w:rFonts w:cs="Berkeley-Medium"/>
                <w:color w:val="231F20"/>
              </w:rPr>
              <w:t xml:space="preserve"> all-cause and cause-specific mortality</w:t>
            </w:r>
            <w:r>
              <w:rPr>
                <w:rFonts w:cs="Berkeley-Medium"/>
                <w:color w:val="231F20"/>
              </w:rPr>
              <w:t>, and n</w:t>
            </w:r>
            <w:r w:rsidRPr="005A1013">
              <w:rPr>
                <w:rFonts w:cs="Berkeley-Medium"/>
                <w:color w:val="231F20"/>
              </w:rPr>
              <w:t>ew-onset atrial fibrillation.</w:t>
            </w:r>
          </w:p>
          <w:p w14:paraId="1F01828A" w14:textId="77777777" w:rsidR="0063693D" w:rsidRDefault="0063693D" w:rsidP="00FA01E6">
            <w:pPr>
              <w:autoSpaceDE w:val="0"/>
              <w:autoSpaceDN w:val="0"/>
              <w:adjustRightInd w:val="0"/>
              <w:rPr>
                <w:rFonts w:cs="Berkeley-Medium"/>
                <w:color w:val="231F20"/>
              </w:rPr>
            </w:pPr>
          </w:p>
          <w:p w14:paraId="17F9B875" w14:textId="77777777" w:rsidR="0063693D" w:rsidRPr="005A1013" w:rsidRDefault="0063693D" w:rsidP="00FA01E6">
            <w:pPr>
              <w:autoSpaceDE w:val="0"/>
              <w:autoSpaceDN w:val="0"/>
              <w:adjustRightInd w:val="0"/>
              <w:rPr>
                <w:rFonts w:cs="AdvOT1ef757c0"/>
                <w:i/>
              </w:rPr>
            </w:pPr>
          </w:p>
        </w:tc>
      </w:tr>
    </w:tbl>
    <w:p w14:paraId="6DFB2643" w14:textId="77777777" w:rsidR="00AE6259" w:rsidRDefault="004E666A" w:rsidP="00D2440A">
      <w:pPr>
        <w:spacing w:after="0" w:line="240" w:lineRule="auto"/>
        <w:rPr>
          <w:b/>
        </w:rPr>
        <w:sectPr w:rsidR="00AE6259" w:rsidSect="00D26BA7">
          <w:pgSz w:w="15840" w:h="12240" w:orient="landscape"/>
          <w:pgMar w:top="1440" w:right="1440" w:bottom="1440" w:left="1440" w:header="708" w:footer="708" w:gutter="0"/>
          <w:lnNumType w:countBy="1" w:restart="continuous"/>
          <w:cols w:space="708"/>
          <w:docGrid w:linePitch="360"/>
        </w:sectPr>
      </w:pPr>
      <w:r>
        <w:rPr>
          <w:rFonts w:ascii="Calibri" w:hAnsi="Calibri"/>
          <w:b/>
          <w:color w:val="000000"/>
        </w:rPr>
        <w:t>AE</w:t>
      </w:r>
      <w:r w:rsidRPr="00E60E0B">
        <w:rPr>
          <w:rFonts w:ascii="Calibri" w:hAnsi="Calibri"/>
          <w:color w:val="000000"/>
        </w:rPr>
        <w:t>=adverse event;</w:t>
      </w:r>
      <w:r>
        <w:rPr>
          <w:rFonts w:ascii="Calibri" w:hAnsi="Calibri"/>
          <w:color w:val="000000"/>
        </w:rPr>
        <w:t xml:space="preserve"> </w:t>
      </w:r>
      <w:r>
        <w:rPr>
          <w:rFonts w:ascii="Calibri" w:hAnsi="Calibri"/>
          <w:b/>
          <w:color w:val="000000"/>
        </w:rPr>
        <w:t>BMI</w:t>
      </w:r>
      <w:r w:rsidRPr="00AE5E1F">
        <w:rPr>
          <w:rFonts w:ascii="Calibri" w:hAnsi="Calibri"/>
          <w:color w:val="000000"/>
        </w:rPr>
        <w:t>=body mass index;</w:t>
      </w:r>
      <w:r>
        <w:rPr>
          <w:rFonts w:ascii="Calibri" w:hAnsi="Calibri"/>
          <w:b/>
          <w:color w:val="000000"/>
        </w:rPr>
        <w:t xml:space="preserve"> BP</w:t>
      </w:r>
      <w:r w:rsidRPr="00202EC7">
        <w:rPr>
          <w:rFonts w:ascii="Calibri" w:hAnsi="Calibri"/>
          <w:color w:val="000000"/>
        </w:rPr>
        <w:t>=blood pressure;</w:t>
      </w:r>
      <w:r>
        <w:rPr>
          <w:rFonts w:ascii="Calibri" w:hAnsi="Calibri"/>
          <w:b/>
          <w:color w:val="000000"/>
        </w:rPr>
        <w:t xml:space="preserve"> CAD</w:t>
      </w:r>
      <w:r w:rsidRPr="009C149D">
        <w:rPr>
          <w:rFonts w:ascii="Calibri" w:hAnsi="Calibri"/>
          <w:color w:val="000000"/>
        </w:rPr>
        <w:t>=coronary artery disease;</w:t>
      </w:r>
      <w:r>
        <w:rPr>
          <w:rFonts w:ascii="Calibri" w:hAnsi="Calibri"/>
          <w:b/>
          <w:color w:val="000000"/>
        </w:rPr>
        <w:t xml:space="preserve"> CV</w:t>
      </w:r>
      <w:r w:rsidRPr="00A712E4">
        <w:rPr>
          <w:rFonts w:ascii="Calibri" w:hAnsi="Calibri"/>
          <w:color w:val="000000"/>
        </w:rPr>
        <w:t>=cardiovascular;</w:t>
      </w:r>
      <w:r>
        <w:rPr>
          <w:rFonts w:ascii="Calibri" w:hAnsi="Calibri"/>
          <w:b/>
          <w:color w:val="000000"/>
        </w:rPr>
        <w:t xml:space="preserve"> </w:t>
      </w:r>
      <w:r w:rsidRPr="006D19C9">
        <w:rPr>
          <w:rFonts w:ascii="Calibri" w:hAnsi="Calibri"/>
          <w:b/>
          <w:color w:val="000000"/>
        </w:rPr>
        <w:t>DBP</w:t>
      </w:r>
      <w:r>
        <w:rPr>
          <w:rFonts w:ascii="Calibri" w:hAnsi="Calibri"/>
          <w:color w:val="000000"/>
        </w:rPr>
        <w:t xml:space="preserve">=diastolic blood pressure; </w:t>
      </w:r>
      <w:r w:rsidRPr="00EB7BCB">
        <w:rPr>
          <w:rFonts w:ascii="Calibri" w:hAnsi="Calibri"/>
          <w:b/>
          <w:color w:val="000000"/>
        </w:rPr>
        <w:t>FT</w:t>
      </w:r>
      <w:r w:rsidRPr="00EB7BCB">
        <w:rPr>
          <w:rFonts w:ascii="Calibri" w:hAnsi="Calibri"/>
          <w:b/>
          <w:color w:val="000000"/>
          <w:vertAlign w:val="subscript"/>
        </w:rPr>
        <w:t>3</w:t>
      </w:r>
      <w:r>
        <w:rPr>
          <w:rFonts w:ascii="Calibri" w:hAnsi="Calibri"/>
          <w:color w:val="000000"/>
        </w:rPr>
        <w:t xml:space="preserve">=free triiodothyronine; </w:t>
      </w:r>
      <w:r w:rsidRPr="00EB7BCB">
        <w:rPr>
          <w:rFonts w:ascii="Calibri" w:hAnsi="Calibri"/>
          <w:b/>
          <w:color w:val="000000"/>
        </w:rPr>
        <w:t>FT</w:t>
      </w:r>
      <w:r w:rsidRPr="00EB7BCB">
        <w:rPr>
          <w:rFonts w:ascii="Calibri" w:hAnsi="Calibri"/>
          <w:b/>
          <w:color w:val="000000"/>
          <w:vertAlign w:val="subscript"/>
        </w:rPr>
        <w:t>4</w:t>
      </w:r>
      <w:r>
        <w:rPr>
          <w:rFonts w:ascii="Calibri" w:hAnsi="Calibri"/>
          <w:color w:val="000000"/>
        </w:rPr>
        <w:t xml:space="preserve">= free thyroxine; </w:t>
      </w:r>
      <w:r w:rsidRPr="00DE6B87">
        <w:rPr>
          <w:rFonts w:ascii="Calibri" w:hAnsi="Calibri"/>
          <w:b/>
          <w:color w:val="000000"/>
        </w:rPr>
        <w:t>HDL</w:t>
      </w:r>
      <w:r>
        <w:rPr>
          <w:rFonts w:ascii="Calibri" w:hAnsi="Calibri"/>
          <w:color w:val="000000"/>
        </w:rPr>
        <w:t xml:space="preserve">=high-density lipoprotein cholesterol; </w:t>
      </w:r>
      <w:r w:rsidR="00C64CEF">
        <w:rPr>
          <w:rFonts w:ascii="Calibri" w:hAnsi="Calibri"/>
          <w:b/>
          <w:color w:val="000000"/>
        </w:rPr>
        <w:t>LDL</w:t>
      </w:r>
      <w:r>
        <w:rPr>
          <w:rFonts w:ascii="Calibri" w:hAnsi="Calibri"/>
          <w:color w:val="000000"/>
        </w:rPr>
        <w:t xml:space="preserve">=low-density lipoprotein cholesterol; </w:t>
      </w:r>
      <w:r w:rsidRPr="00EB7BCB">
        <w:rPr>
          <w:rFonts w:ascii="Calibri" w:hAnsi="Calibri"/>
          <w:b/>
          <w:color w:val="000000"/>
        </w:rPr>
        <w:t>LT</w:t>
      </w:r>
      <w:r w:rsidRPr="00EB7BCB">
        <w:rPr>
          <w:rFonts w:ascii="Calibri" w:hAnsi="Calibri"/>
          <w:b/>
          <w:color w:val="000000"/>
          <w:vertAlign w:val="subscript"/>
        </w:rPr>
        <w:t>4</w:t>
      </w:r>
      <w:r>
        <w:rPr>
          <w:rFonts w:ascii="Calibri" w:hAnsi="Calibri"/>
          <w:color w:val="000000"/>
        </w:rPr>
        <w:t xml:space="preserve">=levothyroxine; </w:t>
      </w:r>
      <w:r w:rsidRPr="00B56959">
        <w:rPr>
          <w:rFonts w:ascii="Calibri" w:hAnsi="Calibri"/>
          <w:b/>
          <w:color w:val="000000"/>
        </w:rPr>
        <w:t>QoL</w:t>
      </w:r>
      <w:r>
        <w:rPr>
          <w:rFonts w:ascii="Calibri" w:hAnsi="Calibri"/>
          <w:color w:val="000000"/>
        </w:rPr>
        <w:t xml:space="preserve">=quality of life;  </w:t>
      </w:r>
      <w:r w:rsidRPr="00EB7BCB">
        <w:rPr>
          <w:rFonts w:ascii="Calibri" w:hAnsi="Calibri"/>
          <w:b/>
          <w:color w:val="000000"/>
        </w:rPr>
        <w:t>RCT</w:t>
      </w:r>
      <w:r>
        <w:rPr>
          <w:rFonts w:ascii="Calibri" w:hAnsi="Calibri"/>
          <w:color w:val="000000"/>
        </w:rPr>
        <w:t xml:space="preserve">=randomized controlled trial; </w:t>
      </w:r>
      <w:r w:rsidRPr="00E60E0B">
        <w:rPr>
          <w:rFonts w:ascii="Calibri" w:hAnsi="Calibri"/>
          <w:b/>
          <w:color w:val="000000"/>
        </w:rPr>
        <w:t>SAE</w:t>
      </w:r>
      <w:r>
        <w:rPr>
          <w:rFonts w:ascii="Calibri" w:hAnsi="Calibri"/>
          <w:color w:val="000000"/>
        </w:rPr>
        <w:t xml:space="preserve">=serious adverse event; </w:t>
      </w:r>
      <w:r w:rsidRPr="006D19C9">
        <w:rPr>
          <w:rFonts w:ascii="Calibri" w:hAnsi="Calibri"/>
          <w:b/>
          <w:color w:val="000000"/>
        </w:rPr>
        <w:t>SBP</w:t>
      </w:r>
      <w:r>
        <w:rPr>
          <w:rFonts w:ascii="Calibri" w:hAnsi="Calibri"/>
          <w:color w:val="000000"/>
        </w:rPr>
        <w:t xml:space="preserve">=systolic blood pressure; </w:t>
      </w:r>
      <w:r w:rsidRPr="00EB7BCB">
        <w:rPr>
          <w:rFonts w:ascii="Calibri" w:hAnsi="Calibri"/>
          <w:b/>
          <w:color w:val="000000"/>
        </w:rPr>
        <w:t>SCH</w:t>
      </w:r>
      <w:r w:rsidR="0006294E">
        <w:rPr>
          <w:rFonts w:ascii="Calibri" w:hAnsi="Calibri"/>
          <w:b/>
          <w:color w:val="000000"/>
        </w:rPr>
        <w:t>o</w:t>
      </w:r>
      <w:r>
        <w:rPr>
          <w:rFonts w:ascii="Calibri" w:hAnsi="Calibri"/>
          <w:color w:val="000000"/>
        </w:rPr>
        <w:t xml:space="preserve">=subclinical hypothyroidism; </w:t>
      </w:r>
      <w:r w:rsidRPr="00DE6B87">
        <w:rPr>
          <w:rFonts w:ascii="Calibri" w:hAnsi="Calibri"/>
          <w:b/>
          <w:color w:val="000000"/>
        </w:rPr>
        <w:t>TG</w:t>
      </w:r>
      <w:r>
        <w:rPr>
          <w:rFonts w:ascii="Calibri" w:hAnsi="Calibri"/>
          <w:color w:val="000000"/>
        </w:rPr>
        <w:t xml:space="preserve">=triglyceride; </w:t>
      </w:r>
      <w:r w:rsidRPr="00B56959">
        <w:rPr>
          <w:rFonts w:ascii="Calibri" w:hAnsi="Calibri"/>
          <w:b/>
          <w:color w:val="000000"/>
        </w:rPr>
        <w:t>ThyPRO</w:t>
      </w:r>
      <w:r>
        <w:rPr>
          <w:rFonts w:ascii="Calibri" w:hAnsi="Calibri"/>
          <w:color w:val="000000"/>
        </w:rPr>
        <w:t>=</w:t>
      </w:r>
      <w:r>
        <w:t xml:space="preserve">Thyroid-Related Quality-of-Life Patient-Reported Outcome; </w:t>
      </w:r>
      <w:r w:rsidRPr="00470A13">
        <w:rPr>
          <w:rFonts w:ascii="Calibri" w:hAnsi="Calibri"/>
          <w:b/>
          <w:color w:val="000000"/>
        </w:rPr>
        <w:t>TPO</w:t>
      </w:r>
      <w:r>
        <w:rPr>
          <w:rFonts w:ascii="Calibri" w:hAnsi="Calibri"/>
          <w:b/>
          <w:color w:val="000000"/>
        </w:rPr>
        <w:t>-Ab</w:t>
      </w:r>
      <w:r>
        <w:rPr>
          <w:rFonts w:ascii="Calibri" w:hAnsi="Calibri"/>
          <w:color w:val="000000"/>
        </w:rPr>
        <w:t xml:space="preserve">=thyroid peroxidase antibody; </w:t>
      </w:r>
      <w:r w:rsidRPr="00EB7BCB">
        <w:rPr>
          <w:rFonts w:ascii="Calibri" w:hAnsi="Calibri"/>
          <w:b/>
          <w:color w:val="000000"/>
        </w:rPr>
        <w:t>TSH</w:t>
      </w:r>
      <w:r>
        <w:rPr>
          <w:rFonts w:ascii="Calibri" w:hAnsi="Calibri"/>
          <w:color w:val="000000"/>
        </w:rPr>
        <w:t xml:space="preserve">=thyroid-stimulating hormone; </w:t>
      </w:r>
      <w:r w:rsidRPr="005920D4">
        <w:rPr>
          <w:rFonts w:ascii="Calibri" w:hAnsi="Calibri"/>
          <w:b/>
          <w:color w:val="000000"/>
        </w:rPr>
        <w:t>WDAE</w:t>
      </w:r>
      <w:r>
        <w:rPr>
          <w:rFonts w:ascii="Calibri" w:hAnsi="Calibri"/>
          <w:color w:val="000000"/>
        </w:rPr>
        <w:t xml:space="preserve">=withdrawal due to adverse event; </w:t>
      </w:r>
      <w:r w:rsidRPr="00785777">
        <w:rPr>
          <w:rFonts w:ascii="Calibri" w:hAnsi="Calibri"/>
          <w:b/>
          <w:color w:val="000000"/>
        </w:rPr>
        <w:t>WNL</w:t>
      </w:r>
      <w:r>
        <w:rPr>
          <w:rFonts w:ascii="Calibri" w:hAnsi="Calibri"/>
          <w:color w:val="000000"/>
        </w:rPr>
        <w:t>=within normal limits</w:t>
      </w:r>
    </w:p>
    <w:p w14:paraId="56F7C3B6" w14:textId="1588DDDE" w:rsidR="00EF7D49" w:rsidRDefault="00EF7D49" w:rsidP="00AE6259">
      <w:pPr>
        <w:pStyle w:val="Heading1"/>
        <w:rPr>
          <w:sz w:val="22"/>
          <w:szCs w:val="22"/>
        </w:rPr>
      </w:pPr>
      <w:bookmarkStart w:id="7" w:name="_Toc532829303"/>
      <w:r>
        <w:rPr>
          <w:sz w:val="22"/>
          <w:szCs w:val="22"/>
        </w:rPr>
        <w:lastRenderedPageBreak/>
        <w:t xml:space="preserve">Appendix </w:t>
      </w:r>
      <w:r w:rsidR="00B50B35">
        <w:rPr>
          <w:sz w:val="22"/>
          <w:szCs w:val="22"/>
        </w:rPr>
        <w:t>8</w:t>
      </w:r>
      <w:r>
        <w:rPr>
          <w:sz w:val="22"/>
          <w:szCs w:val="22"/>
        </w:rPr>
        <w:t xml:space="preserve">. Individual </w:t>
      </w:r>
      <w:r w:rsidR="0082250C">
        <w:rPr>
          <w:sz w:val="22"/>
          <w:szCs w:val="22"/>
        </w:rPr>
        <w:t>S</w:t>
      </w:r>
      <w:r>
        <w:rPr>
          <w:sz w:val="22"/>
          <w:szCs w:val="22"/>
        </w:rPr>
        <w:t xml:space="preserve">tudy </w:t>
      </w:r>
      <w:r w:rsidR="0082250C">
        <w:rPr>
          <w:sz w:val="22"/>
          <w:szCs w:val="22"/>
        </w:rPr>
        <w:t>R</w:t>
      </w:r>
      <w:r>
        <w:rPr>
          <w:sz w:val="22"/>
          <w:szCs w:val="22"/>
        </w:rPr>
        <w:t>esults</w:t>
      </w:r>
      <w:bookmarkEnd w:id="7"/>
    </w:p>
    <w:p w14:paraId="7A1C0231" w14:textId="77777777" w:rsidR="00EF7D49" w:rsidRDefault="00EF7D49" w:rsidP="00B94C53">
      <w:pPr>
        <w:spacing w:after="0"/>
      </w:pPr>
    </w:p>
    <w:tbl>
      <w:tblPr>
        <w:tblStyle w:val="TableGrid"/>
        <w:tblW w:w="12866" w:type="dxa"/>
        <w:tblLayout w:type="fixed"/>
        <w:tblLook w:val="04A0" w:firstRow="1" w:lastRow="0" w:firstColumn="1" w:lastColumn="0" w:noHBand="0" w:noVBand="1"/>
      </w:tblPr>
      <w:tblGrid>
        <w:gridCol w:w="1384"/>
        <w:gridCol w:w="1418"/>
        <w:gridCol w:w="7654"/>
        <w:gridCol w:w="2410"/>
      </w:tblGrid>
      <w:tr w:rsidR="00B7662D" w:rsidRPr="00FC75D0" w14:paraId="440A7256" w14:textId="77777777" w:rsidTr="00C77EAE">
        <w:trPr>
          <w:tblHeader/>
        </w:trPr>
        <w:tc>
          <w:tcPr>
            <w:tcW w:w="1384" w:type="dxa"/>
            <w:shd w:val="clear" w:color="auto" w:fill="D9D9D9" w:themeFill="background1" w:themeFillShade="D9"/>
          </w:tcPr>
          <w:p w14:paraId="4D3938A9" w14:textId="603B7024" w:rsidR="00B7662D" w:rsidRPr="00FC75D0" w:rsidRDefault="00B7662D" w:rsidP="00C77EAE">
            <w:pPr>
              <w:rPr>
                <w:rFonts w:ascii="Calibri" w:hAnsi="Calibri"/>
                <w:b/>
                <w:color w:val="000000"/>
                <w:sz w:val="20"/>
                <w:szCs w:val="20"/>
              </w:rPr>
            </w:pPr>
            <w:r w:rsidRPr="00FC75D0">
              <w:rPr>
                <w:rFonts w:ascii="Calibri" w:hAnsi="Calibri"/>
                <w:b/>
                <w:color w:val="000000"/>
                <w:sz w:val="20"/>
                <w:szCs w:val="20"/>
              </w:rPr>
              <w:t>Lead author, Publication Year, Country, Number of participants, Comparison</w:t>
            </w:r>
          </w:p>
        </w:tc>
        <w:tc>
          <w:tcPr>
            <w:tcW w:w="1418" w:type="dxa"/>
            <w:shd w:val="clear" w:color="auto" w:fill="D9D9D9" w:themeFill="background1" w:themeFillShade="D9"/>
          </w:tcPr>
          <w:p w14:paraId="273F9844" w14:textId="05D590E3" w:rsidR="00B7662D" w:rsidRPr="00FC75D0" w:rsidRDefault="00B7662D" w:rsidP="00C77EAE">
            <w:pPr>
              <w:rPr>
                <w:rFonts w:ascii="Calibri" w:hAnsi="Calibri"/>
                <w:b/>
                <w:color w:val="000000"/>
                <w:sz w:val="20"/>
                <w:szCs w:val="20"/>
              </w:rPr>
            </w:pPr>
            <w:r w:rsidRPr="00FC75D0">
              <w:rPr>
                <w:rFonts w:ascii="Calibri" w:hAnsi="Calibri"/>
                <w:b/>
                <w:color w:val="000000"/>
                <w:sz w:val="20"/>
                <w:szCs w:val="20"/>
              </w:rPr>
              <w:t>Intervention</w:t>
            </w:r>
          </w:p>
          <w:p w14:paraId="4DC13F9F" w14:textId="77777777" w:rsidR="00B7662D" w:rsidRPr="00FC75D0" w:rsidRDefault="00B7662D" w:rsidP="00C77EAE">
            <w:pPr>
              <w:rPr>
                <w:rFonts w:ascii="Calibri" w:hAnsi="Calibri"/>
                <w:b/>
                <w:color w:val="000000"/>
                <w:sz w:val="20"/>
                <w:szCs w:val="20"/>
              </w:rPr>
            </w:pPr>
          </w:p>
          <w:p w14:paraId="09B28537" w14:textId="77777777" w:rsidR="00B7662D" w:rsidRPr="00FC75D0" w:rsidRDefault="00B7662D" w:rsidP="00C77EAE">
            <w:pPr>
              <w:rPr>
                <w:rFonts w:ascii="Calibri" w:hAnsi="Calibri"/>
                <w:b/>
                <w:color w:val="000000"/>
                <w:sz w:val="20"/>
                <w:szCs w:val="20"/>
              </w:rPr>
            </w:pPr>
            <w:r w:rsidRPr="00FC75D0">
              <w:rPr>
                <w:rFonts w:ascii="Calibri" w:hAnsi="Calibri"/>
                <w:b/>
                <w:color w:val="000000"/>
                <w:sz w:val="20"/>
                <w:szCs w:val="20"/>
              </w:rPr>
              <w:t>Length of follow-up</w:t>
            </w:r>
          </w:p>
          <w:p w14:paraId="20AD4947" w14:textId="77777777" w:rsidR="00B7662D" w:rsidRPr="00FC75D0" w:rsidRDefault="00B7662D" w:rsidP="00C77EAE">
            <w:pPr>
              <w:rPr>
                <w:rFonts w:ascii="Calibri" w:hAnsi="Calibri"/>
                <w:b/>
                <w:color w:val="000000"/>
                <w:sz w:val="20"/>
                <w:szCs w:val="20"/>
              </w:rPr>
            </w:pPr>
          </w:p>
        </w:tc>
        <w:tc>
          <w:tcPr>
            <w:tcW w:w="7654" w:type="dxa"/>
            <w:shd w:val="clear" w:color="auto" w:fill="D9D9D9" w:themeFill="background1" w:themeFillShade="D9"/>
          </w:tcPr>
          <w:p w14:paraId="32E0E869" w14:textId="395D526D" w:rsidR="00B7662D" w:rsidRPr="00FC75D0" w:rsidRDefault="00B7662D" w:rsidP="00BC6995">
            <w:pPr>
              <w:rPr>
                <w:rFonts w:ascii="Calibri" w:hAnsi="Calibri"/>
                <w:b/>
                <w:color w:val="000000"/>
                <w:sz w:val="20"/>
                <w:szCs w:val="20"/>
              </w:rPr>
            </w:pPr>
            <w:r w:rsidRPr="00FC75D0">
              <w:rPr>
                <w:rFonts w:ascii="Calibri" w:hAnsi="Calibri"/>
                <w:b/>
                <w:color w:val="000000"/>
                <w:sz w:val="20"/>
                <w:szCs w:val="20"/>
              </w:rPr>
              <w:t>Between-Group Results(placebo/no treatment vs.</w:t>
            </w:r>
            <w:r>
              <w:rPr>
                <w:rFonts w:ascii="Calibri" w:hAnsi="Calibri"/>
                <w:b/>
                <w:color w:val="000000"/>
                <w:sz w:val="20"/>
                <w:szCs w:val="20"/>
              </w:rPr>
              <w:t xml:space="preserve"> </w:t>
            </w:r>
            <w:r w:rsidRPr="00FC75D0">
              <w:rPr>
                <w:rFonts w:ascii="Calibri" w:hAnsi="Calibri"/>
                <w:b/>
                <w:color w:val="000000"/>
                <w:sz w:val="20"/>
                <w:szCs w:val="20"/>
              </w:rPr>
              <w:t>treatment</w:t>
            </w:r>
            <w:r w:rsidRPr="00FC75D0" w:rsidDel="002E7F91">
              <w:rPr>
                <w:rFonts w:ascii="Calibri" w:hAnsi="Calibri"/>
                <w:b/>
                <w:color w:val="000000"/>
                <w:sz w:val="20"/>
                <w:szCs w:val="20"/>
              </w:rPr>
              <w:t xml:space="preserve"> </w:t>
            </w:r>
            <w:r w:rsidRPr="00FC75D0">
              <w:rPr>
                <w:rFonts w:ascii="Calibri" w:hAnsi="Calibri"/>
                <w:b/>
                <w:color w:val="000000"/>
                <w:sz w:val="20"/>
                <w:szCs w:val="20"/>
              </w:rPr>
              <w:t>)</w:t>
            </w:r>
          </w:p>
        </w:tc>
        <w:tc>
          <w:tcPr>
            <w:tcW w:w="2410" w:type="dxa"/>
            <w:shd w:val="clear" w:color="auto" w:fill="D9D9D9" w:themeFill="background1" w:themeFillShade="D9"/>
          </w:tcPr>
          <w:p w14:paraId="7940BFC9" w14:textId="4A0A6FF9" w:rsidR="00B7662D" w:rsidRPr="00FC75D0" w:rsidRDefault="00B7662D" w:rsidP="00C77EAE">
            <w:pPr>
              <w:rPr>
                <w:rFonts w:ascii="Calibri" w:hAnsi="Calibri"/>
                <w:b/>
                <w:color w:val="000000"/>
                <w:sz w:val="20"/>
                <w:szCs w:val="20"/>
              </w:rPr>
            </w:pPr>
            <w:r w:rsidRPr="00FC75D0">
              <w:rPr>
                <w:rFonts w:ascii="Calibri" w:hAnsi="Calibri"/>
                <w:b/>
                <w:color w:val="000000"/>
                <w:sz w:val="20"/>
                <w:szCs w:val="20"/>
              </w:rPr>
              <w:t>Adverse Events</w:t>
            </w:r>
          </w:p>
        </w:tc>
      </w:tr>
      <w:tr w:rsidR="00B7662D" w:rsidRPr="00FC75D0" w14:paraId="55AA88EC" w14:textId="77777777" w:rsidTr="00C77EAE">
        <w:tc>
          <w:tcPr>
            <w:tcW w:w="1384" w:type="dxa"/>
          </w:tcPr>
          <w:p w14:paraId="5FD131DF" w14:textId="670F0ECD" w:rsidR="00B7662D" w:rsidRPr="00FC75D0" w:rsidRDefault="00B7662D" w:rsidP="00C77EAE">
            <w:pPr>
              <w:rPr>
                <w:rFonts w:ascii="Calibri" w:hAnsi="Calibri"/>
                <w:color w:val="000000"/>
                <w:sz w:val="20"/>
                <w:szCs w:val="20"/>
              </w:rPr>
            </w:pPr>
            <w:r w:rsidRPr="00FC75D0">
              <w:rPr>
                <w:rFonts w:ascii="Calibri" w:hAnsi="Calibri"/>
                <w:color w:val="000000"/>
                <w:sz w:val="20"/>
                <w:szCs w:val="20"/>
              </w:rPr>
              <w:t>Stott, 2017, UK</w:t>
            </w:r>
          </w:p>
          <w:p w14:paraId="77730FAD" w14:textId="77777777" w:rsidR="00B7662D" w:rsidRPr="00FC75D0" w:rsidRDefault="00B7662D" w:rsidP="00C77EAE">
            <w:pPr>
              <w:rPr>
                <w:rFonts w:ascii="Calibri" w:hAnsi="Calibri"/>
                <w:color w:val="000000"/>
                <w:sz w:val="20"/>
                <w:szCs w:val="20"/>
              </w:rPr>
            </w:pPr>
          </w:p>
          <w:p w14:paraId="142D4D9F"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n=737</w:t>
            </w:r>
          </w:p>
          <w:p w14:paraId="29078449" w14:textId="77777777" w:rsidR="00B7662D" w:rsidRPr="00FC75D0" w:rsidRDefault="00B7662D" w:rsidP="00C77EAE">
            <w:pPr>
              <w:rPr>
                <w:rFonts w:ascii="Calibri" w:hAnsi="Calibri"/>
                <w:color w:val="000000"/>
                <w:sz w:val="20"/>
                <w:szCs w:val="20"/>
              </w:rPr>
            </w:pPr>
          </w:p>
          <w:p w14:paraId="206AAEDA" w14:textId="77777777" w:rsidR="00B7662D" w:rsidRPr="00FC75D0" w:rsidRDefault="00B7662D" w:rsidP="00C77EAE">
            <w:pPr>
              <w:rPr>
                <w:rFonts w:ascii="Calibri" w:hAnsi="Calibri"/>
                <w:color w:val="000000"/>
                <w:sz w:val="20"/>
                <w:szCs w:val="20"/>
              </w:rPr>
            </w:pPr>
            <w:r w:rsidRPr="00FC75D0">
              <w:rPr>
                <w:rFonts w:cs="AdvOT1ef757c0"/>
                <w:sz w:val="20"/>
                <w:szCs w:val="20"/>
              </w:rPr>
              <w:t>Placebo</w:t>
            </w:r>
          </w:p>
        </w:tc>
        <w:tc>
          <w:tcPr>
            <w:tcW w:w="1418" w:type="dxa"/>
          </w:tcPr>
          <w:p w14:paraId="37C29BDD" w14:textId="2579764B" w:rsidR="00B7662D" w:rsidRPr="00FC75D0" w:rsidRDefault="00B7662D" w:rsidP="00C77EAE">
            <w:pPr>
              <w:autoSpaceDE w:val="0"/>
              <w:autoSpaceDN w:val="0"/>
              <w:adjustRightInd w:val="0"/>
              <w:rPr>
                <w:rFonts w:cs="AdvOT1ef757c0"/>
                <w:sz w:val="20"/>
                <w:szCs w:val="20"/>
              </w:rPr>
            </w:pPr>
            <w:r w:rsidRPr="00FC75D0">
              <w:rPr>
                <w:rFonts w:cs="AdvOT1ef757c0"/>
                <w:sz w:val="20"/>
                <w:szCs w:val="20"/>
              </w:rPr>
              <w:t>LT</w:t>
            </w:r>
            <w:r w:rsidRPr="00FC75D0">
              <w:rPr>
                <w:rFonts w:cs="AdvOT1ef757c0"/>
                <w:sz w:val="20"/>
                <w:szCs w:val="20"/>
                <w:vertAlign w:val="subscript"/>
              </w:rPr>
              <w:t>4</w:t>
            </w:r>
            <w:r w:rsidRPr="00FC75D0">
              <w:rPr>
                <w:rFonts w:cs="AdvOT1ef757c0"/>
                <w:sz w:val="20"/>
                <w:szCs w:val="20"/>
              </w:rPr>
              <w:t xml:space="preserve"> treatment (initial: 25-50 µg/day, titrated to achieve TSH WNL)</w:t>
            </w:r>
          </w:p>
          <w:p w14:paraId="3FE24FBE" w14:textId="77777777" w:rsidR="00B7662D" w:rsidRPr="00FC75D0" w:rsidRDefault="00B7662D" w:rsidP="00C77EAE">
            <w:pPr>
              <w:autoSpaceDE w:val="0"/>
              <w:autoSpaceDN w:val="0"/>
              <w:adjustRightInd w:val="0"/>
              <w:rPr>
                <w:rFonts w:cs="AdvOT1ef757c0"/>
                <w:sz w:val="20"/>
                <w:szCs w:val="20"/>
              </w:rPr>
            </w:pPr>
            <w:r w:rsidRPr="00FC75D0">
              <w:rPr>
                <w:rFonts w:ascii="Calibri" w:hAnsi="Calibri"/>
                <w:color w:val="000000"/>
                <w:sz w:val="20"/>
                <w:szCs w:val="20"/>
              </w:rPr>
              <w:t>follow-up of 1-3 years</w:t>
            </w:r>
          </w:p>
        </w:tc>
        <w:tc>
          <w:tcPr>
            <w:tcW w:w="7654" w:type="dxa"/>
          </w:tcPr>
          <w:p w14:paraId="6819F96C" w14:textId="0AE55EAA"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All-cause mortality:</w:t>
            </w:r>
            <w:r w:rsidRPr="00FC75D0">
              <w:rPr>
                <w:rFonts w:ascii="Calibri" w:hAnsi="Calibri"/>
                <w:color w:val="000000"/>
                <w:sz w:val="20"/>
                <w:szCs w:val="20"/>
              </w:rPr>
              <w:t xml:space="preserve"> HR of 1.91 (95% CI: 0.65-5.6</w:t>
            </w:r>
            <w:r>
              <w:rPr>
                <w:rFonts w:ascii="Calibri" w:hAnsi="Calibri"/>
                <w:color w:val="000000"/>
                <w:sz w:val="20"/>
                <w:szCs w:val="20"/>
              </w:rPr>
              <w:t>0</w:t>
            </w:r>
            <w:r w:rsidRPr="00FC75D0">
              <w:rPr>
                <w:rFonts w:ascii="Calibri" w:hAnsi="Calibri"/>
                <w:color w:val="000000"/>
                <w:sz w:val="20"/>
                <w:szCs w:val="20"/>
              </w:rPr>
              <w:t>); p=</w:t>
            </w:r>
            <w:r>
              <w:rPr>
                <w:rFonts w:ascii="Calibri" w:hAnsi="Calibri"/>
                <w:color w:val="000000"/>
                <w:sz w:val="20"/>
                <w:szCs w:val="20"/>
              </w:rPr>
              <w:t>0.236</w:t>
            </w:r>
          </w:p>
          <w:p w14:paraId="4782966D" w14:textId="552CC02F"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Deaths due to CVD:</w:t>
            </w:r>
            <w:r w:rsidRPr="00FC75D0">
              <w:rPr>
                <w:rFonts w:ascii="Calibri" w:hAnsi="Calibri"/>
                <w:color w:val="000000"/>
                <w:sz w:val="20"/>
                <w:szCs w:val="20"/>
              </w:rPr>
              <w:t xml:space="preserve"> HR could not be calculated due to small number of events [Placebo group: 1 death (0.3%) vs treatment group: 2 deaths</w:t>
            </w:r>
            <w:r w:rsidR="00B23B80">
              <w:rPr>
                <w:rFonts w:ascii="Calibri" w:hAnsi="Calibri"/>
                <w:color w:val="000000"/>
                <w:sz w:val="20"/>
                <w:szCs w:val="20"/>
              </w:rPr>
              <w:t xml:space="preserve"> </w:t>
            </w:r>
            <w:bookmarkStart w:id="8" w:name="_GoBack"/>
            <w:bookmarkEnd w:id="8"/>
            <w:r w:rsidRPr="00FC75D0">
              <w:rPr>
                <w:rFonts w:ascii="Calibri" w:hAnsi="Calibri"/>
                <w:color w:val="000000"/>
                <w:sz w:val="20"/>
                <w:szCs w:val="20"/>
              </w:rPr>
              <w:t>(0.5%)]</w:t>
            </w:r>
          </w:p>
          <w:p w14:paraId="77D1A68A" w14:textId="5AD9CB23"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Fatal or non-fatal CV event:</w:t>
            </w:r>
            <w:r w:rsidRPr="00FC75D0">
              <w:rPr>
                <w:rFonts w:ascii="Calibri" w:hAnsi="Calibri"/>
                <w:color w:val="000000"/>
                <w:sz w:val="20"/>
                <w:szCs w:val="20"/>
              </w:rPr>
              <w:t xml:space="preserve"> HR of 0.89 (95% CI: 0.47-1.69); </w:t>
            </w:r>
            <w:r>
              <w:rPr>
                <w:rFonts w:ascii="Calibri" w:hAnsi="Calibri"/>
                <w:color w:val="000000"/>
                <w:sz w:val="20"/>
                <w:szCs w:val="20"/>
              </w:rPr>
              <w:t>p=0.728</w:t>
            </w:r>
          </w:p>
          <w:p w14:paraId="40EEFF42"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Atrial fibrillation (new-onset): </w:t>
            </w:r>
            <w:r w:rsidRPr="00FC75D0">
              <w:rPr>
                <w:rFonts w:ascii="Calibri" w:hAnsi="Calibri"/>
                <w:color w:val="000000"/>
                <w:sz w:val="20"/>
                <w:szCs w:val="20"/>
              </w:rPr>
              <w:t>HR of 0.80 (95% CI: 0.35-1.8</w:t>
            </w:r>
            <w:r>
              <w:rPr>
                <w:rFonts w:ascii="Calibri" w:hAnsi="Calibri"/>
                <w:color w:val="000000"/>
                <w:sz w:val="20"/>
                <w:szCs w:val="20"/>
              </w:rPr>
              <w:t>0</w:t>
            </w:r>
            <w:r w:rsidRPr="00FC75D0">
              <w:rPr>
                <w:rFonts w:ascii="Calibri" w:hAnsi="Calibri"/>
                <w:color w:val="000000"/>
                <w:sz w:val="20"/>
                <w:szCs w:val="20"/>
              </w:rPr>
              <w:t>); p=NS</w:t>
            </w:r>
          </w:p>
          <w:p w14:paraId="2BC35C06"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Fractures:</w:t>
            </w:r>
            <w:r w:rsidRPr="00FC75D0">
              <w:rPr>
                <w:rFonts w:ascii="Calibri" w:hAnsi="Calibri"/>
                <w:color w:val="000000"/>
                <w:sz w:val="20"/>
                <w:szCs w:val="20"/>
              </w:rPr>
              <w:t xml:space="preserve"> HR of 1.06 (95% CI: 0.41-2.76); p=NS</w:t>
            </w:r>
          </w:p>
          <w:p w14:paraId="00AE0BE1" w14:textId="77777777" w:rsidR="00B7662D" w:rsidRPr="00FC75D0" w:rsidRDefault="00B7662D" w:rsidP="00C77EAE">
            <w:pPr>
              <w:rPr>
                <w:rFonts w:ascii="Calibri" w:hAnsi="Calibri"/>
                <w:b/>
                <w:color w:val="000000"/>
                <w:sz w:val="20"/>
                <w:szCs w:val="20"/>
              </w:rPr>
            </w:pPr>
            <w:r w:rsidRPr="00FC75D0">
              <w:rPr>
                <w:rFonts w:ascii="Calibri" w:hAnsi="Calibri"/>
                <w:b/>
                <w:color w:val="000000"/>
                <w:sz w:val="20"/>
                <w:szCs w:val="20"/>
              </w:rPr>
              <w:t xml:space="preserve">ThyPRO hypothyroid symptoms score: </w:t>
            </w:r>
          </w:p>
          <w:p w14:paraId="300A64F8" w14:textId="77777777" w:rsidR="00B7662D" w:rsidRPr="00FC75D0" w:rsidRDefault="00B7662D" w:rsidP="00B7662D">
            <w:pPr>
              <w:numPr>
                <w:ilvl w:val="0"/>
                <w:numId w:val="7"/>
              </w:numPr>
              <w:contextualSpacing/>
              <w:rPr>
                <w:rFonts w:ascii="Calibri" w:hAnsi="Calibri"/>
                <w:color w:val="000000"/>
                <w:sz w:val="20"/>
                <w:szCs w:val="20"/>
              </w:rPr>
            </w:pPr>
            <w:r w:rsidRPr="00FC75D0">
              <w:rPr>
                <w:rFonts w:ascii="Calibri" w:hAnsi="Calibri"/>
                <w:color w:val="000000"/>
                <w:sz w:val="20"/>
                <w:szCs w:val="20"/>
              </w:rPr>
              <w:t>At extended follow-up: DF of 1.0 (95% CI: -1.9 to 3.9); p=</w:t>
            </w:r>
            <w:r>
              <w:rPr>
                <w:rFonts w:ascii="Calibri" w:hAnsi="Calibri"/>
                <w:color w:val="000000"/>
                <w:sz w:val="20"/>
                <w:szCs w:val="20"/>
              </w:rPr>
              <w:t>0.50</w:t>
            </w:r>
          </w:p>
          <w:p w14:paraId="19D05AB5" w14:textId="77777777" w:rsidR="00B7662D" w:rsidRPr="00FC75D0" w:rsidRDefault="00B7662D" w:rsidP="00B7662D">
            <w:pPr>
              <w:numPr>
                <w:ilvl w:val="0"/>
                <w:numId w:val="7"/>
              </w:numPr>
              <w:contextualSpacing/>
              <w:rPr>
                <w:rFonts w:ascii="Calibri" w:hAnsi="Calibri"/>
                <w:color w:val="000000"/>
                <w:sz w:val="20"/>
                <w:szCs w:val="20"/>
              </w:rPr>
            </w:pPr>
            <w:r w:rsidRPr="00FC75D0">
              <w:rPr>
                <w:rFonts w:ascii="Calibri" w:hAnsi="Calibri"/>
                <w:color w:val="000000"/>
                <w:sz w:val="20"/>
                <w:szCs w:val="20"/>
              </w:rPr>
              <w:t>At 12 months: DF of 0.0 (95% CI: -2.0 to 2.1); p=</w:t>
            </w:r>
            <w:r>
              <w:rPr>
                <w:rFonts w:ascii="Calibri" w:hAnsi="Calibri"/>
                <w:color w:val="000000"/>
                <w:sz w:val="20"/>
                <w:szCs w:val="20"/>
              </w:rPr>
              <w:t>0.99</w:t>
            </w:r>
          </w:p>
          <w:p w14:paraId="6934A436" w14:textId="77777777" w:rsidR="00B7662D" w:rsidRPr="00FC75D0" w:rsidRDefault="00B7662D" w:rsidP="00C77EAE">
            <w:pPr>
              <w:rPr>
                <w:rFonts w:ascii="Calibri" w:hAnsi="Calibri"/>
                <w:b/>
                <w:color w:val="000000"/>
                <w:sz w:val="20"/>
                <w:szCs w:val="20"/>
              </w:rPr>
            </w:pPr>
            <w:r w:rsidRPr="00FC75D0">
              <w:rPr>
                <w:rFonts w:ascii="Calibri" w:hAnsi="Calibri"/>
                <w:b/>
                <w:color w:val="000000"/>
                <w:sz w:val="20"/>
                <w:szCs w:val="20"/>
              </w:rPr>
              <w:t xml:space="preserve">ThyPRO tiredness score: </w:t>
            </w:r>
          </w:p>
          <w:p w14:paraId="238C94A2" w14:textId="11A16A1D" w:rsidR="00B7662D" w:rsidRPr="00FC75D0" w:rsidRDefault="00B7662D" w:rsidP="00B7662D">
            <w:pPr>
              <w:numPr>
                <w:ilvl w:val="0"/>
                <w:numId w:val="7"/>
              </w:numPr>
              <w:contextualSpacing/>
              <w:rPr>
                <w:rFonts w:ascii="Calibri" w:hAnsi="Calibri"/>
                <w:color w:val="000000"/>
                <w:sz w:val="20"/>
                <w:szCs w:val="20"/>
              </w:rPr>
            </w:pPr>
            <w:r w:rsidRPr="00FC75D0">
              <w:rPr>
                <w:rFonts w:ascii="Calibri" w:hAnsi="Calibri"/>
                <w:color w:val="000000"/>
                <w:sz w:val="20"/>
                <w:szCs w:val="20"/>
              </w:rPr>
              <w:t xml:space="preserve">At extended follow-up: DF of -3.5 (95% CI: -7.0 to 0.0); </w:t>
            </w:r>
            <w:r>
              <w:rPr>
                <w:rFonts w:ascii="Calibri" w:hAnsi="Calibri"/>
                <w:color w:val="000000"/>
                <w:sz w:val="20"/>
                <w:szCs w:val="20"/>
              </w:rPr>
              <w:t>p=0.05</w:t>
            </w:r>
          </w:p>
          <w:p w14:paraId="632EC0F3" w14:textId="1139B8BB" w:rsidR="00B7662D" w:rsidRPr="00FC75D0" w:rsidRDefault="00B7662D" w:rsidP="00B7662D">
            <w:pPr>
              <w:numPr>
                <w:ilvl w:val="0"/>
                <w:numId w:val="7"/>
              </w:numPr>
              <w:contextualSpacing/>
              <w:rPr>
                <w:rFonts w:ascii="Calibri" w:hAnsi="Calibri"/>
                <w:color w:val="000000"/>
                <w:sz w:val="20"/>
                <w:szCs w:val="20"/>
              </w:rPr>
            </w:pPr>
            <w:r w:rsidRPr="00FC75D0">
              <w:rPr>
                <w:rFonts w:ascii="Calibri" w:hAnsi="Calibri"/>
                <w:color w:val="000000"/>
                <w:sz w:val="20"/>
                <w:szCs w:val="20"/>
              </w:rPr>
              <w:t xml:space="preserve">At 12 months: DF of 0.4 (95% CI: -2.1 to 2.9); </w:t>
            </w:r>
            <w:r>
              <w:rPr>
                <w:rFonts w:ascii="Calibri" w:hAnsi="Calibri"/>
                <w:color w:val="000000"/>
                <w:sz w:val="20"/>
                <w:szCs w:val="20"/>
              </w:rPr>
              <w:t>p=0.77</w:t>
            </w:r>
          </w:p>
          <w:p w14:paraId="13AD09AA"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EQ-5D descriptive score:</w:t>
            </w:r>
            <w:r w:rsidRPr="00FC75D0">
              <w:rPr>
                <w:rFonts w:ascii="Calibri" w:hAnsi="Calibri"/>
                <w:color w:val="000000"/>
                <w:sz w:val="20"/>
                <w:szCs w:val="20"/>
              </w:rPr>
              <w:t xml:space="preserve"> </w:t>
            </w:r>
          </w:p>
          <w:p w14:paraId="70587AFF" w14:textId="77777777" w:rsidR="00B7662D" w:rsidRPr="00FC75D0" w:rsidRDefault="00B7662D" w:rsidP="00B7662D">
            <w:pPr>
              <w:numPr>
                <w:ilvl w:val="0"/>
                <w:numId w:val="7"/>
              </w:numPr>
              <w:contextualSpacing/>
              <w:rPr>
                <w:rFonts w:ascii="Calibri" w:hAnsi="Calibri"/>
                <w:color w:val="000000"/>
                <w:sz w:val="20"/>
                <w:szCs w:val="20"/>
              </w:rPr>
            </w:pPr>
            <w:r w:rsidRPr="00FC75D0">
              <w:rPr>
                <w:rFonts w:ascii="Calibri" w:hAnsi="Calibri"/>
                <w:color w:val="000000"/>
                <w:sz w:val="20"/>
                <w:szCs w:val="20"/>
              </w:rPr>
              <w:t>At extended follow-up: DF of 0.040 (95% CI: 0.005 to 0.075); p=0.03</w:t>
            </w:r>
          </w:p>
          <w:p w14:paraId="0D738A57" w14:textId="77777777" w:rsidR="00B7662D" w:rsidRPr="00FC75D0" w:rsidRDefault="00B7662D" w:rsidP="00B7662D">
            <w:pPr>
              <w:numPr>
                <w:ilvl w:val="0"/>
                <w:numId w:val="7"/>
              </w:numPr>
              <w:contextualSpacing/>
              <w:rPr>
                <w:rFonts w:ascii="Calibri" w:hAnsi="Calibri"/>
                <w:color w:val="000000"/>
                <w:sz w:val="20"/>
                <w:szCs w:val="20"/>
              </w:rPr>
            </w:pPr>
            <w:r w:rsidRPr="00FC75D0">
              <w:rPr>
                <w:rFonts w:ascii="Calibri" w:hAnsi="Calibri"/>
                <w:color w:val="000000"/>
                <w:sz w:val="20"/>
                <w:szCs w:val="20"/>
              </w:rPr>
              <w:t>At 12 months: DF of -0.025 (95% CI: -0.05</w:t>
            </w:r>
            <w:r>
              <w:rPr>
                <w:rFonts w:ascii="Calibri" w:hAnsi="Calibri"/>
                <w:color w:val="000000"/>
                <w:sz w:val="20"/>
                <w:szCs w:val="20"/>
              </w:rPr>
              <w:t>0</w:t>
            </w:r>
            <w:r w:rsidRPr="00FC75D0">
              <w:rPr>
                <w:rFonts w:ascii="Calibri" w:hAnsi="Calibri"/>
                <w:color w:val="000000"/>
                <w:sz w:val="20"/>
                <w:szCs w:val="20"/>
              </w:rPr>
              <w:t xml:space="preserve"> to 0.0</w:t>
            </w:r>
            <w:r>
              <w:rPr>
                <w:rFonts w:ascii="Calibri" w:hAnsi="Calibri"/>
                <w:color w:val="000000"/>
                <w:sz w:val="20"/>
                <w:szCs w:val="20"/>
              </w:rPr>
              <w:t>00</w:t>
            </w:r>
            <w:r w:rsidRPr="00FC75D0">
              <w:rPr>
                <w:rFonts w:ascii="Calibri" w:hAnsi="Calibri"/>
                <w:color w:val="000000"/>
                <w:sz w:val="20"/>
                <w:szCs w:val="20"/>
              </w:rPr>
              <w:t>); p=</w:t>
            </w:r>
            <w:r>
              <w:rPr>
                <w:rFonts w:ascii="Calibri" w:hAnsi="Calibri"/>
                <w:color w:val="000000"/>
                <w:sz w:val="20"/>
                <w:szCs w:val="20"/>
              </w:rPr>
              <w:t>0.05</w:t>
            </w:r>
          </w:p>
          <w:p w14:paraId="248EEF45" w14:textId="77777777" w:rsidR="00B7662D" w:rsidRPr="00FC75D0" w:rsidRDefault="00B7662D" w:rsidP="00C77EAE">
            <w:pPr>
              <w:rPr>
                <w:rFonts w:ascii="Calibri" w:hAnsi="Calibri"/>
                <w:color w:val="000000"/>
                <w:sz w:val="20"/>
                <w:szCs w:val="20"/>
                <w:lang w:val="fr-CA"/>
              </w:rPr>
            </w:pPr>
            <w:r w:rsidRPr="00FC75D0">
              <w:rPr>
                <w:rFonts w:ascii="Calibri" w:hAnsi="Calibri"/>
                <w:b/>
                <w:color w:val="000000"/>
                <w:sz w:val="20"/>
                <w:szCs w:val="20"/>
                <w:lang w:val="fr-CA"/>
              </w:rPr>
              <w:t>EQ-5D visual analogue scale score:</w:t>
            </w:r>
            <w:r w:rsidRPr="00FC75D0">
              <w:rPr>
                <w:rFonts w:ascii="Calibri" w:hAnsi="Calibri"/>
                <w:color w:val="000000"/>
                <w:sz w:val="20"/>
                <w:szCs w:val="20"/>
                <w:lang w:val="fr-CA"/>
              </w:rPr>
              <w:t xml:space="preserve"> </w:t>
            </w:r>
          </w:p>
          <w:p w14:paraId="1A7DDE5E" w14:textId="77777777" w:rsidR="00B7662D" w:rsidRPr="00FC75D0" w:rsidRDefault="00B7662D" w:rsidP="00B7662D">
            <w:pPr>
              <w:numPr>
                <w:ilvl w:val="0"/>
                <w:numId w:val="7"/>
              </w:numPr>
              <w:contextualSpacing/>
              <w:rPr>
                <w:rFonts w:ascii="Calibri" w:hAnsi="Calibri"/>
                <w:color w:val="000000"/>
                <w:sz w:val="20"/>
                <w:szCs w:val="20"/>
              </w:rPr>
            </w:pPr>
            <w:r w:rsidRPr="00FC75D0">
              <w:rPr>
                <w:rFonts w:ascii="Calibri" w:hAnsi="Calibri"/>
                <w:color w:val="000000"/>
                <w:sz w:val="20"/>
                <w:szCs w:val="20"/>
              </w:rPr>
              <w:t>At extended follow-up: DF of -0.8 (95% CI: -3.2 to 1.7); p=</w:t>
            </w:r>
            <w:r>
              <w:rPr>
                <w:rFonts w:ascii="Calibri" w:hAnsi="Calibri"/>
                <w:color w:val="000000"/>
                <w:sz w:val="20"/>
                <w:szCs w:val="20"/>
              </w:rPr>
              <w:t>0.056</w:t>
            </w:r>
          </w:p>
          <w:p w14:paraId="69C88DBE" w14:textId="77777777" w:rsidR="00B7662D" w:rsidRPr="00FC75D0" w:rsidRDefault="00B7662D" w:rsidP="00B7662D">
            <w:pPr>
              <w:numPr>
                <w:ilvl w:val="0"/>
                <w:numId w:val="7"/>
              </w:numPr>
              <w:contextualSpacing/>
              <w:rPr>
                <w:rFonts w:ascii="Calibri" w:hAnsi="Calibri"/>
                <w:color w:val="000000"/>
                <w:sz w:val="20"/>
                <w:szCs w:val="20"/>
              </w:rPr>
            </w:pPr>
            <w:r w:rsidRPr="00FC75D0">
              <w:rPr>
                <w:rFonts w:ascii="Calibri" w:hAnsi="Calibri"/>
                <w:color w:val="000000"/>
                <w:sz w:val="20"/>
                <w:szCs w:val="20"/>
              </w:rPr>
              <w:t>At 12 months: DF of -1.3 (95% CI: -3.2 to 0.6); p=</w:t>
            </w:r>
            <w:r>
              <w:rPr>
                <w:rFonts w:ascii="Calibri" w:hAnsi="Calibri"/>
                <w:color w:val="000000"/>
                <w:sz w:val="20"/>
                <w:szCs w:val="20"/>
              </w:rPr>
              <w:t>0.018</w:t>
            </w:r>
          </w:p>
          <w:p w14:paraId="4DF2AACF"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Comprehensive ThyPRO-39 score:</w:t>
            </w:r>
            <w:r w:rsidRPr="00FC75D0">
              <w:rPr>
                <w:rFonts w:ascii="Calibri" w:hAnsi="Calibri"/>
                <w:color w:val="000000"/>
                <w:sz w:val="20"/>
                <w:szCs w:val="20"/>
              </w:rPr>
              <w:t xml:space="preserve"> DF of -0.5 (95% CI: -2.2 to 1.3); p=NS</w:t>
            </w:r>
          </w:p>
          <w:p w14:paraId="718F998B"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Basic activities of daily living (Barthel Index): </w:t>
            </w:r>
            <w:r w:rsidRPr="00FC75D0">
              <w:rPr>
                <w:rFonts w:ascii="Calibri" w:hAnsi="Calibri"/>
                <w:color w:val="000000"/>
                <w:sz w:val="20"/>
                <w:szCs w:val="20"/>
              </w:rPr>
              <w:t>DF of -0.1 (95% CI: -0.3 to 0.1); p=NS</w:t>
            </w:r>
          </w:p>
          <w:p w14:paraId="2D025B3D"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Instrumental activities of daily living (OARS): </w:t>
            </w:r>
            <w:r w:rsidRPr="00FC75D0">
              <w:rPr>
                <w:rFonts w:ascii="Calibri" w:hAnsi="Calibri"/>
                <w:color w:val="000000"/>
                <w:sz w:val="20"/>
                <w:szCs w:val="20"/>
              </w:rPr>
              <w:t>DF of -0.1 (95% CI: -0.3 to 0.1); p=NS</w:t>
            </w:r>
          </w:p>
          <w:p w14:paraId="4E7302CF"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Letter Digit Coding Test: </w:t>
            </w:r>
            <w:r w:rsidRPr="00FC75D0">
              <w:rPr>
                <w:rFonts w:ascii="Calibri" w:hAnsi="Calibri"/>
                <w:color w:val="000000"/>
                <w:sz w:val="20"/>
                <w:szCs w:val="20"/>
              </w:rPr>
              <w:t>DF of -0.1 (95% CI: -0.9 to 0.7); p=NS</w:t>
            </w:r>
          </w:p>
          <w:p w14:paraId="2D3F9C43" w14:textId="77777777" w:rsidR="00B7662D" w:rsidRPr="00FC75D0" w:rsidRDefault="00B7662D" w:rsidP="00C77EAE">
            <w:pPr>
              <w:rPr>
                <w:rFonts w:ascii="Calibri" w:hAnsi="Calibri"/>
                <w:b/>
                <w:color w:val="000000"/>
                <w:sz w:val="20"/>
                <w:szCs w:val="20"/>
              </w:rPr>
            </w:pPr>
            <w:r w:rsidRPr="00FC75D0">
              <w:rPr>
                <w:rFonts w:ascii="Calibri" w:hAnsi="Calibri"/>
                <w:b/>
                <w:color w:val="000000"/>
                <w:sz w:val="20"/>
                <w:szCs w:val="20"/>
              </w:rPr>
              <w:t xml:space="preserve">SBP: </w:t>
            </w:r>
          </w:p>
          <w:p w14:paraId="7C5A80BE" w14:textId="77777777" w:rsidR="00B7662D" w:rsidRPr="00FC75D0" w:rsidRDefault="00B7662D" w:rsidP="00B7662D">
            <w:pPr>
              <w:numPr>
                <w:ilvl w:val="0"/>
                <w:numId w:val="7"/>
              </w:numPr>
              <w:contextualSpacing/>
              <w:rPr>
                <w:rFonts w:ascii="Calibri" w:hAnsi="Calibri"/>
                <w:color w:val="000000"/>
                <w:sz w:val="20"/>
                <w:szCs w:val="20"/>
              </w:rPr>
            </w:pPr>
            <w:r w:rsidRPr="00FC75D0">
              <w:rPr>
                <w:rFonts w:ascii="Calibri" w:hAnsi="Calibri"/>
                <w:color w:val="000000"/>
                <w:sz w:val="20"/>
                <w:szCs w:val="20"/>
              </w:rPr>
              <w:t>At extended follow-up: DF of 1.1 mmHg (95% CI: -4.1 to 2.1); p=</w:t>
            </w:r>
            <w:r>
              <w:rPr>
                <w:rFonts w:ascii="Calibri" w:hAnsi="Calibri"/>
                <w:color w:val="000000"/>
                <w:sz w:val="20"/>
                <w:szCs w:val="20"/>
              </w:rPr>
              <w:t>0.51</w:t>
            </w:r>
          </w:p>
          <w:p w14:paraId="3709E106" w14:textId="77777777" w:rsidR="00B7662D" w:rsidRPr="00FC75D0" w:rsidRDefault="00B7662D" w:rsidP="00B7662D">
            <w:pPr>
              <w:numPr>
                <w:ilvl w:val="0"/>
                <w:numId w:val="7"/>
              </w:numPr>
              <w:contextualSpacing/>
              <w:rPr>
                <w:rFonts w:ascii="Calibri" w:hAnsi="Calibri"/>
                <w:color w:val="000000"/>
                <w:sz w:val="20"/>
                <w:szCs w:val="20"/>
              </w:rPr>
            </w:pPr>
            <w:r w:rsidRPr="00FC75D0">
              <w:rPr>
                <w:rFonts w:ascii="Calibri" w:hAnsi="Calibri"/>
                <w:color w:val="000000"/>
                <w:sz w:val="20"/>
                <w:szCs w:val="20"/>
              </w:rPr>
              <w:t>At 12 months: DF of 0.1 mmHg (95% CI: -2.1 to 2.4); p=</w:t>
            </w:r>
            <w:r>
              <w:rPr>
                <w:rFonts w:ascii="Calibri" w:hAnsi="Calibri"/>
                <w:color w:val="000000"/>
                <w:sz w:val="20"/>
                <w:szCs w:val="20"/>
              </w:rPr>
              <w:t>0.90</w:t>
            </w:r>
          </w:p>
          <w:p w14:paraId="110A8185" w14:textId="77777777" w:rsidR="00B7662D" w:rsidRPr="00FC75D0" w:rsidRDefault="00B7662D" w:rsidP="00C77EAE">
            <w:pPr>
              <w:rPr>
                <w:rFonts w:ascii="Calibri" w:hAnsi="Calibri"/>
                <w:b/>
                <w:color w:val="000000"/>
                <w:sz w:val="20"/>
                <w:szCs w:val="20"/>
              </w:rPr>
            </w:pPr>
            <w:r w:rsidRPr="00FC75D0">
              <w:rPr>
                <w:rFonts w:ascii="Calibri" w:hAnsi="Calibri"/>
                <w:b/>
                <w:color w:val="000000"/>
                <w:sz w:val="20"/>
                <w:szCs w:val="20"/>
              </w:rPr>
              <w:t xml:space="preserve">DBP: </w:t>
            </w:r>
          </w:p>
          <w:p w14:paraId="5B1772BA" w14:textId="77777777" w:rsidR="00B7662D" w:rsidRPr="00FC75D0" w:rsidRDefault="00B7662D" w:rsidP="00B7662D">
            <w:pPr>
              <w:numPr>
                <w:ilvl w:val="0"/>
                <w:numId w:val="7"/>
              </w:numPr>
              <w:contextualSpacing/>
              <w:rPr>
                <w:rFonts w:ascii="Calibri" w:hAnsi="Calibri"/>
                <w:color w:val="000000"/>
                <w:sz w:val="20"/>
                <w:szCs w:val="20"/>
              </w:rPr>
            </w:pPr>
            <w:r w:rsidRPr="00FC75D0">
              <w:rPr>
                <w:rFonts w:ascii="Calibri" w:hAnsi="Calibri"/>
                <w:color w:val="000000"/>
                <w:sz w:val="20"/>
                <w:szCs w:val="20"/>
              </w:rPr>
              <w:lastRenderedPageBreak/>
              <w:t>At extended follow-up: DF of 0.5 mmHg (95% CI: -1.4 to 2.4); p=</w:t>
            </w:r>
            <w:r>
              <w:rPr>
                <w:rFonts w:ascii="Calibri" w:hAnsi="Calibri"/>
                <w:color w:val="000000"/>
                <w:sz w:val="20"/>
                <w:szCs w:val="20"/>
              </w:rPr>
              <w:t>0.59</w:t>
            </w:r>
          </w:p>
          <w:p w14:paraId="2D99383E" w14:textId="77777777" w:rsidR="00B7662D" w:rsidRPr="00FC75D0" w:rsidRDefault="00B7662D" w:rsidP="00B7662D">
            <w:pPr>
              <w:numPr>
                <w:ilvl w:val="0"/>
                <w:numId w:val="7"/>
              </w:numPr>
              <w:contextualSpacing/>
              <w:rPr>
                <w:rFonts w:ascii="Calibri" w:hAnsi="Calibri"/>
                <w:color w:val="000000"/>
                <w:sz w:val="20"/>
                <w:szCs w:val="20"/>
              </w:rPr>
            </w:pPr>
            <w:r w:rsidRPr="00FC75D0">
              <w:rPr>
                <w:rFonts w:ascii="Calibri" w:hAnsi="Calibri"/>
                <w:color w:val="000000"/>
                <w:sz w:val="20"/>
                <w:szCs w:val="20"/>
              </w:rPr>
              <w:t>At 12 months: DF of -0.1 mmHg (95% CI: -1.5 to 1.3); p=</w:t>
            </w:r>
            <w:r>
              <w:rPr>
                <w:rFonts w:ascii="Calibri" w:hAnsi="Calibri"/>
                <w:color w:val="000000"/>
                <w:sz w:val="20"/>
                <w:szCs w:val="20"/>
              </w:rPr>
              <w:t>0.93</w:t>
            </w:r>
          </w:p>
          <w:p w14:paraId="6A0F60DD" w14:textId="77777777" w:rsidR="00B7662D" w:rsidRPr="00FC75D0" w:rsidRDefault="00B7662D" w:rsidP="00C77EAE">
            <w:pPr>
              <w:rPr>
                <w:rFonts w:ascii="Calibri" w:hAnsi="Calibri"/>
                <w:b/>
                <w:color w:val="000000"/>
                <w:sz w:val="20"/>
                <w:szCs w:val="20"/>
              </w:rPr>
            </w:pPr>
            <w:r w:rsidRPr="00FC75D0">
              <w:rPr>
                <w:rFonts w:ascii="Calibri" w:hAnsi="Calibri"/>
                <w:b/>
                <w:color w:val="000000"/>
                <w:sz w:val="20"/>
                <w:szCs w:val="20"/>
              </w:rPr>
              <w:t xml:space="preserve">BMI: </w:t>
            </w:r>
          </w:p>
          <w:p w14:paraId="6B03DCEB" w14:textId="77777777" w:rsidR="00B7662D" w:rsidRPr="00FC75D0" w:rsidRDefault="00B7662D" w:rsidP="00B7662D">
            <w:pPr>
              <w:numPr>
                <w:ilvl w:val="0"/>
                <w:numId w:val="7"/>
              </w:numPr>
              <w:contextualSpacing/>
              <w:rPr>
                <w:rFonts w:ascii="Calibri" w:hAnsi="Calibri"/>
                <w:color w:val="000000"/>
                <w:sz w:val="20"/>
                <w:szCs w:val="20"/>
              </w:rPr>
            </w:pPr>
            <w:r w:rsidRPr="00FC75D0">
              <w:rPr>
                <w:rFonts w:ascii="Calibri" w:hAnsi="Calibri"/>
                <w:color w:val="000000"/>
                <w:sz w:val="20"/>
                <w:szCs w:val="20"/>
              </w:rPr>
              <w:t>At extended follow-up: DF of 0.2 kg/m</w:t>
            </w:r>
            <w:r w:rsidRPr="00FC75D0">
              <w:rPr>
                <w:rFonts w:ascii="Calibri" w:hAnsi="Calibri"/>
                <w:color w:val="000000"/>
                <w:sz w:val="20"/>
                <w:szCs w:val="20"/>
                <w:vertAlign w:val="superscript"/>
              </w:rPr>
              <w:t>2</w:t>
            </w:r>
            <w:r w:rsidRPr="00FC75D0">
              <w:rPr>
                <w:rFonts w:ascii="Calibri" w:hAnsi="Calibri"/>
                <w:color w:val="000000"/>
                <w:sz w:val="20"/>
                <w:szCs w:val="20"/>
              </w:rPr>
              <w:t xml:space="preserve"> (95% CI: -0.1 to 0.5); p=</w:t>
            </w:r>
            <w:r>
              <w:rPr>
                <w:rFonts w:ascii="Calibri" w:hAnsi="Calibri"/>
                <w:color w:val="000000"/>
                <w:sz w:val="20"/>
                <w:szCs w:val="20"/>
              </w:rPr>
              <w:t>0.30</w:t>
            </w:r>
          </w:p>
          <w:p w14:paraId="0E3F0D06" w14:textId="77777777" w:rsidR="00B7662D" w:rsidRPr="00FC75D0" w:rsidRDefault="00B7662D" w:rsidP="00B7662D">
            <w:pPr>
              <w:numPr>
                <w:ilvl w:val="0"/>
                <w:numId w:val="7"/>
              </w:numPr>
              <w:contextualSpacing/>
              <w:rPr>
                <w:rFonts w:ascii="Calibri" w:hAnsi="Calibri"/>
                <w:color w:val="000000"/>
                <w:sz w:val="20"/>
                <w:szCs w:val="20"/>
              </w:rPr>
            </w:pPr>
            <w:r w:rsidRPr="00FC75D0">
              <w:rPr>
                <w:rFonts w:ascii="Calibri" w:hAnsi="Calibri"/>
                <w:color w:val="000000"/>
                <w:sz w:val="20"/>
                <w:szCs w:val="20"/>
              </w:rPr>
              <w:t>At 12 months: DF of 0.0 kg/m</w:t>
            </w:r>
            <w:r w:rsidRPr="00FC75D0">
              <w:rPr>
                <w:rFonts w:ascii="Calibri" w:hAnsi="Calibri"/>
                <w:color w:val="000000"/>
                <w:sz w:val="20"/>
                <w:szCs w:val="20"/>
                <w:vertAlign w:val="superscript"/>
              </w:rPr>
              <w:t>2</w:t>
            </w:r>
            <w:r w:rsidRPr="00FC75D0">
              <w:rPr>
                <w:rFonts w:ascii="Calibri" w:hAnsi="Calibri"/>
                <w:color w:val="000000"/>
                <w:sz w:val="20"/>
                <w:szCs w:val="20"/>
              </w:rPr>
              <w:t xml:space="preserve"> (95% CI: -0.2 to 0.2); p=</w:t>
            </w:r>
            <w:r>
              <w:rPr>
                <w:rFonts w:ascii="Calibri" w:hAnsi="Calibri"/>
                <w:color w:val="000000"/>
                <w:sz w:val="20"/>
                <w:szCs w:val="20"/>
              </w:rPr>
              <w:t>0.89</w:t>
            </w:r>
          </w:p>
        </w:tc>
        <w:tc>
          <w:tcPr>
            <w:tcW w:w="2410" w:type="dxa"/>
          </w:tcPr>
          <w:p w14:paraId="23E35727" w14:textId="5D0B39E7" w:rsidR="00B7662D" w:rsidRDefault="00B7662D" w:rsidP="00C77EAE">
            <w:pPr>
              <w:rPr>
                <w:rFonts w:ascii="Calibri" w:hAnsi="Calibri"/>
                <w:color w:val="000000"/>
                <w:sz w:val="20"/>
                <w:szCs w:val="20"/>
              </w:rPr>
            </w:pPr>
            <w:r>
              <w:rPr>
                <w:rFonts w:ascii="Calibri" w:hAnsi="Calibri"/>
                <w:b/>
                <w:color w:val="000000"/>
                <w:sz w:val="20"/>
                <w:szCs w:val="20"/>
              </w:rPr>
              <w:lastRenderedPageBreak/>
              <w:t xml:space="preserve">≥ 1 </w:t>
            </w:r>
            <w:r w:rsidRPr="00FC75D0">
              <w:rPr>
                <w:rFonts w:ascii="Calibri" w:hAnsi="Calibri"/>
                <w:b/>
                <w:color w:val="000000"/>
                <w:sz w:val="20"/>
                <w:szCs w:val="20"/>
              </w:rPr>
              <w:t xml:space="preserve">Serious AE: </w:t>
            </w:r>
            <w:r w:rsidRPr="00FC75D0">
              <w:rPr>
                <w:rFonts w:ascii="Calibri" w:hAnsi="Calibri"/>
                <w:color w:val="000000"/>
                <w:sz w:val="20"/>
                <w:szCs w:val="20"/>
              </w:rPr>
              <w:t>HR of 0.94 (95% CI: 0.88-1.0</w:t>
            </w:r>
            <w:r>
              <w:rPr>
                <w:rFonts w:ascii="Calibri" w:hAnsi="Calibri"/>
                <w:color w:val="000000"/>
                <w:sz w:val="20"/>
                <w:szCs w:val="20"/>
              </w:rPr>
              <w:t>0</w:t>
            </w:r>
            <w:r w:rsidRPr="00FC75D0">
              <w:rPr>
                <w:rFonts w:ascii="Calibri" w:hAnsi="Calibri"/>
                <w:color w:val="000000"/>
                <w:sz w:val="20"/>
                <w:szCs w:val="20"/>
              </w:rPr>
              <w:t>); p=</w:t>
            </w:r>
            <w:r>
              <w:rPr>
                <w:rFonts w:ascii="Calibri" w:hAnsi="Calibri"/>
                <w:color w:val="000000"/>
                <w:sz w:val="20"/>
                <w:szCs w:val="20"/>
              </w:rPr>
              <w:t>0.049</w:t>
            </w:r>
          </w:p>
          <w:p w14:paraId="639340F1" w14:textId="77777777" w:rsidR="00B7662D" w:rsidRDefault="00B7662D" w:rsidP="00C77EAE">
            <w:pPr>
              <w:rPr>
                <w:rFonts w:ascii="Calibri" w:hAnsi="Calibri"/>
                <w:color w:val="000000"/>
                <w:sz w:val="20"/>
                <w:szCs w:val="20"/>
              </w:rPr>
            </w:pPr>
            <w:r>
              <w:rPr>
                <w:rFonts w:ascii="Calibri" w:hAnsi="Calibri"/>
                <w:color w:val="000000"/>
                <w:sz w:val="20"/>
                <w:szCs w:val="20"/>
              </w:rPr>
              <w:t>“</w:t>
            </w:r>
            <w:r w:rsidRPr="002C6E75">
              <w:rPr>
                <w:rFonts w:ascii="Calibri" w:hAnsi="Calibri"/>
                <w:color w:val="000000"/>
                <w:sz w:val="20"/>
                <w:szCs w:val="20"/>
              </w:rPr>
              <w:t>The number</w:t>
            </w:r>
            <w:r>
              <w:rPr>
                <w:rFonts w:ascii="Calibri" w:hAnsi="Calibri"/>
                <w:color w:val="000000"/>
                <w:sz w:val="20"/>
                <w:szCs w:val="20"/>
              </w:rPr>
              <w:t xml:space="preserve"> </w:t>
            </w:r>
            <w:r w:rsidRPr="002C6E75">
              <w:rPr>
                <w:rFonts w:ascii="Calibri" w:hAnsi="Calibri"/>
                <w:color w:val="000000"/>
                <w:sz w:val="20"/>
                <w:szCs w:val="20"/>
              </w:rPr>
              <w:t>of patients with at least one serious adverse</w:t>
            </w:r>
            <w:r>
              <w:rPr>
                <w:rFonts w:ascii="Calibri" w:hAnsi="Calibri"/>
                <w:color w:val="000000"/>
                <w:sz w:val="20"/>
                <w:szCs w:val="20"/>
              </w:rPr>
              <w:t xml:space="preserve"> </w:t>
            </w:r>
            <w:r w:rsidRPr="002C6E75">
              <w:rPr>
                <w:rFonts w:ascii="Calibri" w:hAnsi="Calibri"/>
                <w:color w:val="000000"/>
                <w:sz w:val="20"/>
                <w:szCs w:val="20"/>
              </w:rPr>
              <w:t>event was slightly higher in the placebo group</w:t>
            </w:r>
            <w:r>
              <w:rPr>
                <w:rFonts w:ascii="Calibri" w:hAnsi="Calibri"/>
                <w:color w:val="000000"/>
                <w:sz w:val="20"/>
                <w:szCs w:val="20"/>
              </w:rPr>
              <w:t xml:space="preserve"> </w:t>
            </w:r>
            <w:r w:rsidRPr="002C6E75">
              <w:rPr>
                <w:rFonts w:ascii="Calibri" w:hAnsi="Calibri"/>
                <w:color w:val="000000"/>
                <w:sz w:val="20"/>
                <w:szCs w:val="20"/>
              </w:rPr>
              <w:t>than in the levothyroxine group (P = 0.049)</w:t>
            </w:r>
            <w:r>
              <w:rPr>
                <w:rFonts w:ascii="Calibri" w:hAnsi="Calibri"/>
                <w:color w:val="000000"/>
                <w:sz w:val="20"/>
                <w:szCs w:val="20"/>
              </w:rPr>
              <w:t>”</w:t>
            </w:r>
          </w:p>
          <w:p w14:paraId="232F4C39" w14:textId="77777777" w:rsidR="00B7662D" w:rsidRDefault="00B7662D" w:rsidP="00C77EAE">
            <w:pPr>
              <w:rPr>
                <w:rFonts w:ascii="Calibri" w:hAnsi="Calibri"/>
                <w:color w:val="000000"/>
                <w:sz w:val="20"/>
                <w:szCs w:val="20"/>
              </w:rPr>
            </w:pPr>
            <w:r w:rsidRPr="002C6E75">
              <w:rPr>
                <w:rFonts w:ascii="Calibri" w:hAnsi="Calibri"/>
                <w:color w:val="000000"/>
                <w:sz w:val="20"/>
                <w:szCs w:val="20"/>
              </w:rPr>
              <w:t xml:space="preserve">Stott et al. 2017 </w:t>
            </w:r>
            <w:r>
              <w:rPr>
                <w:rFonts w:ascii="Calibri" w:hAnsi="Calibri"/>
                <w:color w:val="000000"/>
                <w:sz w:val="20"/>
                <w:szCs w:val="20"/>
              </w:rPr>
              <w:t xml:space="preserve">also </w:t>
            </w:r>
            <w:r w:rsidRPr="002C6E75">
              <w:rPr>
                <w:rFonts w:ascii="Calibri" w:hAnsi="Calibri"/>
                <w:color w:val="000000"/>
                <w:sz w:val="20"/>
                <w:szCs w:val="20"/>
              </w:rPr>
              <w:t>report p=0.0</w:t>
            </w:r>
            <w:r>
              <w:rPr>
                <w:rFonts w:ascii="Calibri" w:hAnsi="Calibri"/>
                <w:color w:val="000000"/>
                <w:sz w:val="20"/>
                <w:szCs w:val="20"/>
              </w:rPr>
              <w:t>5</w:t>
            </w:r>
            <w:r w:rsidRPr="002C6E75">
              <w:rPr>
                <w:rFonts w:ascii="Calibri" w:hAnsi="Calibri"/>
                <w:color w:val="000000"/>
                <w:sz w:val="20"/>
                <w:szCs w:val="20"/>
              </w:rPr>
              <w:t xml:space="preserve"> </w:t>
            </w:r>
            <w:r>
              <w:rPr>
                <w:rFonts w:ascii="Calibri" w:hAnsi="Calibri"/>
                <w:color w:val="000000"/>
                <w:sz w:val="20"/>
                <w:szCs w:val="20"/>
              </w:rPr>
              <w:t xml:space="preserve">for the number </w:t>
            </w:r>
            <w:r w:rsidRPr="002C6E75">
              <w:rPr>
                <w:rFonts w:ascii="Calibri" w:hAnsi="Calibri"/>
                <w:color w:val="000000"/>
                <w:sz w:val="20"/>
                <w:szCs w:val="20"/>
              </w:rPr>
              <w:t>of patients with ≥1 serious adverse event</w:t>
            </w:r>
            <w:r>
              <w:rPr>
                <w:rFonts w:ascii="Calibri" w:hAnsi="Calibri"/>
                <w:color w:val="000000"/>
                <w:sz w:val="20"/>
                <w:szCs w:val="20"/>
              </w:rPr>
              <w:t xml:space="preserve"> (</w:t>
            </w:r>
            <w:r w:rsidRPr="002C6E75">
              <w:rPr>
                <w:rFonts w:ascii="Calibri" w:hAnsi="Calibri"/>
                <w:color w:val="000000"/>
                <w:sz w:val="20"/>
                <w:szCs w:val="20"/>
              </w:rPr>
              <w:t>Table 3 page 2543</w:t>
            </w:r>
            <w:r>
              <w:rPr>
                <w:rFonts w:ascii="Calibri" w:hAnsi="Calibri"/>
                <w:color w:val="000000"/>
                <w:sz w:val="20"/>
                <w:szCs w:val="20"/>
              </w:rPr>
              <w:t>).</w:t>
            </w:r>
          </w:p>
          <w:p w14:paraId="688BE50C" w14:textId="77777777" w:rsidR="00B7662D" w:rsidRPr="00FC75D0" w:rsidRDefault="00B7662D" w:rsidP="00C77EAE">
            <w:pPr>
              <w:rPr>
                <w:rFonts w:ascii="Calibri" w:hAnsi="Calibri"/>
                <w:color w:val="000000"/>
                <w:sz w:val="20"/>
                <w:szCs w:val="20"/>
              </w:rPr>
            </w:pPr>
            <w:r>
              <w:rPr>
                <w:rFonts w:ascii="Calibri" w:hAnsi="Calibri"/>
                <w:color w:val="000000"/>
                <w:sz w:val="20"/>
                <w:szCs w:val="20"/>
              </w:rPr>
              <w:t xml:space="preserve">Personal communication with author indicated that the p-value in Table 3 should have read p&lt;0.05, and additionally, due to a statistical program error, the correct p-value is p=0.053. </w:t>
            </w:r>
          </w:p>
          <w:p w14:paraId="59DEDBFE" w14:textId="77777777" w:rsidR="00B7662D" w:rsidRPr="00FC75D0" w:rsidRDefault="00B7662D" w:rsidP="00C77EAE">
            <w:pPr>
              <w:rPr>
                <w:rFonts w:ascii="Calibri" w:hAnsi="Calibri"/>
                <w:color w:val="000000"/>
                <w:sz w:val="20"/>
                <w:szCs w:val="20"/>
              </w:rPr>
            </w:pPr>
          </w:p>
        </w:tc>
      </w:tr>
      <w:tr w:rsidR="00B7662D" w:rsidRPr="00FC75D0" w14:paraId="2474D285" w14:textId="77777777" w:rsidTr="00C77EAE">
        <w:tc>
          <w:tcPr>
            <w:tcW w:w="1384" w:type="dxa"/>
          </w:tcPr>
          <w:p w14:paraId="0A53A3EC"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Zhao, 2016, China</w:t>
            </w:r>
          </w:p>
          <w:p w14:paraId="45C45493" w14:textId="77777777" w:rsidR="00B7662D" w:rsidRPr="00FC75D0" w:rsidRDefault="00B7662D" w:rsidP="00C77EAE">
            <w:pPr>
              <w:rPr>
                <w:rFonts w:ascii="Calibri" w:hAnsi="Calibri"/>
                <w:color w:val="000000"/>
                <w:sz w:val="20"/>
                <w:szCs w:val="20"/>
              </w:rPr>
            </w:pPr>
          </w:p>
          <w:p w14:paraId="17ED5BF4"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n=378</w:t>
            </w:r>
          </w:p>
          <w:p w14:paraId="07ED5D3C" w14:textId="77777777" w:rsidR="00B7662D" w:rsidRPr="00FC75D0" w:rsidRDefault="00B7662D" w:rsidP="00C77EAE">
            <w:pPr>
              <w:rPr>
                <w:rFonts w:ascii="Calibri" w:hAnsi="Calibri"/>
                <w:color w:val="000000"/>
                <w:sz w:val="20"/>
                <w:szCs w:val="20"/>
              </w:rPr>
            </w:pPr>
          </w:p>
          <w:p w14:paraId="381E861D" w14:textId="77777777" w:rsidR="00B7662D" w:rsidRPr="00FC75D0" w:rsidRDefault="00B7662D" w:rsidP="00C77EAE">
            <w:pPr>
              <w:rPr>
                <w:rFonts w:ascii="Calibri" w:hAnsi="Calibri"/>
                <w:color w:val="000000"/>
                <w:sz w:val="20"/>
                <w:szCs w:val="20"/>
              </w:rPr>
            </w:pPr>
            <w:r w:rsidRPr="00FC75D0">
              <w:rPr>
                <w:rFonts w:cs="AdvOT1ef757c0"/>
                <w:sz w:val="20"/>
                <w:szCs w:val="20"/>
              </w:rPr>
              <w:t>No treatment</w:t>
            </w:r>
          </w:p>
        </w:tc>
        <w:tc>
          <w:tcPr>
            <w:tcW w:w="1418" w:type="dxa"/>
          </w:tcPr>
          <w:p w14:paraId="060BCCAC" w14:textId="77777777" w:rsidR="00B7662D" w:rsidRPr="00FC75D0" w:rsidRDefault="00B7662D" w:rsidP="00C77EAE">
            <w:pPr>
              <w:autoSpaceDE w:val="0"/>
              <w:autoSpaceDN w:val="0"/>
              <w:adjustRightInd w:val="0"/>
              <w:rPr>
                <w:rFonts w:cs="AdvOT1ef757c0"/>
                <w:sz w:val="20"/>
                <w:szCs w:val="20"/>
              </w:rPr>
            </w:pPr>
            <w:r w:rsidRPr="00FC75D0">
              <w:rPr>
                <w:rFonts w:cs="AdvOT1ef757c0"/>
                <w:sz w:val="20"/>
                <w:szCs w:val="20"/>
              </w:rPr>
              <w:t>LT</w:t>
            </w:r>
            <w:r w:rsidRPr="00FC75D0">
              <w:rPr>
                <w:rFonts w:cs="AdvOT1ef757c0"/>
                <w:sz w:val="20"/>
                <w:szCs w:val="20"/>
                <w:vertAlign w:val="subscript"/>
              </w:rPr>
              <w:t>4</w:t>
            </w:r>
            <w:r w:rsidRPr="00FC75D0">
              <w:rPr>
                <w:rFonts w:cs="AdvOT1ef757c0"/>
                <w:sz w:val="20"/>
                <w:szCs w:val="20"/>
              </w:rPr>
              <w:t xml:space="preserve"> treatment (initial: 25 µg/day, titrated to achieve clinical euthyroidism),</w:t>
            </w:r>
          </w:p>
          <w:p w14:paraId="0DB79690" w14:textId="77777777" w:rsidR="00B7662D" w:rsidRPr="00FC75D0" w:rsidRDefault="00B7662D" w:rsidP="00C77EAE">
            <w:pPr>
              <w:autoSpaceDE w:val="0"/>
              <w:autoSpaceDN w:val="0"/>
              <w:adjustRightInd w:val="0"/>
              <w:rPr>
                <w:rFonts w:cs="AdvOT1ef757c0"/>
                <w:sz w:val="20"/>
                <w:szCs w:val="20"/>
              </w:rPr>
            </w:pPr>
            <w:r w:rsidRPr="00FC75D0">
              <w:rPr>
                <w:rFonts w:ascii="Calibri" w:hAnsi="Calibri"/>
                <w:color w:val="000000"/>
                <w:sz w:val="20"/>
                <w:szCs w:val="20"/>
              </w:rPr>
              <w:t>follow-up of 15 months</w:t>
            </w:r>
          </w:p>
        </w:tc>
        <w:tc>
          <w:tcPr>
            <w:tcW w:w="7654" w:type="dxa"/>
          </w:tcPr>
          <w:p w14:paraId="5717CF01" w14:textId="2AFBA5CE"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TC:</w:t>
            </w:r>
            <w:r w:rsidRPr="00FC75D0">
              <w:rPr>
                <w:rFonts w:ascii="Calibri" w:hAnsi="Calibri"/>
                <w:color w:val="000000"/>
                <w:sz w:val="20"/>
                <w:szCs w:val="20"/>
              </w:rPr>
              <w:t xml:space="preserve"> Control (-0.17 mmol/L) vs treatment (-0.41mmol/L); p=0.012</w:t>
            </w:r>
          </w:p>
          <w:p w14:paraId="476D3826"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TG: </w:t>
            </w:r>
            <w:r w:rsidRPr="00FC75D0">
              <w:rPr>
                <w:rFonts w:ascii="Calibri" w:hAnsi="Calibri"/>
                <w:color w:val="000000"/>
                <w:sz w:val="20"/>
                <w:szCs w:val="20"/>
              </w:rPr>
              <w:t>Control (-0.11mmol/L) vs treatment (-0.17 mmol/L); p=</w:t>
            </w:r>
            <w:r>
              <w:rPr>
                <w:rFonts w:ascii="Calibri" w:hAnsi="Calibri"/>
                <w:color w:val="000000"/>
                <w:sz w:val="20"/>
                <w:szCs w:val="20"/>
              </w:rPr>
              <w:t>0.406</w:t>
            </w:r>
          </w:p>
          <w:p w14:paraId="440FDB07"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SBP: </w:t>
            </w:r>
            <w:r w:rsidRPr="00FC75D0">
              <w:rPr>
                <w:rFonts w:ascii="Calibri" w:hAnsi="Calibri"/>
                <w:color w:val="000000"/>
                <w:sz w:val="20"/>
                <w:szCs w:val="20"/>
              </w:rPr>
              <w:t>Control (138.55±19.80 mmHg) vs treatment (136.01±20.13 mmHg); p=</w:t>
            </w:r>
            <w:r>
              <w:rPr>
                <w:rFonts w:ascii="Calibri" w:hAnsi="Calibri"/>
                <w:color w:val="000000"/>
                <w:sz w:val="20"/>
                <w:szCs w:val="20"/>
              </w:rPr>
              <w:t>0.240</w:t>
            </w:r>
          </w:p>
          <w:p w14:paraId="2F52717D"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DBP: </w:t>
            </w:r>
            <w:r w:rsidRPr="00FC75D0">
              <w:rPr>
                <w:rFonts w:ascii="Calibri" w:hAnsi="Calibri"/>
                <w:color w:val="000000"/>
                <w:sz w:val="20"/>
                <w:szCs w:val="20"/>
              </w:rPr>
              <w:t>Control (79.56±11.23 mmHg) vs treatment (79.43±10.96 mmHg); p=</w:t>
            </w:r>
            <w:r>
              <w:rPr>
                <w:rFonts w:ascii="Calibri" w:hAnsi="Calibri"/>
                <w:color w:val="000000"/>
                <w:sz w:val="20"/>
                <w:szCs w:val="20"/>
              </w:rPr>
              <w:t>0.917</w:t>
            </w:r>
          </w:p>
        </w:tc>
        <w:tc>
          <w:tcPr>
            <w:tcW w:w="2410" w:type="dxa"/>
          </w:tcPr>
          <w:p w14:paraId="08D88901" w14:textId="620AE1EA"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AE or symptoms:</w:t>
            </w:r>
            <w:r w:rsidRPr="00FC75D0">
              <w:rPr>
                <w:rFonts w:ascii="Calibri" w:hAnsi="Calibri"/>
                <w:color w:val="000000"/>
                <w:sz w:val="20"/>
                <w:szCs w:val="20"/>
              </w:rPr>
              <w:t xml:space="preserve"> Control (13[8.18%]) vs treatment (16[7.62%]); p=</w:t>
            </w:r>
            <w:r>
              <w:rPr>
                <w:rFonts w:ascii="Calibri" w:hAnsi="Calibri"/>
                <w:color w:val="000000"/>
                <w:sz w:val="20"/>
                <w:szCs w:val="20"/>
              </w:rPr>
              <w:t>0.844</w:t>
            </w:r>
          </w:p>
          <w:p w14:paraId="760C8E80" w14:textId="77777777" w:rsidR="00B7662D" w:rsidRPr="00FC75D0" w:rsidRDefault="00B7662D" w:rsidP="00C77EAE">
            <w:pPr>
              <w:rPr>
                <w:rFonts w:ascii="Calibri" w:hAnsi="Calibri"/>
                <w:color w:val="000000"/>
                <w:sz w:val="20"/>
                <w:szCs w:val="20"/>
              </w:rPr>
            </w:pPr>
          </w:p>
          <w:p w14:paraId="5AC3CBF8"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No participant attempted to visit a physician due to adverse effects or withdrew from the trial due to adverse effects.</w:t>
            </w:r>
          </w:p>
        </w:tc>
      </w:tr>
      <w:tr w:rsidR="00B7662D" w:rsidRPr="00FC75D0" w14:paraId="5252D690" w14:textId="77777777" w:rsidTr="00C77EAE">
        <w:tc>
          <w:tcPr>
            <w:tcW w:w="1384" w:type="dxa"/>
          </w:tcPr>
          <w:p w14:paraId="30BD0199"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Liu, 2015, China</w:t>
            </w:r>
          </w:p>
          <w:p w14:paraId="5DF316C8" w14:textId="77777777" w:rsidR="00B7662D" w:rsidRPr="00FC75D0" w:rsidRDefault="00B7662D" w:rsidP="00C77EAE">
            <w:pPr>
              <w:rPr>
                <w:rFonts w:ascii="Calibri" w:hAnsi="Calibri"/>
                <w:color w:val="000000"/>
                <w:sz w:val="20"/>
                <w:szCs w:val="20"/>
              </w:rPr>
            </w:pPr>
          </w:p>
          <w:p w14:paraId="51BDEC71"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n=136</w:t>
            </w:r>
          </w:p>
          <w:p w14:paraId="7E249991" w14:textId="77777777" w:rsidR="00B7662D" w:rsidRPr="00FC75D0" w:rsidRDefault="00B7662D" w:rsidP="00C77EAE">
            <w:pPr>
              <w:rPr>
                <w:rFonts w:ascii="Calibri" w:hAnsi="Calibri"/>
                <w:color w:val="000000"/>
                <w:sz w:val="20"/>
                <w:szCs w:val="20"/>
              </w:rPr>
            </w:pPr>
          </w:p>
          <w:p w14:paraId="5D244CCE" w14:textId="77777777" w:rsidR="00B7662D" w:rsidRPr="00FC75D0" w:rsidRDefault="00B7662D" w:rsidP="00C77EAE">
            <w:pPr>
              <w:rPr>
                <w:rFonts w:ascii="Calibri" w:hAnsi="Calibri"/>
                <w:color w:val="000000"/>
                <w:sz w:val="20"/>
                <w:szCs w:val="20"/>
              </w:rPr>
            </w:pPr>
            <w:r w:rsidRPr="00FC75D0">
              <w:rPr>
                <w:rFonts w:cs="AdvOT1ef757c0"/>
                <w:sz w:val="20"/>
                <w:szCs w:val="20"/>
              </w:rPr>
              <w:t>Placebo</w:t>
            </w:r>
          </w:p>
        </w:tc>
        <w:tc>
          <w:tcPr>
            <w:tcW w:w="1418" w:type="dxa"/>
          </w:tcPr>
          <w:p w14:paraId="54A361DD" w14:textId="77777777" w:rsidR="00B7662D" w:rsidRPr="00FC75D0" w:rsidRDefault="00B7662D" w:rsidP="00C77EAE">
            <w:pPr>
              <w:autoSpaceDE w:val="0"/>
              <w:autoSpaceDN w:val="0"/>
              <w:adjustRightInd w:val="0"/>
              <w:rPr>
                <w:rFonts w:cs="AdvOT1ef757c0"/>
                <w:sz w:val="20"/>
                <w:szCs w:val="20"/>
              </w:rPr>
            </w:pPr>
            <w:r w:rsidRPr="00FC75D0">
              <w:rPr>
                <w:rFonts w:cs="AdvOT1ef757c0"/>
                <w:sz w:val="20"/>
                <w:szCs w:val="20"/>
              </w:rPr>
              <w:t>LT</w:t>
            </w:r>
            <w:r w:rsidRPr="00FC75D0">
              <w:rPr>
                <w:rFonts w:cs="AdvOT1ef757c0"/>
                <w:sz w:val="20"/>
                <w:szCs w:val="20"/>
                <w:vertAlign w:val="subscript"/>
              </w:rPr>
              <w:t>4</w:t>
            </w:r>
            <w:r w:rsidRPr="00FC75D0">
              <w:rPr>
                <w:rFonts w:cs="AdvOT1ef757c0"/>
                <w:sz w:val="20"/>
                <w:szCs w:val="20"/>
              </w:rPr>
              <w:t xml:space="preserve"> treatment (initial: 12.5 µg/day, titrated to achieve TSH WNL)</w:t>
            </w:r>
          </w:p>
          <w:p w14:paraId="1AEE2BC3" w14:textId="77777777" w:rsidR="00B7662D" w:rsidRPr="00FC75D0" w:rsidRDefault="00B7662D" w:rsidP="00C77EAE">
            <w:pPr>
              <w:autoSpaceDE w:val="0"/>
              <w:autoSpaceDN w:val="0"/>
              <w:adjustRightInd w:val="0"/>
              <w:rPr>
                <w:rFonts w:cs="AdvOT1ef757c0"/>
                <w:sz w:val="20"/>
                <w:szCs w:val="20"/>
              </w:rPr>
            </w:pPr>
          </w:p>
          <w:p w14:paraId="3E118E77" w14:textId="77777777" w:rsidR="00B7662D" w:rsidRPr="00FC75D0" w:rsidRDefault="00B7662D" w:rsidP="00C77EAE">
            <w:pPr>
              <w:autoSpaceDE w:val="0"/>
              <w:autoSpaceDN w:val="0"/>
              <w:adjustRightInd w:val="0"/>
              <w:rPr>
                <w:rFonts w:cs="AdvOT1ef757c0"/>
                <w:sz w:val="20"/>
                <w:szCs w:val="20"/>
              </w:rPr>
            </w:pPr>
            <w:r w:rsidRPr="00FC75D0">
              <w:rPr>
                <w:rFonts w:ascii="Calibri" w:hAnsi="Calibri"/>
                <w:color w:val="000000"/>
                <w:sz w:val="20"/>
                <w:szCs w:val="20"/>
              </w:rPr>
              <w:t>follow-up of 48 weeks</w:t>
            </w:r>
          </w:p>
        </w:tc>
        <w:tc>
          <w:tcPr>
            <w:tcW w:w="7654" w:type="dxa"/>
          </w:tcPr>
          <w:p w14:paraId="42932EAB" w14:textId="3E5185BB"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TC:</w:t>
            </w:r>
            <w:r w:rsidRPr="00FC75D0">
              <w:rPr>
                <w:rFonts w:ascii="Calibri" w:hAnsi="Calibri"/>
                <w:color w:val="000000"/>
                <w:sz w:val="20"/>
                <w:szCs w:val="20"/>
              </w:rPr>
              <w:t xml:space="preserve"> Control (0.22±0.28 mmol/L) vs treatment (-0.15±0.23 mmol/L); p&lt;0.001</w:t>
            </w:r>
          </w:p>
          <w:p w14:paraId="23721BE2"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LDL: </w:t>
            </w:r>
            <w:r w:rsidRPr="00FC75D0">
              <w:rPr>
                <w:rFonts w:ascii="Calibri" w:hAnsi="Calibri"/>
                <w:color w:val="000000"/>
                <w:sz w:val="20"/>
                <w:szCs w:val="20"/>
              </w:rPr>
              <w:t>Control (0.08±0.24 mmol/L) vs treatment (-0.05±0.20 mmol/L); p=0.003</w:t>
            </w:r>
          </w:p>
          <w:p w14:paraId="6BA464B2"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HDL: </w:t>
            </w:r>
            <w:r w:rsidRPr="00FC75D0">
              <w:rPr>
                <w:rFonts w:ascii="Calibri" w:hAnsi="Calibri"/>
                <w:color w:val="000000"/>
                <w:sz w:val="20"/>
                <w:szCs w:val="20"/>
              </w:rPr>
              <w:t>Control (-0.01±0.06 mmol/L) vs treatment (0.00±-0.07 mmol/L); p=</w:t>
            </w:r>
            <w:r>
              <w:rPr>
                <w:rFonts w:ascii="Calibri" w:hAnsi="Calibri"/>
                <w:color w:val="000000"/>
                <w:sz w:val="20"/>
                <w:szCs w:val="20"/>
              </w:rPr>
              <w:t>0.412</w:t>
            </w:r>
          </w:p>
          <w:p w14:paraId="1CB7F854"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TG: </w:t>
            </w:r>
            <w:r w:rsidRPr="00FC75D0">
              <w:rPr>
                <w:rFonts w:ascii="Calibri" w:hAnsi="Calibri"/>
                <w:color w:val="000000"/>
                <w:sz w:val="20"/>
                <w:szCs w:val="20"/>
              </w:rPr>
              <w:t>Control (0.01±0.10 mmol/L) vs treatment (-0.03±-0.16 mmol/L); p=</w:t>
            </w:r>
            <w:r>
              <w:rPr>
                <w:rFonts w:ascii="Calibri" w:hAnsi="Calibri"/>
                <w:color w:val="000000"/>
                <w:sz w:val="20"/>
                <w:szCs w:val="20"/>
              </w:rPr>
              <w:t>0.132</w:t>
            </w:r>
          </w:p>
          <w:p w14:paraId="58BE6523" w14:textId="77777777" w:rsidR="00B7662D" w:rsidRPr="00FC75D0" w:rsidRDefault="00B7662D" w:rsidP="00C77EAE">
            <w:pPr>
              <w:rPr>
                <w:rFonts w:ascii="Calibri" w:hAnsi="Calibri"/>
                <w:b/>
                <w:color w:val="000000"/>
                <w:sz w:val="20"/>
                <w:szCs w:val="20"/>
              </w:rPr>
            </w:pPr>
            <w:r w:rsidRPr="00FC75D0">
              <w:rPr>
                <w:rFonts w:ascii="Calibri" w:hAnsi="Calibri"/>
                <w:b/>
                <w:color w:val="000000"/>
                <w:sz w:val="20"/>
                <w:szCs w:val="20"/>
              </w:rPr>
              <w:t xml:space="preserve">SBP: </w:t>
            </w:r>
            <w:r w:rsidRPr="00FC75D0">
              <w:rPr>
                <w:rFonts w:ascii="Calibri" w:hAnsi="Calibri"/>
                <w:color w:val="000000"/>
                <w:sz w:val="20"/>
                <w:szCs w:val="20"/>
              </w:rPr>
              <w:t>Control (2±4 mmHg) vs treatment (1±4 mmHg); p=</w:t>
            </w:r>
            <w:r>
              <w:rPr>
                <w:rFonts w:ascii="Calibri" w:hAnsi="Calibri"/>
                <w:color w:val="000000"/>
                <w:sz w:val="20"/>
                <w:szCs w:val="20"/>
              </w:rPr>
              <w:t>0.602</w:t>
            </w:r>
          </w:p>
          <w:p w14:paraId="1B3AD984" w14:textId="77777777" w:rsidR="00B7662D" w:rsidRPr="00FC75D0" w:rsidRDefault="00B7662D" w:rsidP="00C77EAE">
            <w:pPr>
              <w:rPr>
                <w:rFonts w:ascii="Calibri" w:hAnsi="Calibri"/>
                <w:b/>
                <w:color w:val="000000"/>
                <w:sz w:val="20"/>
                <w:szCs w:val="20"/>
              </w:rPr>
            </w:pPr>
            <w:r w:rsidRPr="00FC75D0">
              <w:rPr>
                <w:rFonts w:ascii="Calibri" w:hAnsi="Calibri"/>
                <w:b/>
                <w:color w:val="000000"/>
                <w:sz w:val="20"/>
                <w:szCs w:val="20"/>
              </w:rPr>
              <w:t xml:space="preserve">DBP: </w:t>
            </w:r>
            <w:r w:rsidRPr="00FC75D0">
              <w:rPr>
                <w:rFonts w:ascii="Calibri" w:hAnsi="Calibri"/>
                <w:color w:val="000000"/>
                <w:sz w:val="20"/>
                <w:szCs w:val="20"/>
              </w:rPr>
              <w:t>Control (2±3 mmHg) vs treatment (1±3 mmHg); p=</w:t>
            </w:r>
            <w:r>
              <w:rPr>
                <w:rFonts w:ascii="Calibri" w:hAnsi="Calibri"/>
                <w:color w:val="000000"/>
                <w:sz w:val="20"/>
                <w:szCs w:val="20"/>
              </w:rPr>
              <w:t>0.386</w:t>
            </w:r>
          </w:p>
          <w:p w14:paraId="3BB762B6" w14:textId="77777777" w:rsidR="00B7662D" w:rsidRPr="00FC75D0" w:rsidRDefault="00B7662D" w:rsidP="00C77EAE">
            <w:pPr>
              <w:rPr>
                <w:sz w:val="20"/>
                <w:szCs w:val="20"/>
              </w:rPr>
            </w:pPr>
            <w:r w:rsidRPr="00FC75D0">
              <w:rPr>
                <w:rFonts w:ascii="Calibri" w:hAnsi="Calibri"/>
                <w:b/>
                <w:color w:val="000000"/>
                <w:sz w:val="20"/>
                <w:szCs w:val="20"/>
              </w:rPr>
              <w:t xml:space="preserve">BMI: </w:t>
            </w:r>
            <w:r w:rsidRPr="00FC75D0">
              <w:rPr>
                <w:rFonts w:ascii="Calibri" w:hAnsi="Calibri"/>
                <w:color w:val="000000"/>
                <w:sz w:val="20"/>
                <w:szCs w:val="20"/>
              </w:rPr>
              <w:t>Control (0.15±0.14 kg/m</w:t>
            </w:r>
            <w:r w:rsidRPr="00FC75D0">
              <w:rPr>
                <w:rFonts w:ascii="Calibri" w:hAnsi="Calibri"/>
                <w:color w:val="000000"/>
                <w:sz w:val="20"/>
                <w:szCs w:val="20"/>
                <w:vertAlign w:val="superscript"/>
              </w:rPr>
              <w:t>2</w:t>
            </w:r>
            <w:r w:rsidRPr="00FC75D0">
              <w:rPr>
                <w:rFonts w:ascii="Calibri" w:hAnsi="Calibri"/>
                <w:color w:val="000000"/>
                <w:sz w:val="20"/>
                <w:szCs w:val="20"/>
              </w:rPr>
              <w:t>) vs treatment (0.10±0.14 kg/m</w:t>
            </w:r>
            <w:r w:rsidRPr="00FC75D0">
              <w:rPr>
                <w:rFonts w:ascii="Calibri" w:hAnsi="Calibri"/>
                <w:color w:val="000000"/>
                <w:sz w:val="20"/>
                <w:szCs w:val="20"/>
                <w:vertAlign w:val="superscript"/>
              </w:rPr>
              <w:t>2</w:t>
            </w:r>
            <w:r w:rsidRPr="00FC75D0">
              <w:rPr>
                <w:rFonts w:ascii="Calibri" w:hAnsi="Calibri"/>
                <w:color w:val="000000"/>
                <w:sz w:val="20"/>
                <w:szCs w:val="20"/>
              </w:rPr>
              <w:t>); p=</w:t>
            </w:r>
            <w:r>
              <w:rPr>
                <w:rFonts w:ascii="Calibri" w:hAnsi="Calibri"/>
                <w:color w:val="000000"/>
                <w:sz w:val="20"/>
                <w:szCs w:val="20"/>
              </w:rPr>
              <w:t>0.101</w:t>
            </w:r>
          </w:p>
        </w:tc>
        <w:tc>
          <w:tcPr>
            <w:tcW w:w="2410" w:type="dxa"/>
          </w:tcPr>
          <w:p w14:paraId="0552BE15" w14:textId="65BE2DED" w:rsidR="00B7662D" w:rsidRPr="00FC75D0" w:rsidRDefault="00B7662D" w:rsidP="00C77EAE">
            <w:pPr>
              <w:rPr>
                <w:i/>
                <w:color w:val="000000"/>
                <w:sz w:val="20"/>
                <w:szCs w:val="20"/>
              </w:rPr>
            </w:pPr>
            <w:r w:rsidRPr="00FC75D0">
              <w:rPr>
                <w:rFonts w:eastAsia="Times New Roman"/>
                <w:sz w:val="20"/>
                <w:szCs w:val="20"/>
              </w:rPr>
              <w:t>In the treatment group, 9/60 experienced adverse events: 2 had mild insomnia during the treatment; 1 had mild diarrhea with mild symptoms lasting less than 2 days; 1 had mild paroxysmal supraventricular tachycardia at the beginning of the treatment; 5 had symptoms of palpitation after treatment.</w:t>
            </w:r>
          </w:p>
        </w:tc>
      </w:tr>
      <w:tr w:rsidR="00B7662D" w:rsidRPr="00FC75D0" w14:paraId="0A953EAB" w14:textId="77777777" w:rsidTr="00C77EAE">
        <w:tc>
          <w:tcPr>
            <w:tcW w:w="1384" w:type="dxa"/>
          </w:tcPr>
          <w:p w14:paraId="4EFE2F39"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Najafi, 2015, Iran</w:t>
            </w:r>
          </w:p>
          <w:p w14:paraId="0866808B"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lastRenderedPageBreak/>
              <w:t>n=60</w:t>
            </w:r>
          </w:p>
          <w:p w14:paraId="5F5DF803" w14:textId="77777777" w:rsidR="00B7662D" w:rsidRPr="00FC75D0" w:rsidRDefault="00B7662D" w:rsidP="00C77EAE">
            <w:pPr>
              <w:rPr>
                <w:rFonts w:ascii="Calibri" w:hAnsi="Calibri"/>
                <w:color w:val="000000"/>
                <w:sz w:val="20"/>
                <w:szCs w:val="20"/>
              </w:rPr>
            </w:pPr>
            <w:r w:rsidRPr="00FC75D0">
              <w:rPr>
                <w:rFonts w:cs="AdvOT1ef757c0"/>
                <w:sz w:val="20"/>
                <w:szCs w:val="20"/>
              </w:rPr>
              <w:t>Placebo</w:t>
            </w:r>
          </w:p>
        </w:tc>
        <w:tc>
          <w:tcPr>
            <w:tcW w:w="1418" w:type="dxa"/>
          </w:tcPr>
          <w:p w14:paraId="330068AD" w14:textId="77777777" w:rsidR="00B7662D" w:rsidRPr="00FC75D0" w:rsidRDefault="00B7662D" w:rsidP="00C77EAE">
            <w:pPr>
              <w:autoSpaceDE w:val="0"/>
              <w:autoSpaceDN w:val="0"/>
              <w:adjustRightInd w:val="0"/>
              <w:rPr>
                <w:rFonts w:cs="AdvOT1ef757c0"/>
                <w:sz w:val="20"/>
                <w:szCs w:val="20"/>
              </w:rPr>
            </w:pPr>
            <w:r w:rsidRPr="00FC75D0">
              <w:rPr>
                <w:rFonts w:cs="AdvOT1ef757c0"/>
                <w:sz w:val="20"/>
                <w:szCs w:val="20"/>
              </w:rPr>
              <w:lastRenderedPageBreak/>
              <w:t>LT</w:t>
            </w:r>
            <w:r w:rsidRPr="00FC75D0">
              <w:rPr>
                <w:rFonts w:cs="AdvOT1ef757c0"/>
                <w:sz w:val="20"/>
                <w:szCs w:val="20"/>
                <w:vertAlign w:val="subscript"/>
              </w:rPr>
              <w:t>4</w:t>
            </w:r>
            <w:r w:rsidRPr="00FC75D0">
              <w:rPr>
                <w:rFonts w:cs="AdvOT1ef757c0"/>
                <w:sz w:val="20"/>
                <w:szCs w:val="20"/>
              </w:rPr>
              <w:t xml:space="preserve"> treatment (100 µg/day),</w:t>
            </w:r>
          </w:p>
          <w:p w14:paraId="31BC89AB" w14:textId="77777777" w:rsidR="00B7662D" w:rsidRPr="00FC75D0" w:rsidRDefault="00B7662D" w:rsidP="00C77EAE">
            <w:pPr>
              <w:autoSpaceDE w:val="0"/>
              <w:autoSpaceDN w:val="0"/>
              <w:adjustRightInd w:val="0"/>
              <w:rPr>
                <w:rFonts w:ascii="Calibri" w:hAnsi="Calibri"/>
                <w:color w:val="000000"/>
                <w:sz w:val="20"/>
                <w:szCs w:val="20"/>
              </w:rPr>
            </w:pPr>
            <w:r w:rsidRPr="00FC75D0">
              <w:rPr>
                <w:rFonts w:ascii="Calibri" w:hAnsi="Calibri"/>
                <w:color w:val="000000"/>
                <w:sz w:val="20"/>
                <w:szCs w:val="20"/>
              </w:rPr>
              <w:lastRenderedPageBreak/>
              <w:t>follow-up of  12 weeks</w:t>
            </w:r>
            <w:r w:rsidRPr="00FC75D0">
              <w:rPr>
                <w:rFonts w:cs="AdvOT1ef757c0"/>
                <w:sz w:val="20"/>
                <w:szCs w:val="20"/>
              </w:rPr>
              <w:t xml:space="preserve"> </w:t>
            </w:r>
          </w:p>
        </w:tc>
        <w:tc>
          <w:tcPr>
            <w:tcW w:w="7654" w:type="dxa"/>
          </w:tcPr>
          <w:p w14:paraId="28FA3047" w14:textId="237281D0"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lastRenderedPageBreak/>
              <w:t xml:space="preserve">BDI: </w:t>
            </w:r>
            <w:r w:rsidRPr="00FC75D0">
              <w:rPr>
                <w:rFonts w:ascii="Calibri" w:hAnsi="Calibri"/>
                <w:color w:val="000000"/>
                <w:sz w:val="20"/>
                <w:szCs w:val="20"/>
              </w:rPr>
              <w:t>Control (</w:t>
            </w:r>
            <w:r>
              <w:rPr>
                <w:rFonts w:ascii="Calibri" w:hAnsi="Calibri"/>
                <w:color w:val="000000"/>
                <w:sz w:val="20"/>
                <w:szCs w:val="20"/>
              </w:rPr>
              <w:t>11.86</w:t>
            </w:r>
            <w:r w:rsidRPr="00FC75D0">
              <w:rPr>
                <w:rFonts w:ascii="Calibri" w:hAnsi="Calibri"/>
                <w:color w:val="000000"/>
                <w:sz w:val="20"/>
                <w:szCs w:val="20"/>
              </w:rPr>
              <w:t>±1</w:t>
            </w:r>
            <w:r>
              <w:rPr>
                <w:rFonts w:ascii="Calibri" w:hAnsi="Calibri"/>
                <w:color w:val="000000"/>
                <w:sz w:val="20"/>
                <w:szCs w:val="20"/>
              </w:rPr>
              <w:t>0.71</w:t>
            </w:r>
            <w:r w:rsidRPr="00FC75D0">
              <w:rPr>
                <w:rFonts w:ascii="Calibri" w:hAnsi="Calibri"/>
                <w:color w:val="000000"/>
                <w:sz w:val="20"/>
                <w:szCs w:val="20"/>
              </w:rPr>
              <w:t>) vs treatment (</w:t>
            </w:r>
            <w:r>
              <w:rPr>
                <w:rFonts w:ascii="Calibri" w:hAnsi="Calibri"/>
                <w:color w:val="000000"/>
                <w:sz w:val="20"/>
                <w:szCs w:val="20"/>
              </w:rPr>
              <w:t>12.37</w:t>
            </w:r>
            <w:r w:rsidRPr="00FC75D0">
              <w:rPr>
                <w:rFonts w:ascii="Calibri" w:hAnsi="Calibri"/>
                <w:color w:val="000000"/>
                <w:sz w:val="20"/>
                <w:szCs w:val="20"/>
              </w:rPr>
              <w:t>±</w:t>
            </w:r>
            <w:r>
              <w:rPr>
                <w:rFonts w:ascii="Calibri" w:hAnsi="Calibri"/>
                <w:color w:val="000000"/>
                <w:sz w:val="20"/>
                <w:szCs w:val="20"/>
              </w:rPr>
              <w:t>10.01</w:t>
            </w:r>
            <w:r w:rsidRPr="00FC75D0">
              <w:rPr>
                <w:rFonts w:ascii="Calibri" w:hAnsi="Calibri"/>
                <w:color w:val="000000"/>
                <w:sz w:val="20"/>
                <w:szCs w:val="20"/>
              </w:rPr>
              <w:t xml:space="preserve">); </w:t>
            </w:r>
            <w:r>
              <w:rPr>
                <w:rFonts w:ascii="Calibri" w:hAnsi="Calibri"/>
                <w:color w:val="000000"/>
                <w:sz w:val="20"/>
                <w:szCs w:val="20"/>
              </w:rPr>
              <w:t xml:space="preserve"> p≥0.05</w:t>
            </w:r>
          </w:p>
          <w:p w14:paraId="211ACE64" w14:textId="77777777" w:rsidR="00B7662D" w:rsidRPr="00FC75D0" w:rsidRDefault="00B7662D" w:rsidP="00C77EAE">
            <w:pPr>
              <w:rPr>
                <w:rFonts w:ascii="Calibri" w:hAnsi="Calibri"/>
                <w:color w:val="000000"/>
                <w:sz w:val="20"/>
                <w:szCs w:val="20"/>
              </w:rPr>
            </w:pPr>
          </w:p>
        </w:tc>
        <w:tc>
          <w:tcPr>
            <w:tcW w:w="2410" w:type="dxa"/>
          </w:tcPr>
          <w:p w14:paraId="1C6C8774" w14:textId="2F14492A" w:rsidR="00B7662D" w:rsidRPr="00FC75D0" w:rsidRDefault="00B7662D" w:rsidP="00C77EAE">
            <w:pPr>
              <w:rPr>
                <w:rFonts w:ascii="Calibri" w:hAnsi="Calibri"/>
                <w:b/>
                <w:color w:val="000000"/>
                <w:sz w:val="20"/>
                <w:szCs w:val="20"/>
              </w:rPr>
            </w:pPr>
            <w:r w:rsidRPr="00FC75D0">
              <w:rPr>
                <w:rFonts w:ascii="Calibri" w:hAnsi="Calibri"/>
                <w:b/>
                <w:color w:val="000000"/>
                <w:sz w:val="20"/>
                <w:szCs w:val="20"/>
              </w:rPr>
              <w:t>NR</w:t>
            </w:r>
          </w:p>
        </w:tc>
      </w:tr>
      <w:tr w:rsidR="00B7662D" w:rsidRPr="00FC75D0" w14:paraId="2FD9A8CB" w14:textId="77777777" w:rsidTr="00C77EAE">
        <w:tc>
          <w:tcPr>
            <w:tcW w:w="1384" w:type="dxa"/>
          </w:tcPr>
          <w:p w14:paraId="1A91CB37"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Reuters, 2012, Brazil</w:t>
            </w:r>
          </w:p>
          <w:p w14:paraId="662DAD15" w14:textId="77777777" w:rsidR="00B7662D" w:rsidRPr="00FC75D0" w:rsidRDefault="00B7662D" w:rsidP="00C77EAE">
            <w:pPr>
              <w:rPr>
                <w:rFonts w:ascii="Calibri" w:hAnsi="Calibri"/>
                <w:color w:val="000000"/>
                <w:sz w:val="20"/>
                <w:szCs w:val="20"/>
              </w:rPr>
            </w:pPr>
          </w:p>
          <w:p w14:paraId="0155F000"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n=71</w:t>
            </w:r>
          </w:p>
          <w:p w14:paraId="58E4DCA8" w14:textId="77777777" w:rsidR="00B7662D" w:rsidRPr="00FC75D0" w:rsidRDefault="00B7662D" w:rsidP="00C77EAE">
            <w:pPr>
              <w:rPr>
                <w:rFonts w:ascii="Calibri" w:hAnsi="Calibri"/>
                <w:color w:val="000000"/>
                <w:sz w:val="20"/>
                <w:szCs w:val="20"/>
              </w:rPr>
            </w:pPr>
          </w:p>
          <w:p w14:paraId="5EF1FCC3" w14:textId="77777777" w:rsidR="00B7662D" w:rsidRPr="00FC75D0" w:rsidRDefault="00B7662D" w:rsidP="00C77EAE">
            <w:pPr>
              <w:rPr>
                <w:rFonts w:ascii="Calibri" w:hAnsi="Calibri"/>
                <w:color w:val="000000"/>
                <w:sz w:val="20"/>
                <w:szCs w:val="20"/>
              </w:rPr>
            </w:pPr>
            <w:r w:rsidRPr="00FC75D0">
              <w:rPr>
                <w:rFonts w:cs="AdvOT1ef757c0"/>
                <w:sz w:val="20"/>
                <w:szCs w:val="20"/>
              </w:rPr>
              <w:t>Placebo</w:t>
            </w:r>
          </w:p>
        </w:tc>
        <w:tc>
          <w:tcPr>
            <w:tcW w:w="1418" w:type="dxa"/>
          </w:tcPr>
          <w:p w14:paraId="047AA115" w14:textId="77777777" w:rsidR="00B7662D" w:rsidRPr="00FC75D0" w:rsidRDefault="00B7662D" w:rsidP="00C77EAE">
            <w:pPr>
              <w:autoSpaceDE w:val="0"/>
              <w:autoSpaceDN w:val="0"/>
              <w:adjustRightInd w:val="0"/>
              <w:rPr>
                <w:rFonts w:cs="AdvOT1ef757c0"/>
                <w:sz w:val="20"/>
                <w:szCs w:val="20"/>
              </w:rPr>
            </w:pPr>
            <w:r w:rsidRPr="00FC75D0">
              <w:rPr>
                <w:rFonts w:cs="AdvOT1ef757c0"/>
                <w:sz w:val="20"/>
                <w:szCs w:val="20"/>
              </w:rPr>
              <w:t>LT</w:t>
            </w:r>
            <w:r w:rsidRPr="00FC75D0">
              <w:rPr>
                <w:rFonts w:cs="AdvOT1ef757c0"/>
                <w:sz w:val="20"/>
                <w:szCs w:val="20"/>
                <w:vertAlign w:val="subscript"/>
              </w:rPr>
              <w:t>4</w:t>
            </w:r>
            <w:r w:rsidRPr="00FC75D0">
              <w:rPr>
                <w:rFonts w:cs="AdvOT1ef757c0"/>
                <w:sz w:val="20"/>
                <w:szCs w:val="20"/>
              </w:rPr>
              <w:t xml:space="preserve"> treatment (initial: 25-75 µg/day titrated to achieve TSH WNL),</w:t>
            </w:r>
          </w:p>
          <w:p w14:paraId="6F8246BE" w14:textId="77777777" w:rsidR="00B7662D" w:rsidRPr="00FC75D0" w:rsidRDefault="00B7662D" w:rsidP="00C77EAE">
            <w:pPr>
              <w:autoSpaceDE w:val="0"/>
              <w:autoSpaceDN w:val="0"/>
              <w:adjustRightInd w:val="0"/>
              <w:rPr>
                <w:rFonts w:cs="AdvOT1ef757c0"/>
                <w:sz w:val="20"/>
                <w:szCs w:val="20"/>
              </w:rPr>
            </w:pPr>
            <w:r w:rsidRPr="00FC75D0">
              <w:rPr>
                <w:rFonts w:ascii="Calibri" w:hAnsi="Calibri"/>
                <w:color w:val="000000"/>
                <w:sz w:val="20"/>
                <w:szCs w:val="20"/>
              </w:rPr>
              <w:t>follow-up of 6 months</w:t>
            </w:r>
          </w:p>
        </w:tc>
        <w:tc>
          <w:tcPr>
            <w:tcW w:w="7654" w:type="dxa"/>
          </w:tcPr>
          <w:p w14:paraId="73E0D5FD" w14:textId="6F479C7F"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BDI: </w:t>
            </w:r>
            <w:r w:rsidRPr="00FC75D0">
              <w:rPr>
                <w:rFonts w:ascii="Calibri" w:hAnsi="Calibri"/>
                <w:color w:val="000000"/>
                <w:sz w:val="20"/>
                <w:szCs w:val="20"/>
              </w:rPr>
              <w:t>Control (-2.1±4.8) vs treatment (-2.4±5.8); p=</w:t>
            </w:r>
            <w:r>
              <w:rPr>
                <w:rFonts w:ascii="Calibri" w:hAnsi="Calibri"/>
                <w:color w:val="000000"/>
                <w:sz w:val="20"/>
                <w:szCs w:val="20"/>
              </w:rPr>
              <w:t>0.834</w:t>
            </w:r>
          </w:p>
          <w:p w14:paraId="137E4B91"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Hamilton scale for anxiety: </w:t>
            </w:r>
            <w:r w:rsidRPr="00FC75D0">
              <w:rPr>
                <w:rFonts w:ascii="Calibri" w:hAnsi="Calibri"/>
                <w:color w:val="000000"/>
                <w:sz w:val="20"/>
                <w:szCs w:val="20"/>
              </w:rPr>
              <w:t>Control (-4.1±7.6) vs treatment (-3.6±5.1); p=</w:t>
            </w:r>
            <w:r>
              <w:rPr>
                <w:rFonts w:ascii="Calibri" w:hAnsi="Calibri"/>
                <w:color w:val="000000"/>
                <w:sz w:val="20"/>
                <w:szCs w:val="20"/>
              </w:rPr>
              <w:t>0.832</w:t>
            </w:r>
          </w:p>
          <w:p w14:paraId="6F25A881"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Hamilton scale for depression: </w:t>
            </w:r>
            <w:r w:rsidRPr="00FC75D0">
              <w:rPr>
                <w:rFonts w:ascii="Calibri" w:hAnsi="Calibri"/>
                <w:color w:val="000000"/>
                <w:sz w:val="20"/>
                <w:szCs w:val="20"/>
              </w:rPr>
              <w:t>Control (-0.6±2.9) vs treatment (-1.6±2.8); p=</w:t>
            </w:r>
            <w:r>
              <w:rPr>
                <w:rFonts w:ascii="Calibri" w:hAnsi="Calibri"/>
                <w:color w:val="000000"/>
                <w:sz w:val="20"/>
                <w:szCs w:val="20"/>
              </w:rPr>
              <w:t>0.245</w:t>
            </w:r>
          </w:p>
          <w:p w14:paraId="12BE4ADC" w14:textId="77777777" w:rsidR="00B7662D" w:rsidRPr="00FC75D0" w:rsidRDefault="00B7662D" w:rsidP="00C77EAE">
            <w:pPr>
              <w:rPr>
                <w:rFonts w:ascii="Calibri" w:hAnsi="Calibri"/>
                <w:b/>
                <w:color w:val="000000"/>
                <w:sz w:val="20"/>
                <w:szCs w:val="20"/>
              </w:rPr>
            </w:pPr>
            <w:r w:rsidRPr="00FC75D0">
              <w:rPr>
                <w:rFonts w:ascii="Calibri" w:hAnsi="Calibri"/>
                <w:b/>
                <w:color w:val="000000"/>
                <w:sz w:val="20"/>
                <w:szCs w:val="20"/>
              </w:rPr>
              <w:t xml:space="preserve">SF-36: </w:t>
            </w:r>
            <w:r w:rsidRPr="00FC75D0">
              <w:rPr>
                <w:rFonts w:ascii="Calibri" w:hAnsi="Calibri"/>
                <w:color w:val="000000"/>
                <w:sz w:val="20"/>
                <w:szCs w:val="20"/>
              </w:rPr>
              <w:t>Control (-0.8±1.6) vs treatment (-0.5±1.2); p=</w:t>
            </w:r>
            <w:r>
              <w:rPr>
                <w:rFonts w:ascii="Calibri" w:hAnsi="Calibri"/>
                <w:color w:val="000000"/>
                <w:sz w:val="20"/>
                <w:szCs w:val="20"/>
              </w:rPr>
              <w:t>0.939</w:t>
            </w:r>
          </w:p>
        </w:tc>
        <w:tc>
          <w:tcPr>
            <w:tcW w:w="2410" w:type="dxa"/>
          </w:tcPr>
          <w:p w14:paraId="294AA647" w14:textId="6E7A0951" w:rsidR="00B7662D" w:rsidRPr="00FC75D0" w:rsidRDefault="00B7662D" w:rsidP="00C77EAE">
            <w:pPr>
              <w:autoSpaceDE w:val="0"/>
              <w:autoSpaceDN w:val="0"/>
              <w:adjustRightInd w:val="0"/>
              <w:rPr>
                <w:rFonts w:cs="AdvOT1ef757c0"/>
                <w:sz w:val="20"/>
                <w:szCs w:val="20"/>
              </w:rPr>
            </w:pPr>
            <w:r w:rsidRPr="00FC75D0">
              <w:rPr>
                <w:rFonts w:ascii="Calibri" w:hAnsi="Calibri"/>
                <w:b/>
                <w:color w:val="000000"/>
                <w:sz w:val="20"/>
                <w:szCs w:val="20"/>
              </w:rPr>
              <w:t>NR</w:t>
            </w:r>
          </w:p>
        </w:tc>
      </w:tr>
      <w:tr w:rsidR="00B7662D" w:rsidRPr="00FC75D0" w14:paraId="296CEF3C" w14:textId="77777777" w:rsidTr="00C77EAE">
        <w:tc>
          <w:tcPr>
            <w:tcW w:w="1384" w:type="dxa"/>
          </w:tcPr>
          <w:p w14:paraId="4C2D33A9" w14:textId="77777777" w:rsidR="00B7662D" w:rsidRPr="00FC75D0" w:rsidRDefault="00B7662D" w:rsidP="00C77EAE">
            <w:pPr>
              <w:rPr>
                <w:rFonts w:cstheme="minorHAnsi"/>
                <w:sz w:val="20"/>
                <w:szCs w:val="20"/>
              </w:rPr>
            </w:pPr>
            <w:r w:rsidRPr="00FC75D0">
              <w:rPr>
                <w:rFonts w:cstheme="minorHAnsi"/>
                <w:sz w:val="20"/>
                <w:szCs w:val="20"/>
              </w:rPr>
              <w:t>Cabral, 2011, Brazil</w:t>
            </w:r>
          </w:p>
          <w:p w14:paraId="7D23B1E8" w14:textId="77777777" w:rsidR="00B7662D" w:rsidRPr="00FC75D0" w:rsidRDefault="00B7662D" w:rsidP="00C77EAE">
            <w:pPr>
              <w:rPr>
                <w:rFonts w:cstheme="minorHAnsi"/>
                <w:sz w:val="20"/>
                <w:szCs w:val="20"/>
              </w:rPr>
            </w:pPr>
          </w:p>
          <w:p w14:paraId="5D6D177A"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n=32</w:t>
            </w:r>
          </w:p>
          <w:p w14:paraId="3D2A8973" w14:textId="77777777" w:rsidR="00B7662D" w:rsidRPr="00FC75D0" w:rsidRDefault="00B7662D" w:rsidP="00C77EAE">
            <w:pPr>
              <w:rPr>
                <w:rFonts w:ascii="Calibri" w:hAnsi="Calibri"/>
                <w:color w:val="000000"/>
                <w:sz w:val="20"/>
                <w:szCs w:val="20"/>
              </w:rPr>
            </w:pPr>
          </w:p>
          <w:p w14:paraId="23E7CA5C" w14:textId="77777777" w:rsidR="00B7662D" w:rsidRPr="00FC75D0" w:rsidRDefault="00B7662D" w:rsidP="00C77EAE">
            <w:pPr>
              <w:rPr>
                <w:rFonts w:cstheme="minorHAnsi"/>
                <w:sz w:val="20"/>
                <w:szCs w:val="20"/>
              </w:rPr>
            </w:pPr>
            <w:r w:rsidRPr="00FC75D0">
              <w:rPr>
                <w:rFonts w:cs="AdvOT1ef757c0"/>
                <w:sz w:val="20"/>
                <w:szCs w:val="20"/>
              </w:rPr>
              <w:t>No treatment</w:t>
            </w:r>
          </w:p>
        </w:tc>
        <w:tc>
          <w:tcPr>
            <w:tcW w:w="1418" w:type="dxa"/>
          </w:tcPr>
          <w:p w14:paraId="0E4AED23" w14:textId="77777777" w:rsidR="00B7662D" w:rsidRPr="00FC75D0" w:rsidRDefault="00B7662D" w:rsidP="00C77EAE">
            <w:pPr>
              <w:autoSpaceDE w:val="0"/>
              <w:autoSpaceDN w:val="0"/>
              <w:adjustRightInd w:val="0"/>
              <w:rPr>
                <w:rFonts w:cs="AdvOT1ef757c0"/>
                <w:sz w:val="20"/>
                <w:szCs w:val="20"/>
              </w:rPr>
            </w:pPr>
            <w:r w:rsidRPr="00FC75D0">
              <w:rPr>
                <w:rFonts w:cs="AdvOT1ef757c0"/>
                <w:sz w:val="20"/>
                <w:szCs w:val="20"/>
              </w:rPr>
              <w:t>LT</w:t>
            </w:r>
            <w:r w:rsidRPr="00FC75D0">
              <w:rPr>
                <w:rFonts w:cs="AdvOT1ef757c0"/>
                <w:sz w:val="20"/>
                <w:szCs w:val="20"/>
                <w:vertAlign w:val="subscript"/>
              </w:rPr>
              <w:t>4</w:t>
            </w:r>
            <w:r w:rsidRPr="00FC75D0">
              <w:rPr>
                <w:rFonts w:cs="AdvOT1ef757c0"/>
                <w:sz w:val="20"/>
                <w:szCs w:val="20"/>
              </w:rPr>
              <w:t xml:space="preserve"> treatment (initial: 0.75 µg/kg/day titrated to achieve TSH, FT</w:t>
            </w:r>
            <w:r w:rsidRPr="00FC75D0">
              <w:rPr>
                <w:rFonts w:cs="AdvOT1ef757c0"/>
                <w:sz w:val="20"/>
                <w:szCs w:val="20"/>
                <w:vertAlign w:val="subscript"/>
              </w:rPr>
              <w:t>4</w:t>
            </w:r>
            <w:r w:rsidRPr="00FC75D0">
              <w:rPr>
                <w:rFonts w:cs="AdvOT1ef757c0"/>
                <w:sz w:val="20"/>
                <w:szCs w:val="20"/>
              </w:rPr>
              <w:t xml:space="preserve"> WNL,</w:t>
            </w:r>
          </w:p>
          <w:p w14:paraId="6B7816A7" w14:textId="77777777" w:rsidR="00B7662D" w:rsidRPr="00FC75D0" w:rsidRDefault="00B7662D" w:rsidP="00C77EAE">
            <w:pPr>
              <w:autoSpaceDE w:val="0"/>
              <w:autoSpaceDN w:val="0"/>
              <w:adjustRightInd w:val="0"/>
              <w:rPr>
                <w:rFonts w:cs="AdvOT1ef757c0"/>
                <w:sz w:val="20"/>
                <w:szCs w:val="20"/>
              </w:rPr>
            </w:pPr>
            <w:r w:rsidRPr="00FC75D0">
              <w:rPr>
                <w:rFonts w:ascii="Calibri" w:hAnsi="Calibri"/>
                <w:color w:val="000000"/>
                <w:sz w:val="20"/>
                <w:szCs w:val="20"/>
              </w:rPr>
              <w:t>follow-up of 1 year</w:t>
            </w:r>
          </w:p>
        </w:tc>
        <w:tc>
          <w:tcPr>
            <w:tcW w:w="7654" w:type="dxa"/>
          </w:tcPr>
          <w:p w14:paraId="7909F4AF" w14:textId="2CFCCDBC"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TC:</w:t>
            </w:r>
            <w:r w:rsidRPr="00FC75D0">
              <w:rPr>
                <w:rFonts w:ascii="Calibri" w:hAnsi="Calibri"/>
                <w:color w:val="000000"/>
                <w:sz w:val="20"/>
                <w:szCs w:val="20"/>
              </w:rPr>
              <w:t xml:space="preserve"> Control (227.6±36.9 mg/dL) vs treatment (208.4±36.7 mg/dL); </w:t>
            </w:r>
            <w:r w:rsidRPr="00D04D91">
              <w:rPr>
                <w:rFonts w:ascii="Calibri" w:hAnsi="Calibri"/>
                <w:color w:val="000000"/>
                <w:sz w:val="20"/>
                <w:szCs w:val="20"/>
              </w:rPr>
              <w:t>p≥0.05</w:t>
            </w:r>
          </w:p>
          <w:p w14:paraId="0DFCCCB2"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LDL: </w:t>
            </w:r>
            <w:r w:rsidRPr="00FC75D0">
              <w:rPr>
                <w:rFonts w:ascii="Calibri" w:hAnsi="Calibri"/>
                <w:color w:val="000000"/>
                <w:sz w:val="20"/>
                <w:szCs w:val="20"/>
              </w:rPr>
              <w:t xml:space="preserve">Control (150.6±37.74 mg/dL) vs treatment (132.8±37.5 mg/dL); </w:t>
            </w:r>
            <w:r>
              <w:rPr>
                <w:rFonts w:ascii="Calibri" w:hAnsi="Calibri"/>
                <w:color w:val="000000"/>
                <w:sz w:val="20"/>
                <w:szCs w:val="20"/>
              </w:rPr>
              <w:t>p≥0.05</w:t>
            </w:r>
          </w:p>
          <w:p w14:paraId="36458A87"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HDL: </w:t>
            </w:r>
            <w:r w:rsidRPr="00FC75D0">
              <w:rPr>
                <w:rFonts w:ascii="Calibri" w:hAnsi="Calibri"/>
                <w:color w:val="000000"/>
                <w:sz w:val="20"/>
                <w:szCs w:val="20"/>
              </w:rPr>
              <w:t xml:space="preserve">Control (49.61±9.74 mg/dL) vs treatment (54.36±12.3 mg/dL); </w:t>
            </w:r>
            <w:r>
              <w:rPr>
                <w:rFonts w:ascii="Calibri" w:hAnsi="Calibri"/>
                <w:color w:val="000000"/>
                <w:sz w:val="20"/>
                <w:szCs w:val="20"/>
              </w:rPr>
              <w:t>p≥0.05</w:t>
            </w:r>
          </w:p>
          <w:p w14:paraId="24E029EC" w14:textId="77777777" w:rsidR="00B7662D" w:rsidRPr="00FC75D0" w:rsidRDefault="00B7662D" w:rsidP="00C77EAE">
            <w:pPr>
              <w:autoSpaceDE w:val="0"/>
              <w:autoSpaceDN w:val="0"/>
              <w:adjustRightInd w:val="0"/>
              <w:rPr>
                <w:rFonts w:cs="AdvOT1ef757c0"/>
                <w:i/>
                <w:sz w:val="20"/>
                <w:szCs w:val="20"/>
              </w:rPr>
            </w:pPr>
            <w:r w:rsidRPr="00FC75D0">
              <w:rPr>
                <w:rFonts w:ascii="Calibri" w:hAnsi="Calibri"/>
                <w:b/>
                <w:color w:val="000000"/>
                <w:sz w:val="20"/>
                <w:szCs w:val="20"/>
              </w:rPr>
              <w:t xml:space="preserve">TG: </w:t>
            </w:r>
            <w:r w:rsidRPr="00FC75D0">
              <w:rPr>
                <w:rFonts w:ascii="Calibri" w:hAnsi="Calibri"/>
                <w:color w:val="000000"/>
                <w:sz w:val="20"/>
                <w:szCs w:val="20"/>
              </w:rPr>
              <w:t xml:space="preserve">Control (137.0±56.06 mg/dL) vs treatment (106.0±36.7 mg/dL); </w:t>
            </w:r>
            <w:r>
              <w:rPr>
                <w:rFonts w:ascii="Calibri" w:hAnsi="Calibri"/>
                <w:color w:val="000000"/>
                <w:sz w:val="20"/>
                <w:szCs w:val="20"/>
              </w:rPr>
              <w:t>p≥0.05</w:t>
            </w:r>
          </w:p>
        </w:tc>
        <w:tc>
          <w:tcPr>
            <w:tcW w:w="2410" w:type="dxa"/>
          </w:tcPr>
          <w:p w14:paraId="46B50426" w14:textId="4F5E59CD" w:rsidR="00B7662D" w:rsidRPr="00FC75D0" w:rsidRDefault="00B7662D" w:rsidP="00C77EAE">
            <w:pPr>
              <w:autoSpaceDE w:val="0"/>
              <w:autoSpaceDN w:val="0"/>
              <w:adjustRightInd w:val="0"/>
              <w:rPr>
                <w:rFonts w:cs="AdvOT1ef757c0"/>
                <w:sz w:val="20"/>
                <w:szCs w:val="20"/>
              </w:rPr>
            </w:pPr>
            <w:r w:rsidRPr="00FC75D0">
              <w:rPr>
                <w:rFonts w:ascii="Calibri" w:hAnsi="Calibri"/>
                <w:b/>
                <w:color w:val="000000"/>
                <w:sz w:val="20"/>
                <w:szCs w:val="20"/>
              </w:rPr>
              <w:t>NR</w:t>
            </w:r>
          </w:p>
        </w:tc>
      </w:tr>
      <w:tr w:rsidR="00B7662D" w:rsidRPr="00FC75D0" w14:paraId="082AFA91" w14:textId="77777777" w:rsidTr="00C77EAE">
        <w:tc>
          <w:tcPr>
            <w:tcW w:w="1384" w:type="dxa"/>
          </w:tcPr>
          <w:p w14:paraId="5322AAEF" w14:textId="77777777" w:rsidR="00B7662D" w:rsidRPr="00FC75D0" w:rsidRDefault="00B7662D" w:rsidP="00C77EAE">
            <w:pPr>
              <w:rPr>
                <w:rFonts w:cstheme="minorHAnsi"/>
                <w:sz w:val="20"/>
                <w:szCs w:val="20"/>
              </w:rPr>
            </w:pPr>
            <w:r w:rsidRPr="00FC75D0">
              <w:rPr>
                <w:rFonts w:cstheme="minorHAnsi"/>
                <w:sz w:val="20"/>
                <w:szCs w:val="20"/>
              </w:rPr>
              <w:t>Parle, 2010, UK</w:t>
            </w:r>
          </w:p>
          <w:p w14:paraId="7404805E" w14:textId="77777777" w:rsidR="00B7662D" w:rsidRPr="00FC75D0" w:rsidRDefault="00B7662D" w:rsidP="00C77EAE">
            <w:pPr>
              <w:rPr>
                <w:rFonts w:cstheme="minorHAnsi"/>
                <w:sz w:val="20"/>
                <w:szCs w:val="20"/>
              </w:rPr>
            </w:pPr>
          </w:p>
          <w:p w14:paraId="6BBD856A"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n=94</w:t>
            </w:r>
          </w:p>
          <w:p w14:paraId="60B429AB" w14:textId="77777777" w:rsidR="00B7662D" w:rsidRPr="00FC75D0" w:rsidRDefault="00B7662D" w:rsidP="00C77EAE">
            <w:pPr>
              <w:rPr>
                <w:rFonts w:ascii="Calibri" w:hAnsi="Calibri"/>
                <w:color w:val="000000"/>
                <w:sz w:val="20"/>
                <w:szCs w:val="20"/>
              </w:rPr>
            </w:pPr>
          </w:p>
          <w:p w14:paraId="7AAF7031" w14:textId="77777777" w:rsidR="00B7662D" w:rsidRPr="00FC75D0" w:rsidRDefault="00B7662D" w:rsidP="00C77EAE">
            <w:pPr>
              <w:rPr>
                <w:rFonts w:cstheme="minorHAnsi"/>
                <w:sz w:val="20"/>
                <w:szCs w:val="20"/>
              </w:rPr>
            </w:pPr>
            <w:r w:rsidRPr="00FC75D0">
              <w:rPr>
                <w:rFonts w:cs="AdvOT1ef757c0"/>
                <w:sz w:val="20"/>
                <w:szCs w:val="20"/>
              </w:rPr>
              <w:t>Placebo</w:t>
            </w:r>
          </w:p>
        </w:tc>
        <w:tc>
          <w:tcPr>
            <w:tcW w:w="1418" w:type="dxa"/>
          </w:tcPr>
          <w:p w14:paraId="376FF74C" w14:textId="77777777" w:rsidR="00B7662D" w:rsidRPr="00FC75D0" w:rsidRDefault="00B7662D" w:rsidP="00C77EAE">
            <w:pPr>
              <w:autoSpaceDE w:val="0"/>
              <w:autoSpaceDN w:val="0"/>
              <w:adjustRightInd w:val="0"/>
              <w:rPr>
                <w:rFonts w:cs="AdvOT1ef757c0"/>
                <w:sz w:val="20"/>
                <w:szCs w:val="20"/>
              </w:rPr>
            </w:pPr>
            <w:r w:rsidRPr="00FC75D0">
              <w:rPr>
                <w:rFonts w:cs="AdvOT1ef757c0"/>
                <w:sz w:val="20"/>
                <w:szCs w:val="20"/>
              </w:rPr>
              <w:t>LT</w:t>
            </w:r>
            <w:r w:rsidRPr="00FC75D0">
              <w:rPr>
                <w:rFonts w:cs="AdvOT1ef757c0"/>
                <w:sz w:val="20"/>
                <w:szCs w:val="20"/>
                <w:vertAlign w:val="subscript"/>
              </w:rPr>
              <w:t>4</w:t>
            </w:r>
            <w:r w:rsidRPr="00FC75D0">
              <w:rPr>
                <w:rFonts w:cs="AdvOT1ef757c0"/>
                <w:sz w:val="20"/>
                <w:szCs w:val="20"/>
              </w:rPr>
              <w:t xml:space="preserve"> treatment (initial: 25 µg/day titrated to achieve TSH WNL),</w:t>
            </w:r>
          </w:p>
          <w:p w14:paraId="5D6EDCE0" w14:textId="77777777" w:rsidR="00B7662D" w:rsidRPr="00FC75D0" w:rsidRDefault="00B7662D" w:rsidP="00C77EAE">
            <w:pPr>
              <w:autoSpaceDE w:val="0"/>
              <w:autoSpaceDN w:val="0"/>
              <w:adjustRightInd w:val="0"/>
              <w:rPr>
                <w:rFonts w:cs="AdvOT1ef757c0"/>
                <w:sz w:val="20"/>
                <w:szCs w:val="20"/>
              </w:rPr>
            </w:pPr>
            <w:r w:rsidRPr="00FC75D0">
              <w:rPr>
                <w:rFonts w:ascii="Calibri" w:hAnsi="Calibri"/>
                <w:color w:val="000000"/>
                <w:sz w:val="20"/>
                <w:szCs w:val="20"/>
              </w:rPr>
              <w:t>follow-up of 12 months</w:t>
            </w:r>
          </w:p>
        </w:tc>
        <w:tc>
          <w:tcPr>
            <w:tcW w:w="7654" w:type="dxa"/>
          </w:tcPr>
          <w:p w14:paraId="011C550C" w14:textId="33928906" w:rsidR="00B7662D" w:rsidRPr="00FC75D0" w:rsidRDefault="00B7662D" w:rsidP="00C77EAE">
            <w:pPr>
              <w:autoSpaceDE w:val="0"/>
              <w:autoSpaceDN w:val="0"/>
              <w:adjustRightInd w:val="0"/>
              <w:rPr>
                <w:rFonts w:ascii="Calibri" w:hAnsi="Calibri"/>
                <w:color w:val="000000"/>
                <w:sz w:val="20"/>
                <w:szCs w:val="20"/>
              </w:rPr>
            </w:pPr>
            <w:r w:rsidRPr="00FC75D0">
              <w:rPr>
                <w:rFonts w:cs="AdvOT1ef757c0"/>
                <w:b/>
                <w:sz w:val="20"/>
                <w:szCs w:val="20"/>
              </w:rPr>
              <w:t xml:space="preserve">HADS: </w:t>
            </w:r>
            <w:r w:rsidRPr="00FC75D0">
              <w:rPr>
                <w:rFonts w:ascii="Calibri" w:hAnsi="Calibri"/>
                <w:color w:val="000000"/>
                <w:sz w:val="20"/>
                <w:szCs w:val="20"/>
              </w:rPr>
              <w:t>Control (3.3</w:t>
            </w:r>
            <w:r>
              <w:rPr>
                <w:rFonts w:ascii="Calibri" w:hAnsi="Calibri"/>
                <w:color w:val="000000"/>
                <w:sz w:val="20"/>
                <w:szCs w:val="20"/>
              </w:rPr>
              <w:t>1</w:t>
            </w:r>
            <w:r w:rsidRPr="00FC75D0">
              <w:rPr>
                <w:rFonts w:ascii="Calibri" w:hAnsi="Calibri"/>
                <w:color w:val="000000"/>
                <w:sz w:val="20"/>
                <w:szCs w:val="20"/>
              </w:rPr>
              <w:t>(SE</w:t>
            </w:r>
            <w:r>
              <w:rPr>
                <w:rFonts w:ascii="Calibri" w:hAnsi="Calibri"/>
                <w:color w:val="000000"/>
                <w:sz w:val="20"/>
                <w:szCs w:val="20"/>
              </w:rPr>
              <w:t>M</w:t>
            </w:r>
            <w:r w:rsidRPr="00FC75D0">
              <w:rPr>
                <w:rFonts w:ascii="Calibri" w:hAnsi="Calibri"/>
                <w:color w:val="000000"/>
                <w:sz w:val="20"/>
                <w:szCs w:val="20"/>
              </w:rPr>
              <w:t>=0.</w:t>
            </w:r>
            <w:r>
              <w:rPr>
                <w:rFonts w:ascii="Calibri" w:hAnsi="Calibri"/>
                <w:color w:val="000000"/>
                <w:sz w:val="20"/>
                <w:szCs w:val="20"/>
              </w:rPr>
              <w:t>47</w:t>
            </w:r>
            <w:r w:rsidRPr="00FC75D0">
              <w:rPr>
                <w:rFonts w:ascii="Calibri" w:hAnsi="Calibri"/>
                <w:color w:val="000000"/>
                <w:sz w:val="20"/>
                <w:szCs w:val="20"/>
              </w:rPr>
              <w:t>)) vs treatment (3.</w:t>
            </w:r>
            <w:r>
              <w:rPr>
                <w:rFonts w:ascii="Calibri" w:hAnsi="Calibri"/>
                <w:color w:val="000000"/>
                <w:sz w:val="20"/>
                <w:szCs w:val="20"/>
              </w:rPr>
              <w:t>61</w:t>
            </w:r>
            <w:r w:rsidRPr="00FC75D0">
              <w:rPr>
                <w:rFonts w:ascii="Calibri" w:hAnsi="Calibri"/>
                <w:color w:val="000000"/>
                <w:sz w:val="20"/>
                <w:szCs w:val="20"/>
              </w:rPr>
              <w:t>(SE</w:t>
            </w:r>
            <w:r>
              <w:rPr>
                <w:rFonts w:ascii="Calibri" w:hAnsi="Calibri"/>
                <w:color w:val="000000"/>
                <w:sz w:val="20"/>
                <w:szCs w:val="20"/>
              </w:rPr>
              <w:t>M</w:t>
            </w:r>
            <w:r w:rsidRPr="00FC75D0">
              <w:rPr>
                <w:rFonts w:ascii="Calibri" w:hAnsi="Calibri"/>
                <w:color w:val="000000"/>
                <w:sz w:val="20"/>
                <w:szCs w:val="20"/>
              </w:rPr>
              <w:t>=0.</w:t>
            </w:r>
            <w:r>
              <w:rPr>
                <w:rFonts w:ascii="Calibri" w:hAnsi="Calibri"/>
                <w:color w:val="000000"/>
                <w:sz w:val="20"/>
                <w:szCs w:val="20"/>
              </w:rPr>
              <w:t>36</w:t>
            </w:r>
            <w:r w:rsidRPr="00FC75D0">
              <w:rPr>
                <w:rFonts w:ascii="Calibri" w:hAnsi="Calibri"/>
                <w:color w:val="000000"/>
                <w:sz w:val="20"/>
                <w:szCs w:val="20"/>
              </w:rPr>
              <w:t>)); p=</w:t>
            </w:r>
            <w:r>
              <w:rPr>
                <w:rFonts w:ascii="Calibri" w:hAnsi="Calibri"/>
                <w:color w:val="000000"/>
                <w:sz w:val="20"/>
                <w:szCs w:val="20"/>
              </w:rPr>
              <w:t>0.61</w:t>
            </w:r>
          </w:p>
          <w:p w14:paraId="36F74E67" w14:textId="59D8B914" w:rsidR="00B7662D" w:rsidRPr="00FC75D0" w:rsidRDefault="00B7662D" w:rsidP="00C77EAE">
            <w:pPr>
              <w:autoSpaceDE w:val="0"/>
              <w:autoSpaceDN w:val="0"/>
              <w:adjustRightInd w:val="0"/>
              <w:rPr>
                <w:rFonts w:ascii="Calibri" w:hAnsi="Calibri"/>
                <w:color w:val="000000"/>
                <w:sz w:val="20"/>
                <w:szCs w:val="20"/>
              </w:rPr>
            </w:pPr>
            <w:r w:rsidRPr="00FC75D0">
              <w:rPr>
                <w:rFonts w:ascii="Calibri" w:hAnsi="Calibri"/>
                <w:b/>
                <w:color w:val="000000"/>
                <w:sz w:val="20"/>
                <w:szCs w:val="20"/>
              </w:rPr>
              <w:t xml:space="preserve">TM test A: </w:t>
            </w:r>
            <w:r w:rsidRPr="00FC75D0">
              <w:rPr>
                <w:rFonts w:ascii="Calibri" w:hAnsi="Calibri"/>
                <w:color w:val="000000"/>
                <w:sz w:val="20"/>
                <w:szCs w:val="20"/>
              </w:rPr>
              <w:t>Control (46.</w:t>
            </w:r>
            <w:r>
              <w:rPr>
                <w:rFonts w:ascii="Calibri" w:hAnsi="Calibri"/>
                <w:color w:val="000000"/>
                <w:sz w:val="20"/>
                <w:szCs w:val="20"/>
              </w:rPr>
              <w:t>97</w:t>
            </w:r>
            <w:r w:rsidRPr="00FC75D0">
              <w:rPr>
                <w:rFonts w:ascii="Calibri" w:hAnsi="Calibri"/>
                <w:color w:val="000000"/>
                <w:sz w:val="20"/>
                <w:szCs w:val="20"/>
              </w:rPr>
              <w:t>(SE</w:t>
            </w:r>
            <w:r>
              <w:rPr>
                <w:rFonts w:ascii="Calibri" w:hAnsi="Calibri"/>
                <w:color w:val="000000"/>
                <w:sz w:val="20"/>
                <w:szCs w:val="20"/>
              </w:rPr>
              <w:t>M</w:t>
            </w:r>
            <w:r w:rsidRPr="00FC75D0">
              <w:rPr>
                <w:rFonts w:ascii="Calibri" w:hAnsi="Calibri"/>
                <w:color w:val="000000"/>
                <w:sz w:val="20"/>
                <w:szCs w:val="20"/>
              </w:rPr>
              <w:t>=</w:t>
            </w:r>
            <w:r>
              <w:rPr>
                <w:rFonts w:ascii="Calibri" w:hAnsi="Calibri"/>
                <w:color w:val="000000"/>
                <w:sz w:val="20"/>
                <w:szCs w:val="20"/>
              </w:rPr>
              <w:t>3.55</w:t>
            </w:r>
            <w:r w:rsidRPr="00FC75D0">
              <w:rPr>
                <w:rFonts w:ascii="Calibri" w:hAnsi="Calibri"/>
                <w:color w:val="000000"/>
                <w:sz w:val="20"/>
                <w:szCs w:val="20"/>
              </w:rPr>
              <w:t>)) vs treatment (4</w:t>
            </w:r>
            <w:r>
              <w:rPr>
                <w:rFonts w:ascii="Calibri" w:hAnsi="Calibri"/>
                <w:color w:val="000000"/>
                <w:sz w:val="20"/>
                <w:szCs w:val="20"/>
              </w:rPr>
              <w:t>4.52</w:t>
            </w:r>
            <w:r w:rsidRPr="00FC75D0">
              <w:rPr>
                <w:rFonts w:ascii="Calibri" w:hAnsi="Calibri"/>
                <w:color w:val="000000"/>
                <w:sz w:val="20"/>
                <w:szCs w:val="20"/>
              </w:rPr>
              <w:t>(SE</w:t>
            </w:r>
            <w:r>
              <w:rPr>
                <w:rFonts w:ascii="Calibri" w:hAnsi="Calibri"/>
                <w:color w:val="000000"/>
                <w:sz w:val="20"/>
                <w:szCs w:val="20"/>
              </w:rPr>
              <w:t>M</w:t>
            </w:r>
            <w:r w:rsidRPr="00FC75D0">
              <w:rPr>
                <w:rFonts w:ascii="Calibri" w:hAnsi="Calibri"/>
                <w:color w:val="000000"/>
                <w:sz w:val="20"/>
                <w:szCs w:val="20"/>
              </w:rPr>
              <w:t>=2.6</w:t>
            </w:r>
            <w:r>
              <w:rPr>
                <w:rFonts w:ascii="Calibri" w:hAnsi="Calibri"/>
                <w:color w:val="000000"/>
                <w:sz w:val="20"/>
                <w:szCs w:val="20"/>
              </w:rPr>
              <w:t>2</w:t>
            </w:r>
            <w:r w:rsidRPr="00FC75D0">
              <w:rPr>
                <w:rFonts w:ascii="Calibri" w:hAnsi="Calibri"/>
                <w:color w:val="000000"/>
                <w:sz w:val="20"/>
                <w:szCs w:val="20"/>
              </w:rPr>
              <w:t>)); p=</w:t>
            </w:r>
            <w:r>
              <w:rPr>
                <w:rFonts w:ascii="Calibri" w:hAnsi="Calibri"/>
                <w:color w:val="000000"/>
                <w:sz w:val="20"/>
                <w:szCs w:val="20"/>
              </w:rPr>
              <w:t>0.57</w:t>
            </w:r>
          </w:p>
          <w:p w14:paraId="4887A33B" w14:textId="27510FAA" w:rsidR="00B7662D" w:rsidRPr="00FC75D0" w:rsidRDefault="00B7662D" w:rsidP="00C77EAE">
            <w:pPr>
              <w:autoSpaceDE w:val="0"/>
              <w:autoSpaceDN w:val="0"/>
              <w:adjustRightInd w:val="0"/>
              <w:rPr>
                <w:rFonts w:ascii="Calibri" w:hAnsi="Calibri"/>
                <w:color w:val="000000"/>
                <w:sz w:val="20"/>
                <w:szCs w:val="20"/>
              </w:rPr>
            </w:pPr>
            <w:r w:rsidRPr="00FC75D0">
              <w:rPr>
                <w:rFonts w:ascii="Calibri" w:hAnsi="Calibri"/>
                <w:b/>
                <w:color w:val="000000"/>
                <w:sz w:val="20"/>
                <w:szCs w:val="20"/>
              </w:rPr>
              <w:t xml:space="preserve">TM test B: </w:t>
            </w:r>
            <w:r w:rsidRPr="00FC75D0">
              <w:rPr>
                <w:rFonts w:ascii="Calibri" w:hAnsi="Calibri"/>
                <w:color w:val="000000"/>
                <w:sz w:val="20"/>
                <w:szCs w:val="20"/>
              </w:rPr>
              <w:t>Control (</w:t>
            </w:r>
            <w:r>
              <w:rPr>
                <w:rFonts w:ascii="Calibri" w:hAnsi="Calibri"/>
                <w:color w:val="000000"/>
                <w:sz w:val="20"/>
                <w:szCs w:val="20"/>
              </w:rPr>
              <w:t>108.38</w:t>
            </w:r>
            <w:r w:rsidRPr="00FC75D0">
              <w:rPr>
                <w:rFonts w:ascii="Calibri" w:hAnsi="Calibri"/>
                <w:color w:val="000000"/>
                <w:sz w:val="20"/>
                <w:szCs w:val="20"/>
              </w:rPr>
              <w:t>(SE</w:t>
            </w:r>
            <w:r>
              <w:rPr>
                <w:rFonts w:ascii="Calibri" w:hAnsi="Calibri"/>
                <w:color w:val="000000"/>
                <w:sz w:val="20"/>
                <w:szCs w:val="20"/>
              </w:rPr>
              <w:t>M</w:t>
            </w:r>
            <w:r w:rsidRPr="00FC75D0">
              <w:rPr>
                <w:rFonts w:ascii="Calibri" w:hAnsi="Calibri"/>
                <w:color w:val="000000"/>
                <w:sz w:val="20"/>
                <w:szCs w:val="20"/>
              </w:rPr>
              <w:t>=</w:t>
            </w:r>
            <w:r>
              <w:rPr>
                <w:rFonts w:ascii="Calibri" w:hAnsi="Calibri"/>
                <w:color w:val="000000"/>
                <w:sz w:val="20"/>
                <w:szCs w:val="20"/>
              </w:rPr>
              <w:t>14.12</w:t>
            </w:r>
            <w:r w:rsidRPr="00FC75D0">
              <w:rPr>
                <w:rFonts w:ascii="Calibri" w:hAnsi="Calibri"/>
                <w:color w:val="000000"/>
                <w:sz w:val="20"/>
                <w:szCs w:val="20"/>
              </w:rPr>
              <w:t>)) vs treatment (</w:t>
            </w:r>
            <w:r>
              <w:rPr>
                <w:rFonts w:ascii="Calibri" w:hAnsi="Calibri"/>
                <w:color w:val="000000"/>
                <w:sz w:val="20"/>
                <w:szCs w:val="20"/>
              </w:rPr>
              <w:t>96.67</w:t>
            </w:r>
            <w:r w:rsidRPr="00FC75D0">
              <w:rPr>
                <w:rFonts w:ascii="Calibri" w:hAnsi="Calibri"/>
                <w:color w:val="000000"/>
                <w:sz w:val="20"/>
                <w:szCs w:val="20"/>
              </w:rPr>
              <w:t>(SE</w:t>
            </w:r>
            <w:r>
              <w:rPr>
                <w:rFonts w:ascii="Calibri" w:hAnsi="Calibri"/>
                <w:color w:val="000000"/>
                <w:sz w:val="20"/>
                <w:szCs w:val="20"/>
              </w:rPr>
              <w:t>M</w:t>
            </w:r>
            <w:r w:rsidRPr="00FC75D0">
              <w:rPr>
                <w:rFonts w:ascii="Calibri" w:hAnsi="Calibri"/>
                <w:color w:val="000000"/>
                <w:sz w:val="20"/>
                <w:szCs w:val="20"/>
              </w:rPr>
              <w:t>=</w:t>
            </w:r>
            <w:r>
              <w:rPr>
                <w:rFonts w:ascii="Calibri" w:hAnsi="Calibri"/>
                <w:color w:val="000000"/>
                <w:sz w:val="20"/>
                <w:szCs w:val="20"/>
              </w:rPr>
              <w:t>9.62</w:t>
            </w:r>
            <w:r w:rsidRPr="00FC75D0">
              <w:rPr>
                <w:rFonts w:ascii="Calibri" w:hAnsi="Calibri"/>
                <w:color w:val="000000"/>
                <w:sz w:val="20"/>
                <w:szCs w:val="20"/>
              </w:rPr>
              <w:t>)); p=</w:t>
            </w:r>
            <w:r>
              <w:rPr>
                <w:rFonts w:ascii="Calibri" w:hAnsi="Calibri"/>
                <w:color w:val="000000"/>
                <w:sz w:val="20"/>
                <w:szCs w:val="20"/>
              </w:rPr>
              <w:t>0.48</w:t>
            </w:r>
          </w:p>
          <w:p w14:paraId="168DDD43" w14:textId="41856085" w:rsidR="00B7662D" w:rsidRPr="00FC75D0" w:rsidRDefault="00B7662D" w:rsidP="00C77EAE">
            <w:pPr>
              <w:autoSpaceDE w:val="0"/>
              <w:autoSpaceDN w:val="0"/>
              <w:adjustRightInd w:val="0"/>
              <w:rPr>
                <w:rFonts w:ascii="Calibri" w:hAnsi="Calibri"/>
                <w:color w:val="000000"/>
                <w:sz w:val="20"/>
                <w:szCs w:val="20"/>
              </w:rPr>
            </w:pPr>
            <w:r w:rsidRPr="00FC75D0">
              <w:rPr>
                <w:rFonts w:ascii="Calibri" w:hAnsi="Calibri"/>
                <w:b/>
                <w:color w:val="000000"/>
                <w:sz w:val="20"/>
                <w:szCs w:val="20"/>
              </w:rPr>
              <w:t xml:space="preserve">TM test B-A: </w:t>
            </w:r>
            <w:r w:rsidRPr="00FC75D0">
              <w:rPr>
                <w:rFonts w:ascii="Calibri" w:hAnsi="Calibri"/>
                <w:color w:val="000000"/>
                <w:sz w:val="20"/>
                <w:szCs w:val="20"/>
              </w:rPr>
              <w:t>Control (</w:t>
            </w:r>
            <w:r>
              <w:rPr>
                <w:rFonts w:ascii="Calibri" w:hAnsi="Calibri"/>
                <w:color w:val="000000"/>
                <w:sz w:val="20"/>
                <w:szCs w:val="20"/>
              </w:rPr>
              <w:t>63.76</w:t>
            </w:r>
            <w:r w:rsidRPr="00FC75D0">
              <w:rPr>
                <w:rFonts w:ascii="Calibri" w:hAnsi="Calibri"/>
                <w:color w:val="000000"/>
                <w:sz w:val="20"/>
                <w:szCs w:val="20"/>
              </w:rPr>
              <w:t>(SE</w:t>
            </w:r>
            <w:r>
              <w:rPr>
                <w:rFonts w:ascii="Calibri" w:hAnsi="Calibri"/>
                <w:color w:val="000000"/>
                <w:sz w:val="20"/>
                <w:szCs w:val="20"/>
              </w:rPr>
              <w:t>M</w:t>
            </w:r>
            <w:r w:rsidRPr="00FC75D0">
              <w:rPr>
                <w:rFonts w:ascii="Calibri" w:hAnsi="Calibri"/>
                <w:color w:val="000000"/>
                <w:sz w:val="20"/>
                <w:szCs w:val="20"/>
              </w:rPr>
              <w:t>=</w:t>
            </w:r>
            <w:r>
              <w:rPr>
                <w:rFonts w:ascii="Calibri" w:hAnsi="Calibri"/>
                <w:color w:val="000000"/>
                <w:sz w:val="20"/>
                <w:szCs w:val="20"/>
              </w:rPr>
              <w:t>11.72</w:t>
            </w:r>
            <w:r w:rsidRPr="00FC75D0">
              <w:rPr>
                <w:rFonts w:ascii="Calibri" w:hAnsi="Calibri"/>
                <w:color w:val="000000"/>
                <w:sz w:val="20"/>
                <w:szCs w:val="20"/>
              </w:rPr>
              <w:t>)) vs treatment (</w:t>
            </w:r>
            <w:r>
              <w:rPr>
                <w:rFonts w:ascii="Calibri" w:hAnsi="Calibri"/>
                <w:color w:val="000000"/>
                <w:sz w:val="20"/>
                <w:szCs w:val="20"/>
              </w:rPr>
              <w:t>52.15</w:t>
            </w:r>
            <w:r w:rsidRPr="00FC75D0">
              <w:rPr>
                <w:rFonts w:ascii="Calibri" w:hAnsi="Calibri"/>
                <w:color w:val="000000"/>
                <w:sz w:val="20"/>
                <w:szCs w:val="20"/>
              </w:rPr>
              <w:t>(SE</w:t>
            </w:r>
            <w:r>
              <w:rPr>
                <w:rFonts w:ascii="Calibri" w:hAnsi="Calibri"/>
                <w:color w:val="000000"/>
                <w:sz w:val="20"/>
                <w:szCs w:val="20"/>
              </w:rPr>
              <w:t>M</w:t>
            </w:r>
            <w:r w:rsidRPr="00FC75D0">
              <w:rPr>
                <w:rFonts w:ascii="Calibri" w:hAnsi="Calibri"/>
                <w:color w:val="000000"/>
                <w:sz w:val="20"/>
                <w:szCs w:val="20"/>
              </w:rPr>
              <w:t>=</w:t>
            </w:r>
            <w:r>
              <w:rPr>
                <w:rFonts w:ascii="Calibri" w:hAnsi="Calibri"/>
                <w:color w:val="000000"/>
                <w:sz w:val="20"/>
                <w:szCs w:val="20"/>
              </w:rPr>
              <w:t>6.53</w:t>
            </w:r>
            <w:r w:rsidRPr="00FC75D0">
              <w:rPr>
                <w:rFonts w:ascii="Calibri" w:hAnsi="Calibri"/>
                <w:color w:val="000000"/>
                <w:sz w:val="20"/>
                <w:szCs w:val="20"/>
              </w:rPr>
              <w:t>)); p=</w:t>
            </w:r>
            <w:r>
              <w:rPr>
                <w:rFonts w:ascii="Calibri" w:hAnsi="Calibri"/>
                <w:color w:val="000000"/>
                <w:sz w:val="20"/>
                <w:szCs w:val="20"/>
              </w:rPr>
              <w:t>0.36</w:t>
            </w:r>
          </w:p>
          <w:p w14:paraId="5B6E0A1C" w14:textId="3A4B3D14" w:rsidR="00B7662D" w:rsidRPr="00FC75D0" w:rsidRDefault="00B7662D" w:rsidP="00C77EAE">
            <w:pPr>
              <w:autoSpaceDE w:val="0"/>
              <w:autoSpaceDN w:val="0"/>
              <w:adjustRightInd w:val="0"/>
              <w:rPr>
                <w:rFonts w:ascii="Calibri" w:hAnsi="Calibri"/>
                <w:color w:val="000000"/>
                <w:sz w:val="20"/>
                <w:szCs w:val="20"/>
              </w:rPr>
            </w:pPr>
            <w:r w:rsidRPr="00FC75D0">
              <w:rPr>
                <w:rFonts w:ascii="Calibri" w:hAnsi="Calibri"/>
                <w:b/>
                <w:color w:val="000000"/>
                <w:sz w:val="20"/>
                <w:szCs w:val="20"/>
              </w:rPr>
              <w:t xml:space="preserve">MEAMS: </w:t>
            </w:r>
            <w:r w:rsidRPr="00FC75D0">
              <w:rPr>
                <w:rFonts w:ascii="Calibri" w:hAnsi="Calibri"/>
                <w:color w:val="000000"/>
                <w:sz w:val="20"/>
                <w:szCs w:val="20"/>
              </w:rPr>
              <w:t>Control (</w:t>
            </w:r>
            <w:r>
              <w:rPr>
                <w:rFonts w:ascii="Calibri" w:hAnsi="Calibri"/>
                <w:color w:val="000000"/>
                <w:sz w:val="20"/>
                <w:szCs w:val="20"/>
              </w:rPr>
              <w:t>11.44</w:t>
            </w:r>
            <w:r w:rsidRPr="00FC75D0">
              <w:rPr>
                <w:rFonts w:ascii="Calibri" w:hAnsi="Calibri"/>
                <w:color w:val="000000"/>
                <w:sz w:val="20"/>
                <w:szCs w:val="20"/>
              </w:rPr>
              <w:t>(SE</w:t>
            </w:r>
            <w:r>
              <w:rPr>
                <w:rFonts w:ascii="Calibri" w:hAnsi="Calibri"/>
                <w:color w:val="000000"/>
                <w:sz w:val="20"/>
                <w:szCs w:val="20"/>
              </w:rPr>
              <w:t>M</w:t>
            </w:r>
            <w:r w:rsidRPr="00FC75D0">
              <w:rPr>
                <w:rFonts w:ascii="Calibri" w:hAnsi="Calibri"/>
                <w:color w:val="000000"/>
                <w:sz w:val="20"/>
                <w:szCs w:val="20"/>
              </w:rPr>
              <w:t>=0.</w:t>
            </w:r>
            <w:r>
              <w:rPr>
                <w:rFonts w:ascii="Calibri" w:hAnsi="Calibri"/>
                <w:color w:val="000000"/>
                <w:sz w:val="20"/>
                <w:szCs w:val="20"/>
              </w:rPr>
              <w:t>20</w:t>
            </w:r>
            <w:r w:rsidRPr="00FC75D0">
              <w:rPr>
                <w:rFonts w:ascii="Calibri" w:hAnsi="Calibri"/>
                <w:color w:val="000000"/>
                <w:sz w:val="20"/>
                <w:szCs w:val="20"/>
              </w:rPr>
              <w:t>)) vs treatment (</w:t>
            </w:r>
            <w:r>
              <w:rPr>
                <w:rFonts w:ascii="Calibri" w:hAnsi="Calibri"/>
                <w:color w:val="000000"/>
                <w:sz w:val="20"/>
                <w:szCs w:val="20"/>
              </w:rPr>
              <w:t>11.78</w:t>
            </w:r>
            <w:r w:rsidRPr="00FC75D0">
              <w:rPr>
                <w:rFonts w:ascii="Calibri" w:hAnsi="Calibri"/>
                <w:color w:val="000000"/>
                <w:sz w:val="20"/>
                <w:szCs w:val="20"/>
              </w:rPr>
              <w:t>(SE</w:t>
            </w:r>
            <w:r>
              <w:rPr>
                <w:rFonts w:ascii="Calibri" w:hAnsi="Calibri"/>
                <w:color w:val="000000"/>
                <w:sz w:val="20"/>
                <w:szCs w:val="20"/>
              </w:rPr>
              <w:t>M</w:t>
            </w:r>
            <w:r w:rsidRPr="00FC75D0">
              <w:rPr>
                <w:rFonts w:ascii="Calibri" w:hAnsi="Calibri"/>
                <w:color w:val="000000"/>
                <w:sz w:val="20"/>
                <w:szCs w:val="20"/>
              </w:rPr>
              <w:t>=0.0</w:t>
            </w:r>
            <w:r>
              <w:rPr>
                <w:rFonts w:ascii="Calibri" w:hAnsi="Calibri"/>
                <w:color w:val="000000"/>
                <w:sz w:val="20"/>
                <w:szCs w:val="20"/>
              </w:rPr>
              <w:t>7</w:t>
            </w:r>
            <w:r w:rsidRPr="00FC75D0">
              <w:rPr>
                <w:rFonts w:ascii="Calibri" w:hAnsi="Calibri"/>
                <w:color w:val="000000"/>
                <w:sz w:val="20"/>
                <w:szCs w:val="20"/>
              </w:rPr>
              <w:t>)); p=</w:t>
            </w:r>
            <w:r>
              <w:rPr>
                <w:rFonts w:ascii="Calibri" w:hAnsi="Calibri"/>
                <w:color w:val="000000"/>
                <w:sz w:val="20"/>
                <w:szCs w:val="20"/>
              </w:rPr>
              <w:t>0.08</w:t>
            </w:r>
          </w:p>
          <w:p w14:paraId="2786CBE9" w14:textId="0E001349" w:rsidR="00B7662D" w:rsidRPr="00FC75D0" w:rsidRDefault="00B7662D" w:rsidP="00C77EAE">
            <w:pPr>
              <w:autoSpaceDE w:val="0"/>
              <w:autoSpaceDN w:val="0"/>
              <w:adjustRightInd w:val="0"/>
              <w:rPr>
                <w:rFonts w:ascii="Calibri" w:hAnsi="Calibri"/>
                <w:color w:val="000000"/>
                <w:sz w:val="20"/>
                <w:szCs w:val="20"/>
              </w:rPr>
            </w:pPr>
            <w:r w:rsidRPr="00CF1CE4">
              <w:rPr>
                <w:rFonts w:ascii="Calibri" w:hAnsi="Calibri"/>
                <w:b/>
                <w:color w:val="000000"/>
                <w:sz w:val="20"/>
                <w:szCs w:val="20"/>
              </w:rPr>
              <w:t>SCOLP</w:t>
            </w:r>
            <w:r w:rsidRPr="00CF1CE4">
              <w:rPr>
                <w:rFonts w:ascii="Calibri" w:hAnsi="Calibri"/>
                <w:color w:val="000000"/>
                <w:sz w:val="20"/>
                <w:szCs w:val="20"/>
              </w:rPr>
              <w:t>: Control (</w:t>
            </w:r>
            <w:r>
              <w:rPr>
                <w:rFonts w:ascii="Calibri" w:hAnsi="Calibri"/>
                <w:color w:val="000000"/>
                <w:sz w:val="20"/>
                <w:szCs w:val="20"/>
              </w:rPr>
              <w:t>0.22</w:t>
            </w:r>
            <w:r w:rsidRPr="00CF1CE4">
              <w:rPr>
                <w:rFonts w:ascii="Calibri" w:hAnsi="Calibri"/>
                <w:color w:val="000000"/>
                <w:sz w:val="20"/>
                <w:szCs w:val="20"/>
              </w:rPr>
              <w:t>(SE</w:t>
            </w:r>
            <w:r>
              <w:rPr>
                <w:rFonts w:ascii="Calibri" w:hAnsi="Calibri"/>
                <w:color w:val="000000"/>
                <w:sz w:val="20"/>
                <w:szCs w:val="20"/>
              </w:rPr>
              <w:t>M</w:t>
            </w:r>
            <w:r w:rsidRPr="00CF1CE4">
              <w:rPr>
                <w:rFonts w:ascii="Calibri" w:hAnsi="Calibri"/>
                <w:color w:val="000000"/>
                <w:sz w:val="20"/>
                <w:szCs w:val="20"/>
              </w:rPr>
              <w:t>=0.</w:t>
            </w:r>
            <w:r>
              <w:rPr>
                <w:rFonts w:ascii="Calibri" w:hAnsi="Calibri"/>
                <w:color w:val="000000"/>
                <w:sz w:val="20"/>
                <w:szCs w:val="20"/>
              </w:rPr>
              <w:t>58</w:t>
            </w:r>
            <w:r w:rsidRPr="00CF1CE4">
              <w:rPr>
                <w:rFonts w:ascii="Calibri" w:hAnsi="Calibri"/>
                <w:color w:val="000000"/>
                <w:sz w:val="20"/>
                <w:szCs w:val="20"/>
              </w:rPr>
              <w:t>)) vs treatment (1.</w:t>
            </w:r>
            <w:r>
              <w:rPr>
                <w:rFonts w:ascii="Calibri" w:hAnsi="Calibri"/>
                <w:color w:val="000000"/>
                <w:sz w:val="20"/>
                <w:szCs w:val="20"/>
              </w:rPr>
              <w:t>6</w:t>
            </w:r>
            <w:r w:rsidRPr="00CF1CE4">
              <w:rPr>
                <w:rFonts w:ascii="Calibri" w:hAnsi="Calibri"/>
                <w:color w:val="000000"/>
                <w:sz w:val="20"/>
                <w:szCs w:val="20"/>
              </w:rPr>
              <w:t>9(SE</w:t>
            </w:r>
            <w:r>
              <w:rPr>
                <w:rFonts w:ascii="Calibri" w:hAnsi="Calibri"/>
                <w:color w:val="000000"/>
                <w:sz w:val="20"/>
                <w:szCs w:val="20"/>
              </w:rPr>
              <w:t>M</w:t>
            </w:r>
            <w:r w:rsidRPr="00CF1CE4">
              <w:rPr>
                <w:rFonts w:ascii="Calibri" w:hAnsi="Calibri"/>
                <w:color w:val="000000"/>
                <w:sz w:val="20"/>
                <w:szCs w:val="20"/>
              </w:rPr>
              <w:t>=0.</w:t>
            </w:r>
            <w:r>
              <w:rPr>
                <w:rFonts w:ascii="Calibri" w:hAnsi="Calibri"/>
                <w:color w:val="000000"/>
                <w:sz w:val="20"/>
                <w:szCs w:val="20"/>
              </w:rPr>
              <w:t>4</w:t>
            </w:r>
            <w:r w:rsidRPr="00CF1CE4">
              <w:rPr>
                <w:rFonts w:ascii="Calibri" w:hAnsi="Calibri"/>
                <w:color w:val="000000"/>
                <w:sz w:val="20"/>
                <w:szCs w:val="20"/>
              </w:rPr>
              <w:t>3));</w:t>
            </w:r>
            <w:r w:rsidRPr="00CF1CE4">
              <w:rPr>
                <w:rFonts w:ascii="Calibri" w:hAnsi="Calibri"/>
                <w:b/>
                <w:color w:val="000000"/>
                <w:sz w:val="20"/>
                <w:szCs w:val="20"/>
              </w:rPr>
              <w:t xml:space="preserve"> </w:t>
            </w:r>
            <w:r w:rsidRPr="00FC75D0">
              <w:rPr>
                <w:rFonts w:ascii="Calibri" w:hAnsi="Calibri"/>
                <w:color w:val="000000"/>
                <w:sz w:val="20"/>
                <w:szCs w:val="20"/>
              </w:rPr>
              <w:t>p=</w:t>
            </w:r>
            <w:r>
              <w:rPr>
                <w:rFonts w:ascii="Calibri" w:hAnsi="Calibri"/>
                <w:color w:val="000000"/>
                <w:sz w:val="20"/>
                <w:szCs w:val="20"/>
              </w:rPr>
              <w:t>0.04</w:t>
            </w:r>
          </w:p>
          <w:p w14:paraId="79496728" w14:textId="7444A9FC" w:rsidR="00B7662D" w:rsidRPr="00EE1318" w:rsidRDefault="00B7662D" w:rsidP="00BC6995">
            <w:pPr>
              <w:autoSpaceDE w:val="0"/>
              <w:autoSpaceDN w:val="0"/>
              <w:adjustRightInd w:val="0"/>
              <w:rPr>
                <w:rFonts w:ascii="Calibri" w:hAnsi="Calibri"/>
                <w:color w:val="000000"/>
                <w:sz w:val="20"/>
                <w:szCs w:val="20"/>
              </w:rPr>
            </w:pPr>
            <w:r w:rsidRPr="00741797">
              <w:rPr>
                <w:rFonts w:ascii="Calibri" w:hAnsi="Calibri"/>
                <w:b/>
                <w:color w:val="000000"/>
                <w:sz w:val="20"/>
                <w:szCs w:val="20"/>
              </w:rPr>
              <w:t xml:space="preserve">MMSE: </w:t>
            </w:r>
            <w:r w:rsidRPr="00CF1CE4">
              <w:rPr>
                <w:rFonts w:ascii="Calibri" w:hAnsi="Calibri"/>
                <w:color w:val="000000"/>
                <w:sz w:val="20"/>
                <w:szCs w:val="20"/>
              </w:rPr>
              <w:t>Control (</w:t>
            </w:r>
            <w:r>
              <w:rPr>
                <w:rFonts w:ascii="Calibri" w:hAnsi="Calibri"/>
                <w:color w:val="000000"/>
                <w:sz w:val="20"/>
                <w:szCs w:val="20"/>
              </w:rPr>
              <w:t>28.25</w:t>
            </w:r>
            <w:r w:rsidRPr="00CF1CE4">
              <w:rPr>
                <w:rFonts w:ascii="Calibri" w:hAnsi="Calibri"/>
                <w:color w:val="000000"/>
                <w:sz w:val="20"/>
                <w:szCs w:val="20"/>
              </w:rPr>
              <w:t>(SE</w:t>
            </w:r>
            <w:r>
              <w:rPr>
                <w:rFonts w:ascii="Calibri" w:hAnsi="Calibri"/>
                <w:color w:val="000000"/>
                <w:sz w:val="20"/>
                <w:szCs w:val="20"/>
              </w:rPr>
              <w:t>M</w:t>
            </w:r>
            <w:r w:rsidRPr="00CF1CE4">
              <w:rPr>
                <w:rFonts w:ascii="Calibri" w:hAnsi="Calibri"/>
                <w:color w:val="000000"/>
                <w:sz w:val="20"/>
                <w:szCs w:val="20"/>
              </w:rPr>
              <w:t>=0.</w:t>
            </w:r>
            <w:r>
              <w:rPr>
                <w:rFonts w:ascii="Calibri" w:hAnsi="Calibri"/>
                <w:color w:val="000000"/>
                <w:sz w:val="20"/>
                <w:szCs w:val="20"/>
              </w:rPr>
              <w:t>37</w:t>
            </w:r>
            <w:r w:rsidRPr="00CF1CE4">
              <w:rPr>
                <w:rFonts w:ascii="Calibri" w:hAnsi="Calibri"/>
                <w:color w:val="000000"/>
                <w:sz w:val="20"/>
                <w:szCs w:val="20"/>
              </w:rPr>
              <w:t>)) vs treatment (</w:t>
            </w:r>
            <w:r>
              <w:rPr>
                <w:rFonts w:ascii="Calibri" w:hAnsi="Calibri"/>
                <w:color w:val="000000"/>
                <w:sz w:val="20"/>
                <w:szCs w:val="20"/>
              </w:rPr>
              <w:t>28.28</w:t>
            </w:r>
            <w:r w:rsidRPr="00CF1CE4">
              <w:rPr>
                <w:rFonts w:ascii="Calibri" w:hAnsi="Calibri"/>
                <w:color w:val="000000"/>
                <w:sz w:val="20"/>
                <w:szCs w:val="20"/>
              </w:rPr>
              <w:t>(SE</w:t>
            </w:r>
            <w:r>
              <w:rPr>
                <w:rFonts w:ascii="Calibri" w:hAnsi="Calibri"/>
                <w:color w:val="000000"/>
                <w:sz w:val="20"/>
                <w:szCs w:val="20"/>
              </w:rPr>
              <w:t>M</w:t>
            </w:r>
            <w:r w:rsidRPr="00CF1CE4">
              <w:rPr>
                <w:rFonts w:ascii="Calibri" w:hAnsi="Calibri"/>
                <w:color w:val="000000"/>
                <w:sz w:val="20"/>
                <w:szCs w:val="20"/>
              </w:rPr>
              <w:t>=0.</w:t>
            </w:r>
            <w:r>
              <w:rPr>
                <w:rFonts w:ascii="Calibri" w:hAnsi="Calibri"/>
                <w:color w:val="000000"/>
                <w:sz w:val="20"/>
                <w:szCs w:val="20"/>
              </w:rPr>
              <w:t>29</w:t>
            </w:r>
            <w:r w:rsidRPr="00CF1CE4">
              <w:rPr>
                <w:rFonts w:ascii="Calibri" w:hAnsi="Calibri"/>
                <w:color w:val="000000"/>
                <w:sz w:val="20"/>
                <w:szCs w:val="20"/>
              </w:rPr>
              <w:t xml:space="preserve">)); </w:t>
            </w:r>
            <w:r w:rsidRPr="00741797">
              <w:rPr>
                <w:rFonts w:ascii="Calibri" w:hAnsi="Calibri"/>
                <w:color w:val="000000"/>
                <w:sz w:val="20"/>
                <w:szCs w:val="20"/>
              </w:rPr>
              <w:t>p</w:t>
            </w:r>
            <w:r>
              <w:rPr>
                <w:rFonts w:ascii="Calibri" w:hAnsi="Calibri"/>
                <w:color w:val="000000"/>
                <w:sz w:val="20"/>
                <w:szCs w:val="20"/>
              </w:rPr>
              <w:t>=</w:t>
            </w:r>
            <w:r w:rsidRPr="00741797">
              <w:rPr>
                <w:rFonts w:ascii="Calibri" w:hAnsi="Calibri"/>
                <w:color w:val="000000"/>
                <w:sz w:val="20"/>
                <w:szCs w:val="20"/>
              </w:rPr>
              <w:t>0.</w:t>
            </w:r>
            <w:r>
              <w:rPr>
                <w:rFonts w:ascii="Calibri" w:hAnsi="Calibri"/>
                <w:color w:val="000000"/>
                <w:sz w:val="20"/>
                <w:szCs w:val="20"/>
              </w:rPr>
              <w:t>95</w:t>
            </w:r>
          </w:p>
        </w:tc>
        <w:tc>
          <w:tcPr>
            <w:tcW w:w="2410" w:type="dxa"/>
          </w:tcPr>
          <w:p w14:paraId="10076E9B" w14:textId="6EB8CE89" w:rsidR="00B7662D" w:rsidRPr="00FC75D0" w:rsidRDefault="00B7662D" w:rsidP="00C77EAE">
            <w:pPr>
              <w:autoSpaceDE w:val="0"/>
              <w:autoSpaceDN w:val="0"/>
              <w:adjustRightInd w:val="0"/>
              <w:rPr>
                <w:rFonts w:cs="AdvOT1ef757c0"/>
                <w:sz w:val="20"/>
                <w:szCs w:val="20"/>
              </w:rPr>
            </w:pPr>
            <w:r w:rsidRPr="00FC75D0">
              <w:rPr>
                <w:rFonts w:cs="AdvOT1ef757c0"/>
                <w:sz w:val="20"/>
                <w:szCs w:val="20"/>
              </w:rPr>
              <w:t>11 patients withdrew during the trial due to side effects (6 from the placebo group and 5 from the treatment group).</w:t>
            </w:r>
          </w:p>
        </w:tc>
      </w:tr>
      <w:tr w:rsidR="00B7662D" w:rsidRPr="00FC75D0" w14:paraId="588EF4BC" w14:textId="77777777" w:rsidTr="00C77EAE">
        <w:tc>
          <w:tcPr>
            <w:tcW w:w="1384" w:type="dxa"/>
          </w:tcPr>
          <w:p w14:paraId="73DB4060" w14:textId="77777777" w:rsidR="00B7662D" w:rsidRPr="00FC75D0" w:rsidRDefault="00B7662D" w:rsidP="00C77EAE">
            <w:pPr>
              <w:rPr>
                <w:rFonts w:cstheme="minorHAnsi"/>
                <w:sz w:val="20"/>
                <w:szCs w:val="20"/>
              </w:rPr>
            </w:pPr>
            <w:r w:rsidRPr="00FC75D0">
              <w:rPr>
                <w:rFonts w:cstheme="minorHAnsi"/>
                <w:sz w:val="20"/>
                <w:szCs w:val="20"/>
              </w:rPr>
              <w:t>Mainenti,</w:t>
            </w:r>
          </w:p>
          <w:p w14:paraId="3D418974" w14:textId="77777777" w:rsidR="00B7662D" w:rsidRPr="00FC75D0" w:rsidRDefault="00B7662D" w:rsidP="00C77EAE">
            <w:pPr>
              <w:rPr>
                <w:rFonts w:cstheme="minorHAnsi"/>
                <w:sz w:val="20"/>
                <w:szCs w:val="20"/>
              </w:rPr>
            </w:pPr>
            <w:r w:rsidRPr="00FC75D0">
              <w:rPr>
                <w:rFonts w:cstheme="minorHAnsi"/>
                <w:sz w:val="20"/>
                <w:szCs w:val="20"/>
              </w:rPr>
              <w:t>2009, Brazil</w:t>
            </w:r>
          </w:p>
          <w:p w14:paraId="1642F43F" w14:textId="77777777" w:rsidR="00B7662D" w:rsidRPr="00FC75D0" w:rsidRDefault="00B7662D" w:rsidP="00C77EAE">
            <w:pPr>
              <w:rPr>
                <w:rFonts w:cstheme="minorHAnsi"/>
                <w:sz w:val="20"/>
                <w:szCs w:val="20"/>
              </w:rPr>
            </w:pPr>
          </w:p>
          <w:p w14:paraId="21A0C4D8" w14:textId="77777777" w:rsidR="00B7662D" w:rsidRPr="00FC75D0" w:rsidRDefault="00B7662D" w:rsidP="00C77EAE">
            <w:pPr>
              <w:rPr>
                <w:rFonts w:cstheme="minorHAnsi"/>
                <w:sz w:val="20"/>
                <w:szCs w:val="20"/>
              </w:rPr>
            </w:pPr>
            <w:r w:rsidRPr="00FC75D0">
              <w:rPr>
                <w:rFonts w:cstheme="minorHAnsi"/>
                <w:sz w:val="20"/>
                <w:szCs w:val="20"/>
              </w:rPr>
              <w:t>n=23</w:t>
            </w:r>
          </w:p>
          <w:p w14:paraId="2FAC4F89" w14:textId="77777777" w:rsidR="00B7662D" w:rsidRPr="00FC75D0" w:rsidRDefault="00B7662D" w:rsidP="00C77EAE">
            <w:pPr>
              <w:rPr>
                <w:rFonts w:cstheme="minorHAnsi"/>
                <w:sz w:val="20"/>
                <w:szCs w:val="20"/>
              </w:rPr>
            </w:pPr>
          </w:p>
          <w:p w14:paraId="00741609" w14:textId="77777777" w:rsidR="00B7662D" w:rsidRPr="00FC75D0" w:rsidRDefault="00B7662D" w:rsidP="00C77EAE">
            <w:pPr>
              <w:rPr>
                <w:rFonts w:cstheme="minorHAnsi"/>
                <w:color w:val="000000"/>
                <w:sz w:val="20"/>
                <w:szCs w:val="20"/>
              </w:rPr>
            </w:pPr>
            <w:r w:rsidRPr="00FC75D0">
              <w:rPr>
                <w:rFonts w:ascii="Calibri" w:hAnsi="Calibri"/>
                <w:color w:val="000000"/>
                <w:sz w:val="20"/>
                <w:szCs w:val="20"/>
              </w:rPr>
              <w:lastRenderedPageBreak/>
              <w:t>No treatment</w:t>
            </w:r>
          </w:p>
        </w:tc>
        <w:tc>
          <w:tcPr>
            <w:tcW w:w="1418" w:type="dxa"/>
          </w:tcPr>
          <w:p w14:paraId="007E13E4" w14:textId="77777777" w:rsidR="00B7662D" w:rsidRPr="00FC75D0" w:rsidRDefault="00B7662D" w:rsidP="00C77EAE">
            <w:pPr>
              <w:autoSpaceDE w:val="0"/>
              <w:autoSpaceDN w:val="0"/>
              <w:adjustRightInd w:val="0"/>
              <w:rPr>
                <w:rFonts w:cstheme="minorHAnsi"/>
                <w:sz w:val="20"/>
                <w:szCs w:val="20"/>
              </w:rPr>
            </w:pPr>
            <w:r w:rsidRPr="00FC75D0">
              <w:rPr>
                <w:rFonts w:cstheme="minorHAnsi"/>
                <w:sz w:val="20"/>
                <w:szCs w:val="20"/>
              </w:rPr>
              <w:lastRenderedPageBreak/>
              <w:t>LT</w:t>
            </w:r>
            <w:r w:rsidRPr="00FC75D0">
              <w:rPr>
                <w:rFonts w:cstheme="minorHAnsi"/>
                <w:sz w:val="20"/>
                <w:szCs w:val="20"/>
                <w:vertAlign w:val="subscript"/>
              </w:rPr>
              <w:t>4</w:t>
            </w:r>
            <w:r w:rsidRPr="00FC75D0">
              <w:rPr>
                <w:rFonts w:cstheme="minorHAnsi"/>
                <w:sz w:val="20"/>
                <w:szCs w:val="20"/>
              </w:rPr>
              <w:t xml:space="preserve"> treatment </w:t>
            </w:r>
            <w:r w:rsidRPr="00FC75D0">
              <w:rPr>
                <w:rFonts w:cs="AdvOT1ef757c0"/>
                <w:sz w:val="20"/>
                <w:szCs w:val="20"/>
              </w:rPr>
              <w:t xml:space="preserve">(initial: 0.75 µg/kg/day titrated to </w:t>
            </w:r>
            <w:r w:rsidRPr="00FC75D0">
              <w:rPr>
                <w:rFonts w:cs="AdvOT1ef757c0"/>
                <w:sz w:val="20"/>
                <w:szCs w:val="20"/>
              </w:rPr>
              <w:lastRenderedPageBreak/>
              <w:t>achieve TSH WNL),</w:t>
            </w:r>
            <w:r w:rsidRPr="00FC75D0">
              <w:rPr>
                <w:rFonts w:cstheme="minorHAnsi"/>
                <w:sz w:val="20"/>
                <w:szCs w:val="20"/>
              </w:rPr>
              <w:t xml:space="preserve"> </w:t>
            </w:r>
          </w:p>
          <w:p w14:paraId="7FCDC347" w14:textId="77777777" w:rsidR="00B7662D" w:rsidRPr="00FC75D0" w:rsidRDefault="00B7662D" w:rsidP="00C77EAE">
            <w:pPr>
              <w:autoSpaceDE w:val="0"/>
              <w:autoSpaceDN w:val="0"/>
              <w:adjustRightInd w:val="0"/>
              <w:rPr>
                <w:rFonts w:cstheme="minorHAnsi"/>
                <w:sz w:val="20"/>
                <w:szCs w:val="20"/>
              </w:rPr>
            </w:pPr>
            <w:r w:rsidRPr="00FC75D0">
              <w:rPr>
                <w:rFonts w:ascii="Calibri" w:hAnsi="Calibri"/>
                <w:color w:val="000000"/>
                <w:sz w:val="20"/>
                <w:szCs w:val="20"/>
              </w:rPr>
              <w:t>follow-up of 6 months</w:t>
            </w:r>
          </w:p>
        </w:tc>
        <w:tc>
          <w:tcPr>
            <w:tcW w:w="7654" w:type="dxa"/>
          </w:tcPr>
          <w:p w14:paraId="13C98200" w14:textId="5A016353" w:rsidR="00B7662D" w:rsidRPr="00FC75D0" w:rsidRDefault="00B7662D" w:rsidP="00C77EAE">
            <w:pPr>
              <w:rPr>
                <w:rFonts w:ascii="Calibri" w:hAnsi="Calibri"/>
                <w:b/>
                <w:color w:val="000000"/>
                <w:sz w:val="20"/>
                <w:szCs w:val="20"/>
              </w:rPr>
            </w:pPr>
            <w:r w:rsidRPr="00FC75D0">
              <w:rPr>
                <w:rFonts w:ascii="Calibri" w:hAnsi="Calibri"/>
                <w:b/>
                <w:color w:val="000000"/>
                <w:sz w:val="20"/>
                <w:szCs w:val="20"/>
              </w:rPr>
              <w:lastRenderedPageBreak/>
              <w:t xml:space="preserve">SBP: </w:t>
            </w:r>
            <w:r w:rsidRPr="00FC75D0">
              <w:rPr>
                <w:rFonts w:ascii="Calibri" w:hAnsi="Calibri"/>
                <w:color w:val="000000"/>
                <w:sz w:val="20"/>
                <w:szCs w:val="20"/>
              </w:rPr>
              <w:t>Control (154.55±23.9 mm/Hg) vs treatment (142.3±18.2 mm/Hg); p=</w:t>
            </w:r>
            <w:r>
              <w:rPr>
                <w:rFonts w:ascii="Calibri" w:hAnsi="Calibri"/>
                <w:color w:val="000000"/>
                <w:sz w:val="20"/>
                <w:szCs w:val="20"/>
              </w:rPr>
              <w:t>0.17</w:t>
            </w:r>
          </w:p>
          <w:p w14:paraId="348D0741"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DBP: </w:t>
            </w:r>
            <w:r w:rsidRPr="00FC75D0">
              <w:rPr>
                <w:rFonts w:ascii="Calibri" w:hAnsi="Calibri"/>
                <w:color w:val="000000"/>
                <w:sz w:val="20"/>
                <w:szCs w:val="20"/>
              </w:rPr>
              <w:t>Control (88.6±7.5 mm/Hg) vs treatment (83.2±6.4 mm/Hg); p=</w:t>
            </w:r>
            <w:r>
              <w:rPr>
                <w:rFonts w:ascii="Calibri" w:hAnsi="Calibri"/>
                <w:color w:val="000000"/>
                <w:sz w:val="20"/>
                <w:szCs w:val="20"/>
              </w:rPr>
              <w:t>0.28</w:t>
            </w:r>
          </w:p>
          <w:p w14:paraId="215C0682" w14:textId="77777777" w:rsidR="00B7662D" w:rsidRPr="00FC75D0" w:rsidRDefault="00B7662D" w:rsidP="00C77EAE">
            <w:pPr>
              <w:rPr>
                <w:rFonts w:ascii="Calibri" w:hAnsi="Calibri"/>
                <w:color w:val="000000"/>
                <w:sz w:val="20"/>
                <w:szCs w:val="20"/>
              </w:rPr>
            </w:pPr>
          </w:p>
        </w:tc>
        <w:tc>
          <w:tcPr>
            <w:tcW w:w="2410" w:type="dxa"/>
          </w:tcPr>
          <w:p w14:paraId="62725E0D" w14:textId="06181D65"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NR</w:t>
            </w:r>
          </w:p>
        </w:tc>
      </w:tr>
      <w:tr w:rsidR="00B7662D" w:rsidRPr="00FC75D0" w14:paraId="7E8F786D" w14:textId="77777777" w:rsidTr="00C77EAE">
        <w:tc>
          <w:tcPr>
            <w:tcW w:w="1384" w:type="dxa"/>
          </w:tcPr>
          <w:p w14:paraId="7F4FAC3B" w14:textId="77777777" w:rsidR="00B7662D" w:rsidRPr="00FC75D0" w:rsidRDefault="00B7662D" w:rsidP="00C77EAE">
            <w:pPr>
              <w:rPr>
                <w:rFonts w:cstheme="minorHAnsi"/>
                <w:sz w:val="20"/>
                <w:szCs w:val="20"/>
              </w:rPr>
            </w:pPr>
            <w:r w:rsidRPr="00FC75D0">
              <w:rPr>
                <w:rFonts w:cstheme="minorHAnsi"/>
                <w:sz w:val="20"/>
                <w:szCs w:val="20"/>
              </w:rPr>
              <w:t>Nagasaki, 2009, Japan</w:t>
            </w:r>
          </w:p>
          <w:p w14:paraId="2E8F4EC4" w14:textId="77777777" w:rsidR="00B7662D" w:rsidRPr="00FC75D0" w:rsidRDefault="00B7662D" w:rsidP="00C77EAE">
            <w:pPr>
              <w:rPr>
                <w:rFonts w:cstheme="minorHAnsi"/>
                <w:sz w:val="20"/>
                <w:szCs w:val="20"/>
              </w:rPr>
            </w:pPr>
          </w:p>
          <w:p w14:paraId="4ACD8E71"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n=95</w:t>
            </w:r>
          </w:p>
          <w:p w14:paraId="4ADE6BB4" w14:textId="77777777" w:rsidR="00B7662D" w:rsidRPr="00FC75D0" w:rsidRDefault="00B7662D" w:rsidP="00C77EAE">
            <w:pPr>
              <w:rPr>
                <w:rFonts w:ascii="Calibri" w:hAnsi="Calibri"/>
                <w:color w:val="000000"/>
                <w:sz w:val="20"/>
                <w:szCs w:val="20"/>
              </w:rPr>
            </w:pPr>
          </w:p>
          <w:p w14:paraId="51D6AC62" w14:textId="77777777" w:rsidR="00B7662D" w:rsidRPr="00FC75D0" w:rsidRDefault="00B7662D" w:rsidP="00C77EAE">
            <w:pPr>
              <w:rPr>
                <w:rFonts w:cstheme="minorHAnsi"/>
                <w:sz w:val="20"/>
                <w:szCs w:val="20"/>
              </w:rPr>
            </w:pPr>
            <w:r w:rsidRPr="00FC75D0">
              <w:rPr>
                <w:rFonts w:cs="AdvOT1ef757c0"/>
                <w:sz w:val="20"/>
                <w:szCs w:val="20"/>
              </w:rPr>
              <w:t>Placebo</w:t>
            </w:r>
          </w:p>
        </w:tc>
        <w:tc>
          <w:tcPr>
            <w:tcW w:w="1418" w:type="dxa"/>
          </w:tcPr>
          <w:p w14:paraId="33A01D32" w14:textId="77777777" w:rsidR="00B7662D" w:rsidRPr="00FC75D0" w:rsidRDefault="00B7662D" w:rsidP="00C77EAE">
            <w:pPr>
              <w:autoSpaceDE w:val="0"/>
              <w:autoSpaceDN w:val="0"/>
              <w:adjustRightInd w:val="0"/>
              <w:rPr>
                <w:rFonts w:cs="AdvOT1ef757c0"/>
                <w:sz w:val="20"/>
                <w:szCs w:val="20"/>
              </w:rPr>
            </w:pPr>
            <w:r w:rsidRPr="00FC75D0">
              <w:rPr>
                <w:rFonts w:cs="AdvOT1ef757c0"/>
                <w:sz w:val="20"/>
                <w:szCs w:val="20"/>
              </w:rPr>
              <w:t>LT</w:t>
            </w:r>
            <w:r w:rsidRPr="00FC75D0">
              <w:rPr>
                <w:rFonts w:cs="AdvOT1ef757c0"/>
                <w:sz w:val="20"/>
                <w:szCs w:val="20"/>
                <w:vertAlign w:val="subscript"/>
              </w:rPr>
              <w:t>4</w:t>
            </w:r>
            <w:r w:rsidRPr="00FC75D0">
              <w:rPr>
                <w:rFonts w:cs="AdvOT1ef757c0"/>
                <w:sz w:val="20"/>
                <w:szCs w:val="20"/>
              </w:rPr>
              <w:t xml:space="preserve"> treatment (initial: 12.5 µg/day titrated to achieve TSH WNL),</w:t>
            </w:r>
          </w:p>
          <w:p w14:paraId="208CC8BB" w14:textId="77777777" w:rsidR="00B7662D" w:rsidRPr="00FC75D0" w:rsidRDefault="00B7662D" w:rsidP="00C77EAE">
            <w:pPr>
              <w:autoSpaceDE w:val="0"/>
              <w:autoSpaceDN w:val="0"/>
              <w:adjustRightInd w:val="0"/>
              <w:rPr>
                <w:rFonts w:cs="AdvOT1ef757c0"/>
                <w:sz w:val="20"/>
                <w:szCs w:val="20"/>
              </w:rPr>
            </w:pPr>
            <w:r w:rsidRPr="00FC75D0">
              <w:rPr>
                <w:rFonts w:ascii="Calibri" w:hAnsi="Calibri"/>
                <w:color w:val="000000"/>
                <w:sz w:val="20"/>
                <w:szCs w:val="20"/>
              </w:rPr>
              <w:t>follow-up of 5 months</w:t>
            </w:r>
          </w:p>
        </w:tc>
        <w:tc>
          <w:tcPr>
            <w:tcW w:w="7654" w:type="dxa"/>
          </w:tcPr>
          <w:p w14:paraId="53FD5EF0" w14:textId="426CF0B8" w:rsidR="00B7662D" w:rsidRPr="00BB1BEB" w:rsidRDefault="00B7662D" w:rsidP="00C77EAE">
            <w:pPr>
              <w:rPr>
                <w:rFonts w:ascii="Calibri" w:hAnsi="Calibri"/>
                <w:color w:val="000000"/>
                <w:sz w:val="20"/>
                <w:szCs w:val="20"/>
              </w:rPr>
            </w:pPr>
            <w:r w:rsidRPr="00BB1BEB">
              <w:rPr>
                <w:rFonts w:ascii="Calibri" w:hAnsi="Calibri"/>
                <w:b/>
                <w:color w:val="000000"/>
                <w:sz w:val="20"/>
                <w:szCs w:val="20"/>
              </w:rPr>
              <w:t>TC:</w:t>
            </w:r>
            <w:r w:rsidRPr="00BB1BEB">
              <w:rPr>
                <w:rFonts w:ascii="Calibri" w:hAnsi="Calibri"/>
                <w:color w:val="000000"/>
                <w:sz w:val="20"/>
                <w:szCs w:val="20"/>
              </w:rPr>
              <w:t xml:space="preserve"> Control (5.33±SE</w:t>
            </w:r>
            <w:r w:rsidRPr="00EE1318">
              <w:rPr>
                <w:rFonts w:ascii="Calibri" w:hAnsi="Calibri"/>
                <w:color w:val="000000"/>
                <w:sz w:val="20"/>
                <w:szCs w:val="20"/>
              </w:rPr>
              <w:t>M</w:t>
            </w:r>
            <w:r w:rsidRPr="00BB1BEB">
              <w:rPr>
                <w:rFonts w:ascii="Calibri" w:hAnsi="Calibri"/>
                <w:color w:val="000000"/>
                <w:sz w:val="20"/>
                <w:szCs w:val="20"/>
              </w:rPr>
              <w:t xml:space="preserve"> 0.24 mmol/L) vs treatment (5.19±SE</w:t>
            </w:r>
            <w:r>
              <w:rPr>
                <w:rFonts w:ascii="Calibri" w:hAnsi="Calibri"/>
                <w:color w:val="000000"/>
                <w:sz w:val="20"/>
                <w:szCs w:val="20"/>
              </w:rPr>
              <w:t>M</w:t>
            </w:r>
            <w:r w:rsidRPr="00BB1BEB">
              <w:rPr>
                <w:rFonts w:ascii="Calibri" w:hAnsi="Calibri"/>
                <w:color w:val="000000"/>
                <w:sz w:val="20"/>
                <w:szCs w:val="20"/>
              </w:rPr>
              <w:t xml:space="preserve"> 0.16 mmol/L); p=0.50</w:t>
            </w:r>
          </w:p>
          <w:p w14:paraId="3A2FEF16" w14:textId="77777777" w:rsidR="00B7662D" w:rsidRPr="00BB1BEB" w:rsidRDefault="00B7662D" w:rsidP="00C77EAE">
            <w:pPr>
              <w:rPr>
                <w:rFonts w:ascii="Calibri" w:hAnsi="Calibri"/>
                <w:color w:val="000000"/>
                <w:sz w:val="20"/>
                <w:szCs w:val="20"/>
              </w:rPr>
            </w:pPr>
            <w:r w:rsidRPr="00BB1BEB">
              <w:rPr>
                <w:rFonts w:ascii="Calibri" w:hAnsi="Calibri"/>
                <w:b/>
                <w:color w:val="000000"/>
                <w:sz w:val="20"/>
                <w:szCs w:val="20"/>
              </w:rPr>
              <w:t xml:space="preserve">LDL: </w:t>
            </w:r>
            <w:r w:rsidRPr="00BB1BEB">
              <w:rPr>
                <w:rFonts w:ascii="Calibri" w:hAnsi="Calibri"/>
                <w:color w:val="000000"/>
                <w:sz w:val="20"/>
                <w:szCs w:val="20"/>
              </w:rPr>
              <w:t>Control (3.36±SE</w:t>
            </w:r>
            <w:r w:rsidRPr="00EE1318">
              <w:rPr>
                <w:rFonts w:ascii="Calibri" w:hAnsi="Calibri"/>
                <w:color w:val="000000"/>
                <w:sz w:val="20"/>
                <w:szCs w:val="20"/>
              </w:rPr>
              <w:t>M</w:t>
            </w:r>
            <w:r w:rsidRPr="00BB1BEB">
              <w:rPr>
                <w:rFonts w:ascii="Calibri" w:hAnsi="Calibri"/>
                <w:color w:val="000000"/>
                <w:sz w:val="20"/>
                <w:szCs w:val="20"/>
              </w:rPr>
              <w:t xml:space="preserve"> 0.19 mmol/L) vs treatment (3.14±SE</w:t>
            </w:r>
            <w:r>
              <w:rPr>
                <w:rFonts w:ascii="Calibri" w:hAnsi="Calibri"/>
                <w:color w:val="000000"/>
                <w:sz w:val="20"/>
                <w:szCs w:val="20"/>
              </w:rPr>
              <w:t>M</w:t>
            </w:r>
            <w:r w:rsidRPr="00BB1BEB">
              <w:rPr>
                <w:rFonts w:ascii="Calibri" w:hAnsi="Calibri"/>
                <w:color w:val="000000"/>
                <w:sz w:val="20"/>
                <w:szCs w:val="20"/>
              </w:rPr>
              <w:t xml:space="preserve"> 0.29 mmol/L); p=0.38</w:t>
            </w:r>
          </w:p>
          <w:p w14:paraId="5BF3E6EC" w14:textId="77777777" w:rsidR="00B7662D" w:rsidRPr="00BB1BEB" w:rsidRDefault="00B7662D" w:rsidP="00C77EAE">
            <w:pPr>
              <w:rPr>
                <w:rFonts w:ascii="Calibri" w:hAnsi="Calibri"/>
                <w:color w:val="000000"/>
                <w:sz w:val="20"/>
                <w:szCs w:val="20"/>
              </w:rPr>
            </w:pPr>
            <w:r w:rsidRPr="00BB1BEB">
              <w:rPr>
                <w:rFonts w:ascii="Calibri" w:hAnsi="Calibri"/>
                <w:b/>
                <w:color w:val="000000"/>
                <w:sz w:val="20"/>
                <w:szCs w:val="20"/>
              </w:rPr>
              <w:t xml:space="preserve">HDL: </w:t>
            </w:r>
            <w:r w:rsidRPr="00BB1BEB">
              <w:rPr>
                <w:rFonts w:ascii="Calibri" w:hAnsi="Calibri"/>
                <w:color w:val="000000"/>
                <w:sz w:val="20"/>
                <w:szCs w:val="20"/>
              </w:rPr>
              <w:t>Control (1.39±SE</w:t>
            </w:r>
            <w:r w:rsidRPr="00EE1318">
              <w:rPr>
                <w:rFonts w:ascii="Calibri" w:hAnsi="Calibri"/>
                <w:color w:val="000000"/>
                <w:sz w:val="20"/>
                <w:szCs w:val="20"/>
              </w:rPr>
              <w:t>M</w:t>
            </w:r>
            <w:r w:rsidRPr="00BB1BEB">
              <w:rPr>
                <w:rFonts w:ascii="Calibri" w:hAnsi="Calibri"/>
                <w:color w:val="000000"/>
                <w:sz w:val="20"/>
                <w:szCs w:val="20"/>
              </w:rPr>
              <w:t xml:space="preserve"> 0.06 mmol/L) vs treatment (1.41±SE</w:t>
            </w:r>
            <w:r>
              <w:rPr>
                <w:rFonts w:ascii="Calibri" w:hAnsi="Calibri"/>
                <w:color w:val="000000"/>
                <w:sz w:val="20"/>
                <w:szCs w:val="20"/>
              </w:rPr>
              <w:t>M</w:t>
            </w:r>
            <w:r w:rsidRPr="00BB1BEB">
              <w:rPr>
                <w:rFonts w:ascii="Calibri" w:hAnsi="Calibri"/>
                <w:color w:val="000000"/>
                <w:sz w:val="20"/>
                <w:szCs w:val="20"/>
              </w:rPr>
              <w:t xml:space="preserve"> 0.08 mmol/L); p=0.79</w:t>
            </w:r>
          </w:p>
          <w:p w14:paraId="36EED3F6" w14:textId="77777777" w:rsidR="00B7662D" w:rsidRPr="00BB1BEB" w:rsidRDefault="00B7662D" w:rsidP="00C77EAE">
            <w:pPr>
              <w:autoSpaceDE w:val="0"/>
              <w:autoSpaceDN w:val="0"/>
              <w:adjustRightInd w:val="0"/>
              <w:rPr>
                <w:rFonts w:ascii="Calibri" w:hAnsi="Calibri"/>
                <w:color w:val="000000"/>
                <w:sz w:val="20"/>
                <w:szCs w:val="20"/>
              </w:rPr>
            </w:pPr>
            <w:r w:rsidRPr="00BB1BEB">
              <w:rPr>
                <w:rFonts w:ascii="Calibri" w:hAnsi="Calibri"/>
                <w:b/>
                <w:color w:val="000000"/>
                <w:sz w:val="20"/>
                <w:szCs w:val="20"/>
              </w:rPr>
              <w:t xml:space="preserve">TG: </w:t>
            </w:r>
            <w:r w:rsidRPr="00BB1BEB">
              <w:rPr>
                <w:rFonts w:ascii="Calibri" w:hAnsi="Calibri"/>
                <w:color w:val="000000"/>
                <w:sz w:val="20"/>
                <w:szCs w:val="20"/>
              </w:rPr>
              <w:t>Control (1.38±SE</w:t>
            </w:r>
            <w:r w:rsidRPr="00EE1318">
              <w:rPr>
                <w:rFonts w:ascii="Calibri" w:hAnsi="Calibri"/>
                <w:color w:val="000000"/>
                <w:sz w:val="20"/>
                <w:szCs w:val="20"/>
              </w:rPr>
              <w:t>M</w:t>
            </w:r>
            <w:r w:rsidRPr="00BB1BEB">
              <w:rPr>
                <w:rFonts w:ascii="Calibri" w:hAnsi="Calibri"/>
                <w:color w:val="000000"/>
                <w:sz w:val="20"/>
                <w:szCs w:val="20"/>
              </w:rPr>
              <w:t xml:space="preserve"> 0.14 mmol/L) vs treatment (1.50±SE</w:t>
            </w:r>
            <w:r>
              <w:rPr>
                <w:rFonts w:ascii="Calibri" w:hAnsi="Calibri"/>
                <w:color w:val="000000"/>
                <w:sz w:val="20"/>
                <w:szCs w:val="20"/>
              </w:rPr>
              <w:t>M</w:t>
            </w:r>
            <w:r w:rsidRPr="00BB1BEB">
              <w:rPr>
                <w:rFonts w:ascii="Calibri" w:hAnsi="Calibri"/>
                <w:color w:val="000000"/>
                <w:sz w:val="20"/>
                <w:szCs w:val="20"/>
              </w:rPr>
              <w:t xml:space="preserve"> 0.16 mmol/L); p=0.43</w:t>
            </w:r>
          </w:p>
          <w:p w14:paraId="0346513F" w14:textId="77777777" w:rsidR="00B7662D" w:rsidRPr="00BB1BEB" w:rsidRDefault="00B7662D" w:rsidP="00C77EAE">
            <w:pPr>
              <w:rPr>
                <w:rFonts w:ascii="Calibri" w:hAnsi="Calibri"/>
                <w:b/>
                <w:color w:val="000000"/>
                <w:sz w:val="20"/>
                <w:szCs w:val="20"/>
              </w:rPr>
            </w:pPr>
            <w:r w:rsidRPr="00BB1BEB">
              <w:rPr>
                <w:rFonts w:ascii="Calibri" w:hAnsi="Calibri"/>
                <w:b/>
                <w:color w:val="000000"/>
                <w:sz w:val="20"/>
                <w:szCs w:val="20"/>
              </w:rPr>
              <w:t xml:space="preserve">SBP: </w:t>
            </w:r>
            <w:r w:rsidRPr="00BB1BEB">
              <w:rPr>
                <w:rFonts w:ascii="Calibri" w:hAnsi="Calibri"/>
                <w:color w:val="000000"/>
                <w:sz w:val="20"/>
                <w:szCs w:val="20"/>
              </w:rPr>
              <w:t>Control (132.2±SE</w:t>
            </w:r>
            <w:r w:rsidRPr="00EE1318">
              <w:rPr>
                <w:rFonts w:ascii="Calibri" w:hAnsi="Calibri"/>
                <w:color w:val="000000"/>
                <w:sz w:val="20"/>
                <w:szCs w:val="20"/>
              </w:rPr>
              <w:t>M</w:t>
            </w:r>
            <w:r w:rsidRPr="00BB1BEB">
              <w:rPr>
                <w:rFonts w:ascii="Calibri" w:hAnsi="Calibri"/>
                <w:color w:val="000000"/>
                <w:sz w:val="20"/>
                <w:szCs w:val="20"/>
              </w:rPr>
              <w:t xml:space="preserve"> 3.5 mmHg) vs treatment (128.8±</w:t>
            </w:r>
            <w:r w:rsidRPr="00EE1318">
              <w:rPr>
                <w:rFonts w:ascii="Calibri" w:hAnsi="Calibri"/>
                <w:color w:val="000000"/>
                <w:sz w:val="20"/>
                <w:szCs w:val="20"/>
              </w:rPr>
              <w:t>SE</w:t>
            </w:r>
            <w:r>
              <w:rPr>
                <w:rFonts w:ascii="Calibri" w:hAnsi="Calibri"/>
                <w:color w:val="000000"/>
                <w:sz w:val="20"/>
                <w:szCs w:val="20"/>
              </w:rPr>
              <w:t>M</w:t>
            </w:r>
            <w:r w:rsidRPr="00EE1318">
              <w:rPr>
                <w:rFonts w:ascii="Calibri" w:hAnsi="Calibri"/>
                <w:color w:val="000000"/>
                <w:sz w:val="20"/>
                <w:szCs w:val="20"/>
              </w:rPr>
              <w:t xml:space="preserve"> </w:t>
            </w:r>
            <w:r w:rsidRPr="00BB1BEB">
              <w:rPr>
                <w:rFonts w:ascii="Calibri" w:hAnsi="Calibri"/>
                <w:color w:val="000000"/>
                <w:sz w:val="20"/>
                <w:szCs w:val="20"/>
              </w:rPr>
              <w:t>3.8 mmHg); p=0.50</w:t>
            </w:r>
          </w:p>
          <w:p w14:paraId="3BA79F4D" w14:textId="77777777" w:rsidR="00B7662D" w:rsidRPr="00BB1BEB" w:rsidRDefault="00B7662D" w:rsidP="00C77EAE">
            <w:pPr>
              <w:rPr>
                <w:rFonts w:ascii="Calibri" w:hAnsi="Calibri"/>
                <w:color w:val="000000"/>
                <w:sz w:val="20"/>
                <w:szCs w:val="20"/>
              </w:rPr>
            </w:pPr>
            <w:r w:rsidRPr="00BB1BEB">
              <w:rPr>
                <w:rFonts w:ascii="Calibri" w:hAnsi="Calibri"/>
                <w:b/>
                <w:color w:val="000000"/>
                <w:sz w:val="20"/>
                <w:szCs w:val="20"/>
              </w:rPr>
              <w:t xml:space="preserve">DBP: </w:t>
            </w:r>
            <w:r w:rsidRPr="00BB1BEB">
              <w:rPr>
                <w:rFonts w:ascii="Calibri" w:hAnsi="Calibri"/>
                <w:color w:val="000000"/>
                <w:sz w:val="20"/>
                <w:szCs w:val="20"/>
              </w:rPr>
              <w:t>Control (72.8±</w:t>
            </w:r>
            <w:r w:rsidRPr="00EE1318">
              <w:rPr>
                <w:rFonts w:ascii="Calibri" w:hAnsi="Calibri"/>
                <w:color w:val="000000"/>
                <w:sz w:val="20"/>
                <w:szCs w:val="20"/>
              </w:rPr>
              <w:t xml:space="preserve">SEM </w:t>
            </w:r>
            <w:r w:rsidRPr="00BB1BEB">
              <w:rPr>
                <w:rFonts w:ascii="Calibri" w:hAnsi="Calibri"/>
                <w:color w:val="000000"/>
                <w:sz w:val="20"/>
                <w:szCs w:val="20"/>
              </w:rPr>
              <w:t>2.0 mmHg) vs treatment (72.7±</w:t>
            </w:r>
            <w:r w:rsidRPr="00EE1318">
              <w:rPr>
                <w:rFonts w:ascii="Calibri" w:hAnsi="Calibri"/>
                <w:color w:val="000000"/>
                <w:sz w:val="20"/>
                <w:szCs w:val="20"/>
              </w:rPr>
              <w:t>SE</w:t>
            </w:r>
            <w:r>
              <w:rPr>
                <w:rFonts w:ascii="Calibri" w:hAnsi="Calibri"/>
                <w:color w:val="000000"/>
                <w:sz w:val="20"/>
                <w:szCs w:val="20"/>
              </w:rPr>
              <w:t>M</w:t>
            </w:r>
            <w:r w:rsidRPr="00EE1318">
              <w:rPr>
                <w:rFonts w:ascii="Calibri" w:hAnsi="Calibri"/>
                <w:color w:val="000000"/>
                <w:sz w:val="20"/>
                <w:szCs w:val="20"/>
              </w:rPr>
              <w:t xml:space="preserve"> </w:t>
            </w:r>
            <w:r w:rsidRPr="00BB1BEB">
              <w:rPr>
                <w:rFonts w:ascii="Calibri" w:hAnsi="Calibri"/>
                <w:color w:val="000000"/>
                <w:sz w:val="20"/>
                <w:szCs w:val="20"/>
              </w:rPr>
              <w:t>2.2 mmHg); p=0.05</w:t>
            </w:r>
          </w:p>
          <w:p w14:paraId="28971668" w14:textId="77777777" w:rsidR="00B7662D" w:rsidRPr="00BB1BEB" w:rsidRDefault="00B7662D" w:rsidP="00C77EAE">
            <w:pPr>
              <w:rPr>
                <w:rFonts w:ascii="Calibri" w:hAnsi="Calibri"/>
                <w:b/>
                <w:color w:val="000000"/>
                <w:sz w:val="20"/>
                <w:szCs w:val="20"/>
              </w:rPr>
            </w:pPr>
            <w:r w:rsidRPr="00BB1BEB">
              <w:rPr>
                <w:rFonts w:ascii="Calibri" w:hAnsi="Calibri"/>
                <w:b/>
                <w:color w:val="000000"/>
                <w:sz w:val="20"/>
                <w:szCs w:val="20"/>
              </w:rPr>
              <w:t xml:space="preserve">BMI: </w:t>
            </w:r>
            <w:r w:rsidRPr="00BB1BEB">
              <w:rPr>
                <w:rFonts w:ascii="Calibri" w:hAnsi="Calibri"/>
                <w:color w:val="000000"/>
                <w:sz w:val="20"/>
                <w:szCs w:val="20"/>
              </w:rPr>
              <w:t>Control (22.1±SE</w:t>
            </w:r>
            <w:r>
              <w:rPr>
                <w:rFonts w:ascii="Calibri" w:hAnsi="Calibri"/>
                <w:color w:val="000000"/>
                <w:sz w:val="20"/>
                <w:szCs w:val="20"/>
              </w:rPr>
              <w:t>M</w:t>
            </w:r>
            <w:r w:rsidRPr="00BB1BEB">
              <w:rPr>
                <w:rFonts w:ascii="Calibri" w:hAnsi="Calibri"/>
                <w:color w:val="000000"/>
                <w:sz w:val="20"/>
                <w:szCs w:val="20"/>
              </w:rPr>
              <w:t xml:space="preserve"> 0.05 kg/m</w:t>
            </w:r>
            <w:r w:rsidRPr="00BB1BEB">
              <w:rPr>
                <w:rFonts w:ascii="Calibri" w:hAnsi="Calibri"/>
                <w:color w:val="000000"/>
                <w:sz w:val="20"/>
                <w:szCs w:val="20"/>
                <w:vertAlign w:val="superscript"/>
              </w:rPr>
              <w:t>2</w:t>
            </w:r>
            <w:r w:rsidRPr="00BB1BEB">
              <w:rPr>
                <w:rFonts w:ascii="Calibri" w:hAnsi="Calibri"/>
                <w:color w:val="000000"/>
                <w:sz w:val="20"/>
                <w:szCs w:val="20"/>
              </w:rPr>
              <w:t>) vs treatment (21.8±</w:t>
            </w:r>
            <w:r w:rsidRPr="00EE1318">
              <w:rPr>
                <w:rFonts w:ascii="Calibri" w:hAnsi="Calibri"/>
                <w:color w:val="000000"/>
                <w:sz w:val="20"/>
                <w:szCs w:val="20"/>
              </w:rPr>
              <w:t>SE</w:t>
            </w:r>
            <w:r>
              <w:rPr>
                <w:rFonts w:ascii="Calibri" w:hAnsi="Calibri"/>
                <w:color w:val="000000"/>
                <w:sz w:val="20"/>
                <w:szCs w:val="20"/>
              </w:rPr>
              <w:t>M</w:t>
            </w:r>
            <w:r w:rsidRPr="00EE1318">
              <w:rPr>
                <w:rFonts w:ascii="Calibri" w:hAnsi="Calibri"/>
                <w:color w:val="000000"/>
                <w:sz w:val="20"/>
                <w:szCs w:val="20"/>
              </w:rPr>
              <w:t xml:space="preserve"> </w:t>
            </w:r>
            <w:r w:rsidRPr="00BB1BEB">
              <w:rPr>
                <w:rFonts w:ascii="Calibri" w:hAnsi="Calibri"/>
                <w:color w:val="000000"/>
                <w:sz w:val="20"/>
                <w:szCs w:val="20"/>
              </w:rPr>
              <w:t>0.48 kg/m</w:t>
            </w:r>
            <w:r w:rsidRPr="00BB1BEB">
              <w:rPr>
                <w:rFonts w:ascii="Calibri" w:hAnsi="Calibri"/>
                <w:color w:val="000000"/>
                <w:sz w:val="20"/>
                <w:szCs w:val="20"/>
                <w:vertAlign w:val="superscript"/>
              </w:rPr>
              <w:t>2</w:t>
            </w:r>
            <w:r w:rsidRPr="00BB1BEB">
              <w:rPr>
                <w:rFonts w:ascii="Calibri" w:hAnsi="Calibri"/>
                <w:color w:val="000000"/>
                <w:sz w:val="20"/>
                <w:szCs w:val="20"/>
              </w:rPr>
              <w:t>); p=0.55</w:t>
            </w:r>
          </w:p>
        </w:tc>
        <w:tc>
          <w:tcPr>
            <w:tcW w:w="2410" w:type="dxa"/>
          </w:tcPr>
          <w:p w14:paraId="47435E8F" w14:textId="1D72A5A8" w:rsidR="00B7662D" w:rsidRPr="00FC75D0" w:rsidRDefault="00B7662D" w:rsidP="00C77EAE">
            <w:pPr>
              <w:autoSpaceDE w:val="0"/>
              <w:autoSpaceDN w:val="0"/>
              <w:adjustRightInd w:val="0"/>
              <w:rPr>
                <w:rFonts w:cs="AdvOT1ef757c0"/>
                <w:sz w:val="20"/>
                <w:szCs w:val="20"/>
              </w:rPr>
            </w:pPr>
            <w:r w:rsidRPr="00FC75D0">
              <w:rPr>
                <w:rFonts w:cs="AdvOT1ef757c0"/>
                <w:sz w:val="20"/>
                <w:szCs w:val="20"/>
              </w:rPr>
              <w:t>None of the patients experienced side effects such as arrhythmia, angina pectoris, or hypertension that would have required withdrawal or reduction of the dose of levothyroxine.</w:t>
            </w:r>
          </w:p>
        </w:tc>
      </w:tr>
      <w:tr w:rsidR="00B7662D" w:rsidRPr="00FC75D0" w14:paraId="6ACA3E8F" w14:textId="77777777" w:rsidTr="00C77EAE">
        <w:tc>
          <w:tcPr>
            <w:tcW w:w="1384" w:type="dxa"/>
          </w:tcPr>
          <w:p w14:paraId="610BDDB0" w14:textId="77777777" w:rsidR="00B7662D" w:rsidRPr="00FC75D0" w:rsidRDefault="00B7662D" w:rsidP="00C77EAE">
            <w:pPr>
              <w:rPr>
                <w:rFonts w:cstheme="minorHAnsi"/>
                <w:sz w:val="20"/>
                <w:szCs w:val="20"/>
              </w:rPr>
            </w:pPr>
            <w:r w:rsidRPr="00FC75D0">
              <w:rPr>
                <w:rFonts w:cstheme="minorHAnsi"/>
                <w:sz w:val="20"/>
                <w:szCs w:val="20"/>
              </w:rPr>
              <w:t>Mikhail, 2008, Kuwait</w:t>
            </w:r>
          </w:p>
          <w:p w14:paraId="1F449EF4" w14:textId="77777777" w:rsidR="00B7662D" w:rsidRPr="00FC75D0" w:rsidRDefault="00B7662D" w:rsidP="00C77EAE">
            <w:pPr>
              <w:rPr>
                <w:rFonts w:cstheme="minorHAnsi"/>
                <w:sz w:val="20"/>
                <w:szCs w:val="20"/>
              </w:rPr>
            </w:pPr>
          </w:p>
          <w:p w14:paraId="2692AD57"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n=120</w:t>
            </w:r>
          </w:p>
          <w:p w14:paraId="6410AD02" w14:textId="77777777" w:rsidR="00B7662D" w:rsidRPr="00FC75D0" w:rsidRDefault="00B7662D" w:rsidP="00C77EAE">
            <w:pPr>
              <w:rPr>
                <w:rFonts w:ascii="Calibri" w:hAnsi="Calibri"/>
                <w:color w:val="000000"/>
                <w:sz w:val="20"/>
                <w:szCs w:val="20"/>
              </w:rPr>
            </w:pPr>
          </w:p>
          <w:p w14:paraId="6ECA0DB9" w14:textId="77777777" w:rsidR="00B7662D" w:rsidRPr="00FC75D0" w:rsidRDefault="00B7662D" w:rsidP="00C77EAE">
            <w:pPr>
              <w:rPr>
                <w:rFonts w:cstheme="minorHAnsi"/>
                <w:sz w:val="20"/>
                <w:szCs w:val="20"/>
              </w:rPr>
            </w:pPr>
            <w:r w:rsidRPr="00FC75D0">
              <w:rPr>
                <w:rFonts w:cs="AdvOT1ef757c0"/>
                <w:sz w:val="20"/>
                <w:szCs w:val="20"/>
              </w:rPr>
              <w:t>Placebo</w:t>
            </w:r>
          </w:p>
        </w:tc>
        <w:tc>
          <w:tcPr>
            <w:tcW w:w="1418" w:type="dxa"/>
          </w:tcPr>
          <w:p w14:paraId="587D76E7" w14:textId="77777777" w:rsidR="00B7662D" w:rsidRPr="00FC75D0" w:rsidRDefault="00B7662D" w:rsidP="00C77EAE">
            <w:pPr>
              <w:autoSpaceDE w:val="0"/>
              <w:autoSpaceDN w:val="0"/>
              <w:adjustRightInd w:val="0"/>
              <w:rPr>
                <w:rFonts w:cs="AdvOT1ef757c0"/>
                <w:sz w:val="20"/>
                <w:szCs w:val="20"/>
              </w:rPr>
            </w:pPr>
            <w:r w:rsidRPr="00FC75D0">
              <w:rPr>
                <w:rFonts w:cs="AdvOT1ef757c0"/>
                <w:sz w:val="20"/>
                <w:szCs w:val="20"/>
              </w:rPr>
              <w:t>LT</w:t>
            </w:r>
            <w:r w:rsidRPr="00FC75D0">
              <w:rPr>
                <w:rFonts w:cs="AdvOT1ef757c0"/>
                <w:sz w:val="20"/>
                <w:szCs w:val="20"/>
                <w:vertAlign w:val="subscript"/>
              </w:rPr>
              <w:t>4</w:t>
            </w:r>
            <w:r w:rsidRPr="00FC75D0">
              <w:rPr>
                <w:rFonts w:cs="AdvOT1ef757c0"/>
                <w:sz w:val="20"/>
                <w:szCs w:val="20"/>
              </w:rPr>
              <w:t xml:space="preserve"> treatment (initial: 25 µg/day titrated to achieve TSH WNL),</w:t>
            </w:r>
          </w:p>
          <w:p w14:paraId="60477021" w14:textId="77777777" w:rsidR="00B7662D" w:rsidRPr="00FC75D0" w:rsidRDefault="00B7662D" w:rsidP="00C77EAE">
            <w:pPr>
              <w:autoSpaceDE w:val="0"/>
              <w:autoSpaceDN w:val="0"/>
              <w:adjustRightInd w:val="0"/>
              <w:rPr>
                <w:rFonts w:cs="AdvOT1ef757c0"/>
                <w:sz w:val="20"/>
                <w:szCs w:val="20"/>
              </w:rPr>
            </w:pPr>
            <w:r w:rsidRPr="00FC75D0">
              <w:rPr>
                <w:rFonts w:ascii="Calibri" w:hAnsi="Calibri"/>
                <w:color w:val="000000"/>
                <w:sz w:val="20"/>
                <w:szCs w:val="20"/>
              </w:rPr>
              <w:t>follow-up of 52 weeks</w:t>
            </w:r>
          </w:p>
        </w:tc>
        <w:tc>
          <w:tcPr>
            <w:tcW w:w="7654" w:type="dxa"/>
          </w:tcPr>
          <w:p w14:paraId="2FA597A1" w14:textId="6B6A84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TC:</w:t>
            </w:r>
            <w:r w:rsidRPr="00FC75D0">
              <w:rPr>
                <w:rFonts w:ascii="Calibri" w:hAnsi="Calibri"/>
                <w:color w:val="000000"/>
                <w:sz w:val="20"/>
                <w:szCs w:val="20"/>
              </w:rPr>
              <w:t xml:space="preserve"> Control (5.0468±</w:t>
            </w:r>
            <w:r>
              <w:rPr>
                <w:rFonts w:ascii="Calibri" w:hAnsi="Calibri"/>
                <w:color w:val="000000"/>
                <w:sz w:val="20"/>
                <w:szCs w:val="20"/>
              </w:rPr>
              <w:t xml:space="preserve">SEM </w:t>
            </w:r>
            <w:r w:rsidRPr="00FC75D0">
              <w:rPr>
                <w:rFonts w:ascii="Calibri" w:hAnsi="Calibri"/>
                <w:color w:val="000000"/>
                <w:sz w:val="20"/>
                <w:szCs w:val="20"/>
              </w:rPr>
              <w:t>0.6723 mmol/L) vs treatment (4.7427±</w:t>
            </w:r>
            <w:r>
              <w:rPr>
                <w:rFonts w:ascii="Calibri" w:hAnsi="Calibri"/>
                <w:color w:val="000000"/>
                <w:sz w:val="20"/>
                <w:szCs w:val="20"/>
              </w:rPr>
              <w:t xml:space="preserve"> SEM</w:t>
            </w:r>
            <w:r w:rsidRPr="00FC75D0">
              <w:rPr>
                <w:rFonts w:ascii="Calibri" w:hAnsi="Calibri"/>
                <w:color w:val="000000"/>
                <w:sz w:val="20"/>
                <w:szCs w:val="20"/>
              </w:rPr>
              <w:t xml:space="preserve"> 0.8731 mmol/L); p&lt;0.029</w:t>
            </w:r>
          </w:p>
          <w:p w14:paraId="7EB6B5B4" w14:textId="206F225F"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LDL: </w:t>
            </w:r>
            <w:r w:rsidRPr="00FC75D0">
              <w:rPr>
                <w:rFonts w:ascii="Calibri" w:hAnsi="Calibri"/>
                <w:color w:val="000000"/>
                <w:sz w:val="20"/>
                <w:szCs w:val="20"/>
              </w:rPr>
              <w:t>Control (3.1106±</w:t>
            </w:r>
            <w:r>
              <w:rPr>
                <w:rFonts w:ascii="Calibri" w:hAnsi="Calibri"/>
                <w:color w:val="000000"/>
                <w:sz w:val="20"/>
                <w:szCs w:val="20"/>
              </w:rPr>
              <w:t xml:space="preserve"> SEM</w:t>
            </w:r>
            <w:r w:rsidRPr="00FC75D0">
              <w:rPr>
                <w:rFonts w:ascii="Calibri" w:hAnsi="Calibri"/>
                <w:color w:val="000000"/>
                <w:sz w:val="20"/>
                <w:szCs w:val="20"/>
              </w:rPr>
              <w:t xml:space="preserve"> 0.7716 mmol/L) vs treatment (2.8957±</w:t>
            </w:r>
            <w:r>
              <w:rPr>
                <w:rFonts w:ascii="Calibri" w:hAnsi="Calibri"/>
                <w:color w:val="000000"/>
                <w:sz w:val="20"/>
                <w:szCs w:val="20"/>
              </w:rPr>
              <w:t xml:space="preserve"> SEM</w:t>
            </w:r>
            <w:r w:rsidRPr="00FC75D0">
              <w:rPr>
                <w:rFonts w:ascii="Calibri" w:hAnsi="Calibri"/>
                <w:color w:val="000000"/>
                <w:sz w:val="20"/>
                <w:szCs w:val="20"/>
              </w:rPr>
              <w:t xml:space="preserve"> 0.5946 mmol/L); p</w:t>
            </w:r>
            <w:r>
              <w:rPr>
                <w:rFonts w:ascii="Calibri" w:hAnsi="Calibri"/>
                <w:color w:val="000000"/>
                <w:sz w:val="20"/>
                <w:szCs w:val="20"/>
              </w:rPr>
              <w:t>&lt;0.0001</w:t>
            </w:r>
          </w:p>
          <w:p w14:paraId="4265BFC3" w14:textId="0E76EB6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HDL: </w:t>
            </w:r>
            <w:r w:rsidRPr="00FC75D0">
              <w:rPr>
                <w:rFonts w:ascii="Calibri" w:hAnsi="Calibri"/>
                <w:color w:val="000000"/>
                <w:sz w:val="20"/>
                <w:szCs w:val="20"/>
              </w:rPr>
              <w:t>Control (1.1035±</w:t>
            </w:r>
            <w:r>
              <w:rPr>
                <w:rFonts w:ascii="Calibri" w:hAnsi="Calibri"/>
                <w:color w:val="000000"/>
                <w:sz w:val="20"/>
                <w:szCs w:val="20"/>
              </w:rPr>
              <w:t xml:space="preserve"> SEM</w:t>
            </w:r>
            <w:r w:rsidRPr="00FC75D0">
              <w:rPr>
                <w:rFonts w:ascii="Calibri" w:hAnsi="Calibri"/>
                <w:color w:val="000000"/>
                <w:sz w:val="20"/>
                <w:szCs w:val="20"/>
              </w:rPr>
              <w:t xml:space="preserve"> 0.2502 mmol/L) vs treatment (1.1957±</w:t>
            </w:r>
            <w:r>
              <w:rPr>
                <w:rFonts w:ascii="Calibri" w:hAnsi="Calibri"/>
                <w:color w:val="000000"/>
                <w:sz w:val="20"/>
                <w:szCs w:val="20"/>
              </w:rPr>
              <w:t xml:space="preserve"> SEM</w:t>
            </w:r>
            <w:r w:rsidRPr="00FC75D0">
              <w:rPr>
                <w:rFonts w:ascii="Calibri" w:hAnsi="Calibri"/>
                <w:color w:val="000000"/>
                <w:sz w:val="20"/>
                <w:szCs w:val="20"/>
              </w:rPr>
              <w:t xml:space="preserve"> 0.3228 mmol/L); p=</w:t>
            </w:r>
            <w:r>
              <w:rPr>
                <w:rFonts w:ascii="Calibri" w:hAnsi="Calibri"/>
                <w:color w:val="000000"/>
                <w:sz w:val="20"/>
                <w:szCs w:val="20"/>
              </w:rPr>
              <w:t>0.084</w:t>
            </w:r>
          </w:p>
          <w:p w14:paraId="547A81F7" w14:textId="0F635A55" w:rsidR="00B7662D" w:rsidRPr="00FC75D0" w:rsidRDefault="00B7662D" w:rsidP="00D75091">
            <w:pPr>
              <w:rPr>
                <w:rFonts w:ascii="Calibri" w:hAnsi="Calibri"/>
                <w:color w:val="000000"/>
                <w:sz w:val="20"/>
                <w:szCs w:val="20"/>
              </w:rPr>
            </w:pPr>
            <w:r w:rsidRPr="00FC75D0">
              <w:rPr>
                <w:rFonts w:ascii="Calibri" w:hAnsi="Calibri"/>
                <w:b/>
                <w:color w:val="000000"/>
                <w:sz w:val="20"/>
                <w:szCs w:val="20"/>
              </w:rPr>
              <w:t xml:space="preserve">TG: </w:t>
            </w:r>
            <w:r w:rsidRPr="00FC75D0">
              <w:rPr>
                <w:rFonts w:ascii="Calibri" w:hAnsi="Calibri"/>
                <w:color w:val="000000"/>
                <w:sz w:val="20"/>
                <w:szCs w:val="20"/>
              </w:rPr>
              <w:t>Control (1.0642±</w:t>
            </w:r>
            <w:r>
              <w:rPr>
                <w:rFonts w:ascii="Calibri" w:hAnsi="Calibri"/>
                <w:color w:val="000000"/>
                <w:sz w:val="20"/>
                <w:szCs w:val="20"/>
              </w:rPr>
              <w:t xml:space="preserve"> SEM</w:t>
            </w:r>
            <w:r w:rsidRPr="00FC75D0">
              <w:rPr>
                <w:rFonts w:ascii="Calibri" w:hAnsi="Calibri"/>
                <w:color w:val="000000"/>
                <w:sz w:val="20"/>
                <w:szCs w:val="20"/>
              </w:rPr>
              <w:t xml:space="preserve"> 0.5946 mmol/L) vs treatment (0.9538±</w:t>
            </w:r>
            <w:r>
              <w:rPr>
                <w:rFonts w:ascii="Calibri" w:hAnsi="Calibri"/>
                <w:color w:val="000000"/>
                <w:sz w:val="20"/>
                <w:szCs w:val="20"/>
              </w:rPr>
              <w:t xml:space="preserve"> SEM</w:t>
            </w:r>
            <w:r w:rsidRPr="00FC75D0">
              <w:rPr>
                <w:rFonts w:ascii="Calibri" w:hAnsi="Calibri"/>
                <w:color w:val="000000"/>
                <w:sz w:val="20"/>
                <w:szCs w:val="20"/>
              </w:rPr>
              <w:t xml:space="preserve"> 0.5354 mmol/L); p=</w:t>
            </w:r>
            <w:r>
              <w:rPr>
                <w:rFonts w:ascii="Calibri" w:hAnsi="Calibri"/>
                <w:color w:val="000000"/>
                <w:sz w:val="20"/>
                <w:szCs w:val="20"/>
              </w:rPr>
              <w:t>0.295</w:t>
            </w:r>
          </w:p>
        </w:tc>
        <w:tc>
          <w:tcPr>
            <w:tcW w:w="2410" w:type="dxa"/>
          </w:tcPr>
          <w:p w14:paraId="7AD8D0AC" w14:textId="1779D57D" w:rsidR="00B7662D" w:rsidRPr="00FC75D0" w:rsidRDefault="00B7662D" w:rsidP="00C77EAE">
            <w:pPr>
              <w:autoSpaceDE w:val="0"/>
              <w:autoSpaceDN w:val="0"/>
              <w:adjustRightInd w:val="0"/>
              <w:rPr>
                <w:rFonts w:cs="AdvOT1ef757c0"/>
                <w:sz w:val="20"/>
                <w:szCs w:val="20"/>
              </w:rPr>
            </w:pPr>
            <w:r w:rsidRPr="00FC75D0">
              <w:rPr>
                <w:rFonts w:ascii="Calibri" w:hAnsi="Calibri"/>
                <w:b/>
                <w:color w:val="000000"/>
                <w:sz w:val="20"/>
                <w:szCs w:val="20"/>
              </w:rPr>
              <w:t>NR</w:t>
            </w:r>
          </w:p>
        </w:tc>
      </w:tr>
      <w:tr w:rsidR="00B7662D" w:rsidRPr="00FC75D0" w14:paraId="0E5646C1" w14:textId="77777777" w:rsidTr="00C77EAE">
        <w:trPr>
          <w:trHeight w:val="732"/>
        </w:trPr>
        <w:tc>
          <w:tcPr>
            <w:tcW w:w="1384" w:type="dxa"/>
          </w:tcPr>
          <w:p w14:paraId="6BCED953" w14:textId="77777777" w:rsidR="00B7662D" w:rsidRPr="00FC75D0" w:rsidRDefault="00B7662D" w:rsidP="00C77EAE">
            <w:pPr>
              <w:rPr>
                <w:rFonts w:cstheme="minorHAnsi"/>
                <w:sz w:val="20"/>
                <w:szCs w:val="20"/>
              </w:rPr>
            </w:pPr>
            <w:r w:rsidRPr="00FC75D0">
              <w:rPr>
                <w:rFonts w:cstheme="minorHAnsi"/>
                <w:sz w:val="20"/>
                <w:szCs w:val="20"/>
              </w:rPr>
              <w:t>Teixeira, 2008, Brazil</w:t>
            </w:r>
          </w:p>
          <w:p w14:paraId="79743C36" w14:textId="77777777" w:rsidR="00B7662D" w:rsidRPr="00FC75D0" w:rsidRDefault="00B7662D" w:rsidP="00C77EAE">
            <w:pPr>
              <w:rPr>
                <w:rFonts w:cstheme="minorHAnsi"/>
                <w:sz w:val="20"/>
                <w:szCs w:val="20"/>
              </w:rPr>
            </w:pPr>
          </w:p>
          <w:p w14:paraId="7B36D594"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n=60</w:t>
            </w:r>
          </w:p>
          <w:p w14:paraId="01AC999D" w14:textId="77777777" w:rsidR="00B7662D" w:rsidRPr="00FC75D0" w:rsidRDefault="00B7662D" w:rsidP="00C77EAE">
            <w:pPr>
              <w:rPr>
                <w:rFonts w:ascii="Calibri" w:hAnsi="Calibri"/>
                <w:color w:val="000000"/>
                <w:sz w:val="20"/>
                <w:szCs w:val="20"/>
              </w:rPr>
            </w:pPr>
          </w:p>
          <w:p w14:paraId="558DBF7A" w14:textId="77777777" w:rsidR="00B7662D" w:rsidRPr="00FC75D0" w:rsidRDefault="00B7662D" w:rsidP="00C77EAE">
            <w:pPr>
              <w:rPr>
                <w:rFonts w:cstheme="minorHAnsi"/>
                <w:sz w:val="20"/>
                <w:szCs w:val="20"/>
              </w:rPr>
            </w:pPr>
            <w:r w:rsidRPr="00FC75D0">
              <w:rPr>
                <w:rFonts w:cs="AdvOT1ef757c0"/>
                <w:sz w:val="20"/>
                <w:szCs w:val="20"/>
              </w:rPr>
              <w:t>Placebo</w:t>
            </w:r>
          </w:p>
        </w:tc>
        <w:tc>
          <w:tcPr>
            <w:tcW w:w="1418" w:type="dxa"/>
          </w:tcPr>
          <w:p w14:paraId="39F781F1" w14:textId="77777777" w:rsidR="00B7662D" w:rsidRPr="00FC75D0" w:rsidRDefault="00B7662D" w:rsidP="00C77EAE">
            <w:pPr>
              <w:autoSpaceDE w:val="0"/>
              <w:autoSpaceDN w:val="0"/>
              <w:adjustRightInd w:val="0"/>
              <w:rPr>
                <w:rFonts w:cs="AdvOT1ef757c0"/>
                <w:sz w:val="20"/>
                <w:szCs w:val="20"/>
              </w:rPr>
            </w:pPr>
            <w:r w:rsidRPr="00FC75D0">
              <w:rPr>
                <w:rFonts w:cs="AdvOT1ef757c0"/>
                <w:sz w:val="20"/>
                <w:szCs w:val="20"/>
              </w:rPr>
              <w:t>LT</w:t>
            </w:r>
            <w:r w:rsidRPr="00FC75D0">
              <w:rPr>
                <w:rFonts w:cs="AdvOT1ef757c0"/>
                <w:sz w:val="20"/>
                <w:szCs w:val="20"/>
                <w:vertAlign w:val="subscript"/>
              </w:rPr>
              <w:t>4</w:t>
            </w:r>
            <w:r w:rsidRPr="00FC75D0">
              <w:rPr>
                <w:rFonts w:cs="AdvOT1ef757c0"/>
                <w:sz w:val="20"/>
                <w:szCs w:val="20"/>
              </w:rPr>
              <w:t xml:space="preserve"> treatment (25-75 µg/day titrated to achieve TSH, FT</w:t>
            </w:r>
            <w:r w:rsidRPr="00FC75D0">
              <w:rPr>
                <w:rFonts w:cs="AdvOT1ef757c0"/>
                <w:sz w:val="20"/>
                <w:szCs w:val="20"/>
                <w:vertAlign w:val="subscript"/>
              </w:rPr>
              <w:t>4</w:t>
            </w:r>
            <w:r w:rsidRPr="00FC75D0">
              <w:rPr>
                <w:rFonts w:cs="AdvOT1ef757c0"/>
                <w:sz w:val="20"/>
                <w:szCs w:val="20"/>
              </w:rPr>
              <w:t xml:space="preserve"> WNL)</w:t>
            </w:r>
          </w:p>
          <w:p w14:paraId="6740C421" w14:textId="77777777" w:rsidR="00B7662D" w:rsidRPr="00FC75D0" w:rsidRDefault="00B7662D" w:rsidP="00C77EAE">
            <w:pPr>
              <w:autoSpaceDE w:val="0"/>
              <w:autoSpaceDN w:val="0"/>
              <w:adjustRightInd w:val="0"/>
              <w:rPr>
                <w:rFonts w:cs="AdvOT1ef757c0"/>
                <w:sz w:val="20"/>
                <w:szCs w:val="20"/>
              </w:rPr>
            </w:pPr>
          </w:p>
          <w:p w14:paraId="3AB10E10" w14:textId="77777777" w:rsidR="00B7662D" w:rsidRPr="00FC75D0" w:rsidRDefault="00B7662D" w:rsidP="00C77EAE">
            <w:pPr>
              <w:autoSpaceDE w:val="0"/>
              <w:autoSpaceDN w:val="0"/>
              <w:adjustRightInd w:val="0"/>
              <w:rPr>
                <w:rFonts w:cs="AdvOT1ef757c0"/>
                <w:sz w:val="20"/>
                <w:szCs w:val="20"/>
              </w:rPr>
            </w:pPr>
            <w:r w:rsidRPr="00FC75D0">
              <w:rPr>
                <w:rFonts w:ascii="Calibri" w:hAnsi="Calibri"/>
                <w:color w:val="000000"/>
                <w:sz w:val="20"/>
                <w:szCs w:val="20"/>
              </w:rPr>
              <w:t>follow-up of 6 and 12 months</w:t>
            </w:r>
          </w:p>
        </w:tc>
        <w:tc>
          <w:tcPr>
            <w:tcW w:w="7654" w:type="dxa"/>
          </w:tcPr>
          <w:p w14:paraId="3575611E" w14:textId="007CB464"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TC:</w:t>
            </w:r>
            <w:r w:rsidRPr="00FC75D0">
              <w:rPr>
                <w:rFonts w:ascii="Calibri" w:hAnsi="Calibri"/>
                <w:color w:val="000000"/>
                <w:sz w:val="20"/>
                <w:szCs w:val="20"/>
              </w:rPr>
              <w:t xml:space="preserve"> </w:t>
            </w:r>
          </w:p>
          <w:p w14:paraId="731B858D" w14:textId="659E7733" w:rsidR="00B7662D" w:rsidRPr="00FC75D0" w:rsidRDefault="00B7662D" w:rsidP="00B7662D">
            <w:pPr>
              <w:numPr>
                <w:ilvl w:val="0"/>
                <w:numId w:val="7"/>
              </w:numPr>
              <w:contextualSpacing/>
              <w:rPr>
                <w:rFonts w:ascii="Calibri" w:hAnsi="Calibri"/>
                <w:color w:val="000000"/>
                <w:sz w:val="20"/>
                <w:szCs w:val="20"/>
              </w:rPr>
            </w:pPr>
            <w:r w:rsidRPr="00FC75D0">
              <w:rPr>
                <w:rFonts w:ascii="Calibri" w:hAnsi="Calibri"/>
                <w:color w:val="000000"/>
                <w:sz w:val="20"/>
                <w:szCs w:val="20"/>
              </w:rPr>
              <w:t>At 12 months: Control (202.7±40.5 mg/dL) vs treatment (197.0±28.7 mg/dL); p=0.032</w:t>
            </w:r>
          </w:p>
          <w:p w14:paraId="01DF6145" w14:textId="77777777" w:rsidR="00B7662D" w:rsidRPr="00FC75D0" w:rsidRDefault="00B7662D" w:rsidP="00B7662D">
            <w:pPr>
              <w:numPr>
                <w:ilvl w:val="0"/>
                <w:numId w:val="7"/>
              </w:numPr>
              <w:contextualSpacing/>
              <w:rPr>
                <w:rFonts w:ascii="Calibri" w:hAnsi="Calibri"/>
                <w:color w:val="000000"/>
                <w:sz w:val="20"/>
                <w:szCs w:val="20"/>
              </w:rPr>
            </w:pPr>
            <w:r w:rsidRPr="00FC75D0">
              <w:rPr>
                <w:rFonts w:ascii="Calibri" w:hAnsi="Calibri"/>
                <w:color w:val="000000"/>
                <w:sz w:val="20"/>
                <w:szCs w:val="20"/>
              </w:rPr>
              <w:t>At 6 months: Control (188.3±48.2 mg/dL) vs treatment (214.1±46.9 mg/dL); p=</w:t>
            </w:r>
            <w:r>
              <w:rPr>
                <w:rFonts w:ascii="Calibri" w:hAnsi="Calibri"/>
                <w:color w:val="000000"/>
                <w:sz w:val="20"/>
                <w:szCs w:val="20"/>
              </w:rPr>
              <w:t>0.070</w:t>
            </w:r>
          </w:p>
          <w:p w14:paraId="71A34F08"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LDL:</w:t>
            </w:r>
            <w:r w:rsidRPr="00FC75D0">
              <w:rPr>
                <w:rFonts w:ascii="Calibri" w:hAnsi="Calibri"/>
                <w:color w:val="000000"/>
                <w:sz w:val="20"/>
                <w:szCs w:val="20"/>
              </w:rPr>
              <w:t xml:space="preserve"> </w:t>
            </w:r>
          </w:p>
          <w:p w14:paraId="211BE43D" w14:textId="1CA117A9" w:rsidR="00B7662D" w:rsidRPr="00FC75D0" w:rsidRDefault="00B7662D" w:rsidP="00B7662D">
            <w:pPr>
              <w:numPr>
                <w:ilvl w:val="0"/>
                <w:numId w:val="7"/>
              </w:numPr>
              <w:contextualSpacing/>
              <w:rPr>
                <w:rFonts w:ascii="Calibri" w:hAnsi="Calibri"/>
                <w:color w:val="000000"/>
                <w:sz w:val="20"/>
                <w:szCs w:val="20"/>
              </w:rPr>
            </w:pPr>
            <w:r w:rsidRPr="00FC75D0">
              <w:rPr>
                <w:rFonts w:ascii="Calibri" w:hAnsi="Calibri"/>
                <w:color w:val="000000"/>
                <w:sz w:val="20"/>
                <w:szCs w:val="20"/>
              </w:rPr>
              <w:t>At 12 months: Control (129.7±35.2 mg/dL) vs treatment (118.3±24.2 mg/dL); p=0.024</w:t>
            </w:r>
          </w:p>
          <w:p w14:paraId="460FCC28" w14:textId="77777777" w:rsidR="00B7662D" w:rsidRPr="00FC75D0" w:rsidRDefault="00B7662D" w:rsidP="00B7662D">
            <w:pPr>
              <w:numPr>
                <w:ilvl w:val="0"/>
                <w:numId w:val="7"/>
              </w:numPr>
              <w:contextualSpacing/>
              <w:rPr>
                <w:rFonts w:ascii="Calibri" w:hAnsi="Calibri"/>
                <w:color w:val="000000"/>
                <w:sz w:val="20"/>
                <w:szCs w:val="20"/>
              </w:rPr>
            </w:pPr>
            <w:r w:rsidRPr="00FC75D0">
              <w:rPr>
                <w:rFonts w:ascii="Calibri" w:hAnsi="Calibri"/>
                <w:color w:val="000000"/>
                <w:sz w:val="20"/>
                <w:szCs w:val="20"/>
              </w:rPr>
              <w:t>At 6 months: Control (118.1±51.8 mg/dL) vs treatment (138.2±44.7 mg/dL); p=</w:t>
            </w:r>
            <w:r>
              <w:rPr>
                <w:rFonts w:ascii="Calibri" w:hAnsi="Calibri"/>
                <w:color w:val="000000"/>
                <w:sz w:val="20"/>
                <w:szCs w:val="20"/>
              </w:rPr>
              <w:t>0.119</w:t>
            </w:r>
          </w:p>
          <w:p w14:paraId="6717E5C2"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HDL:</w:t>
            </w:r>
            <w:r w:rsidRPr="00FC75D0">
              <w:rPr>
                <w:rFonts w:ascii="Calibri" w:hAnsi="Calibri"/>
                <w:color w:val="000000"/>
                <w:sz w:val="20"/>
                <w:szCs w:val="20"/>
              </w:rPr>
              <w:t xml:space="preserve"> </w:t>
            </w:r>
          </w:p>
          <w:p w14:paraId="1AD62B68" w14:textId="70F40131" w:rsidR="00B7662D" w:rsidRPr="00FC75D0" w:rsidRDefault="00B7662D" w:rsidP="00B7662D">
            <w:pPr>
              <w:numPr>
                <w:ilvl w:val="0"/>
                <w:numId w:val="7"/>
              </w:numPr>
              <w:contextualSpacing/>
              <w:rPr>
                <w:rFonts w:ascii="Calibri" w:hAnsi="Calibri"/>
                <w:color w:val="000000"/>
                <w:sz w:val="20"/>
                <w:szCs w:val="20"/>
              </w:rPr>
            </w:pPr>
            <w:r w:rsidRPr="00FC75D0">
              <w:rPr>
                <w:rFonts w:ascii="Calibri" w:hAnsi="Calibri"/>
                <w:color w:val="000000"/>
                <w:sz w:val="20"/>
                <w:szCs w:val="20"/>
              </w:rPr>
              <w:t>At 12 months: Control (48.5±9.9 mg/dL) vs treatment (54.8±17.5 mg/dL); p=</w:t>
            </w:r>
            <w:r>
              <w:rPr>
                <w:rFonts w:ascii="Calibri" w:hAnsi="Calibri"/>
                <w:color w:val="000000"/>
                <w:sz w:val="20"/>
                <w:szCs w:val="20"/>
              </w:rPr>
              <w:t>0.180</w:t>
            </w:r>
          </w:p>
          <w:p w14:paraId="254BE5C9" w14:textId="77777777" w:rsidR="00B7662D" w:rsidRPr="00FC75D0" w:rsidRDefault="00B7662D" w:rsidP="00B7662D">
            <w:pPr>
              <w:numPr>
                <w:ilvl w:val="0"/>
                <w:numId w:val="7"/>
              </w:numPr>
              <w:contextualSpacing/>
              <w:rPr>
                <w:rFonts w:ascii="Calibri" w:hAnsi="Calibri"/>
                <w:color w:val="000000"/>
                <w:sz w:val="20"/>
                <w:szCs w:val="20"/>
              </w:rPr>
            </w:pPr>
            <w:r w:rsidRPr="00FC75D0">
              <w:rPr>
                <w:rFonts w:ascii="Calibri" w:hAnsi="Calibri"/>
                <w:color w:val="000000"/>
                <w:sz w:val="20"/>
                <w:szCs w:val="20"/>
              </w:rPr>
              <w:t>At 6 months: Control (55.1±15.0 mg/dL) vs treatment (55.6±9.8 mg/dL); p=</w:t>
            </w:r>
            <w:r>
              <w:rPr>
                <w:rFonts w:ascii="Calibri" w:hAnsi="Calibri"/>
                <w:color w:val="000000"/>
                <w:sz w:val="20"/>
                <w:szCs w:val="20"/>
              </w:rPr>
              <w:t>0.0965</w:t>
            </w:r>
          </w:p>
          <w:p w14:paraId="6BBB21EA"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TG:</w:t>
            </w:r>
            <w:r w:rsidRPr="00FC75D0">
              <w:rPr>
                <w:rFonts w:ascii="Calibri" w:hAnsi="Calibri"/>
                <w:color w:val="000000"/>
                <w:sz w:val="20"/>
                <w:szCs w:val="20"/>
              </w:rPr>
              <w:t xml:space="preserve"> </w:t>
            </w:r>
          </w:p>
          <w:p w14:paraId="0510FC4E" w14:textId="62A4AD61" w:rsidR="00B7662D" w:rsidRPr="00FC75D0" w:rsidRDefault="00B7662D" w:rsidP="00B7662D">
            <w:pPr>
              <w:numPr>
                <w:ilvl w:val="0"/>
                <w:numId w:val="7"/>
              </w:numPr>
              <w:contextualSpacing/>
              <w:rPr>
                <w:rFonts w:ascii="Calibri" w:hAnsi="Calibri"/>
                <w:color w:val="000000"/>
                <w:sz w:val="20"/>
                <w:szCs w:val="20"/>
              </w:rPr>
            </w:pPr>
            <w:r w:rsidRPr="00FC75D0">
              <w:rPr>
                <w:rFonts w:ascii="Calibri" w:hAnsi="Calibri"/>
                <w:color w:val="000000"/>
                <w:sz w:val="20"/>
                <w:szCs w:val="20"/>
              </w:rPr>
              <w:t>At 12 months: Control (122.7±58.5 mg/dL) vs treatment (105.0±58.7 mg/dL); p=</w:t>
            </w:r>
            <w:r>
              <w:rPr>
                <w:rFonts w:ascii="Calibri" w:hAnsi="Calibri"/>
                <w:color w:val="000000"/>
                <w:sz w:val="20"/>
                <w:szCs w:val="20"/>
              </w:rPr>
              <w:t>0.384</w:t>
            </w:r>
          </w:p>
          <w:p w14:paraId="77ABFE32" w14:textId="77777777" w:rsidR="00B7662D" w:rsidRPr="00FC75D0" w:rsidRDefault="00B7662D" w:rsidP="00B7662D">
            <w:pPr>
              <w:numPr>
                <w:ilvl w:val="0"/>
                <w:numId w:val="7"/>
              </w:numPr>
              <w:contextualSpacing/>
              <w:rPr>
                <w:rFonts w:ascii="Calibri" w:hAnsi="Calibri"/>
                <w:color w:val="000000"/>
                <w:sz w:val="20"/>
                <w:szCs w:val="20"/>
              </w:rPr>
            </w:pPr>
            <w:r w:rsidRPr="00FC75D0">
              <w:rPr>
                <w:rFonts w:ascii="Calibri" w:hAnsi="Calibri"/>
                <w:color w:val="000000"/>
                <w:sz w:val="20"/>
                <w:szCs w:val="20"/>
              </w:rPr>
              <w:lastRenderedPageBreak/>
              <w:t>At 6 months: Control (98.1±38.5 mg/dL) vs treatment (102.3±50.8 mg/dL); p=</w:t>
            </w:r>
            <w:r>
              <w:rPr>
                <w:rFonts w:ascii="Calibri" w:hAnsi="Calibri"/>
                <w:color w:val="000000"/>
                <w:sz w:val="20"/>
                <w:szCs w:val="20"/>
              </w:rPr>
              <w:t>0.988</w:t>
            </w:r>
          </w:p>
          <w:p w14:paraId="1C43B768" w14:textId="77777777" w:rsidR="00B7662D" w:rsidRPr="00FC75D0" w:rsidRDefault="00B7662D" w:rsidP="00C77EAE">
            <w:pPr>
              <w:rPr>
                <w:rFonts w:ascii="Calibri" w:hAnsi="Calibri"/>
                <w:b/>
                <w:color w:val="000000"/>
                <w:sz w:val="20"/>
                <w:szCs w:val="20"/>
              </w:rPr>
            </w:pPr>
            <w:r w:rsidRPr="00FC75D0">
              <w:rPr>
                <w:rFonts w:ascii="Calibri" w:hAnsi="Calibri"/>
                <w:b/>
                <w:color w:val="000000"/>
                <w:sz w:val="20"/>
                <w:szCs w:val="20"/>
              </w:rPr>
              <w:t xml:space="preserve">BMI: </w:t>
            </w:r>
          </w:p>
          <w:p w14:paraId="6CDFD257" w14:textId="6B12678B" w:rsidR="00B7662D" w:rsidRPr="00FC75D0" w:rsidRDefault="00B7662D" w:rsidP="00B7662D">
            <w:pPr>
              <w:numPr>
                <w:ilvl w:val="0"/>
                <w:numId w:val="7"/>
              </w:numPr>
              <w:contextualSpacing/>
              <w:rPr>
                <w:rFonts w:ascii="Calibri" w:hAnsi="Calibri"/>
                <w:color w:val="000000"/>
                <w:sz w:val="20"/>
                <w:szCs w:val="20"/>
              </w:rPr>
            </w:pPr>
            <w:r w:rsidRPr="00FC75D0">
              <w:rPr>
                <w:rFonts w:ascii="Calibri" w:hAnsi="Calibri"/>
                <w:color w:val="000000"/>
                <w:sz w:val="20"/>
                <w:szCs w:val="20"/>
              </w:rPr>
              <w:t>At 12 months: Control (24.5±3.3 kg/m</w:t>
            </w:r>
            <w:r w:rsidRPr="00FC75D0">
              <w:rPr>
                <w:rFonts w:ascii="Calibri" w:hAnsi="Calibri"/>
                <w:color w:val="000000"/>
                <w:sz w:val="20"/>
                <w:szCs w:val="20"/>
                <w:vertAlign w:val="superscript"/>
              </w:rPr>
              <w:t>2</w:t>
            </w:r>
            <w:r w:rsidRPr="00FC75D0">
              <w:rPr>
                <w:rFonts w:ascii="Calibri" w:hAnsi="Calibri"/>
                <w:color w:val="000000"/>
                <w:sz w:val="20"/>
                <w:szCs w:val="20"/>
              </w:rPr>
              <w:t>) vs treatment (27.4±3.2 kg/m</w:t>
            </w:r>
            <w:r w:rsidRPr="00FC75D0">
              <w:rPr>
                <w:rFonts w:ascii="Calibri" w:hAnsi="Calibri"/>
                <w:color w:val="000000"/>
                <w:sz w:val="20"/>
                <w:szCs w:val="20"/>
                <w:vertAlign w:val="superscript"/>
              </w:rPr>
              <w:t>2</w:t>
            </w:r>
            <w:r w:rsidRPr="00FC75D0">
              <w:rPr>
                <w:rFonts w:ascii="Calibri" w:hAnsi="Calibri"/>
                <w:color w:val="000000"/>
                <w:sz w:val="20"/>
                <w:szCs w:val="20"/>
              </w:rPr>
              <w:t xml:space="preserve">); </w:t>
            </w:r>
            <w:r>
              <w:rPr>
                <w:rFonts w:ascii="Calibri" w:hAnsi="Calibri"/>
                <w:color w:val="000000"/>
                <w:sz w:val="20"/>
                <w:szCs w:val="20"/>
              </w:rPr>
              <w:t>p=0.02</w:t>
            </w:r>
          </w:p>
          <w:p w14:paraId="61955155" w14:textId="77777777" w:rsidR="00B7662D" w:rsidRPr="00FC75D0" w:rsidRDefault="00B7662D" w:rsidP="00B7662D">
            <w:pPr>
              <w:numPr>
                <w:ilvl w:val="0"/>
                <w:numId w:val="7"/>
              </w:numPr>
              <w:contextualSpacing/>
              <w:rPr>
                <w:rFonts w:ascii="Calibri" w:hAnsi="Calibri"/>
                <w:color w:val="000000"/>
                <w:sz w:val="20"/>
                <w:szCs w:val="20"/>
              </w:rPr>
            </w:pPr>
            <w:r w:rsidRPr="00FC75D0">
              <w:rPr>
                <w:rFonts w:ascii="Calibri" w:hAnsi="Calibri"/>
                <w:color w:val="000000"/>
                <w:sz w:val="20"/>
                <w:szCs w:val="20"/>
              </w:rPr>
              <w:t>At 6 months: Control (23.5±3.1 kg/m</w:t>
            </w:r>
            <w:r w:rsidRPr="00FC75D0">
              <w:rPr>
                <w:rFonts w:ascii="Calibri" w:hAnsi="Calibri"/>
                <w:color w:val="000000"/>
                <w:sz w:val="20"/>
                <w:szCs w:val="20"/>
                <w:vertAlign w:val="superscript"/>
              </w:rPr>
              <w:t>2</w:t>
            </w:r>
            <w:r w:rsidRPr="00FC75D0">
              <w:rPr>
                <w:rFonts w:ascii="Calibri" w:hAnsi="Calibri"/>
                <w:color w:val="000000"/>
                <w:sz w:val="20"/>
                <w:szCs w:val="20"/>
              </w:rPr>
              <w:t>) vs treatment (26.7±1.9 kg/m</w:t>
            </w:r>
            <w:r w:rsidRPr="00FC75D0">
              <w:rPr>
                <w:rFonts w:ascii="Calibri" w:hAnsi="Calibri"/>
                <w:color w:val="000000"/>
                <w:sz w:val="20"/>
                <w:szCs w:val="20"/>
                <w:vertAlign w:val="superscript"/>
              </w:rPr>
              <w:t>2</w:t>
            </w:r>
            <w:r w:rsidRPr="00FC75D0">
              <w:rPr>
                <w:rFonts w:ascii="Calibri" w:hAnsi="Calibri"/>
                <w:color w:val="000000"/>
                <w:sz w:val="20"/>
                <w:szCs w:val="20"/>
              </w:rPr>
              <w:t>); p=0.001</w:t>
            </w:r>
          </w:p>
        </w:tc>
        <w:tc>
          <w:tcPr>
            <w:tcW w:w="2410" w:type="dxa"/>
          </w:tcPr>
          <w:p w14:paraId="385E224A" w14:textId="738A37E0" w:rsidR="00B7662D" w:rsidRPr="00FC75D0" w:rsidRDefault="00B7662D" w:rsidP="00C77EAE">
            <w:pPr>
              <w:autoSpaceDE w:val="0"/>
              <w:autoSpaceDN w:val="0"/>
              <w:adjustRightInd w:val="0"/>
              <w:rPr>
                <w:rFonts w:cs="AdvOT1ef757c0"/>
                <w:sz w:val="20"/>
                <w:szCs w:val="20"/>
              </w:rPr>
            </w:pPr>
            <w:r w:rsidRPr="00FC75D0">
              <w:rPr>
                <w:rFonts w:cs="AdvOT1ef757c0"/>
                <w:sz w:val="20"/>
                <w:szCs w:val="20"/>
              </w:rPr>
              <w:lastRenderedPageBreak/>
              <w:t>One patient in the treatment group developed hashitoxicosis and 1 patient had symptomatic tachycardia.</w:t>
            </w:r>
          </w:p>
        </w:tc>
      </w:tr>
      <w:tr w:rsidR="00B7662D" w:rsidRPr="00FC75D0" w14:paraId="1F85BE25" w14:textId="77777777" w:rsidTr="00C77EAE">
        <w:tc>
          <w:tcPr>
            <w:tcW w:w="1384" w:type="dxa"/>
          </w:tcPr>
          <w:p w14:paraId="1EE513BC" w14:textId="77777777" w:rsidR="00B7662D" w:rsidRPr="00FC75D0" w:rsidRDefault="00B7662D" w:rsidP="00C77EAE">
            <w:pPr>
              <w:rPr>
                <w:rFonts w:cstheme="minorHAnsi"/>
                <w:sz w:val="20"/>
                <w:szCs w:val="20"/>
              </w:rPr>
            </w:pPr>
            <w:r w:rsidRPr="00FC75D0">
              <w:rPr>
                <w:rFonts w:cstheme="minorHAnsi"/>
                <w:sz w:val="20"/>
                <w:szCs w:val="20"/>
              </w:rPr>
              <w:t>Duman, 2007, Turkey</w:t>
            </w:r>
          </w:p>
          <w:p w14:paraId="5532E0EC" w14:textId="77777777" w:rsidR="00B7662D" w:rsidRPr="00FC75D0" w:rsidRDefault="00B7662D" w:rsidP="00C77EAE">
            <w:pPr>
              <w:rPr>
                <w:rFonts w:cstheme="minorHAnsi"/>
                <w:sz w:val="20"/>
                <w:szCs w:val="20"/>
              </w:rPr>
            </w:pPr>
          </w:p>
          <w:p w14:paraId="1BEB9E78"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n=63</w:t>
            </w:r>
          </w:p>
          <w:p w14:paraId="392B282D" w14:textId="77777777" w:rsidR="00B7662D" w:rsidRPr="00FC75D0" w:rsidRDefault="00B7662D" w:rsidP="00C77EAE">
            <w:pPr>
              <w:rPr>
                <w:rFonts w:ascii="Calibri" w:hAnsi="Calibri"/>
                <w:color w:val="000000"/>
                <w:sz w:val="20"/>
                <w:szCs w:val="20"/>
              </w:rPr>
            </w:pPr>
          </w:p>
          <w:p w14:paraId="47B1243C" w14:textId="77777777" w:rsidR="00B7662D" w:rsidRPr="00FC75D0" w:rsidRDefault="00B7662D" w:rsidP="00C77EAE">
            <w:pPr>
              <w:rPr>
                <w:rFonts w:cstheme="minorHAnsi"/>
                <w:sz w:val="20"/>
                <w:szCs w:val="20"/>
              </w:rPr>
            </w:pPr>
            <w:r w:rsidRPr="00FC75D0">
              <w:rPr>
                <w:rFonts w:cs="AdvOT1ef757c0"/>
                <w:sz w:val="20"/>
                <w:szCs w:val="20"/>
              </w:rPr>
              <w:t>No treatment</w:t>
            </w:r>
          </w:p>
        </w:tc>
        <w:tc>
          <w:tcPr>
            <w:tcW w:w="1418" w:type="dxa"/>
          </w:tcPr>
          <w:p w14:paraId="71C7DC1F" w14:textId="77777777" w:rsidR="00B7662D" w:rsidRPr="00FC75D0" w:rsidRDefault="00B7662D" w:rsidP="00C77EAE">
            <w:pPr>
              <w:autoSpaceDE w:val="0"/>
              <w:autoSpaceDN w:val="0"/>
              <w:adjustRightInd w:val="0"/>
              <w:rPr>
                <w:rFonts w:cs="AdvOT1ef757c0"/>
                <w:sz w:val="20"/>
                <w:szCs w:val="20"/>
              </w:rPr>
            </w:pPr>
            <w:r w:rsidRPr="00FC75D0">
              <w:rPr>
                <w:rFonts w:cs="AdvOT1ef757c0"/>
                <w:sz w:val="20"/>
                <w:szCs w:val="20"/>
              </w:rPr>
              <w:t>LT</w:t>
            </w:r>
            <w:r w:rsidRPr="00FC75D0">
              <w:rPr>
                <w:rFonts w:cs="AdvOT1ef757c0"/>
                <w:sz w:val="20"/>
                <w:szCs w:val="20"/>
                <w:vertAlign w:val="subscript"/>
              </w:rPr>
              <w:t>4</w:t>
            </w:r>
            <w:r w:rsidRPr="00FC75D0">
              <w:rPr>
                <w:rFonts w:cs="AdvOT1ef757c0"/>
                <w:sz w:val="20"/>
                <w:szCs w:val="20"/>
              </w:rPr>
              <w:t xml:space="preserve"> treatment (initial: 25 µg/day, titrated to achieve euthyroidism),</w:t>
            </w:r>
          </w:p>
          <w:p w14:paraId="1B5498A9" w14:textId="77777777" w:rsidR="00B7662D" w:rsidRPr="00FC75D0" w:rsidRDefault="00B7662D" w:rsidP="00C77EAE">
            <w:pPr>
              <w:autoSpaceDE w:val="0"/>
              <w:autoSpaceDN w:val="0"/>
              <w:adjustRightInd w:val="0"/>
              <w:rPr>
                <w:rFonts w:cs="AdvOT1ef757c0"/>
                <w:sz w:val="20"/>
                <w:szCs w:val="20"/>
              </w:rPr>
            </w:pPr>
            <w:r w:rsidRPr="00FC75D0">
              <w:rPr>
                <w:rFonts w:ascii="Calibri" w:hAnsi="Calibri"/>
                <w:color w:val="000000"/>
                <w:sz w:val="20"/>
                <w:szCs w:val="20"/>
              </w:rPr>
              <w:t>follow-up of 8 months</w:t>
            </w:r>
          </w:p>
        </w:tc>
        <w:tc>
          <w:tcPr>
            <w:tcW w:w="7654" w:type="dxa"/>
          </w:tcPr>
          <w:p w14:paraId="17714791" w14:textId="5FE6CD8E"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TC:</w:t>
            </w:r>
            <w:r w:rsidRPr="00FC75D0">
              <w:rPr>
                <w:rFonts w:ascii="Calibri" w:hAnsi="Calibri"/>
                <w:color w:val="000000"/>
                <w:sz w:val="20"/>
                <w:szCs w:val="20"/>
              </w:rPr>
              <w:t xml:space="preserve"> Control (202±28 mg/dL) vs treatment (202±28 mg/dL); p=</w:t>
            </w:r>
            <w:r>
              <w:rPr>
                <w:rFonts w:ascii="Calibri" w:hAnsi="Calibri"/>
                <w:color w:val="000000"/>
                <w:sz w:val="20"/>
                <w:szCs w:val="20"/>
              </w:rPr>
              <w:t>1.00</w:t>
            </w:r>
          </w:p>
          <w:p w14:paraId="6FD333AE"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LDL: </w:t>
            </w:r>
            <w:r w:rsidRPr="00FC75D0">
              <w:rPr>
                <w:rFonts w:ascii="Calibri" w:hAnsi="Calibri"/>
                <w:color w:val="000000"/>
                <w:sz w:val="20"/>
                <w:szCs w:val="20"/>
              </w:rPr>
              <w:t>Control (128±25 mg/dL) vs treatment (130±32 mg/dL); p=</w:t>
            </w:r>
            <w:r>
              <w:rPr>
                <w:rFonts w:ascii="Calibri" w:hAnsi="Calibri"/>
                <w:color w:val="000000"/>
                <w:sz w:val="20"/>
                <w:szCs w:val="20"/>
              </w:rPr>
              <w:t>0,84</w:t>
            </w:r>
          </w:p>
          <w:p w14:paraId="14728849"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HDL: </w:t>
            </w:r>
            <w:r w:rsidRPr="00FC75D0">
              <w:rPr>
                <w:rFonts w:ascii="Calibri" w:hAnsi="Calibri"/>
                <w:color w:val="000000"/>
                <w:sz w:val="20"/>
                <w:szCs w:val="20"/>
              </w:rPr>
              <w:t>Control (53.08±8.6 mg/dL) vs treatment (53±16 mg/dL); p=</w:t>
            </w:r>
            <w:r>
              <w:rPr>
                <w:rFonts w:ascii="Calibri" w:hAnsi="Calibri"/>
                <w:color w:val="000000"/>
                <w:sz w:val="20"/>
                <w:szCs w:val="20"/>
              </w:rPr>
              <w:t>1.00</w:t>
            </w:r>
          </w:p>
          <w:p w14:paraId="08E3058E" w14:textId="77777777" w:rsidR="00B7662D" w:rsidRPr="00FC75D0" w:rsidRDefault="00B7662D" w:rsidP="00C77EAE">
            <w:pPr>
              <w:autoSpaceDE w:val="0"/>
              <w:autoSpaceDN w:val="0"/>
              <w:adjustRightInd w:val="0"/>
              <w:rPr>
                <w:rFonts w:ascii="Calibri" w:hAnsi="Calibri"/>
                <w:color w:val="000000"/>
                <w:sz w:val="20"/>
                <w:szCs w:val="20"/>
              </w:rPr>
            </w:pPr>
            <w:r w:rsidRPr="00FC75D0">
              <w:rPr>
                <w:rFonts w:ascii="Calibri" w:hAnsi="Calibri"/>
                <w:b/>
                <w:color w:val="000000"/>
                <w:sz w:val="20"/>
                <w:szCs w:val="20"/>
              </w:rPr>
              <w:t xml:space="preserve">TG: </w:t>
            </w:r>
            <w:r w:rsidRPr="00FC75D0">
              <w:rPr>
                <w:rFonts w:ascii="Calibri" w:hAnsi="Calibri"/>
                <w:color w:val="000000"/>
                <w:sz w:val="20"/>
                <w:szCs w:val="20"/>
              </w:rPr>
              <w:t>Control (128±58 mg/dL) vs treatment (93±37 mg/dL); p</w:t>
            </w:r>
            <w:r>
              <w:rPr>
                <w:rFonts w:ascii="Calibri" w:hAnsi="Calibri"/>
                <w:color w:val="000000"/>
                <w:sz w:val="20"/>
                <w:szCs w:val="20"/>
              </w:rPr>
              <w:t>=0.02</w:t>
            </w:r>
          </w:p>
          <w:p w14:paraId="0858D26F" w14:textId="77777777" w:rsidR="00B7662D" w:rsidRPr="00FC75D0" w:rsidRDefault="00B7662D" w:rsidP="00C77EAE">
            <w:pPr>
              <w:autoSpaceDE w:val="0"/>
              <w:autoSpaceDN w:val="0"/>
              <w:adjustRightInd w:val="0"/>
              <w:rPr>
                <w:rFonts w:cs="AdvOT1ef757c0"/>
                <w:sz w:val="20"/>
                <w:szCs w:val="20"/>
              </w:rPr>
            </w:pPr>
            <w:r w:rsidRPr="00FC75D0">
              <w:rPr>
                <w:rFonts w:ascii="Calibri" w:hAnsi="Calibri"/>
                <w:b/>
                <w:color w:val="000000"/>
                <w:sz w:val="20"/>
                <w:szCs w:val="20"/>
              </w:rPr>
              <w:t xml:space="preserve">BMI: </w:t>
            </w:r>
            <w:r w:rsidRPr="00FC75D0">
              <w:rPr>
                <w:rFonts w:ascii="Calibri" w:hAnsi="Calibri"/>
                <w:color w:val="000000"/>
                <w:sz w:val="20"/>
                <w:szCs w:val="20"/>
              </w:rPr>
              <w:t>Control (25.5±3.8 kg/m</w:t>
            </w:r>
            <w:r w:rsidRPr="00FC75D0">
              <w:rPr>
                <w:rFonts w:ascii="Calibri" w:hAnsi="Calibri"/>
                <w:color w:val="000000"/>
                <w:sz w:val="20"/>
                <w:szCs w:val="20"/>
                <w:vertAlign w:val="superscript"/>
              </w:rPr>
              <w:t>2</w:t>
            </w:r>
            <w:r w:rsidRPr="00FC75D0">
              <w:rPr>
                <w:rFonts w:ascii="Calibri" w:hAnsi="Calibri"/>
                <w:color w:val="000000"/>
                <w:sz w:val="20"/>
                <w:szCs w:val="20"/>
              </w:rPr>
              <w:t>) vs treatment (24.8±3.2 kg/m</w:t>
            </w:r>
            <w:r w:rsidRPr="00FC75D0">
              <w:rPr>
                <w:rFonts w:ascii="Calibri" w:hAnsi="Calibri"/>
                <w:color w:val="000000"/>
                <w:sz w:val="20"/>
                <w:szCs w:val="20"/>
                <w:vertAlign w:val="superscript"/>
              </w:rPr>
              <w:t>2</w:t>
            </w:r>
            <w:r w:rsidRPr="00FC75D0">
              <w:rPr>
                <w:rFonts w:ascii="Calibri" w:hAnsi="Calibri"/>
                <w:color w:val="000000"/>
                <w:sz w:val="20"/>
                <w:szCs w:val="20"/>
              </w:rPr>
              <w:t>); p=</w:t>
            </w:r>
            <w:r>
              <w:rPr>
                <w:rFonts w:ascii="Calibri" w:hAnsi="Calibri"/>
                <w:color w:val="000000"/>
                <w:sz w:val="20"/>
                <w:szCs w:val="20"/>
              </w:rPr>
              <w:t>0.55</w:t>
            </w:r>
          </w:p>
        </w:tc>
        <w:tc>
          <w:tcPr>
            <w:tcW w:w="2410" w:type="dxa"/>
          </w:tcPr>
          <w:p w14:paraId="528DA87E" w14:textId="70B77B1B" w:rsidR="00B7662D" w:rsidRPr="00FC75D0" w:rsidRDefault="00B7662D" w:rsidP="00C77EAE">
            <w:pPr>
              <w:autoSpaceDE w:val="0"/>
              <w:autoSpaceDN w:val="0"/>
              <w:adjustRightInd w:val="0"/>
              <w:rPr>
                <w:rFonts w:cs="AdvOT1ef757c0"/>
                <w:sz w:val="20"/>
                <w:szCs w:val="20"/>
              </w:rPr>
            </w:pPr>
            <w:r w:rsidRPr="00FC75D0">
              <w:rPr>
                <w:rFonts w:ascii="Calibri" w:hAnsi="Calibri"/>
                <w:b/>
                <w:color w:val="000000"/>
                <w:sz w:val="20"/>
                <w:szCs w:val="20"/>
              </w:rPr>
              <w:t>NR</w:t>
            </w:r>
          </w:p>
        </w:tc>
      </w:tr>
      <w:tr w:rsidR="00B7662D" w:rsidRPr="00FC75D0" w14:paraId="3B34CE0E" w14:textId="77777777" w:rsidTr="00C77EAE">
        <w:tc>
          <w:tcPr>
            <w:tcW w:w="1384" w:type="dxa"/>
          </w:tcPr>
          <w:p w14:paraId="68DC5925"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Fadeyev, 2006, Russia</w:t>
            </w:r>
          </w:p>
          <w:p w14:paraId="6854DA1F" w14:textId="77777777" w:rsidR="00B7662D" w:rsidRPr="00FC75D0" w:rsidRDefault="00B7662D" w:rsidP="00C77EAE">
            <w:pPr>
              <w:rPr>
                <w:rFonts w:ascii="Calibri" w:hAnsi="Calibri"/>
                <w:color w:val="000000"/>
                <w:sz w:val="20"/>
                <w:szCs w:val="20"/>
              </w:rPr>
            </w:pPr>
          </w:p>
          <w:p w14:paraId="1A40D6DE"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n=33</w:t>
            </w:r>
          </w:p>
          <w:p w14:paraId="447FC2F0" w14:textId="77777777" w:rsidR="00B7662D" w:rsidRPr="00FC75D0" w:rsidRDefault="00B7662D" w:rsidP="00C77EAE">
            <w:pPr>
              <w:rPr>
                <w:rFonts w:ascii="Calibri" w:hAnsi="Calibri"/>
                <w:color w:val="000000"/>
                <w:sz w:val="20"/>
                <w:szCs w:val="20"/>
              </w:rPr>
            </w:pPr>
          </w:p>
          <w:p w14:paraId="7466452E" w14:textId="77777777" w:rsidR="00B7662D" w:rsidRPr="00FC75D0" w:rsidRDefault="00B7662D" w:rsidP="00C77EAE">
            <w:pPr>
              <w:rPr>
                <w:rFonts w:ascii="Calibri" w:hAnsi="Calibri"/>
                <w:color w:val="000000"/>
                <w:sz w:val="20"/>
                <w:szCs w:val="20"/>
              </w:rPr>
            </w:pPr>
            <w:r w:rsidRPr="00FC75D0">
              <w:rPr>
                <w:rFonts w:cs="AdvOT1ef757c0"/>
                <w:sz w:val="20"/>
                <w:szCs w:val="20"/>
              </w:rPr>
              <w:t>No treatment</w:t>
            </w:r>
          </w:p>
        </w:tc>
        <w:tc>
          <w:tcPr>
            <w:tcW w:w="1418" w:type="dxa"/>
          </w:tcPr>
          <w:p w14:paraId="1278E74E" w14:textId="77777777" w:rsidR="00B7662D" w:rsidRPr="00FC75D0" w:rsidRDefault="00B7662D" w:rsidP="00C77EAE">
            <w:pPr>
              <w:autoSpaceDE w:val="0"/>
              <w:autoSpaceDN w:val="0"/>
              <w:adjustRightInd w:val="0"/>
              <w:rPr>
                <w:rFonts w:cs="AdvOT1ef757c0"/>
                <w:sz w:val="20"/>
                <w:szCs w:val="20"/>
              </w:rPr>
            </w:pPr>
            <w:r w:rsidRPr="00FC75D0">
              <w:rPr>
                <w:rFonts w:cs="AdvOT1ef757c0"/>
                <w:sz w:val="20"/>
                <w:szCs w:val="20"/>
              </w:rPr>
              <w:t>LT</w:t>
            </w:r>
            <w:r w:rsidRPr="00FC75D0">
              <w:rPr>
                <w:rFonts w:cs="AdvOT1ef757c0"/>
                <w:sz w:val="20"/>
                <w:szCs w:val="20"/>
                <w:vertAlign w:val="subscript"/>
              </w:rPr>
              <w:t>4</w:t>
            </w:r>
            <w:r w:rsidRPr="00FC75D0">
              <w:rPr>
                <w:rFonts w:cs="AdvOT1ef757c0"/>
                <w:sz w:val="20"/>
                <w:szCs w:val="20"/>
              </w:rPr>
              <w:t xml:space="preserve"> treatment (initial: 25 µg/day, titrated to achieve TSH WNL)</w:t>
            </w:r>
          </w:p>
          <w:p w14:paraId="434E5CE6" w14:textId="77777777" w:rsidR="00B7662D" w:rsidRPr="00FC75D0" w:rsidRDefault="00B7662D" w:rsidP="00C77EAE">
            <w:pPr>
              <w:autoSpaceDE w:val="0"/>
              <w:autoSpaceDN w:val="0"/>
              <w:adjustRightInd w:val="0"/>
              <w:rPr>
                <w:rFonts w:cs="AdvOT1ef757c0"/>
                <w:sz w:val="20"/>
                <w:szCs w:val="20"/>
              </w:rPr>
            </w:pPr>
          </w:p>
          <w:p w14:paraId="304EBAEC" w14:textId="77777777" w:rsidR="00B7662D" w:rsidRPr="00FC75D0" w:rsidRDefault="00B7662D" w:rsidP="00C77EAE">
            <w:pPr>
              <w:autoSpaceDE w:val="0"/>
              <w:autoSpaceDN w:val="0"/>
              <w:adjustRightInd w:val="0"/>
              <w:rPr>
                <w:rFonts w:cs="AdvOT1ef757c0"/>
                <w:sz w:val="20"/>
                <w:szCs w:val="20"/>
              </w:rPr>
            </w:pPr>
            <w:r w:rsidRPr="00FC75D0">
              <w:rPr>
                <w:rFonts w:ascii="Calibri" w:hAnsi="Calibri"/>
                <w:color w:val="000000"/>
                <w:sz w:val="20"/>
                <w:szCs w:val="20"/>
              </w:rPr>
              <w:t>follow-up of 6 months</w:t>
            </w:r>
          </w:p>
        </w:tc>
        <w:tc>
          <w:tcPr>
            <w:tcW w:w="7654" w:type="dxa"/>
          </w:tcPr>
          <w:p w14:paraId="5765C1A1" w14:textId="7BECC543" w:rsidR="00B7662D" w:rsidRPr="00FC75D0" w:rsidRDefault="00B7662D" w:rsidP="00C77EAE">
            <w:pPr>
              <w:rPr>
                <w:rFonts w:ascii="Calibri" w:hAnsi="Calibri"/>
                <w:sz w:val="20"/>
                <w:szCs w:val="20"/>
              </w:rPr>
            </w:pPr>
            <w:r w:rsidRPr="00FC75D0">
              <w:rPr>
                <w:rFonts w:ascii="Calibri" w:hAnsi="Calibri"/>
                <w:sz w:val="20"/>
                <w:szCs w:val="20"/>
              </w:rPr>
              <w:t>N/A</w:t>
            </w:r>
          </w:p>
        </w:tc>
        <w:tc>
          <w:tcPr>
            <w:tcW w:w="2410" w:type="dxa"/>
          </w:tcPr>
          <w:p w14:paraId="75C22BC8" w14:textId="575E4AE3" w:rsidR="00B7662D" w:rsidRPr="00FC75D0" w:rsidRDefault="00B7662D" w:rsidP="00C77EAE">
            <w:pPr>
              <w:rPr>
                <w:rFonts w:ascii="Calibri" w:hAnsi="Calibri"/>
                <w:color w:val="000000"/>
                <w:sz w:val="20"/>
                <w:szCs w:val="20"/>
              </w:rPr>
            </w:pPr>
            <w:r w:rsidRPr="00FC75D0">
              <w:rPr>
                <w:rFonts w:ascii="Calibri" w:hAnsi="Calibri"/>
                <w:color w:val="000000"/>
                <w:sz w:val="20"/>
                <w:szCs w:val="20"/>
              </w:rPr>
              <w:t xml:space="preserve">In the treatment group, 5/19 patients had various adverse events during treatment : 3 had more ventricular premature beats (VPB) and 2 had an increased mean heart rate in conjunction with an increased number of VPB. </w:t>
            </w:r>
          </w:p>
          <w:p w14:paraId="35167FE2"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At the end of the follow-up period, one of the patients in the treatment group had an unstable episode of ventricular tachycardia.</w:t>
            </w:r>
          </w:p>
        </w:tc>
      </w:tr>
      <w:tr w:rsidR="00B7662D" w:rsidRPr="00FC75D0" w14:paraId="0C960B95" w14:textId="77777777" w:rsidTr="00C77EAE">
        <w:tc>
          <w:tcPr>
            <w:tcW w:w="1384" w:type="dxa"/>
          </w:tcPr>
          <w:p w14:paraId="73D1B777" w14:textId="77777777" w:rsidR="00B7662D" w:rsidRPr="00FC75D0" w:rsidRDefault="00B7662D" w:rsidP="00C77EAE">
            <w:pPr>
              <w:rPr>
                <w:rFonts w:cstheme="minorHAnsi"/>
                <w:sz w:val="20"/>
                <w:szCs w:val="20"/>
              </w:rPr>
            </w:pPr>
            <w:r w:rsidRPr="00FC75D0">
              <w:rPr>
                <w:rFonts w:cstheme="minorHAnsi"/>
                <w:sz w:val="20"/>
                <w:szCs w:val="20"/>
              </w:rPr>
              <w:t>Iqbal, 2006, Norway</w:t>
            </w:r>
          </w:p>
          <w:p w14:paraId="4F783BE7" w14:textId="77777777" w:rsidR="00B7662D" w:rsidRPr="00FC75D0" w:rsidRDefault="00B7662D" w:rsidP="00C77EAE">
            <w:pPr>
              <w:rPr>
                <w:rFonts w:cstheme="minorHAnsi"/>
                <w:sz w:val="20"/>
                <w:szCs w:val="20"/>
              </w:rPr>
            </w:pPr>
          </w:p>
          <w:p w14:paraId="529EE781"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n=64</w:t>
            </w:r>
          </w:p>
          <w:p w14:paraId="352430DB" w14:textId="77777777" w:rsidR="00B7662D" w:rsidRPr="00FC75D0" w:rsidRDefault="00B7662D" w:rsidP="00C77EAE">
            <w:pPr>
              <w:rPr>
                <w:rFonts w:ascii="Calibri" w:hAnsi="Calibri"/>
                <w:color w:val="000000"/>
                <w:sz w:val="20"/>
                <w:szCs w:val="20"/>
              </w:rPr>
            </w:pPr>
          </w:p>
          <w:p w14:paraId="4873181A" w14:textId="77777777" w:rsidR="00B7662D" w:rsidRPr="00FC75D0" w:rsidRDefault="00B7662D" w:rsidP="00C77EAE">
            <w:pPr>
              <w:rPr>
                <w:rFonts w:cstheme="minorHAnsi"/>
                <w:sz w:val="20"/>
                <w:szCs w:val="20"/>
              </w:rPr>
            </w:pPr>
            <w:r w:rsidRPr="00FC75D0">
              <w:rPr>
                <w:rFonts w:cs="AdvOT1ef757c0"/>
                <w:sz w:val="20"/>
                <w:szCs w:val="20"/>
              </w:rPr>
              <w:t>Placebo</w:t>
            </w:r>
          </w:p>
        </w:tc>
        <w:tc>
          <w:tcPr>
            <w:tcW w:w="1418" w:type="dxa"/>
          </w:tcPr>
          <w:p w14:paraId="02706F6C" w14:textId="77777777" w:rsidR="00B7662D" w:rsidRPr="00FC75D0" w:rsidRDefault="00B7662D" w:rsidP="00C77EAE">
            <w:pPr>
              <w:autoSpaceDE w:val="0"/>
              <w:autoSpaceDN w:val="0"/>
              <w:adjustRightInd w:val="0"/>
              <w:rPr>
                <w:rFonts w:cs="AdvOT1ef757c0"/>
                <w:sz w:val="20"/>
                <w:szCs w:val="20"/>
              </w:rPr>
            </w:pPr>
            <w:r w:rsidRPr="00FC75D0">
              <w:rPr>
                <w:rFonts w:cs="AdvOT1ef757c0"/>
                <w:sz w:val="20"/>
                <w:szCs w:val="20"/>
              </w:rPr>
              <w:lastRenderedPageBreak/>
              <w:t>LT</w:t>
            </w:r>
            <w:r w:rsidRPr="00FC75D0">
              <w:rPr>
                <w:rFonts w:cs="AdvOT1ef757c0"/>
                <w:sz w:val="20"/>
                <w:szCs w:val="20"/>
                <w:vertAlign w:val="subscript"/>
              </w:rPr>
              <w:t>4</w:t>
            </w:r>
            <w:r w:rsidRPr="00FC75D0">
              <w:rPr>
                <w:rFonts w:cs="AdvOT1ef757c0"/>
                <w:sz w:val="20"/>
                <w:szCs w:val="20"/>
              </w:rPr>
              <w:t xml:space="preserve"> treatment (initial: 50 µg/day, titrated to </w:t>
            </w:r>
            <w:r w:rsidRPr="00FC75D0">
              <w:rPr>
                <w:rFonts w:cs="AdvOT1ef757c0"/>
                <w:sz w:val="20"/>
                <w:szCs w:val="20"/>
              </w:rPr>
              <w:lastRenderedPageBreak/>
              <w:t>achieve TSH WNL),</w:t>
            </w:r>
          </w:p>
          <w:p w14:paraId="2E6F2AC6" w14:textId="77777777" w:rsidR="00B7662D" w:rsidRPr="00FC75D0" w:rsidRDefault="00B7662D" w:rsidP="00C77EAE">
            <w:pPr>
              <w:autoSpaceDE w:val="0"/>
              <w:autoSpaceDN w:val="0"/>
              <w:adjustRightInd w:val="0"/>
              <w:rPr>
                <w:rFonts w:cs="AdvOT1ef757c0"/>
                <w:sz w:val="20"/>
                <w:szCs w:val="20"/>
              </w:rPr>
            </w:pPr>
            <w:r w:rsidRPr="00FC75D0">
              <w:rPr>
                <w:rFonts w:ascii="Calibri" w:hAnsi="Calibri"/>
                <w:color w:val="000000"/>
                <w:sz w:val="20"/>
                <w:szCs w:val="20"/>
              </w:rPr>
              <w:t>follow-up of 12 months</w:t>
            </w:r>
          </w:p>
        </w:tc>
        <w:tc>
          <w:tcPr>
            <w:tcW w:w="7654" w:type="dxa"/>
          </w:tcPr>
          <w:p w14:paraId="79C8ABAB" w14:textId="5000BA55"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lastRenderedPageBreak/>
              <w:t>TC:</w:t>
            </w:r>
            <w:r w:rsidRPr="00FC75D0">
              <w:rPr>
                <w:rFonts w:ascii="Calibri" w:hAnsi="Calibri"/>
                <w:color w:val="000000"/>
                <w:sz w:val="20"/>
                <w:szCs w:val="20"/>
              </w:rPr>
              <w:t xml:space="preserve"> Control (5.8±0.9 mmol/L) vs treatment (5.7±1.1 mmol/L); p=</w:t>
            </w:r>
            <w:r>
              <w:rPr>
                <w:rFonts w:ascii="Calibri" w:hAnsi="Calibri"/>
                <w:color w:val="000000"/>
                <w:sz w:val="20"/>
                <w:szCs w:val="20"/>
              </w:rPr>
              <w:t>0.70</w:t>
            </w:r>
          </w:p>
          <w:p w14:paraId="226EC9BE"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LDL: </w:t>
            </w:r>
            <w:r w:rsidRPr="00FC75D0">
              <w:rPr>
                <w:rFonts w:ascii="Calibri" w:hAnsi="Calibri"/>
                <w:color w:val="000000"/>
                <w:sz w:val="20"/>
                <w:szCs w:val="20"/>
              </w:rPr>
              <w:t>Control (3.6±1.0 mmol/L) vs treatment (3.6±0.9 mmol/L); p=</w:t>
            </w:r>
            <w:r>
              <w:rPr>
                <w:rFonts w:ascii="Calibri" w:hAnsi="Calibri"/>
                <w:color w:val="000000"/>
                <w:sz w:val="20"/>
                <w:szCs w:val="20"/>
              </w:rPr>
              <w:t>1.00</w:t>
            </w:r>
          </w:p>
          <w:p w14:paraId="0F3E3300"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HDL: </w:t>
            </w:r>
            <w:r w:rsidRPr="00FC75D0">
              <w:rPr>
                <w:rFonts w:ascii="Calibri" w:hAnsi="Calibri"/>
                <w:color w:val="000000"/>
                <w:sz w:val="20"/>
                <w:szCs w:val="20"/>
              </w:rPr>
              <w:t>Control (1.5±0.5 mmol/L) vs treatment (1.5±0.4 mmol/L); p=</w:t>
            </w:r>
            <w:r>
              <w:rPr>
                <w:rFonts w:ascii="Calibri" w:hAnsi="Calibri"/>
                <w:color w:val="000000"/>
                <w:sz w:val="20"/>
                <w:szCs w:val="20"/>
              </w:rPr>
              <w:t>1.00</w:t>
            </w:r>
          </w:p>
          <w:p w14:paraId="60374A95" w14:textId="77777777" w:rsidR="00B7662D" w:rsidRPr="00FC75D0" w:rsidRDefault="00B7662D" w:rsidP="00C77EAE">
            <w:pPr>
              <w:autoSpaceDE w:val="0"/>
              <w:autoSpaceDN w:val="0"/>
              <w:adjustRightInd w:val="0"/>
              <w:rPr>
                <w:rFonts w:ascii="Calibri" w:hAnsi="Calibri"/>
                <w:color w:val="000000"/>
                <w:sz w:val="20"/>
                <w:szCs w:val="20"/>
              </w:rPr>
            </w:pPr>
            <w:r w:rsidRPr="00FC75D0">
              <w:rPr>
                <w:rFonts w:ascii="Calibri" w:hAnsi="Calibri"/>
                <w:b/>
                <w:color w:val="000000"/>
                <w:sz w:val="20"/>
                <w:szCs w:val="20"/>
              </w:rPr>
              <w:t xml:space="preserve">TG: </w:t>
            </w:r>
            <w:r w:rsidRPr="00FC75D0">
              <w:rPr>
                <w:rFonts w:ascii="Calibri" w:hAnsi="Calibri"/>
                <w:color w:val="000000"/>
                <w:sz w:val="20"/>
                <w:szCs w:val="20"/>
              </w:rPr>
              <w:t>Control (1.6±0.7 mmol/L) vs treatment (1.5±1.0 mmol/L); p=</w:t>
            </w:r>
            <w:r>
              <w:rPr>
                <w:rFonts w:ascii="Calibri" w:hAnsi="Calibri"/>
                <w:color w:val="000000"/>
                <w:sz w:val="20"/>
                <w:szCs w:val="20"/>
              </w:rPr>
              <w:t>0.65</w:t>
            </w:r>
          </w:p>
          <w:p w14:paraId="44353030" w14:textId="77777777" w:rsidR="00B7662D" w:rsidRPr="00FC75D0" w:rsidRDefault="00B7662D" w:rsidP="00C77EAE">
            <w:pPr>
              <w:autoSpaceDE w:val="0"/>
              <w:autoSpaceDN w:val="0"/>
              <w:adjustRightInd w:val="0"/>
              <w:rPr>
                <w:rFonts w:cs="AdvOT1ef757c0"/>
                <w:sz w:val="20"/>
                <w:szCs w:val="20"/>
              </w:rPr>
            </w:pPr>
            <w:r w:rsidRPr="00FC75D0">
              <w:rPr>
                <w:rFonts w:ascii="Calibri" w:hAnsi="Calibri"/>
                <w:b/>
                <w:color w:val="000000"/>
                <w:sz w:val="20"/>
                <w:szCs w:val="20"/>
              </w:rPr>
              <w:lastRenderedPageBreak/>
              <w:t xml:space="preserve">BMI: </w:t>
            </w:r>
            <w:r w:rsidRPr="00FC75D0">
              <w:rPr>
                <w:rFonts w:ascii="Calibri" w:hAnsi="Calibri"/>
                <w:color w:val="000000"/>
                <w:sz w:val="20"/>
                <w:szCs w:val="20"/>
              </w:rPr>
              <w:t>Control (27.0±4.1 kg/m</w:t>
            </w:r>
            <w:r w:rsidRPr="00FC75D0">
              <w:rPr>
                <w:rFonts w:ascii="Calibri" w:hAnsi="Calibri"/>
                <w:color w:val="000000"/>
                <w:sz w:val="20"/>
                <w:szCs w:val="20"/>
                <w:vertAlign w:val="superscript"/>
              </w:rPr>
              <w:t>2</w:t>
            </w:r>
            <w:r w:rsidRPr="00FC75D0">
              <w:rPr>
                <w:rFonts w:ascii="Calibri" w:hAnsi="Calibri"/>
                <w:color w:val="000000"/>
                <w:sz w:val="20"/>
                <w:szCs w:val="20"/>
              </w:rPr>
              <w:t>) vs treatment (28.4±5.8 kg/m</w:t>
            </w:r>
            <w:r w:rsidRPr="00FC75D0">
              <w:rPr>
                <w:rFonts w:ascii="Calibri" w:hAnsi="Calibri"/>
                <w:color w:val="000000"/>
                <w:sz w:val="20"/>
                <w:szCs w:val="20"/>
                <w:vertAlign w:val="superscript"/>
              </w:rPr>
              <w:t>2</w:t>
            </w:r>
            <w:r w:rsidRPr="00FC75D0">
              <w:rPr>
                <w:rFonts w:ascii="Calibri" w:hAnsi="Calibri"/>
                <w:color w:val="000000"/>
                <w:sz w:val="20"/>
                <w:szCs w:val="20"/>
              </w:rPr>
              <w:t>); p=</w:t>
            </w:r>
            <w:r>
              <w:rPr>
                <w:rFonts w:ascii="Calibri" w:hAnsi="Calibri"/>
                <w:color w:val="000000"/>
                <w:sz w:val="20"/>
                <w:szCs w:val="20"/>
              </w:rPr>
              <w:t>0.27</w:t>
            </w:r>
          </w:p>
        </w:tc>
        <w:tc>
          <w:tcPr>
            <w:tcW w:w="2410" w:type="dxa"/>
          </w:tcPr>
          <w:p w14:paraId="47867728" w14:textId="48C853FF" w:rsidR="00B7662D" w:rsidRPr="00FC75D0" w:rsidRDefault="00B7662D" w:rsidP="00C77EAE">
            <w:pPr>
              <w:autoSpaceDE w:val="0"/>
              <w:autoSpaceDN w:val="0"/>
              <w:adjustRightInd w:val="0"/>
              <w:rPr>
                <w:rFonts w:cs="AdvOT1ef757c0"/>
                <w:sz w:val="20"/>
                <w:szCs w:val="20"/>
              </w:rPr>
            </w:pPr>
            <w:r w:rsidRPr="00FC75D0">
              <w:rPr>
                <w:rFonts w:ascii="Calibri" w:hAnsi="Calibri"/>
                <w:b/>
                <w:color w:val="000000"/>
                <w:sz w:val="20"/>
                <w:szCs w:val="20"/>
              </w:rPr>
              <w:lastRenderedPageBreak/>
              <w:t>NR</w:t>
            </w:r>
          </w:p>
        </w:tc>
      </w:tr>
      <w:tr w:rsidR="00B7662D" w:rsidRPr="00FC75D0" w14:paraId="381780A7" w14:textId="77777777" w:rsidTr="00C77EAE">
        <w:tc>
          <w:tcPr>
            <w:tcW w:w="1384" w:type="dxa"/>
          </w:tcPr>
          <w:p w14:paraId="734702A1"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Jorde, 2006, Norway</w:t>
            </w:r>
          </w:p>
          <w:p w14:paraId="063CE0D7" w14:textId="77777777" w:rsidR="00B7662D" w:rsidRPr="00FC75D0" w:rsidRDefault="00B7662D" w:rsidP="00C77EAE">
            <w:pPr>
              <w:rPr>
                <w:rFonts w:ascii="Calibri" w:hAnsi="Calibri"/>
                <w:color w:val="000000"/>
                <w:sz w:val="20"/>
                <w:szCs w:val="20"/>
              </w:rPr>
            </w:pPr>
          </w:p>
          <w:p w14:paraId="688A3F71"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n=70</w:t>
            </w:r>
          </w:p>
          <w:p w14:paraId="1AB0B9C1" w14:textId="77777777" w:rsidR="00B7662D" w:rsidRPr="00FC75D0" w:rsidRDefault="00B7662D" w:rsidP="00C77EAE">
            <w:pPr>
              <w:rPr>
                <w:rFonts w:ascii="Calibri" w:hAnsi="Calibri"/>
                <w:color w:val="000000"/>
                <w:sz w:val="20"/>
                <w:szCs w:val="20"/>
              </w:rPr>
            </w:pPr>
          </w:p>
          <w:p w14:paraId="08D2E394"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Placebo</w:t>
            </w:r>
          </w:p>
          <w:p w14:paraId="1D715CAA" w14:textId="77777777" w:rsidR="00B7662D" w:rsidRPr="00FC75D0" w:rsidRDefault="00B7662D" w:rsidP="00C77EAE">
            <w:pPr>
              <w:rPr>
                <w:rFonts w:ascii="Calibri" w:hAnsi="Calibri"/>
                <w:color w:val="000000"/>
                <w:sz w:val="20"/>
                <w:szCs w:val="20"/>
              </w:rPr>
            </w:pPr>
          </w:p>
          <w:p w14:paraId="20FCAC91" w14:textId="77777777" w:rsidR="00B7662D" w:rsidRPr="00FC75D0" w:rsidRDefault="00B7662D" w:rsidP="00C77EAE">
            <w:pPr>
              <w:rPr>
                <w:rFonts w:ascii="Calibri" w:hAnsi="Calibri"/>
                <w:color w:val="000000"/>
                <w:sz w:val="20"/>
                <w:szCs w:val="20"/>
              </w:rPr>
            </w:pPr>
          </w:p>
          <w:p w14:paraId="1875031B" w14:textId="77777777" w:rsidR="00B7662D" w:rsidRPr="00FC75D0" w:rsidRDefault="00B7662D" w:rsidP="00C77EAE">
            <w:pPr>
              <w:rPr>
                <w:rFonts w:ascii="Calibri" w:hAnsi="Calibri"/>
                <w:color w:val="000000"/>
                <w:sz w:val="20"/>
                <w:szCs w:val="20"/>
              </w:rPr>
            </w:pPr>
          </w:p>
        </w:tc>
        <w:tc>
          <w:tcPr>
            <w:tcW w:w="1418" w:type="dxa"/>
          </w:tcPr>
          <w:p w14:paraId="5C04E0C6"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T</w:t>
            </w:r>
            <w:r w:rsidRPr="00FC75D0">
              <w:rPr>
                <w:rFonts w:ascii="Calibri" w:hAnsi="Calibri"/>
                <w:color w:val="000000"/>
                <w:sz w:val="20"/>
                <w:szCs w:val="20"/>
                <w:vertAlign w:val="subscript"/>
              </w:rPr>
              <w:t>4</w:t>
            </w:r>
            <w:r w:rsidRPr="00FC75D0">
              <w:rPr>
                <w:rFonts w:ascii="Calibri" w:hAnsi="Calibri"/>
                <w:color w:val="000000"/>
                <w:sz w:val="20"/>
                <w:szCs w:val="20"/>
              </w:rPr>
              <w:t xml:space="preserve"> tablets (in 25-, 50-, and 100- </w:t>
            </w:r>
            <w:r w:rsidRPr="00FC75D0">
              <w:rPr>
                <w:rFonts w:ascii="Calibri" w:hAnsi="Calibri" w:cs="Calibri"/>
                <w:color w:val="000000"/>
                <w:sz w:val="20"/>
                <w:szCs w:val="20"/>
              </w:rPr>
              <w:t>µg</w:t>
            </w:r>
            <w:r w:rsidRPr="00FC75D0">
              <w:rPr>
                <w:rFonts w:ascii="Calibri" w:hAnsi="Calibri"/>
                <w:color w:val="000000"/>
                <w:sz w:val="20"/>
                <w:szCs w:val="20"/>
              </w:rPr>
              <w:t xml:space="preserve"> strength) (set doses in first 12 weeks followed by individual dose adjustments thereafter to achieve a TSH </w:t>
            </w:r>
            <w:r w:rsidRPr="00FC75D0">
              <w:rPr>
                <w:rFonts w:cstheme="minorHAnsi"/>
                <w:sz w:val="20"/>
                <w:szCs w:val="20"/>
              </w:rPr>
              <w:t>between 0.5-1.5 mIU/L</w:t>
            </w:r>
            <w:r w:rsidRPr="00FC75D0">
              <w:rPr>
                <w:rFonts w:ascii="Calibri" w:hAnsi="Calibri"/>
                <w:color w:val="000000"/>
                <w:sz w:val="20"/>
                <w:szCs w:val="20"/>
              </w:rPr>
              <w:t>),</w:t>
            </w:r>
          </w:p>
          <w:p w14:paraId="422FEE16"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follow-up of 12 months</w:t>
            </w:r>
          </w:p>
        </w:tc>
        <w:tc>
          <w:tcPr>
            <w:tcW w:w="7654" w:type="dxa"/>
          </w:tcPr>
          <w:p w14:paraId="43CD99E2" w14:textId="47BD6AB6"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BDI: </w:t>
            </w:r>
            <w:r w:rsidRPr="00FC75D0">
              <w:rPr>
                <w:rFonts w:ascii="Calibri" w:hAnsi="Calibri"/>
                <w:color w:val="000000"/>
                <w:sz w:val="20"/>
                <w:szCs w:val="20"/>
              </w:rPr>
              <w:t xml:space="preserve">Control (3.3±4.0) vs treatment (4.3±3.6); </w:t>
            </w:r>
            <w:r>
              <w:rPr>
                <w:rFonts w:ascii="Calibri" w:hAnsi="Calibri"/>
                <w:color w:val="000000"/>
                <w:sz w:val="20"/>
                <w:szCs w:val="20"/>
              </w:rPr>
              <w:t>p≥0.05</w:t>
            </w:r>
            <w:r>
              <w:rPr>
                <w:rFonts w:ascii="Calibri" w:hAnsi="Calibri"/>
                <w:color w:val="000000"/>
                <w:sz w:val="20"/>
                <w:szCs w:val="20"/>
                <w:vertAlign w:val="superscript"/>
              </w:rPr>
              <w:t>6</w:t>
            </w:r>
          </w:p>
          <w:p w14:paraId="41954F6A"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GHQ-30:</w:t>
            </w:r>
            <w:r w:rsidRPr="00FC75D0">
              <w:rPr>
                <w:rFonts w:ascii="Calibri" w:hAnsi="Calibri"/>
                <w:color w:val="000000"/>
                <w:sz w:val="20"/>
                <w:szCs w:val="20"/>
              </w:rPr>
              <w:t xml:space="preserve"> Control (1.2±2.0) vs treatment (1.9±3.3); </w:t>
            </w:r>
            <w:r>
              <w:rPr>
                <w:rFonts w:ascii="Calibri" w:hAnsi="Calibri"/>
                <w:color w:val="000000"/>
                <w:sz w:val="20"/>
                <w:szCs w:val="20"/>
              </w:rPr>
              <w:t>p≥0.05</w:t>
            </w:r>
            <w:r>
              <w:rPr>
                <w:rFonts w:ascii="Calibri" w:hAnsi="Calibri"/>
                <w:color w:val="000000"/>
                <w:sz w:val="20"/>
                <w:szCs w:val="20"/>
                <w:vertAlign w:val="superscript"/>
              </w:rPr>
              <w:t>6</w:t>
            </w:r>
          </w:p>
          <w:p w14:paraId="181466F5"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Composite cognitive score: </w:t>
            </w:r>
            <w:r w:rsidRPr="00FC75D0">
              <w:rPr>
                <w:rFonts w:ascii="Calibri" w:hAnsi="Calibri"/>
                <w:color w:val="000000"/>
                <w:sz w:val="20"/>
                <w:szCs w:val="20"/>
              </w:rPr>
              <w:t>Control (-0.9±4.8) vs treatment (1.5±3.7); p</w:t>
            </w:r>
            <w:r>
              <w:rPr>
                <w:rFonts w:ascii="Calibri" w:hAnsi="Calibri"/>
                <w:color w:val="000000"/>
                <w:sz w:val="20"/>
                <w:szCs w:val="20"/>
              </w:rPr>
              <w:t>≥0.05</w:t>
            </w:r>
            <w:r>
              <w:rPr>
                <w:rFonts w:ascii="Calibri" w:hAnsi="Calibri"/>
                <w:color w:val="000000"/>
                <w:sz w:val="20"/>
                <w:szCs w:val="20"/>
                <w:vertAlign w:val="superscript"/>
              </w:rPr>
              <w:t>6</w:t>
            </w:r>
          </w:p>
          <w:p w14:paraId="61BE897D" w14:textId="77777777" w:rsidR="00B7662D" w:rsidRPr="00FC75D0" w:rsidRDefault="00B7662D" w:rsidP="00C77EAE">
            <w:pPr>
              <w:autoSpaceDE w:val="0"/>
              <w:autoSpaceDN w:val="0"/>
              <w:adjustRightInd w:val="0"/>
              <w:rPr>
                <w:rFonts w:ascii="Calibri" w:hAnsi="Calibri"/>
                <w:color w:val="000000"/>
                <w:sz w:val="20"/>
                <w:szCs w:val="20"/>
              </w:rPr>
            </w:pPr>
            <w:r w:rsidRPr="00FC75D0">
              <w:rPr>
                <w:rFonts w:ascii="Calibri" w:hAnsi="Calibri"/>
                <w:b/>
                <w:color w:val="000000"/>
                <w:sz w:val="20"/>
                <w:szCs w:val="20"/>
              </w:rPr>
              <w:t xml:space="preserve">TM test A: </w:t>
            </w:r>
            <w:r w:rsidRPr="00FC75D0">
              <w:rPr>
                <w:rFonts w:ascii="Calibri" w:hAnsi="Calibri"/>
                <w:color w:val="000000"/>
                <w:sz w:val="20"/>
                <w:szCs w:val="20"/>
              </w:rPr>
              <w:t xml:space="preserve">Control (44.1±17.7) vs treatment (39.0±14.8); </w:t>
            </w:r>
            <w:r>
              <w:rPr>
                <w:rFonts w:ascii="Calibri" w:hAnsi="Calibri"/>
                <w:color w:val="000000"/>
                <w:sz w:val="20"/>
                <w:szCs w:val="20"/>
              </w:rPr>
              <w:t>p≥0.05</w:t>
            </w:r>
            <w:r>
              <w:rPr>
                <w:rFonts w:ascii="Calibri" w:hAnsi="Calibri"/>
                <w:color w:val="000000"/>
                <w:sz w:val="20"/>
                <w:szCs w:val="20"/>
                <w:vertAlign w:val="superscript"/>
              </w:rPr>
              <w:t>6</w:t>
            </w:r>
          </w:p>
          <w:p w14:paraId="65AD5AFF" w14:textId="77777777" w:rsidR="00B7662D" w:rsidRPr="00FC75D0" w:rsidRDefault="00B7662D" w:rsidP="00C77EAE">
            <w:pPr>
              <w:autoSpaceDE w:val="0"/>
              <w:autoSpaceDN w:val="0"/>
              <w:adjustRightInd w:val="0"/>
              <w:rPr>
                <w:rFonts w:ascii="Calibri" w:hAnsi="Calibri"/>
                <w:color w:val="000000"/>
                <w:sz w:val="20"/>
                <w:szCs w:val="20"/>
              </w:rPr>
            </w:pPr>
            <w:r w:rsidRPr="00FC75D0">
              <w:rPr>
                <w:rFonts w:ascii="Calibri" w:hAnsi="Calibri"/>
                <w:b/>
                <w:color w:val="000000"/>
                <w:sz w:val="20"/>
                <w:szCs w:val="20"/>
              </w:rPr>
              <w:t xml:space="preserve">TM test B: </w:t>
            </w:r>
            <w:r w:rsidRPr="00FC75D0">
              <w:rPr>
                <w:rFonts w:ascii="Calibri" w:hAnsi="Calibri"/>
                <w:color w:val="000000"/>
                <w:sz w:val="20"/>
                <w:szCs w:val="20"/>
              </w:rPr>
              <w:t xml:space="preserve">Control (103±49) vs treatment (94±62); </w:t>
            </w:r>
            <w:r>
              <w:rPr>
                <w:rFonts w:ascii="Calibri" w:hAnsi="Calibri"/>
                <w:color w:val="000000"/>
                <w:sz w:val="20"/>
                <w:szCs w:val="20"/>
              </w:rPr>
              <w:t>p≥0.05</w:t>
            </w:r>
            <w:r>
              <w:rPr>
                <w:rFonts w:ascii="Calibri" w:hAnsi="Calibri"/>
                <w:color w:val="000000"/>
                <w:sz w:val="20"/>
                <w:szCs w:val="20"/>
                <w:vertAlign w:val="superscript"/>
              </w:rPr>
              <w:t>6</w:t>
            </w:r>
          </w:p>
          <w:p w14:paraId="4688D9A1"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Seashore Rhythm test: </w:t>
            </w:r>
            <w:r w:rsidRPr="00FC75D0">
              <w:rPr>
                <w:rFonts w:ascii="Calibri" w:hAnsi="Calibri"/>
                <w:color w:val="000000"/>
                <w:sz w:val="20"/>
                <w:szCs w:val="20"/>
              </w:rPr>
              <w:t xml:space="preserve">Control (409±114) vs treatment (372±108); </w:t>
            </w:r>
            <w:r>
              <w:rPr>
                <w:rFonts w:ascii="Calibri" w:hAnsi="Calibri"/>
                <w:color w:val="000000"/>
                <w:sz w:val="20"/>
                <w:szCs w:val="20"/>
              </w:rPr>
              <w:t>p≥0.05</w:t>
            </w:r>
            <w:r>
              <w:rPr>
                <w:rFonts w:ascii="Calibri" w:hAnsi="Calibri"/>
                <w:color w:val="000000"/>
                <w:sz w:val="20"/>
                <w:szCs w:val="20"/>
                <w:vertAlign w:val="superscript"/>
              </w:rPr>
              <w:t>6</w:t>
            </w:r>
          </w:p>
          <w:p w14:paraId="0B11CC09"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Word List test: </w:t>
            </w:r>
            <w:r w:rsidRPr="00FC75D0">
              <w:rPr>
                <w:rFonts w:ascii="Calibri" w:hAnsi="Calibri"/>
                <w:color w:val="000000"/>
                <w:sz w:val="20"/>
                <w:szCs w:val="20"/>
              </w:rPr>
              <w:t xml:space="preserve">Control (25.2±9.5) vs treatment (26.3±5.6); </w:t>
            </w:r>
            <w:r>
              <w:rPr>
                <w:rFonts w:ascii="Calibri" w:hAnsi="Calibri"/>
                <w:color w:val="000000"/>
                <w:sz w:val="20"/>
                <w:szCs w:val="20"/>
              </w:rPr>
              <w:t>p≥0.05</w:t>
            </w:r>
            <w:r>
              <w:rPr>
                <w:rFonts w:ascii="Calibri" w:hAnsi="Calibri"/>
                <w:color w:val="000000"/>
                <w:sz w:val="20"/>
                <w:szCs w:val="20"/>
                <w:vertAlign w:val="superscript"/>
              </w:rPr>
              <w:t>6</w:t>
            </w:r>
          </w:p>
          <w:p w14:paraId="44CD20E1"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Controlled Word Association test: </w:t>
            </w:r>
            <w:r w:rsidRPr="00FC75D0">
              <w:rPr>
                <w:rFonts w:ascii="Calibri" w:hAnsi="Calibri"/>
                <w:color w:val="000000"/>
                <w:sz w:val="20"/>
                <w:szCs w:val="20"/>
              </w:rPr>
              <w:t xml:space="preserve">Control (41.6±14.1) vs treatment (41.7±15.0); </w:t>
            </w:r>
            <w:r>
              <w:rPr>
                <w:rFonts w:ascii="Calibri" w:hAnsi="Calibri"/>
                <w:color w:val="000000"/>
                <w:sz w:val="20"/>
                <w:szCs w:val="20"/>
              </w:rPr>
              <w:t>p≥0.05</w:t>
            </w:r>
            <w:r>
              <w:rPr>
                <w:rFonts w:ascii="Calibri" w:hAnsi="Calibri"/>
                <w:color w:val="000000"/>
                <w:sz w:val="20"/>
                <w:szCs w:val="20"/>
                <w:vertAlign w:val="superscript"/>
              </w:rPr>
              <w:t>6</w:t>
            </w:r>
          </w:p>
          <w:p w14:paraId="0C7326A4"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CalCAP: </w:t>
            </w:r>
            <w:r w:rsidRPr="00FC75D0">
              <w:rPr>
                <w:rFonts w:ascii="Calibri" w:hAnsi="Calibri"/>
                <w:color w:val="000000"/>
                <w:sz w:val="20"/>
                <w:szCs w:val="20"/>
              </w:rPr>
              <w:t xml:space="preserve">Control (1562±331) vs treatment (1483±302); </w:t>
            </w:r>
            <w:r>
              <w:rPr>
                <w:rFonts w:ascii="Calibri" w:hAnsi="Calibri"/>
                <w:color w:val="000000"/>
                <w:sz w:val="20"/>
                <w:szCs w:val="20"/>
              </w:rPr>
              <w:t>p≥0.05</w:t>
            </w:r>
            <w:r>
              <w:rPr>
                <w:rFonts w:ascii="Calibri" w:hAnsi="Calibri"/>
                <w:color w:val="000000"/>
                <w:sz w:val="20"/>
                <w:szCs w:val="20"/>
                <w:vertAlign w:val="superscript"/>
              </w:rPr>
              <w:t>6</w:t>
            </w:r>
          </w:p>
          <w:p w14:paraId="389E1F52" w14:textId="77777777" w:rsidR="00B7662D" w:rsidRDefault="00B7662D" w:rsidP="00C77EAE">
            <w:pPr>
              <w:rPr>
                <w:rFonts w:ascii="Calibri" w:hAnsi="Calibri"/>
                <w:color w:val="000000"/>
                <w:sz w:val="20"/>
                <w:szCs w:val="20"/>
              </w:rPr>
            </w:pPr>
            <w:r w:rsidRPr="00FC75D0">
              <w:rPr>
                <w:rFonts w:ascii="Calibri" w:hAnsi="Calibri"/>
                <w:b/>
                <w:color w:val="000000"/>
                <w:sz w:val="20"/>
                <w:szCs w:val="20"/>
              </w:rPr>
              <w:t xml:space="preserve">Vocabulary (WAIS): </w:t>
            </w:r>
            <w:r w:rsidRPr="00FC75D0">
              <w:rPr>
                <w:rFonts w:ascii="Calibri" w:hAnsi="Calibri"/>
                <w:color w:val="000000"/>
                <w:sz w:val="20"/>
                <w:szCs w:val="20"/>
              </w:rPr>
              <w:t xml:space="preserve">Control (19.7±4.2) vs treatment (19.8±3.5); </w:t>
            </w:r>
            <w:r>
              <w:rPr>
                <w:rFonts w:ascii="Calibri" w:hAnsi="Calibri"/>
                <w:color w:val="000000"/>
                <w:sz w:val="20"/>
                <w:szCs w:val="20"/>
              </w:rPr>
              <w:t>p≥0.05</w:t>
            </w:r>
            <w:r>
              <w:rPr>
                <w:rFonts w:ascii="Calibri" w:hAnsi="Calibri"/>
                <w:color w:val="000000"/>
                <w:sz w:val="20"/>
                <w:szCs w:val="20"/>
                <w:vertAlign w:val="superscript"/>
              </w:rPr>
              <w:t>6</w:t>
            </w:r>
          </w:p>
          <w:p w14:paraId="25245A0B" w14:textId="77777777" w:rsidR="00B7662D" w:rsidRPr="00FC75D0" w:rsidRDefault="00B7662D" w:rsidP="00C77EAE">
            <w:pPr>
              <w:rPr>
                <w:rFonts w:ascii="Calibri" w:hAnsi="Calibri"/>
                <w:b/>
                <w:color w:val="000000"/>
                <w:sz w:val="20"/>
                <w:szCs w:val="20"/>
              </w:rPr>
            </w:pPr>
          </w:p>
        </w:tc>
        <w:tc>
          <w:tcPr>
            <w:tcW w:w="2410" w:type="dxa"/>
          </w:tcPr>
          <w:p w14:paraId="7E9F15E2" w14:textId="335182D4" w:rsidR="00B7662D" w:rsidRPr="00FC75D0" w:rsidRDefault="00B7662D" w:rsidP="00C77EAE">
            <w:pPr>
              <w:rPr>
                <w:rFonts w:ascii="Calibri" w:hAnsi="Calibri"/>
                <w:i/>
                <w:color w:val="000000"/>
                <w:sz w:val="20"/>
                <w:szCs w:val="20"/>
              </w:rPr>
            </w:pPr>
            <w:r w:rsidRPr="00FC75D0">
              <w:rPr>
                <w:rFonts w:ascii="Calibri" w:hAnsi="Calibri"/>
                <w:b/>
                <w:color w:val="000000"/>
                <w:sz w:val="20"/>
                <w:szCs w:val="20"/>
              </w:rPr>
              <w:t>NR</w:t>
            </w:r>
          </w:p>
        </w:tc>
      </w:tr>
      <w:tr w:rsidR="00B7662D" w:rsidRPr="00FC75D0" w14:paraId="7A1238A1" w14:textId="77777777" w:rsidTr="00C77EAE">
        <w:tc>
          <w:tcPr>
            <w:tcW w:w="1384" w:type="dxa"/>
          </w:tcPr>
          <w:p w14:paraId="78AF62C0"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Caraccio, 2005, Italy</w:t>
            </w:r>
          </w:p>
          <w:p w14:paraId="7B6C6904" w14:textId="77777777" w:rsidR="00B7662D" w:rsidRPr="00FC75D0" w:rsidRDefault="00B7662D" w:rsidP="00C77EAE">
            <w:pPr>
              <w:rPr>
                <w:rFonts w:ascii="Calibri" w:hAnsi="Calibri"/>
                <w:color w:val="000000"/>
                <w:sz w:val="20"/>
                <w:szCs w:val="20"/>
              </w:rPr>
            </w:pPr>
          </w:p>
          <w:p w14:paraId="0905B5AB"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n=23</w:t>
            </w:r>
          </w:p>
          <w:p w14:paraId="3B17144C" w14:textId="77777777" w:rsidR="00B7662D" w:rsidRPr="00FC75D0" w:rsidRDefault="00B7662D" w:rsidP="00C77EAE">
            <w:pPr>
              <w:rPr>
                <w:rFonts w:ascii="Calibri" w:hAnsi="Calibri"/>
                <w:color w:val="000000"/>
                <w:sz w:val="20"/>
                <w:szCs w:val="20"/>
              </w:rPr>
            </w:pPr>
          </w:p>
          <w:p w14:paraId="7F7283C5"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Placebo</w:t>
            </w:r>
          </w:p>
          <w:p w14:paraId="67360670" w14:textId="77777777" w:rsidR="00B7662D" w:rsidRPr="00FC75D0" w:rsidRDefault="00B7662D" w:rsidP="00C77EAE">
            <w:pPr>
              <w:rPr>
                <w:rFonts w:cstheme="minorHAnsi"/>
                <w:sz w:val="20"/>
                <w:szCs w:val="20"/>
              </w:rPr>
            </w:pPr>
          </w:p>
        </w:tc>
        <w:tc>
          <w:tcPr>
            <w:tcW w:w="1418" w:type="dxa"/>
          </w:tcPr>
          <w:p w14:paraId="1EA1E9DB" w14:textId="77777777" w:rsidR="00B7662D" w:rsidRPr="00FC75D0" w:rsidRDefault="00B7662D" w:rsidP="00C77EAE">
            <w:pPr>
              <w:autoSpaceDE w:val="0"/>
              <w:autoSpaceDN w:val="0"/>
              <w:adjustRightInd w:val="0"/>
              <w:rPr>
                <w:rFonts w:cs="AdvOT1ef757c0"/>
                <w:sz w:val="20"/>
                <w:szCs w:val="20"/>
              </w:rPr>
            </w:pPr>
            <w:r w:rsidRPr="00FC75D0">
              <w:rPr>
                <w:rFonts w:cs="AdvOT1ef757c0"/>
                <w:sz w:val="20"/>
                <w:szCs w:val="20"/>
              </w:rPr>
              <w:t>LT</w:t>
            </w:r>
            <w:r w:rsidRPr="00FC75D0">
              <w:rPr>
                <w:rFonts w:cs="AdvOT1ef757c0"/>
                <w:sz w:val="20"/>
                <w:szCs w:val="20"/>
                <w:vertAlign w:val="subscript"/>
              </w:rPr>
              <w:t>4</w:t>
            </w:r>
            <w:r w:rsidRPr="00FC75D0">
              <w:rPr>
                <w:rFonts w:cs="AdvOT1ef757c0"/>
                <w:sz w:val="20"/>
                <w:szCs w:val="20"/>
              </w:rPr>
              <w:t xml:space="preserve"> treatment (initial: 25 µg/day, titrated to achieve TSH WNL),</w:t>
            </w:r>
          </w:p>
          <w:p w14:paraId="44953101" w14:textId="77777777" w:rsidR="00B7662D" w:rsidRPr="00FC75D0" w:rsidRDefault="00B7662D" w:rsidP="00C77EAE">
            <w:pPr>
              <w:autoSpaceDE w:val="0"/>
              <w:autoSpaceDN w:val="0"/>
              <w:adjustRightInd w:val="0"/>
              <w:rPr>
                <w:rFonts w:cs="AdvOT1ef757c0"/>
                <w:sz w:val="20"/>
                <w:szCs w:val="20"/>
              </w:rPr>
            </w:pPr>
            <w:r w:rsidRPr="00FC75D0">
              <w:rPr>
                <w:rFonts w:ascii="Calibri" w:hAnsi="Calibri"/>
                <w:color w:val="000000"/>
                <w:sz w:val="20"/>
                <w:szCs w:val="20"/>
              </w:rPr>
              <w:t>follow-up of 6 months</w:t>
            </w:r>
          </w:p>
        </w:tc>
        <w:tc>
          <w:tcPr>
            <w:tcW w:w="7654" w:type="dxa"/>
          </w:tcPr>
          <w:p w14:paraId="2A85C0EA" w14:textId="7A9F12CB" w:rsidR="00B7662D" w:rsidRPr="00FC75D0" w:rsidRDefault="00B7662D" w:rsidP="00C77EAE">
            <w:pPr>
              <w:rPr>
                <w:rFonts w:ascii="Calibri" w:hAnsi="Calibri"/>
                <w:b/>
                <w:color w:val="000000"/>
                <w:sz w:val="20"/>
                <w:szCs w:val="20"/>
              </w:rPr>
            </w:pPr>
            <w:r w:rsidRPr="00FC75D0">
              <w:rPr>
                <w:rFonts w:ascii="Calibri" w:hAnsi="Calibri"/>
                <w:b/>
                <w:color w:val="000000"/>
                <w:sz w:val="20"/>
                <w:szCs w:val="20"/>
              </w:rPr>
              <w:t xml:space="preserve">BMI: </w:t>
            </w:r>
            <w:r w:rsidRPr="00FC75D0">
              <w:rPr>
                <w:rFonts w:ascii="Calibri" w:hAnsi="Calibri"/>
                <w:color w:val="000000"/>
                <w:sz w:val="20"/>
                <w:szCs w:val="20"/>
              </w:rPr>
              <w:t>Control (22.7±</w:t>
            </w:r>
            <w:r>
              <w:rPr>
                <w:rFonts w:ascii="Calibri" w:hAnsi="Calibri"/>
                <w:color w:val="000000"/>
                <w:sz w:val="20"/>
                <w:szCs w:val="20"/>
              </w:rPr>
              <w:t xml:space="preserve"> SEM 0.6</w:t>
            </w:r>
            <w:r w:rsidRPr="00FC75D0">
              <w:rPr>
                <w:rFonts w:ascii="Calibri" w:hAnsi="Calibri"/>
                <w:color w:val="000000"/>
                <w:sz w:val="20"/>
                <w:szCs w:val="20"/>
              </w:rPr>
              <w:t xml:space="preserve"> kg/m</w:t>
            </w:r>
            <w:r w:rsidRPr="00FC75D0">
              <w:rPr>
                <w:rFonts w:ascii="Calibri" w:hAnsi="Calibri"/>
                <w:color w:val="000000"/>
                <w:sz w:val="20"/>
                <w:szCs w:val="20"/>
                <w:vertAlign w:val="superscript"/>
              </w:rPr>
              <w:t>2</w:t>
            </w:r>
            <w:r w:rsidRPr="00FC75D0">
              <w:rPr>
                <w:rFonts w:ascii="Calibri" w:hAnsi="Calibri"/>
                <w:color w:val="000000"/>
                <w:sz w:val="20"/>
                <w:szCs w:val="20"/>
              </w:rPr>
              <w:t>) vs treatment (22.3±</w:t>
            </w:r>
            <w:r>
              <w:rPr>
                <w:rFonts w:ascii="Calibri" w:hAnsi="Calibri"/>
                <w:color w:val="000000"/>
                <w:sz w:val="20"/>
                <w:szCs w:val="20"/>
              </w:rPr>
              <w:t xml:space="preserve"> SEM 0.9</w:t>
            </w:r>
            <w:r w:rsidRPr="00FC75D0">
              <w:rPr>
                <w:rFonts w:ascii="Calibri" w:hAnsi="Calibri"/>
                <w:color w:val="000000"/>
                <w:sz w:val="20"/>
                <w:szCs w:val="20"/>
              </w:rPr>
              <w:t xml:space="preserve"> kg/m</w:t>
            </w:r>
            <w:r w:rsidRPr="00FC75D0">
              <w:rPr>
                <w:rFonts w:ascii="Calibri" w:hAnsi="Calibri"/>
                <w:color w:val="000000"/>
                <w:sz w:val="20"/>
                <w:szCs w:val="20"/>
                <w:vertAlign w:val="superscript"/>
              </w:rPr>
              <w:t>2</w:t>
            </w:r>
            <w:r w:rsidRPr="00FC75D0">
              <w:rPr>
                <w:rFonts w:ascii="Calibri" w:hAnsi="Calibri"/>
                <w:color w:val="000000"/>
                <w:sz w:val="20"/>
                <w:szCs w:val="20"/>
              </w:rPr>
              <w:t>); p=NS</w:t>
            </w:r>
          </w:p>
        </w:tc>
        <w:tc>
          <w:tcPr>
            <w:tcW w:w="2410" w:type="dxa"/>
          </w:tcPr>
          <w:p w14:paraId="6846AAC5" w14:textId="0BE99DA0" w:rsidR="00B7662D" w:rsidRPr="00FC75D0" w:rsidRDefault="00B7662D" w:rsidP="00C77EAE">
            <w:pPr>
              <w:autoSpaceDE w:val="0"/>
              <w:autoSpaceDN w:val="0"/>
              <w:adjustRightInd w:val="0"/>
              <w:rPr>
                <w:rFonts w:ascii="Calibri" w:hAnsi="Calibri"/>
                <w:b/>
                <w:color w:val="000000"/>
                <w:sz w:val="20"/>
                <w:szCs w:val="20"/>
              </w:rPr>
            </w:pPr>
            <w:r w:rsidRPr="00FC75D0">
              <w:rPr>
                <w:rFonts w:ascii="Calibri" w:hAnsi="Calibri"/>
                <w:b/>
                <w:color w:val="000000"/>
                <w:sz w:val="20"/>
                <w:szCs w:val="20"/>
              </w:rPr>
              <w:t>NR</w:t>
            </w:r>
          </w:p>
        </w:tc>
      </w:tr>
      <w:tr w:rsidR="00B7662D" w:rsidRPr="00FC75D0" w14:paraId="04966B64" w14:textId="77777777" w:rsidTr="00C77EAE">
        <w:tc>
          <w:tcPr>
            <w:tcW w:w="1384" w:type="dxa"/>
          </w:tcPr>
          <w:p w14:paraId="28137C5D" w14:textId="77777777" w:rsidR="00B7662D" w:rsidRPr="00FC75D0" w:rsidRDefault="00B7662D" w:rsidP="00C77EAE">
            <w:pPr>
              <w:rPr>
                <w:rFonts w:cstheme="minorHAnsi"/>
                <w:sz w:val="20"/>
                <w:szCs w:val="20"/>
              </w:rPr>
            </w:pPr>
            <w:r w:rsidRPr="00FC75D0">
              <w:rPr>
                <w:rFonts w:cstheme="minorHAnsi"/>
                <w:sz w:val="20"/>
                <w:szCs w:val="20"/>
              </w:rPr>
              <w:t>Yazici, 2004, Turkey</w:t>
            </w:r>
          </w:p>
          <w:p w14:paraId="0E96C9A4" w14:textId="77777777" w:rsidR="00B7662D" w:rsidRPr="00FC75D0" w:rsidRDefault="00B7662D" w:rsidP="00C77EAE">
            <w:pPr>
              <w:rPr>
                <w:rFonts w:cstheme="minorHAnsi"/>
                <w:sz w:val="20"/>
                <w:szCs w:val="20"/>
              </w:rPr>
            </w:pPr>
          </w:p>
          <w:p w14:paraId="49C2417D"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lastRenderedPageBreak/>
              <w:t>n=45</w:t>
            </w:r>
          </w:p>
          <w:p w14:paraId="3C5738FE" w14:textId="77777777" w:rsidR="00B7662D" w:rsidRPr="00FC75D0" w:rsidRDefault="00B7662D" w:rsidP="00C77EAE">
            <w:pPr>
              <w:rPr>
                <w:rFonts w:ascii="Calibri" w:hAnsi="Calibri"/>
                <w:color w:val="000000"/>
                <w:sz w:val="20"/>
                <w:szCs w:val="20"/>
              </w:rPr>
            </w:pPr>
          </w:p>
          <w:p w14:paraId="79324748" w14:textId="77777777" w:rsidR="00B7662D" w:rsidRPr="00FC75D0" w:rsidRDefault="00B7662D" w:rsidP="00C77EAE">
            <w:pPr>
              <w:rPr>
                <w:rFonts w:cstheme="minorHAnsi"/>
                <w:sz w:val="20"/>
                <w:szCs w:val="20"/>
              </w:rPr>
            </w:pPr>
            <w:r w:rsidRPr="00FC75D0">
              <w:rPr>
                <w:rFonts w:cs="AdvOT1ef757c0"/>
                <w:sz w:val="20"/>
                <w:szCs w:val="20"/>
              </w:rPr>
              <w:t>Placebo</w:t>
            </w:r>
          </w:p>
        </w:tc>
        <w:tc>
          <w:tcPr>
            <w:tcW w:w="1418" w:type="dxa"/>
          </w:tcPr>
          <w:p w14:paraId="18E57B49" w14:textId="77777777" w:rsidR="00B7662D" w:rsidRPr="00FC75D0" w:rsidRDefault="00B7662D" w:rsidP="00C77EAE">
            <w:pPr>
              <w:autoSpaceDE w:val="0"/>
              <w:autoSpaceDN w:val="0"/>
              <w:adjustRightInd w:val="0"/>
              <w:rPr>
                <w:rFonts w:cs="AdvOT1ef757c0"/>
                <w:sz w:val="20"/>
                <w:szCs w:val="20"/>
              </w:rPr>
            </w:pPr>
            <w:r w:rsidRPr="00FC75D0">
              <w:rPr>
                <w:rFonts w:cs="AdvOT1ef757c0"/>
                <w:sz w:val="20"/>
                <w:szCs w:val="20"/>
              </w:rPr>
              <w:lastRenderedPageBreak/>
              <w:t>LT</w:t>
            </w:r>
            <w:r w:rsidRPr="00FC75D0">
              <w:rPr>
                <w:rFonts w:cs="AdvOT1ef757c0"/>
                <w:sz w:val="20"/>
                <w:szCs w:val="20"/>
                <w:vertAlign w:val="subscript"/>
              </w:rPr>
              <w:t>4</w:t>
            </w:r>
            <w:r w:rsidRPr="00FC75D0">
              <w:rPr>
                <w:rFonts w:cs="AdvOT1ef757c0"/>
                <w:sz w:val="20"/>
                <w:szCs w:val="20"/>
              </w:rPr>
              <w:t xml:space="preserve"> treatment (initial: 50 µg/day, </w:t>
            </w:r>
            <w:r w:rsidRPr="00FC75D0">
              <w:rPr>
                <w:rFonts w:cs="AdvOT1ef757c0"/>
                <w:sz w:val="20"/>
                <w:szCs w:val="20"/>
              </w:rPr>
              <w:lastRenderedPageBreak/>
              <w:t>titrated to achieve TSH WNL),</w:t>
            </w:r>
          </w:p>
          <w:p w14:paraId="36B7692D" w14:textId="77777777" w:rsidR="00B7662D" w:rsidRPr="00FC75D0" w:rsidRDefault="00B7662D" w:rsidP="00C77EAE">
            <w:pPr>
              <w:autoSpaceDE w:val="0"/>
              <w:autoSpaceDN w:val="0"/>
              <w:adjustRightInd w:val="0"/>
              <w:rPr>
                <w:rFonts w:cs="AdvOT1ef757c0"/>
                <w:sz w:val="20"/>
                <w:szCs w:val="20"/>
              </w:rPr>
            </w:pPr>
            <w:r w:rsidRPr="00FC75D0">
              <w:rPr>
                <w:rFonts w:ascii="Calibri" w:hAnsi="Calibri"/>
                <w:color w:val="000000"/>
                <w:sz w:val="20"/>
                <w:szCs w:val="20"/>
              </w:rPr>
              <w:t>follow-up of 1 year</w:t>
            </w:r>
          </w:p>
        </w:tc>
        <w:tc>
          <w:tcPr>
            <w:tcW w:w="7654" w:type="dxa"/>
          </w:tcPr>
          <w:p w14:paraId="354AAC07" w14:textId="6D510ACC" w:rsidR="00B7662D" w:rsidRPr="00FC75D0" w:rsidRDefault="00B7662D" w:rsidP="00C77EAE">
            <w:pPr>
              <w:rPr>
                <w:rFonts w:ascii="Calibri" w:hAnsi="Calibri"/>
                <w:b/>
                <w:color w:val="000000"/>
                <w:sz w:val="20"/>
                <w:szCs w:val="20"/>
              </w:rPr>
            </w:pPr>
            <w:r w:rsidRPr="00FC75D0">
              <w:rPr>
                <w:rFonts w:ascii="Calibri" w:hAnsi="Calibri"/>
                <w:b/>
                <w:color w:val="000000"/>
                <w:sz w:val="20"/>
                <w:szCs w:val="20"/>
              </w:rPr>
              <w:lastRenderedPageBreak/>
              <w:t xml:space="preserve">SBP: </w:t>
            </w:r>
            <w:r w:rsidRPr="00FC75D0">
              <w:rPr>
                <w:rFonts w:ascii="Calibri" w:hAnsi="Calibri"/>
                <w:color w:val="000000"/>
                <w:sz w:val="20"/>
                <w:szCs w:val="20"/>
              </w:rPr>
              <w:t xml:space="preserve">Control (123.1±9.8 mm/Hg) vs treatment (123.6±9.8 mm/Hg); </w:t>
            </w:r>
            <w:r>
              <w:rPr>
                <w:rFonts w:ascii="Calibri" w:hAnsi="Calibri"/>
                <w:color w:val="000000"/>
                <w:sz w:val="20"/>
                <w:szCs w:val="20"/>
              </w:rPr>
              <w:t>p≥0.05</w:t>
            </w:r>
          </w:p>
          <w:p w14:paraId="0CB669BA" w14:textId="77777777" w:rsidR="00B7662D" w:rsidRPr="00FC75D0" w:rsidRDefault="00B7662D" w:rsidP="00C77EAE">
            <w:pPr>
              <w:rPr>
                <w:rFonts w:ascii="Calibri" w:hAnsi="Calibri"/>
                <w:b/>
                <w:color w:val="000000"/>
                <w:sz w:val="20"/>
                <w:szCs w:val="20"/>
              </w:rPr>
            </w:pPr>
            <w:r w:rsidRPr="00FC75D0">
              <w:rPr>
                <w:rFonts w:ascii="Calibri" w:hAnsi="Calibri"/>
                <w:b/>
                <w:color w:val="000000"/>
                <w:sz w:val="20"/>
                <w:szCs w:val="20"/>
              </w:rPr>
              <w:t xml:space="preserve">DBP: </w:t>
            </w:r>
            <w:r w:rsidRPr="00FC75D0">
              <w:rPr>
                <w:rFonts w:ascii="Calibri" w:hAnsi="Calibri"/>
                <w:color w:val="000000"/>
                <w:sz w:val="20"/>
                <w:szCs w:val="20"/>
              </w:rPr>
              <w:t xml:space="preserve">Control (77.2±8.4 mm/Hg) vs treatment (76.7±8.9 mm/Hg); </w:t>
            </w:r>
            <w:r>
              <w:rPr>
                <w:rFonts w:ascii="Calibri" w:hAnsi="Calibri"/>
                <w:color w:val="000000"/>
                <w:sz w:val="20"/>
                <w:szCs w:val="20"/>
              </w:rPr>
              <w:t>p≥0.05</w:t>
            </w:r>
          </w:p>
          <w:p w14:paraId="4D02CE99" w14:textId="77777777" w:rsidR="00B7662D" w:rsidRPr="00FC75D0" w:rsidRDefault="00B7662D" w:rsidP="00C77EAE">
            <w:pPr>
              <w:autoSpaceDE w:val="0"/>
              <w:autoSpaceDN w:val="0"/>
              <w:adjustRightInd w:val="0"/>
              <w:rPr>
                <w:rFonts w:ascii="Calibri" w:hAnsi="Calibri"/>
                <w:b/>
                <w:color w:val="000000"/>
                <w:sz w:val="20"/>
                <w:szCs w:val="20"/>
              </w:rPr>
            </w:pPr>
            <w:r w:rsidRPr="00FC75D0">
              <w:rPr>
                <w:rFonts w:ascii="Calibri" w:hAnsi="Calibri"/>
                <w:b/>
                <w:color w:val="000000"/>
                <w:sz w:val="20"/>
                <w:szCs w:val="20"/>
              </w:rPr>
              <w:t xml:space="preserve">BMI: </w:t>
            </w:r>
            <w:r w:rsidRPr="00FC75D0">
              <w:rPr>
                <w:rFonts w:ascii="Calibri" w:hAnsi="Calibri"/>
                <w:color w:val="000000"/>
                <w:sz w:val="20"/>
                <w:szCs w:val="20"/>
              </w:rPr>
              <w:t>Control (23.0±3.1 kg/m</w:t>
            </w:r>
            <w:r w:rsidRPr="00FC75D0">
              <w:rPr>
                <w:rFonts w:ascii="Calibri" w:hAnsi="Calibri"/>
                <w:color w:val="000000"/>
                <w:sz w:val="20"/>
                <w:szCs w:val="20"/>
                <w:vertAlign w:val="superscript"/>
              </w:rPr>
              <w:t>2</w:t>
            </w:r>
            <w:r w:rsidRPr="00FC75D0">
              <w:rPr>
                <w:rFonts w:ascii="Calibri" w:hAnsi="Calibri"/>
                <w:color w:val="000000"/>
                <w:sz w:val="20"/>
                <w:szCs w:val="20"/>
              </w:rPr>
              <w:t>) vs treatment (22.8±3.4 kg/m</w:t>
            </w:r>
            <w:r w:rsidRPr="00FC75D0">
              <w:rPr>
                <w:rFonts w:ascii="Calibri" w:hAnsi="Calibri"/>
                <w:color w:val="000000"/>
                <w:sz w:val="20"/>
                <w:szCs w:val="20"/>
                <w:vertAlign w:val="superscript"/>
              </w:rPr>
              <w:t>2</w:t>
            </w:r>
            <w:r w:rsidRPr="00FC75D0">
              <w:rPr>
                <w:rFonts w:ascii="Calibri" w:hAnsi="Calibri"/>
                <w:color w:val="000000"/>
                <w:sz w:val="20"/>
                <w:szCs w:val="20"/>
              </w:rPr>
              <w:t xml:space="preserve">); </w:t>
            </w:r>
            <w:r>
              <w:rPr>
                <w:rFonts w:ascii="Calibri" w:hAnsi="Calibri"/>
                <w:color w:val="000000"/>
                <w:sz w:val="20"/>
                <w:szCs w:val="20"/>
              </w:rPr>
              <w:t>p≥0.05</w:t>
            </w:r>
          </w:p>
        </w:tc>
        <w:tc>
          <w:tcPr>
            <w:tcW w:w="2410" w:type="dxa"/>
          </w:tcPr>
          <w:p w14:paraId="7FBCAF1A" w14:textId="63A3CF63" w:rsidR="00B7662D" w:rsidRPr="00FC75D0" w:rsidRDefault="00B7662D" w:rsidP="00C77EAE">
            <w:pPr>
              <w:autoSpaceDE w:val="0"/>
              <w:autoSpaceDN w:val="0"/>
              <w:adjustRightInd w:val="0"/>
              <w:rPr>
                <w:rFonts w:cs="AdvOT1ef757c0"/>
                <w:sz w:val="20"/>
                <w:szCs w:val="20"/>
              </w:rPr>
            </w:pPr>
            <w:r w:rsidRPr="00FC75D0">
              <w:rPr>
                <w:rFonts w:ascii="Calibri" w:hAnsi="Calibri"/>
                <w:b/>
                <w:color w:val="000000"/>
                <w:sz w:val="20"/>
                <w:szCs w:val="20"/>
              </w:rPr>
              <w:t>NR</w:t>
            </w:r>
          </w:p>
        </w:tc>
      </w:tr>
      <w:tr w:rsidR="00B7662D" w:rsidRPr="00FC75D0" w14:paraId="5E9708C4" w14:textId="77777777" w:rsidTr="00C77EAE">
        <w:tc>
          <w:tcPr>
            <w:tcW w:w="1384" w:type="dxa"/>
          </w:tcPr>
          <w:p w14:paraId="19A28105" w14:textId="77777777" w:rsidR="00B7662D" w:rsidRPr="00FC75D0" w:rsidRDefault="00B7662D" w:rsidP="00C77EAE">
            <w:pPr>
              <w:rPr>
                <w:rFonts w:cstheme="minorHAnsi"/>
                <w:sz w:val="20"/>
                <w:szCs w:val="20"/>
              </w:rPr>
            </w:pPr>
            <w:r w:rsidRPr="00FC75D0">
              <w:rPr>
                <w:rFonts w:cstheme="minorHAnsi"/>
                <w:sz w:val="20"/>
                <w:szCs w:val="20"/>
              </w:rPr>
              <w:t>Monzani, 2004, Italy</w:t>
            </w:r>
          </w:p>
          <w:p w14:paraId="0A3C5E4F" w14:textId="77777777" w:rsidR="00B7662D" w:rsidRPr="00FC75D0" w:rsidRDefault="00B7662D" w:rsidP="00C77EAE">
            <w:pPr>
              <w:rPr>
                <w:rFonts w:cstheme="minorHAnsi"/>
                <w:sz w:val="20"/>
                <w:szCs w:val="20"/>
              </w:rPr>
            </w:pPr>
          </w:p>
          <w:p w14:paraId="48FAA6BC"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n=45</w:t>
            </w:r>
          </w:p>
          <w:p w14:paraId="52DB5050" w14:textId="77777777" w:rsidR="00B7662D" w:rsidRPr="00FC75D0" w:rsidRDefault="00B7662D" w:rsidP="00C77EAE">
            <w:pPr>
              <w:rPr>
                <w:rFonts w:ascii="Calibri" w:hAnsi="Calibri"/>
                <w:color w:val="000000"/>
                <w:sz w:val="20"/>
                <w:szCs w:val="20"/>
              </w:rPr>
            </w:pPr>
          </w:p>
          <w:p w14:paraId="42A4FAFC" w14:textId="77777777" w:rsidR="00B7662D" w:rsidRPr="00FC75D0" w:rsidRDefault="00B7662D" w:rsidP="00C77EAE">
            <w:pPr>
              <w:rPr>
                <w:rFonts w:cstheme="minorHAnsi"/>
                <w:sz w:val="20"/>
                <w:szCs w:val="20"/>
              </w:rPr>
            </w:pPr>
            <w:r w:rsidRPr="00FC75D0">
              <w:rPr>
                <w:rFonts w:cs="AdvOT1ef757c0"/>
                <w:sz w:val="20"/>
                <w:szCs w:val="20"/>
              </w:rPr>
              <w:t>Placebo</w:t>
            </w:r>
          </w:p>
        </w:tc>
        <w:tc>
          <w:tcPr>
            <w:tcW w:w="1418" w:type="dxa"/>
          </w:tcPr>
          <w:p w14:paraId="4E3D5AEE" w14:textId="77777777" w:rsidR="00B7662D" w:rsidRPr="00FC75D0" w:rsidRDefault="00B7662D" w:rsidP="00C77EAE">
            <w:pPr>
              <w:autoSpaceDE w:val="0"/>
              <w:autoSpaceDN w:val="0"/>
              <w:adjustRightInd w:val="0"/>
              <w:rPr>
                <w:rFonts w:cs="AdvOT1ef757c0"/>
                <w:sz w:val="20"/>
                <w:szCs w:val="20"/>
              </w:rPr>
            </w:pPr>
            <w:r w:rsidRPr="00FC75D0">
              <w:rPr>
                <w:rFonts w:cs="AdvOT1ef757c0"/>
                <w:sz w:val="20"/>
                <w:szCs w:val="20"/>
              </w:rPr>
              <w:t>LT</w:t>
            </w:r>
            <w:r w:rsidRPr="00FC75D0">
              <w:rPr>
                <w:rFonts w:cs="AdvOT1ef757c0"/>
                <w:sz w:val="20"/>
                <w:szCs w:val="20"/>
                <w:vertAlign w:val="subscript"/>
              </w:rPr>
              <w:t>4</w:t>
            </w:r>
            <w:r w:rsidRPr="00FC75D0">
              <w:rPr>
                <w:rFonts w:cs="AdvOT1ef757c0"/>
                <w:sz w:val="20"/>
                <w:szCs w:val="20"/>
              </w:rPr>
              <w:t xml:space="preserve"> treatment (initial: 25 µg/day, titrated to achieve TSH WNL),</w:t>
            </w:r>
          </w:p>
          <w:p w14:paraId="22D63DF2" w14:textId="77777777" w:rsidR="00B7662D" w:rsidRPr="00FC75D0" w:rsidRDefault="00B7662D" w:rsidP="00C77EAE">
            <w:pPr>
              <w:autoSpaceDE w:val="0"/>
              <w:autoSpaceDN w:val="0"/>
              <w:adjustRightInd w:val="0"/>
              <w:rPr>
                <w:rFonts w:cs="AdvOT1ef757c0"/>
                <w:sz w:val="20"/>
                <w:szCs w:val="20"/>
              </w:rPr>
            </w:pPr>
            <w:r w:rsidRPr="00FC75D0">
              <w:rPr>
                <w:rFonts w:ascii="Calibri" w:hAnsi="Calibri"/>
                <w:color w:val="000000"/>
                <w:sz w:val="20"/>
                <w:szCs w:val="20"/>
              </w:rPr>
              <w:t>follow-up of 6 months</w:t>
            </w:r>
          </w:p>
        </w:tc>
        <w:tc>
          <w:tcPr>
            <w:tcW w:w="7654" w:type="dxa"/>
          </w:tcPr>
          <w:p w14:paraId="10132C75" w14:textId="2B2FEE21"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TC:</w:t>
            </w:r>
            <w:r w:rsidRPr="00FC75D0">
              <w:rPr>
                <w:rFonts w:ascii="Calibri" w:hAnsi="Calibri"/>
                <w:color w:val="000000"/>
                <w:sz w:val="20"/>
                <w:szCs w:val="20"/>
              </w:rPr>
              <w:t xml:space="preserve"> Control (219.6±48.9 mg/dL) vs treatment (191.6±32.5 mg/dL); p=0.03</w:t>
            </w:r>
          </w:p>
          <w:p w14:paraId="4A9D392E"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LDL:</w:t>
            </w:r>
            <w:r w:rsidRPr="00FC75D0">
              <w:rPr>
                <w:rFonts w:ascii="Calibri" w:hAnsi="Calibri"/>
                <w:color w:val="000000"/>
                <w:sz w:val="20"/>
                <w:szCs w:val="20"/>
              </w:rPr>
              <w:t xml:space="preserve"> Control (141.3±38.6 mg/dL) vs treatment (119.2±27.8 mg/dL); p=0.03</w:t>
            </w:r>
          </w:p>
          <w:p w14:paraId="0CA767CA"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HDL:</w:t>
            </w:r>
            <w:r w:rsidRPr="00FC75D0">
              <w:rPr>
                <w:rFonts w:ascii="Calibri" w:hAnsi="Calibri"/>
                <w:color w:val="000000"/>
                <w:sz w:val="20"/>
                <w:szCs w:val="20"/>
              </w:rPr>
              <w:t xml:space="preserve"> Control (57.8±11.6 mg/dL) vs treatment (54.7±7.4 mg/dL); </w:t>
            </w:r>
            <w:r>
              <w:rPr>
                <w:rFonts w:ascii="Calibri" w:hAnsi="Calibri"/>
                <w:color w:val="000000"/>
                <w:sz w:val="20"/>
                <w:szCs w:val="20"/>
              </w:rPr>
              <w:t>p≥0.05</w:t>
            </w:r>
          </w:p>
          <w:p w14:paraId="0D456E34"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TG:</w:t>
            </w:r>
            <w:r w:rsidRPr="00FC75D0">
              <w:rPr>
                <w:rFonts w:ascii="Calibri" w:hAnsi="Calibri"/>
                <w:color w:val="000000"/>
                <w:sz w:val="20"/>
                <w:szCs w:val="20"/>
              </w:rPr>
              <w:t xml:space="preserve"> Control (102.7±53.1 mg/dL) vs treatment (88.1±30.0 mg/dL); </w:t>
            </w:r>
            <w:r>
              <w:rPr>
                <w:rFonts w:ascii="Calibri" w:hAnsi="Calibri"/>
                <w:color w:val="000000"/>
                <w:sz w:val="20"/>
                <w:szCs w:val="20"/>
              </w:rPr>
              <w:t>p≥0.05</w:t>
            </w:r>
          </w:p>
          <w:p w14:paraId="3BA16EBF"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SBP:</w:t>
            </w:r>
            <w:r w:rsidRPr="00FC75D0">
              <w:rPr>
                <w:rFonts w:ascii="Calibri" w:hAnsi="Calibri"/>
                <w:color w:val="000000"/>
                <w:sz w:val="20"/>
                <w:szCs w:val="20"/>
              </w:rPr>
              <w:t xml:space="preserve"> Control (114±13 mmHg) vs treatment (112±15 mmHg); </w:t>
            </w:r>
            <w:r>
              <w:rPr>
                <w:rFonts w:ascii="Calibri" w:hAnsi="Calibri"/>
                <w:color w:val="000000"/>
                <w:sz w:val="20"/>
                <w:szCs w:val="20"/>
              </w:rPr>
              <w:t>p≥0.05</w:t>
            </w:r>
          </w:p>
          <w:p w14:paraId="3B227585"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DBP:</w:t>
            </w:r>
            <w:r w:rsidRPr="00FC75D0">
              <w:rPr>
                <w:rFonts w:ascii="Calibri" w:hAnsi="Calibri"/>
                <w:color w:val="000000"/>
                <w:sz w:val="20"/>
                <w:szCs w:val="20"/>
              </w:rPr>
              <w:t xml:space="preserve"> Control (72±8 mmHg) vs treatment (69±9 mmHg); </w:t>
            </w:r>
            <w:r>
              <w:rPr>
                <w:rFonts w:ascii="Calibri" w:hAnsi="Calibri"/>
                <w:color w:val="000000"/>
                <w:sz w:val="20"/>
                <w:szCs w:val="20"/>
              </w:rPr>
              <w:t>p≥0.05</w:t>
            </w:r>
          </w:p>
          <w:p w14:paraId="34034AE1" w14:textId="77777777" w:rsidR="00B7662D" w:rsidRPr="00FC75D0" w:rsidRDefault="00B7662D" w:rsidP="00C77EAE">
            <w:pPr>
              <w:autoSpaceDE w:val="0"/>
              <w:autoSpaceDN w:val="0"/>
              <w:adjustRightInd w:val="0"/>
              <w:rPr>
                <w:rFonts w:cs="AdvOT1ef757c0"/>
                <w:sz w:val="20"/>
                <w:szCs w:val="20"/>
              </w:rPr>
            </w:pPr>
            <w:r w:rsidRPr="00FC75D0">
              <w:rPr>
                <w:rFonts w:ascii="Calibri" w:hAnsi="Calibri"/>
                <w:b/>
                <w:color w:val="000000"/>
                <w:sz w:val="20"/>
                <w:szCs w:val="20"/>
              </w:rPr>
              <w:t xml:space="preserve">BMI: </w:t>
            </w:r>
            <w:r w:rsidRPr="00FC75D0">
              <w:rPr>
                <w:rFonts w:ascii="Calibri" w:hAnsi="Calibri"/>
                <w:color w:val="000000"/>
                <w:sz w:val="20"/>
                <w:szCs w:val="20"/>
              </w:rPr>
              <w:t>Control (24.9±3.8 kg/m</w:t>
            </w:r>
            <w:r w:rsidRPr="00FC75D0">
              <w:rPr>
                <w:rFonts w:ascii="Calibri" w:hAnsi="Calibri"/>
                <w:color w:val="000000"/>
                <w:sz w:val="20"/>
                <w:szCs w:val="20"/>
                <w:vertAlign w:val="superscript"/>
              </w:rPr>
              <w:t>2</w:t>
            </w:r>
            <w:r w:rsidRPr="00FC75D0">
              <w:rPr>
                <w:rFonts w:ascii="Calibri" w:hAnsi="Calibri"/>
                <w:color w:val="000000"/>
                <w:sz w:val="20"/>
                <w:szCs w:val="20"/>
              </w:rPr>
              <w:t>) vs treatment (23.7±3.5 kg/m</w:t>
            </w:r>
            <w:r w:rsidRPr="00FC75D0">
              <w:rPr>
                <w:rFonts w:ascii="Calibri" w:hAnsi="Calibri"/>
                <w:color w:val="000000"/>
                <w:sz w:val="20"/>
                <w:szCs w:val="20"/>
                <w:vertAlign w:val="superscript"/>
              </w:rPr>
              <w:t>2</w:t>
            </w:r>
            <w:r w:rsidRPr="00FC75D0">
              <w:rPr>
                <w:rFonts w:ascii="Calibri" w:hAnsi="Calibri"/>
                <w:color w:val="000000"/>
                <w:sz w:val="20"/>
                <w:szCs w:val="20"/>
              </w:rPr>
              <w:t xml:space="preserve">); </w:t>
            </w:r>
            <w:r>
              <w:rPr>
                <w:rFonts w:ascii="Calibri" w:hAnsi="Calibri"/>
                <w:color w:val="000000"/>
                <w:sz w:val="20"/>
                <w:szCs w:val="20"/>
              </w:rPr>
              <w:t>p≥0.05</w:t>
            </w:r>
          </w:p>
        </w:tc>
        <w:tc>
          <w:tcPr>
            <w:tcW w:w="2410" w:type="dxa"/>
          </w:tcPr>
          <w:p w14:paraId="7D5C723A" w14:textId="6D99EBD2" w:rsidR="00B7662D" w:rsidRPr="00FC75D0" w:rsidRDefault="00B7662D" w:rsidP="00C77EAE">
            <w:pPr>
              <w:autoSpaceDE w:val="0"/>
              <w:autoSpaceDN w:val="0"/>
              <w:adjustRightInd w:val="0"/>
              <w:rPr>
                <w:rFonts w:cs="AdvOT1ef757c0"/>
                <w:sz w:val="20"/>
                <w:szCs w:val="20"/>
              </w:rPr>
            </w:pPr>
            <w:r w:rsidRPr="00FC75D0">
              <w:rPr>
                <w:rFonts w:ascii="Calibri" w:hAnsi="Calibri"/>
                <w:b/>
                <w:color w:val="000000"/>
                <w:sz w:val="20"/>
                <w:szCs w:val="20"/>
              </w:rPr>
              <w:t>NR</w:t>
            </w:r>
          </w:p>
        </w:tc>
      </w:tr>
      <w:tr w:rsidR="00B7662D" w:rsidRPr="00FC75D0" w14:paraId="717A7DB1" w14:textId="77777777" w:rsidTr="00C77EAE">
        <w:tc>
          <w:tcPr>
            <w:tcW w:w="1384" w:type="dxa"/>
          </w:tcPr>
          <w:p w14:paraId="63381E0B" w14:textId="77777777" w:rsidR="00B7662D" w:rsidRPr="00FC75D0" w:rsidRDefault="00B7662D" w:rsidP="00C77EAE">
            <w:pPr>
              <w:rPr>
                <w:rFonts w:cstheme="minorHAnsi"/>
                <w:sz w:val="20"/>
                <w:szCs w:val="20"/>
              </w:rPr>
            </w:pPr>
            <w:r w:rsidRPr="00FC75D0">
              <w:rPr>
                <w:rFonts w:cstheme="minorHAnsi"/>
                <w:sz w:val="20"/>
                <w:szCs w:val="20"/>
              </w:rPr>
              <w:t>Caraccio, 2002, Italy</w:t>
            </w:r>
          </w:p>
          <w:p w14:paraId="7AE579D6" w14:textId="77777777" w:rsidR="00B7662D" w:rsidRPr="00FC75D0" w:rsidRDefault="00B7662D" w:rsidP="00C77EAE">
            <w:pPr>
              <w:rPr>
                <w:rFonts w:cstheme="minorHAnsi"/>
                <w:sz w:val="20"/>
                <w:szCs w:val="20"/>
              </w:rPr>
            </w:pPr>
          </w:p>
          <w:p w14:paraId="508011E2"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n=49</w:t>
            </w:r>
          </w:p>
          <w:p w14:paraId="5C3AF0C7" w14:textId="77777777" w:rsidR="00B7662D" w:rsidRPr="00FC75D0" w:rsidRDefault="00B7662D" w:rsidP="00C77EAE">
            <w:pPr>
              <w:rPr>
                <w:rFonts w:ascii="Calibri" w:hAnsi="Calibri"/>
                <w:color w:val="000000"/>
                <w:sz w:val="20"/>
                <w:szCs w:val="20"/>
              </w:rPr>
            </w:pPr>
          </w:p>
          <w:p w14:paraId="5C33EECA" w14:textId="77777777" w:rsidR="00B7662D" w:rsidRPr="00FC75D0" w:rsidRDefault="00B7662D" w:rsidP="00C77EAE">
            <w:pPr>
              <w:rPr>
                <w:rFonts w:cstheme="minorHAnsi"/>
                <w:sz w:val="20"/>
                <w:szCs w:val="20"/>
              </w:rPr>
            </w:pPr>
            <w:r w:rsidRPr="00FC75D0">
              <w:rPr>
                <w:rFonts w:cs="AdvOT1ef757c0"/>
                <w:sz w:val="20"/>
                <w:szCs w:val="20"/>
              </w:rPr>
              <w:t>Placebo</w:t>
            </w:r>
          </w:p>
        </w:tc>
        <w:tc>
          <w:tcPr>
            <w:tcW w:w="1418" w:type="dxa"/>
          </w:tcPr>
          <w:p w14:paraId="4F5C95D2" w14:textId="77777777" w:rsidR="00B7662D" w:rsidRPr="00FC75D0" w:rsidRDefault="00B7662D" w:rsidP="00C77EAE">
            <w:pPr>
              <w:autoSpaceDE w:val="0"/>
              <w:autoSpaceDN w:val="0"/>
              <w:adjustRightInd w:val="0"/>
              <w:rPr>
                <w:rFonts w:cs="AdvOT1ef757c0"/>
                <w:sz w:val="20"/>
                <w:szCs w:val="20"/>
              </w:rPr>
            </w:pPr>
            <w:r w:rsidRPr="00FC75D0">
              <w:rPr>
                <w:rFonts w:cs="AdvOT1ef757c0"/>
                <w:sz w:val="20"/>
                <w:szCs w:val="20"/>
              </w:rPr>
              <w:t>LT</w:t>
            </w:r>
            <w:r w:rsidRPr="00FC75D0">
              <w:rPr>
                <w:rFonts w:cs="AdvOT1ef757c0"/>
                <w:sz w:val="20"/>
                <w:szCs w:val="20"/>
                <w:vertAlign w:val="subscript"/>
              </w:rPr>
              <w:t>4</w:t>
            </w:r>
            <w:r w:rsidRPr="00FC75D0">
              <w:rPr>
                <w:rFonts w:cs="AdvOT1ef757c0"/>
                <w:sz w:val="20"/>
                <w:szCs w:val="20"/>
              </w:rPr>
              <w:t xml:space="preserve"> treatment (initial: 25 µg/day, titrated to achieve TSH WNL),</w:t>
            </w:r>
          </w:p>
          <w:p w14:paraId="2DEC7C58" w14:textId="77777777" w:rsidR="00B7662D" w:rsidRPr="00FC75D0" w:rsidRDefault="00B7662D" w:rsidP="00C77EAE">
            <w:pPr>
              <w:autoSpaceDE w:val="0"/>
              <w:autoSpaceDN w:val="0"/>
              <w:adjustRightInd w:val="0"/>
              <w:rPr>
                <w:rFonts w:cs="AdvOT1ef757c0"/>
                <w:sz w:val="20"/>
                <w:szCs w:val="20"/>
              </w:rPr>
            </w:pPr>
            <w:r w:rsidRPr="00FC75D0">
              <w:rPr>
                <w:rFonts w:ascii="Calibri" w:hAnsi="Calibri"/>
                <w:color w:val="000000"/>
                <w:sz w:val="20"/>
                <w:szCs w:val="20"/>
              </w:rPr>
              <w:t>follow-up of 6 months</w:t>
            </w:r>
          </w:p>
        </w:tc>
        <w:tc>
          <w:tcPr>
            <w:tcW w:w="7654" w:type="dxa"/>
          </w:tcPr>
          <w:p w14:paraId="646B1AC0" w14:textId="563BCAE8"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TC:</w:t>
            </w:r>
            <w:r w:rsidRPr="00FC75D0">
              <w:rPr>
                <w:rFonts w:ascii="Calibri" w:hAnsi="Calibri"/>
                <w:color w:val="000000"/>
                <w:sz w:val="20"/>
                <w:szCs w:val="20"/>
              </w:rPr>
              <w:t xml:space="preserve"> Control (5.3±1.1 mmol/L) vs treatment (5.0±1.1 mmol/L); p=NS</w:t>
            </w:r>
          </w:p>
          <w:p w14:paraId="7BEE2F55"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LDL: </w:t>
            </w:r>
            <w:r w:rsidRPr="00FC75D0">
              <w:rPr>
                <w:rFonts w:ascii="Calibri" w:hAnsi="Calibri"/>
                <w:color w:val="000000"/>
                <w:sz w:val="20"/>
                <w:szCs w:val="20"/>
              </w:rPr>
              <w:t>Control (3.4±0.9 mmol/L) vs treatment (3.1±1.0 mmol/L); p=NS</w:t>
            </w:r>
          </w:p>
          <w:p w14:paraId="7B9ACC2E"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HDL: </w:t>
            </w:r>
            <w:r w:rsidRPr="00FC75D0">
              <w:rPr>
                <w:rFonts w:ascii="Calibri" w:hAnsi="Calibri"/>
                <w:color w:val="000000"/>
                <w:sz w:val="20"/>
                <w:szCs w:val="20"/>
              </w:rPr>
              <w:t>Control (1.5±0.3 mmol/L) vs treatment (1.4±0.3 mmol/L); p=NS</w:t>
            </w:r>
          </w:p>
          <w:p w14:paraId="7C980E19" w14:textId="77777777" w:rsidR="00B7662D" w:rsidRPr="00FC75D0" w:rsidRDefault="00B7662D" w:rsidP="00C77EAE">
            <w:pPr>
              <w:autoSpaceDE w:val="0"/>
              <w:autoSpaceDN w:val="0"/>
              <w:adjustRightInd w:val="0"/>
              <w:rPr>
                <w:rFonts w:ascii="Calibri" w:hAnsi="Calibri"/>
                <w:color w:val="000000"/>
                <w:sz w:val="20"/>
                <w:szCs w:val="20"/>
              </w:rPr>
            </w:pPr>
            <w:r w:rsidRPr="00FC75D0">
              <w:rPr>
                <w:rFonts w:ascii="Calibri" w:hAnsi="Calibri"/>
                <w:b/>
                <w:color w:val="000000"/>
                <w:sz w:val="20"/>
                <w:szCs w:val="20"/>
              </w:rPr>
              <w:t xml:space="preserve">TG: </w:t>
            </w:r>
            <w:r w:rsidRPr="00FC75D0">
              <w:rPr>
                <w:rFonts w:ascii="Calibri" w:hAnsi="Calibri"/>
                <w:color w:val="000000"/>
                <w:sz w:val="20"/>
                <w:szCs w:val="20"/>
              </w:rPr>
              <w:t>Control (1.3±0.7 mmol/L) vs treatment (1.2±1.6 mmol/L); p=NS</w:t>
            </w:r>
          </w:p>
          <w:p w14:paraId="7061CBFE" w14:textId="77777777" w:rsidR="00B7662D" w:rsidRPr="00FC75D0" w:rsidRDefault="00B7662D" w:rsidP="00C77EAE">
            <w:pPr>
              <w:autoSpaceDE w:val="0"/>
              <w:autoSpaceDN w:val="0"/>
              <w:adjustRightInd w:val="0"/>
              <w:rPr>
                <w:rFonts w:cs="AdvOT1ef757c0"/>
                <w:sz w:val="20"/>
                <w:szCs w:val="20"/>
              </w:rPr>
            </w:pPr>
            <w:r w:rsidRPr="00FC75D0">
              <w:rPr>
                <w:rFonts w:ascii="Calibri" w:hAnsi="Calibri"/>
                <w:b/>
                <w:color w:val="000000"/>
                <w:sz w:val="20"/>
                <w:szCs w:val="20"/>
              </w:rPr>
              <w:t xml:space="preserve">BMI: </w:t>
            </w:r>
            <w:r w:rsidRPr="00FC75D0">
              <w:rPr>
                <w:rFonts w:ascii="Calibri" w:hAnsi="Calibri"/>
                <w:color w:val="000000"/>
                <w:sz w:val="20"/>
                <w:szCs w:val="20"/>
              </w:rPr>
              <w:t>Control (22.8±2.7 kg/m</w:t>
            </w:r>
            <w:r w:rsidRPr="00FC75D0">
              <w:rPr>
                <w:rFonts w:ascii="Calibri" w:hAnsi="Calibri"/>
                <w:color w:val="000000"/>
                <w:sz w:val="20"/>
                <w:szCs w:val="20"/>
                <w:vertAlign w:val="superscript"/>
              </w:rPr>
              <w:t>2</w:t>
            </w:r>
            <w:r w:rsidRPr="00FC75D0">
              <w:rPr>
                <w:rFonts w:ascii="Calibri" w:hAnsi="Calibri"/>
                <w:color w:val="000000"/>
                <w:sz w:val="20"/>
                <w:szCs w:val="20"/>
              </w:rPr>
              <w:t>) vs treatment (24.1±3.1 kg/m</w:t>
            </w:r>
            <w:r w:rsidRPr="00FC75D0">
              <w:rPr>
                <w:rFonts w:ascii="Calibri" w:hAnsi="Calibri"/>
                <w:color w:val="000000"/>
                <w:sz w:val="20"/>
                <w:szCs w:val="20"/>
                <w:vertAlign w:val="superscript"/>
              </w:rPr>
              <w:t>2</w:t>
            </w:r>
            <w:r w:rsidRPr="00FC75D0">
              <w:rPr>
                <w:rFonts w:ascii="Calibri" w:hAnsi="Calibri"/>
                <w:color w:val="000000"/>
                <w:sz w:val="20"/>
                <w:szCs w:val="20"/>
              </w:rPr>
              <w:t>); p=NS</w:t>
            </w:r>
          </w:p>
        </w:tc>
        <w:tc>
          <w:tcPr>
            <w:tcW w:w="2410" w:type="dxa"/>
          </w:tcPr>
          <w:p w14:paraId="72DBB34D" w14:textId="4DA36506" w:rsidR="00B7662D" w:rsidRPr="00FC75D0" w:rsidRDefault="00B7662D" w:rsidP="00C77EAE">
            <w:pPr>
              <w:autoSpaceDE w:val="0"/>
              <w:autoSpaceDN w:val="0"/>
              <w:adjustRightInd w:val="0"/>
              <w:rPr>
                <w:rFonts w:cs="AdvOT1ef757c0"/>
                <w:sz w:val="20"/>
                <w:szCs w:val="20"/>
              </w:rPr>
            </w:pPr>
            <w:r w:rsidRPr="00FC75D0">
              <w:rPr>
                <w:rFonts w:ascii="Calibri" w:hAnsi="Calibri"/>
                <w:b/>
                <w:color w:val="000000"/>
                <w:sz w:val="20"/>
                <w:szCs w:val="20"/>
              </w:rPr>
              <w:t>NR</w:t>
            </w:r>
          </w:p>
        </w:tc>
      </w:tr>
      <w:tr w:rsidR="00B7662D" w:rsidRPr="00FC75D0" w14:paraId="1F5DB9DE" w14:textId="77777777" w:rsidTr="00C77EAE">
        <w:tc>
          <w:tcPr>
            <w:tcW w:w="1384" w:type="dxa"/>
          </w:tcPr>
          <w:p w14:paraId="0334DEB9" w14:textId="77777777" w:rsidR="00B7662D" w:rsidRPr="00FC75D0" w:rsidRDefault="00B7662D" w:rsidP="00C77EAE">
            <w:pPr>
              <w:rPr>
                <w:rFonts w:cstheme="minorHAnsi"/>
                <w:sz w:val="20"/>
                <w:szCs w:val="20"/>
              </w:rPr>
            </w:pPr>
            <w:r w:rsidRPr="00FC75D0">
              <w:rPr>
                <w:rFonts w:cstheme="minorHAnsi"/>
                <w:sz w:val="20"/>
                <w:szCs w:val="20"/>
              </w:rPr>
              <w:t>Monzani, 2001, Italy</w:t>
            </w:r>
          </w:p>
          <w:p w14:paraId="1E511695" w14:textId="77777777" w:rsidR="00B7662D" w:rsidRPr="00FC75D0" w:rsidRDefault="00B7662D" w:rsidP="00C77EAE">
            <w:pPr>
              <w:rPr>
                <w:rFonts w:cstheme="minorHAnsi"/>
                <w:sz w:val="20"/>
                <w:szCs w:val="20"/>
              </w:rPr>
            </w:pPr>
          </w:p>
          <w:p w14:paraId="27DC0E86"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n=20</w:t>
            </w:r>
          </w:p>
          <w:p w14:paraId="40260498" w14:textId="77777777" w:rsidR="00B7662D" w:rsidRPr="00FC75D0" w:rsidRDefault="00B7662D" w:rsidP="00C77EAE">
            <w:pPr>
              <w:rPr>
                <w:rFonts w:ascii="Calibri" w:hAnsi="Calibri"/>
                <w:color w:val="000000"/>
                <w:sz w:val="20"/>
                <w:szCs w:val="20"/>
              </w:rPr>
            </w:pPr>
          </w:p>
          <w:p w14:paraId="0D8B13DD" w14:textId="77777777" w:rsidR="00B7662D" w:rsidRPr="00FC75D0" w:rsidRDefault="00B7662D" w:rsidP="00C77EAE">
            <w:pPr>
              <w:rPr>
                <w:rFonts w:cstheme="minorHAnsi"/>
                <w:sz w:val="20"/>
                <w:szCs w:val="20"/>
              </w:rPr>
            </w:pPr>
            <w:r w:rsidRPr="00FC75D0">
              <w:rPr>
                <w:rFonts w:cs="AdvOT1ef757c0"/>
                <w:sz w:val="20"/>
                <w:szCs w:val="20"/>
              </w:rPr>
              <w:t>Placebo</w:t>
            </w:r>
          </w:p>
        </w:tc>
        <w:tc>
          <w:tcPr>
            <w:tcW w:w="1418" w:type="dxa"/>
          </w:tcPr>
          <w:p w14:paraId="2B85B431" w14:textId="77777777" w:rsidR="00B7662D" w:rsidRPr="00FC75D0" w:rsidRDefault="00B7662D" w:rsidP="00C77EAE">
            <w:pPr>
              <w:autoSpaceDE w:val="0"/>
              <w:autoSpaceDN w:val="0"/>
              <w:adjustRightInd w:val="0"/>
              <w:rPr>
                <w:rFonts w:cs="AdvOT1ef757c0"/>
                <w:sz w:val="20"/>
                <w:szCs w:val="20"/>
              </w:rPr>
            </w:pPr>
            <w:r w:rsidRPr="00FC75D0">
              <w:rPr>
                <w:rFonts w:cs="AdvOT1ef757c0"/>
                <w:sz w:val="20"/>
                <w:szCs w:val="20"/>
              </w:rPr>
              <w:t>LT</w:t>
            </w:r>
            <w:r w:rsidRPr="00FC75D0">
              <w:rPr>
                <w:rFonts w:cs="AdvOT1ef757c0"/>
                <w:sz w:val="20"/>
                <w:szCs w:val="20"/>
                <w:vertAlign w:val="subscript"/>
              </w:rPr>
              <w:t>4</w:t>
            </w:r>
            <w:r w:rsidRPr="00FC75D0">
              <w:rPr>
                <w:rFonts w:cs="AdvOT1ef757c0"/>
                <w:sz w:val="20"/>
                <w:szCs w:val="20"/>
              </w:rPr>
              <w:t xml:space="preserve"> treatment (initial: 50 µg/day, titrated to achieve TSH WNL),</w:t>
            </w:r>
          </w:p>
          <w:p w14:paraId="435E8A67" w14:textId="77777777" w:rsidR="00B7662D" w:rsidRPr="00FC75D0" w:rsidRDefault="00B7662D" w:rsidP="00C77EAE">
            <w:pPr>
              <w:autoSpaceDE w:val="0"/>
              <w:autoSpaceDN w:val="0"/>
              <w:adjustRightInd w:val="0"/>
              <w:rPr>
                <w:rFonts w:cs="AdvOT1ef757c0"/>
                <w:sz w:val="20"/>
                <w:szCs w:val="20"/>
              </w:rPr>
            </w:pPr>
            <w:r w:rsidRPr="00FC75D0">
              <w:rPr>
                <w:rFonts w:ascii="Calibri" w:hAnsi="Calibri"/>
                <w:color w:val="000000"/>
                <w:sz w:val="20"/>
                <w:szCs w:val="20"/>
              </w:rPr>
              <w:t>follow-up of 1 year</w:t>
            </w:r>
          </w:p>
        </w:tc>
        <w:tc>
          <w:tcPr>
            <w:tcW w:w="7654" w:type="dxa"/>
          </w:tcPr>
          <w:p w14:paraId="1CF059A7" w14:textId="7BAD48A6" w:rsidR="00B7662D" w:rsidRPr="00FC75D0" w:rsidRDefault="00B7662D" w:rsidP="00C77EAE">
            <w:pPr>
              <w:rPr>
                <w:rFonts w:ascii="Calibri" w:hAnsi="Calibri"/>
                <w:b/>
                <w:color w:val="000000"/>
                <w:sz w:val="20"/>
                <w:szCs w:val="20"/>
              </w:rPr>
            </w:pPr>
            <w:r w:rsidRPr="00FC75D0">
              <w:rPr>
                <w:rFonts w:ascii="Calibri" w:hAnsi="Calibri"/>
                <w:b/>
                <w:color w:val="000000"/>
                <w:sz w:val="20"/>
                <w:szCs w:val="20"/>
              </w:rPr>
              <w:t xml:space="preserve">SBP: </w:t>
            </w:r>
            <w:r w:rsidRPr="00FC75D0">
              <w:rPr>
                <w:rFonts w:ascii="Calibri" w:hAnsi="Calibri"/>
                <w:color w:val="000000"/>
                <w:sz w:val="20"/>
                <w:szCs w:val="20"/>
              </w:rPr>
              <w:t xml:space="preserve">Control (116.8±9.6 mmHg) vs treatment (117.3±6.8 mmHg); </w:t>
            </w:r>
            <w:r>
              <w:rPr>
                <w:rFonts w:ascii="Calibri" w:hAnsi="Calibri"/>
                <w:color w:val="000000"/>
                <w:sz w:val="20"/>
                <w:szCs w:val="20"/>
              </w:rPr>
              <w:t>p≥0.05</w:t>
            </w:r>
          </w:p>
          <w:p w14:paraId="4BAC130A"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DBP: </w:t>
            </w:r>
            <w:r w:rsidRPr="00FC75D0">
              <w:rPr>
                <w:rFonts w:ascii="Calibri" w:hAnsi="Calibri"/>
                <w:color w:val="000000"/>
                <w:sz w:val="20"/>
                <w:szCs w:val="20"/>
              </w:rPr>
              <w:t xml:space="preserve">Control (71.0±7.0 mmHg) vs treatment (74.8±7.2 mmHg); </w:t>
            </w:r>
            <w:r>
              <w:rPr>
                <w:rFonts w:ascii="Calibri" w:hAnsi="Calibri"/>
                <w:color w:val="000000"/>
                <w:sz w:val="20"/>
                <w:szCs w:val="20"/>
              </w:rPr>
              <w:t>p≥0.05</w:t>
            </w:r>
          </w:p>
          <w:p w14:paraId="23634964" w14:textId="77777777" w:rsidR="00B7662D" w:rsidRPr="00FC75D0" w:rsidRDefault="00B7662D" w:rsidP="00C77EAE">
            <w:pPr>
              <w:autoSpaceDE w:val="0"/>
              <w:autoSpaceDN w:val="0"/>
              <w:adjustRightInd w:val="0"/>
              <w:rPr>
                <w:rFonts w:cs="AdvOT1ef757c0"/>
                <w:sz w:val="20"/>
                <w:szCs w:val="20"/>
              </w:rPr>
            </w:pPr>
            <w:r w:rsidRPr="00FC75D0">
              <w:rPr>
                <w:rFonts w:ascii="Calibri" w:hAnsi="Calibri"/>
                <w:b/>
                <w:color w:val="000000"/>
                <w:sz w:val="20"/>
                <w:szCs w:val="20"/>
              </w:rPr>
              <w:t xml:space="preserve">BMI: </w:t>
            </w:r>
            <w:r w:rsidRPr="00FC75D0">
              <w:rPr>
                <w:rFonts w:ascii="Calibri" w:hAnsi="Calibri"/>
                <w:color w:val="000000"/>
                <w:sz w:val="20"/>
                <w:szCs w:val="20"/>
              </w:rPr>
              <w:t>Control (23.1±2.2 kg/m</w:t>
            </w:r>
            <w:r w:rsidRPr="00FC75D0">
              <w:rPr>
                <w:rFonts w:ascii="Calibri" w:hAnsi="Calibri"/>
                <w:color w:val="000000"/>
                <w:sz w:val="20"/>
                <w:szCs w:val="20"/>
                <w:vertAlign w:val="superscript"/>
              </w:rPr>
              <w:t>2</w:t>
            </w:r>
            <w:r w:rsidRPr="00FC75D0">
              <w:rPr>
                <w:rFonts w:ascii="Calibri" w:hAnsi="Calibri"/>
                <w:color w:val="000000"/>
                <w:sz w:val="20"/>
                <w:szCs w:val="20"/>
              </w:rPr>
              <w:t>) vs treatment (23.1±4.7 kg/m</w:t>
            </w:r>
            <w:r w:rsidRPr="00FC75D0">
              <w:rPr>
                <w:rFonts w:ascii="Calibri" w:hAnsi="Calibri"/>
                <w:color w:val="000000"/>
                <w:sz w:val="20"/>
                <w:szCs w:val="20"/>
                <w:vertAlign w:val="superscript"/>
              </w:rPr>
              <w:t>2</w:t>
            </w:r>
            <w:r w:rsidRPr="00FC75D0">
              <w:rPr>
                <w:rFonts w:ascii="Calibri" w:hAnsi="Calibri"/>
                <w:color w:val="000000"/>
                <w:sz w:val="20"/>
                <w:szCs w:val="20"/>
              </w:rPr>
              <w:t xml:space="preserve">); </w:t>
            </w:r>
            <w:r>
              <w:rPr>
                <w:rFonts w:ascii="Calibri" w:hAnsi="Calibri"/>
                <w:color w:val="000000"/>
                <w:sz w:val="20"/>
                <w:szCs w:val="20"/>
              </w:rPr>
              <w:t>p≥0.05</w:t>
            </w:r>
          </w:p>
        </w:tc>
        <w:tc>
          <w:tcPr>
            <w:tcW w:w="2410" w:type="dxa"/>
          </w:tcPr>
          <w:p w14:paraId="3303443D" w14:textId="65224F9B" w:rsidR="00B7662D" w:rsidRPr="00FC75D0" w:rsidRDefault="00B7662D" w:rsidP="00C77EAE">
            <w:pPr>
              <w:autoSpaceDE w:val="0"/>
              <w:autoSpaceDN w:val="0"/>
              <w:adjustRightInd w:val="0"/>
              <w:rPr>
                <w:rFonts w:cs="AdvOT1ef757c0"/>
                <w:sz w:val="20"/>
                <w:szCs w:val="20"/>
              </w:rPr>
            </w:pPr>
            <w:r w:rsidRPr="00FC75D0">
              <w:rPr>
                <w:rFonts w:ascii="Calibri" w:hAnsi="Calibri"/>
                <w:b/>
                <w:color w:val="000000"/>
                <w:sz w:val="20"/>
                <w:szCs w:val="20"/>
              </w:rPr>
              <w:t>NR</w:t>
            </w:r>
          </w:p>
        </w:tc>
      </w:tr>
      <w:tr w:rsidR="00B7662D" w:rsidRPr="00FC75D0" w14:paraId="30F110C3" w14:textId="77777777" w:rsidTr="00C77EAE">
        <w:tc>
          <w:tcPr>
            <w:tcW w:w="1384" w:type="dxa"/>
          </w:tcPr>
          <w:p w14:paraId="69B04E17" w14:textId="77777777" w:rsidR="00B7662D" w:rsidRPr="00FC75D0" w:rsidRDefault="00B7662D" w:rsidP="00C77EAE">
            <w:pPr>
              <w:rPr>
                <w:rFonts w:cstheme="minorHAnsi"/>
                <w:sz w:val="20"/>
                <w:szCs w:val="20"/>
              </w:rPr>
            </w:pPr>
            <w:r w:rsidRPr="00FC75D0">
              <w:rPr>
                <w:rFonts w:cstheme="minorHAnsi"/>
                <w:sz w:val="20"/>
                <w:szCs w:val="20"/>
              </w:rPr>
              <w:t>Andersen,</w:t>
            </w:r>
          </w:p>
          <w:p w14:paraId="2BB0BD65" w14:textId="77777777" w:rsidR="00B7662D" w:rsidRPr="00FC75D0" w:rsidRDefault="00B7662D" w:rsidP="00C77EAE">
            <w:pPr>
              <w:rPr>
                <w:rFonts w:cstheme="minorHAnsi"/>
                <w:color w:val="000000"/>
                <w:sz w:val="20"/>
                <w:szCs w:val="20"/>
              </w:rPr>
            </w:pPr>
            <w:r w:rsidRPr="00FC75D0">
              <w:rPr>
                <w:rFonts w:cstheme="minorHAnsi"/>
                <w:color w:val="000000"/>
                <w:sz w:val="20"/>
                <w:szCs w:val="20"/>
              </w:rPr>
              <w:lastRenderedPageBreak/>
              <w:t xml:space="preserve">2016, Denmark </w:t>
            </w:r>
          </w:p>
          <w:p w14:paraId="365E9AE4" w14:textId="77777777" w:rsidR="00B7662D" w:rsidRPr="00FC75D0" w:rsidRDefault="00B7662D" w:rsidP="00C77EAE">
            <w:pPr>
              <w:rPr>
                <w:rFonts w:cstheme="minorHAnsi"/>
                <w:color w:val="000000"/>
                <w:sz w:val="20"/>
                <w:szCs w:val="20"/>
              </w:rPr>
            </w:pPr>
          </w:p>
          <w:p w14:paraId="6668F671" w14:textId="77777777" w:rsidR="00B7662D" w:rsidRPr="00FC75D0" w:rsidRDefault="00B7662D" w:rsidP="00C77EAE">
            <w:pPr>
              <w:rPr>
                <w:rFonts w:cstheme="minorHAnsi"/>
                <w:color w:val="000000"/>
                <w:sz w:val="20"/>
                <w:szCs w:val="20"/>
              </w:rPr>
            </w:pPr>
            <w:r w:rsidRPr="00FC75D0">
              <w:rPr>
                <w:rFonts w:cstheme="minorHAnsi"/>
                <w:color w:val="000000"/>
                <w:sz w:val="20"/>
                <w:szCs w:val="20"/>
              </w:rPr>
              <w:t>n=1,192</w:t>
            </w:r>
          </w:p>
          <w:p w14:paraId="63C3302E" w14:textId="77777777" w:rsidR="00B7662D" w:rsidRPr="00FC75D0" w:rsidRDefault="00B7662D" w:rsidP="00C77EAE">
            <w:pPr>
              <w:rPr>
                <w:rFonts w:cstheme="minorHAnsi"/>
                <w:color w:val="000000"/>
                <w:sz w:val="20"/>
                <w:szCs w:val="20"/>
              </w:rPr>
            </w:pPr>
          </w:p>
          <w:p w14:paraId="521C3A76" w14:textId="77777777" w:rsidR="00B7662D" w:rsidRPr="00FC75D0" w:rsidRDefault="00B7662D" w:rsidP="00C77EAE">
            <w:pPr>
              <w:rPr>
                <w:rFonts w:cstheme="minorHAnsi"/>
                <w:color w:val="000000"/>
                <w:sz w:val="20"/>
                <w:szCs w:val="20"/>
              </w:rPr>
            </w:pPr>
            <w:r w:rsidRPr="00FC75D0">
              <w:rPr>
                <w:rFonts w:cs="AdvOT1ef757c0"/>
                <w:sz w:val="20"/>
                <w:szCs w:val="20"/>
              </w:rPr>
              <w:t>Untreated</w:t>
            </w:r>
          </w:p>
          <w:p w14:paraId="1FFBB455" w14:textId="77777777" w:rsidR="00B7662D" w:rsidRPr="00FC75D0" w:rsidRDefault="00B7662D" w:rsidP="00C77EAE">
            <w:pPr>
              <w:rPr>
                <w:rFonts w:cstheme="minorHAnsi"/>
                <w:color w:val="000000"/>
                <w:sz w:val="20"/>
                <w:szCs w:val="20"/>
              </w:rPr>
            </w:pPr>
          </w:p>
        </w:tc>
        <w:tc>
          <w:tcPr>
            <w:tcW w:w="1418" w:type="dxa"/>
          </w:tcPr>
          <w:p w14:paraId="1641F733" w14:textId="77777777" w:rsidR="00B7662D" w:rsidRPr="00FC75D0" w:rsidRDefault="00B7662D" w:rsidP="00C77EAE">
            <w:pPr>
              <w:autoSpaceDE w:val="0"/>
              <w:autoSpaceDN w:val="0"/>
              <w:adjustRightInd w:val="0"/>
              <w:rPr>
                <w:rFonts w:cs="AdvOT1ef757c0"/>
                <w:sz w:val="20"/>
                <w:szCs w:val="20"/>
              </w:rPr>
            </w:pPr>
            <w:r w:rsidRPr="00FC75D0">
              <w:rPr>
                <w:rFonts w:cs="AdvOT1ef757c0"/>
                <w:sz w:val="20"/>
                <w:szCs w:val="20"/>
              </w:rPr>
              <w:lastRenderedPageBreak/>
              <w:t xml:space="preserve">Treated: those who initiated </w:t>
            </w:r>
            <w:r w:rsidRPr="00FC75D0">
              <w:rPr>
                <w:rFonts w:cstheme="minorHAnsi"/>
                <w:sz w:val="20"/>
                <w:szCs w:val="20"/>
              </w:rPr>
              <w:lastRenderedPageBreak/>
              <w:t>LT</w:t>
            </w:r>
            <w:r w:rsidRPr="00FC75D0">
              <w:rPr>
                <w:rFonts w:cstheme="minorHAnsi"/>
                <w:sz w:val="20"/>
                <w:szCs w:val="20"/>
                <w:vertAlign w:val="subscript"/>
              </w:rPr>
              <w:t xml:space="preserve">4 </w:t>
            </w:r>
            <w:r w:rsidRPr="00FC75D0">
              <w:rPr>
                <w:rFonts w:cs="AdvOT1ef757c0"/>
                <w:sz w:val="20"/>
                <w:szCs w:val="20"/>
              </w:rPr>
              <w:t>during follow-up,</w:t>
            </w:r>
          </w:p>
          <w:p w14:paraId="7BB51C97" w14:textId="77777777" w:rsidR="00B7662D" w:rsidRPr="00FC75D0" w:rsidRDefault="00B7662D" w:rsidP="00C77EAE">
            <w:pPr>
              <w:autoSpaceDE w:val="0"/>
              <w:autoSpaceDN w:val="0"/>
              <w:adjustRightInd w:val="0"/>
              <w:rPr>
                <w:rFonts w:cs="AdvOT1ef757c0"/>
                <w:sz w:val="20"/>
                <w:szCs w:val="20"/>
              </w:rPr>
            </w:pPr>
            <w:r w:rsidRPr="00FC75D0">
              <w:rPr>
                <w:rFonts w:cs="AdvOT1ef757c0"/>
                <w:sz w:val="20"/>
                <w:szCs w:val="20"/>
              </w:rPr>
              <w:t>Observation period varied (between 1997-2011)</w:t>
            </w:r>
          </w:p>
        </w:tc>
        <w:tc>
          <w:tcPr>
            <w:tcW w:w="7654" w:type="dxa"/>
          </w:tcPr>
          <w:p w14:paraId="6662D922" w14:textId="486D13C7" w:rsidR="000404E1" w:rsidRPr="00FC75D0" w:rsidRDefault="00B7662D" w:rsidP="00C77EAE">
            <w:pPr>
              <w:rPr>
                <w:rFonts w:ascii="Calibri" w:hAnsi="Calibri"/>
                <w:color w:val="000000"/>
                <w:sz w:val="20"/>
                <w:szCs w:val="20"/>
              </w:rPr>
            </w:pPr>
            <w:r w:rsidRPr="00FC75D0">
              <w:rPr>
                <w:rFonts w:ascii="Calibri" w:hAnsi="Calibri"/>
                <w:b/>
                <w:color w:val="000000"/>
                <w:sz w:val="20"/>
                <w:szCs w:val="20"/>
              </w:rPr>
              <w:lastRenderedPageBreak/>
              <w:t>All-cause mortality:</w:t>
            </w:r>
            <w:r w:rsidRPr="00FC75D0">
              <w:rPr>
                <w:rFonts w:ascii="Calibri" w:hAnsi="Calibri"/>
                <w:color w:val="000000"/>
                <w:sz w:val="20"/>
                <w:szCs w:val="20"/>
              </w:rPr>
              <w:t xml:space="preserve"> </w:t>
            </w:r>
          </w:p>
          <w:p w14:paraId="7BFC27CF"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 xml:space="preserve">By sex (Females): adjusted IRR of 1.08 (95% CI: 0.80-1.48); </w:t>
            </w:r>
            <w:r>
              <w:rPr>
                <w:rFonts w:ascii="Calibri" w:hAnsi="Calibri"/>
                <w:color w:val="000000"/>
                <w:sz w:val="20"/>
                <w:szCs w:val="20"/>
              </w:rPr>
              <w:t>p≥0.05</w:t>
            </w:r>
          </w:p>
          <w:p w14:paraId="13903C65"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lastRenderedPageBreak/>
              <w:t xml:space="preserve">By sex (Males): adjusted IRR of 1.43 (95% CI: 0.87-2.34); </w:t>
            </w:r>
            <w:r>
              <w:rPr>
                <w:rFonts w:ascii="Calibri" w:hAnsi="Calibri"/>
                <w:color w:val="000000"/>
                <w:sz w:val="20"/>
                <w:szCs w:val="20"/>
              </w:rPr>
              <w:t>p≥0.05</w:t>
            </w:r>
          </w:p>
          <w:p w14:paraId="1F699C7A"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MACE:</w:t>
            </w:r>
            <w:r w:rsidRPr="00FC75D0">
              <w:rPr>
                <w:rFonts w:ascii="Calibri" w:hAnsi="Calibri"/>
                <w:color w:val="000000"/>
                <w:sz w:val="20"/>
                <w:szCs w:val="20"/>
              </w:rPr>
              <w:t xml:space="preserve"> </w:t>
            </w:r>
          </w:p>
          <w:p w14:paraId="31A4A71F"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 xml:space="preserve">By sex (Females): adjusted IRR of 0.99 (95% CI: 0.70-1.40); </w:t>
            </w:r>
            <w:r>
              <w:rPr>
                <w:rFonts w:ascii="Calibri" w:hAnsi="Calibri"/>
                <w:color w:val="000000"/>
                <w:sz w:val="20"/>
                <w:szCs w:val="20"/>
              </w:rPr>
              <w:t>p≥0.05</w:t>
            </w:r>
          </w:p>
          <w:p w14:paraId="14AC2FF3"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 xml:space="preserve">By sex (Males): adjusted IRR of 1.36 (95% CI: 0.79-2.35); </w:t>
            </w:r>
            <w:r>
              <w:rPr>
                <w:rFonts w:ascii="Calibri" w:hAnsi="Calibri"/>
                <w:color w:val="000000"/>
                <w:sz w:val="20"/>
                <w:szCs w:val="20"/>
              </w:rPr>
              <w:t>p≥0.05</w:t>
            </w:r>
          </w:p>
        </w:tc>
        <w:tc>
          <w:tcPr>
            <w:tcW w:w="2410" w:type="dxa"/>
          </w:tcPr>
          <w:p w14:paraId="2CB82F08" w14:textId="3A1F668E" w:rsidR="00B7662D" w:rsidRPr="00FC75D0" w:rsidRDefault="00B7662D" w:rsidP="00C77EAE">
            <w:pPr>
              <w:autoSpaceDE w:val="0"/>
              <w:autoSpaceDN w:val="0"/>
              <w:adjustRightInd w:val="0"/>
              <w:rPr>
                <w:rFonts w:cs="AdvOT1ef757c0"/>
                <w:i/>
                <w:sz w:val="20"/>
                <w:szCs w:val="20"/>
              </w:rPr>
            </w:pPr>
            <w:r w:rsidRPr="00FC75D0">
              <w:rPr>
                <w:rFonts w:ascii="Calibri" w:hAnsi="Calibri"/>
                <w:b/>
                <w:color w:val="000000"/>
                <w:sz w:val="20"/>
                <w:szCs w:val="20"/>
              </w:rPr>
              <w:lastRenderedPageBreak/>
              <w:t>NR</w:t>
            </w:r>
          </w:p>
        </w:tc>
      </w:tr>
      <w:tr w:rsidR="00B7662D" w:rsidRPr="00FC75D0" w14:paraId="3C9CD21B" w14:textId="77777777" w:rsidTr="00C77EAE">
        <w:tc>
          <w:tcPr>
            <w:tcW w:w="1384" w:type="dxa"/>
          </w:tcPr>
          <w:p w14:paraId="2B1CCDED" w14:textId="77777777" w:rsidR="00B7662D" w:rsidRPr="00FC75D0" w:rsidRDefault="00B7662D" w:rsidP="00C77EAE">
            <w:pPr>
              <w:rPr>
                <w:rFonts w:cstheme="minorHAnsi"/>
                <w:sz w:val="20"/>
                <w:szCs w:val="20"/>
              </w:rPr>
            </w:pPr>
            <w:r w:rsidRPr="00FC75D0">
              <w:rPr>
                <w:rFonts w:cstheme="minorHAnsi"/>
                <w:sz w:val="20"/>
                <w:szCs w:val="20"/>
              </w:rPr>
              <w:t>Andersen,</w:t>
            </w:r>
          </w:p>
          <w:p w14:paraId="0B14C2B6" w14:textId="77777777" w:rsidR="00B7662D" w:rsidRPr="00FC75D0" w:rsidRDefault="00B7662D" w:rsidP="00C77EAE">
            <w:pPr>
              <w:rPr>
                <w:rFonts w:ascii="Calibri" w:hAnsi="Calibri"/>
                <w:color w:val="000000"/>
                <w:sz w:val="20"/>
                <w:szCs w:val="20"/>
              </w:rPr>
            </w:pPr>
            <w:r w:rsidRPr="00FC75D0">
              <w:rPr>
                <w:rFonts w:cstheme="minorHAnsi"/>
                <w:color w:val="000000"/>
                <w:sz w:val="20"/>
                <w:szCs w:val="20"/>
              </w:rPr>
              <w:t>2015,</w:t>
            </w:r>
            <w:r w:rsidRPr="00FC75D0">
              <w:rPr>
                <w:rFonts w:ascii="Calibri" w:hAnsi="Calibri"/>
                <w:color w:val="000000"/>
                <w:sz w:val="20"/>
                <w:szCs w:val="20"/>
              </w:rPr>
              <w:t xml:space="preserve"> Denmark </w:t>
            </w:r>
          </w:p>
          <w:p w14:paraId="367E69C7" w14:textId="77777777" w:rsidR="00B7662D" w:rsidRPr="00FC75D0" w:rsidRDefault="00B7662D" w:rsidP="00C77EAE">
            <w:pPr>
              <w:rPr>
                <w:rFonts w:ascii="Calibri" w:hAnsi="Calibri"/>
                <w:color w:val="000000"/>
                <w:sz w:val="20"/>
                <w:szCs w:val="20"/>
              </w:rPr>
            </w:pPr>
          </w:p>
          <w:p w14:paraId="2AACD0D5"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n=12,212</w:t>
            </w:r>
          </w:p>
          <w:p w14:paraId="42D4578A" w14:textId="77777777" w:rsidR="00B7662D" w:rsidRPr="00FC75D0" w:rsidRDefault="00B7662D" w:rsidP="00C77EAE">
            <w:pPr>
              <w:rPr>
                <w:rFonts w:ascii="Calibri" w:hAnsi="Calibri"/>
                <w:color w:val="000000"/>
                <w:sz w:val="20"/>
                <w:szCs w:val="20"/>
              </w:rPr>
            </w:pPr>
          </w:p>
          <w:p w14:paraId="672F3301" w14:textId="77777777" w:rsidR="00B7662D" w:rsidRPr="00FC75D0" w:rsidRDefault="00B7662D" w:rsidP="00C77EAE">
            <w:pPr>
              <w:rPr>
                <w:rFonts w:ascii="Calibri" w:hAnsi="Calibri"/>
                <w:color w:val="000000"/>
                <w:sz w:val="20"/>
                <w:szCs w:val="20"/>
              </w:rPr>
            </w:pPr>
            <w:r w:rsidRPr="00FC75D0">
              <w:rPr>
                <w:rFonts w:cs="AdvOT1ef757c0"/>
                <w:sz w:val="20"/>
                <w:szCs w:val="20"/>
              </w:rPr>
              <w:t>Untreated</w:t>
            </w:r>
          </w:p>
          <w:p w14:paraId="18C4A075" w14:textId="77777777" w:rsidR="00B7662D" w:rsidRPr="00FC75D0" w:rsidRDefault="00B7662D" w:rsidP="00C77EAE">
            <w:pPr>
              <w:rPr>
                <w:rFonts w:cstheme="minorHAnsi"/>
                <w:color w:val="000000"/>
                <w:sz w:val="20"/>
                <w:szCs w:val="20"/>
              </w:rPr>
            </w:pPr>
          </w:p>
          <w:p w14:paraId="4A4C5BFB" w14:textId="77777777" w:rsidR="00B7662D" w:rsidRPr="00FC75D0" w:rsidRDefault="00B7662D" w:rsidP="00C77EAE">
            <w:pPr>
              <w:rPr>
                <w:rFonts w:cstheme="minorHAnsi"/>
                <w:color w:val="000000"/>
                <w:sz w:val="20"/>
                <w:szCs w:val="20"/>
              </w:rPr>
            </w:pPr>
          </w:p>
          <w:p w14:paraId="6E717DDA" w14:textId="77777777" w:rsidR="00B7662D" w:rsidRPr="00FC75D0" w:rsidRDefault="00B7662D" w:rsidP="00C77EAE">
            <w:pPr>
              <w:rPr>
                <w:rFonts w:cstheme="minorHAnsi"/>
                <w:color w:val="000000"/>
                <w:sz w:val="20"/>
                <w:szCs w:val="20"/>
              </w:rPr>
            </w:pPr>
          </w:p>
          <w:p w14:paraId="12F613F3" w14:textId="77777777" w:rsidR="00B7662D" w:rsidRPr="00FC75D0" w:rsidRDefault="00B7662D" w:rsidP="00C77EAE">
            <w:pPr>
              <w:rPr>
                <w:rFonts w:cstheme="minorHAnsi"/>
                <w:color w:val="000000"/>
                <w:sz w:val="20"/>
                <w:szCs w:val="20"/>
              </w:rPr>
            </w:pPr>
          </w:p>
          <w:p w14:paraId="05681F95" w14:textId="77777777" w:rsidR="00B7662D" w:rsidRPr="00FC75D0" w:rsidRDefault="00B7662D" w:rsidP="00C77EAE">
            <w:pPr>
              <w:rPr>
                <w:rFonts w:cstheme="minorHAnsi"/>
                <w:color w:val="000000"/>
                <w:sz w:val="20"/>
                <w:szCs w:val="20"/>
              </w:rPr>
            </w:pPr>
          </w:p>
        </w:tc>
        <w:tc>
          <w:tcPr>
            <w:tcW w:w="1418" w:type="dxa"/>
          </w:tcPr>
          <w:p w14:paraId="0690437E" w14:textId="77777777" w:rsidR="00B7662D" w:rsidRPr="00FC75D0" w:rsidRDefault="00B7662D" w:rsidP="00C77EAE">
            <w:pPr>
              <w:autoSpaceDE w:val="0"/>
              <w:autoSpaceDN w:val="0"/>
              <w:adjustRightInd w:val="0"/>
              <w:rPr>
                <w:rFonts w:cs="AdvOT1ef757c0"/>
                <w:sz w:val="20"/>
                <w:szCs w:val="20"/>
              </w:rPr>
            </w:pPr>
            <w:r w:rsidRPr="00FC75D0">
              <w:rPr>
                <w:rFonts w:cs="AdvOT1ef757c0"/>
                <w:sz w:val="20"/>
                <w:szCs w:val="20"/>
              </w:rPr>
              <w:t xml:space="preserve">Treated: those who initiated </w:t>
            </w:r>
            <w:r w:rsidRPr="00FC75D0">
              <w:rPr>
                <w:rFonts w:cstheme="minorHAnsi"/>
                <w:sz w:val="20"/>
                <w:szCs w:val="20"/>
              </w:rPr>
              <w:t>LT</w:t>
            </w:r>
            <w:r w:rsidRPr="00FC75D0">
              <w:rPr>
                <w:rFonts w:cstheme="minorHAnsi"/>
                <w:sz w:val="20"/>
                <w:szCs w:val="20"/>
                <w:vertAlign w:val="subscript"/>
              </w:rPr>
              <w:t xml:space="preserve">4 </w:t>
            </w:r>
            <w:r w:rsidRPr="00FC75D0">
              <w:rPr>
                <w:rFonts w:cs="AdvOT1ef757c0"/>
                <w:sz w:val="20"/>
                <w:szCs w:val="20"/>
              </w:rPr>
              <w:t>≤ 6 months from the date of first TFT</w:t>
            </w:r>
          </w:p>
          <w:p w14:paraId="6779DA44" w14:textId="77777777" w:rsidR="00B7662D" w:rsidRPr="00FC75D0" w:rsidRDefault="00B7662D" w:rsidP="00C77EAE">
            <w:pPr>
              <w:autoSpaceDE w:val="0"/>
              <w:autoSpaceDN w:val="0"/>
              <w:adjustRightInd w:val="0"/>
              <w:rPr>
                <w:rFonts w:cs="AdvOT1ef757c0"/>
                <w:sz w:val="20"/>
                <w:szCs w:val="20"/>
              </w:rPr>
            </w:pPr>
          </w:p>
          <w:p w14:paraId="48B743F6" w14:textId="77777777" w:rsidR="00B7662D" w:rsidRPr="00FC75D0" w:rsidRDefault="00B7662D" w:rsidP="00C77EAE">
            <w:pPr>
              <w:autoSpaceDE w:val="0"/>
              <w:autoSpaceDN w:val="0"/>
              <w:adjustRightInd w:val="0"/>
              <w:rPr>
                <w:rFonts w:cs="AdvOT1ef757c0"/>
                <w:sz w:val="20"/>
                <w:szCs w:val="20"/>
              </w:rPr>
            </w:pPr>
            <w:r w:rsidRPr="00FC75D0">
              <w:rPr>
                <w:rFonts w:cs="AdvOT1ef757c0"/>
                <w:sz w:val="20"/>
                <w:szCs w:val="20"/>
              </w:rPr>
              <w:t>Observation period varied (between 2000-2009)</w:t>
            </w:r>
          </w:p>
        </w:tc>
        <w:tc>
          <w:tcPr>
            <w:tcW w:w="7654" w:type="dxa"/>
          </w:tcPr>
          <w:p w14:paraId="39B7055E" w14:textId="39F08961"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All-cause mortality:</w:t>
            </w:r>
            <w:r w:rsidRPr="00FC75D0">
              <w:rPr>
                <w:rFonts w:ascii="Calibri" w:hAnsi="Calibri"/>
                <w:color w:val="000000"/>
                <w:sz w:val="20"/>
                <w:szCs w:val="20"/>
              </w:rPr>
              <w:t xml:space="preserve"> </w:t>
            </w:r>
          </w:p>
          <w:p w14:paraId="3D55A830"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By age (&lt;65 years): adjusted IRR of 0.63 (95% CI: 0.40-0.99); p&lt;0.05</w:t>
            </w:r>
          </w:p>
          <w:p w14:paraId="1A220664"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 xml:space="preserve">By sex (Females): adjusted IRR of 0.99 (95% CI: 0.85-1.16); </w:t>
            </w:r>
            <w:r>
              <w:rPr>
                <w:rFonts w:ascii="Calibri" w:hAnsi="Calibri"/>
                <w:color w:val="000000"/>
                <w:sz w:val="20"/>
                <w:szCs w:val="20"/>
              </w:rPr>
              <w:t>p≥0.05</w:t>
            </w:r>
          </w:p>
          <w:p w14:paraId="265BF2B6"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 xml:space="preserve">By sex (Males): adjusted IRR of 1.24 (95% CI: 0.89-1.71); </w:t>
            </w:r>
            <w:r>
              <w:rPr>
                <w:rFonts w:ascii="Calibri" w:hAnsi="Calibri"/>
                <w:color w:val="000000"/>
                <w:sz w:val="20"/>
                <w:szCs w:val="20"/>
              </w:rPr>
              <w:t>p≥0.05</w:t>
            </w:r>
          </w:p>
          <w:p w14:paraId="307AF56D"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Deaths due to CVD: </w:t>
            </w:r>
          </w:p>
          <w:p w14:paraId="7826311C"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 xml:space="preserve">By age (&lt;65 years): adjusted IRR of 0.55 (95% CI: 0.25-1.20); </w:t>
            </w:r>
            <w:r>
              <w:rPr>
                <w:rFonts w:ascii="Calibri" w:hAnsi="Calibri"/>
                <w:color w:val="000000"/>
                <w:sz w:val="20"/>
                <w:szCs w:val="20"/>
              </w:rPr>
              <w:t>p≥0.05</w:t>
            </w:r>
          </w:p>
          <w:p w14:paraId="6C36E931"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 xml:space="preserve">By sex (Females): adjusted IRR of 0.96 (95% CI: 0.77-1.21); </w:t>
            </w:r>
            <w:r>
              <w:rPr>
                <w:rFonts w:ascii="Calibri" w:hAnsi="Calibri"/>
                <w:color w:val="000000"/>
                <w:sz w:val="20"/>
                <w:szCs w:val="20"/>
              </w:rPr>
              <w:t>p≥0.05</w:t>
            </w:r>
          </w:p>
          <w:p w14:paraId="119CFDE8"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 xml:space="preserve">By sex (Males): adjusted IRR of 1.32 (95% CI: 0.83-2.08); </w:t>
            </w:r>
            <w:r>
              <w:rPr>
                <w:rFonts w:ascii="Calibri" w:hAnsi="Calibri"/>
                <w:color w:val="000000"/>
                <w:sz w:val="20"/>
                <w:szCs w:val="20"/>
              </w:rPr>
              <w:t>p≥0.05</w:t>
            </w:r>
          </w:p>
          <w:p w14:paraId="4EC55F8F" w14:textId="7777777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 xml:space="preserve">MI: </w:t>
            </w:r>
          </w:p>
          <w:p w14:paraId="04EFC639"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 xml:space="preserve">By age (&lt;65 years): adjusted IRR of 1.11 (95% CI: 0.61-2.02); </w:t>
            </w:r>
            <w:r>
              <w:rPr>
                <w:rFonts w:ascii="Calibri" w:hAnsi="Calibri"/>
                <w:color w:val="000000"/>
                <w:sz w:val="20"/>
                <w:szCs w:val="20"/>
              </w:rPr>
              <w:t>p≥0.05</w:t>
            </w:r>
          </w:p>
          <w:p w14:paraId="7D9420F1"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 xml:space="preserve">By sex (Females): adjusted IRR of 0.98 (95% CI: 0.70-1.38); </w:t>
            </w:r>
            <w:r>
              <w:rPr>
                <w:rFonts w:ascii="Calibri" w:hAnsi="Calibri"/>
                <w:color w:val="000000"/>
                <w:sz w:val="20"/>
                <w:szCs w:val="20"/>
              </w:rPr>
              <w:t>p≥0.05</w:t>
            </w:r>
          </w:p>
          <w:p w14:paraId="36C0AC25"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By sex (Males): adjusted IRR of 1.41 (95% CI: 0.83-2.4</w:t>
            </w:r>
            <w:r>
              <w:rPr>
                <w:rFonts w:ascii="Calibri" w:hAnsi="Calibri"/>
                <w:color w:val="000000"/>
                <w:sz w:val="20"/>
                <w:szCs w:val="20"/>
              </w:rPr>
              <w:t>0</w:t>
            </w:r>
            <w:r w:rsidRPr="00FC75D0">
              <w:rPr>
                <w:rFonts w:ascii="Calibri" w:hAnsi="Calibri"/>
                <w:color w:val="000000"/>
                <w:sz w:val="20"/>
                <w:szCs w:val="20"/>
              </w:rPr>
              <w:t xml:space="preserve">); </w:t>
            </w:r>
            <w:r>
              <w:rPr>
                <w:rFonts w:ascii="Calibri" w:hAnsi="Calibri"/>
                <w:color w:val="000000"/>
                <w:sz w:val="20"/>
                <w:szCs w:val="20"/>
              </w:rPr>
              <w:t>p≥0.05</w:t>
            </w:r>
          </w:p>
        </w:tc>
        <w:tc>
          <w:tcPr>
            <w:tcW w:w="2410" w:type="dxa"/>
          </w:tcPr>
          <w:p w14:paraId="1898E52E" w14:textId="1F9F206A" w:rsidR="00B7662D" w:rsidRPr="00FC75D0" w:rsidRDefault="00B7662D" w:rsidP="00C77EAE">
            <w:pPr>
              <w:autoSpaceDE w:val="0"/>
              <w:autoSpaceDN w:val="0"/>
              <w:adjustRightInd w:val="0"/>
              <w:rPr>
                <w:rFonts w:cs="AdvOT1ef757c0"/>
                <w:i/>
                <w:sz w:val="20"/>
                <w:szCs w:val="20"/>
              </w:rPr>
            </w:pPr>
            <w:r w:rsidRPr="00FC75D0">
              <w:rPr>
                <w:rFonts w:ascii="Calibri" w:hAnsi="Calibri"/>
                <w:b/>
                <w:color w:val="000000"/>
                <w:sz w:val="20"/>
                <w:szCs w:val="20"/>
              </w:rPr>
              <w:t>NR</w:t>
            </w:r>
          </w:p>
        </w:tc>
      </w:tr>
      <w:tr w:rsidR="00B7662D" w:rsidRPr="00FC75D0" w14:paraId="388D74BF" w14:textId="77777777" w:rsidTr="00C77EAE">
        <w:tc>
          <w:tcPr>
            <w:tcW w:w="1384" w:type="dxa"/>
          </w:tcPr>
          <w:p w14:paraId="673518B8" w14:textId="77777777" w:rsidR="00B7662D" w:rsidRPr="00FC75D0" w:rsidRDefault="00B7662D" w:rsidP="00C77EAE">
            <w:pPr>
              <w:rPr>
                <w:rFonts w:cstheme="minorHAnsi"/>
                <w:sz w:val="20"/>
                <w:szCs w:val="20"/>
              </w:rPr>
            </w:pPr>
            <w:r w:rsidRPr="00FC75D0">
              <w:rPr>
                <w:rFonts w:cstheme="minorHAnsi"/>
                <w:sz w:val="20"/>
                <w:szCs w:val="20"/>
              </w:rPr>
              <w:t>Razvi, 2012, UK</w:t>
            </w:r>
          </w:p>
          <w:p w14:paraId="7B022C8C" w14:textId="77777777" w:rsidR="00B7662D" w:rsidRPr="00FC75D0" w:rsidRDefault="00B7662D" w:rsidP="00C77EAE">
            <w:pPr>
              <w:rPr>
                <w:rFonts w:cstheme="minorHAnsi"/>
                <w:sz w:val="20"/>
                <w:szCs w:val="20"/>
              </w:rPr>
            </w:pPr>
          </w:p>
          <w:p w14:paraId="1D73F1AB" w14:textId="77777777" w:rsidR="00B7662D" w:rsidRPr="00FC75D0" w:rsidRDefault="00B7662D" w:rsidP="00C77EAE">
            <w:pPr>
              <w:rPr>
                <w:rFonts w:cstheme="minorHAnsi"/>
                <w:color w:val="000000"/>
                <w:sz w:val="20"/>
                <w:szCs w:val="20"/>
              </w:rPr>
            </w:pPr>
            <w:r w:rsidRPr="00FC75D0">
              <w:rPr>
                <w:rFonts w:cstheme="minorHAnsi"/>
                <w:color w:val="000000"/>
                <w:sz w:val="20"/>
                <w:szCs w:val="20"/>
              </w:rPr>
              <w:t>n=4,735</w:t>
            </w:r>
          </w:p>
          <w:p w14:paraId="040AFBE0" w14:textId="77777777" w:rsidR="00B7662D" w:rsidRPr="00FC75D0" w:rsidRDefault="00B7662D" w:rsidP="00C77EAE">
            <w:pPr>
              <w:rPr>
                <w:rFonts w:cstheme="minorHAnsi"/>
                <w:color w:val="000000"/>
                <w:sz w:val="20"/>
                <w:szCs w:val="20"/>
              </w:rPr>
            </w:pPr>
          </w:p>
          <w:p w14:paraId="346D702E" w14:textId="77777777" w:rsidR="00B7662D" w:rsidRPr="00FC75D0" w:rsidRDefault="00B7662D" w:rsidP="00C77EAE">
            <w:pPr>
              <w:rPr>
                <w:rFonts w:cstheme="minorHAnsi"/>
                <w:sz w:val="20"/>
                <w:szCs w:val="20"/>
              </w:rPr>
            </w:pPr>
            <w:r w:rsidRPr="00FC75D0">
              <w:rPr>
                <w:rFonts w:cs="AdvOT1ef757c0"/>
                <w:sz w:val="20"/>
                <w:szCs w:val="20"/>
              </w:rPr>
              <w:t>Untreated</w:t>
            </w:r>
          </w:p>
        </w:tc>
        <w:tc>
          <w:tcPr>
            <w:tcW w:w="1418" w:type="dxa"/>
          </w:tcPr>
          <w:p w14:paraId="65756A34" w14:textId="77777777" w:rsidR="00B7662D" w:rsidRPr="00FC75D0" w:rsidRDefault="00B7662D" w:rsidP="00C77EAE">
            <w:pPr>
              <w:autoSpaceDE w:val="0"/>
              <w:autoSpaceDN w:val="0"/>
              <w:adjustRightInd w:val="0"/>
              <w:rPr>
                <w:rFonts w:cs="AdvOT1ef757c0"/>
                <w:sz w:val="20"/>
                <w:szCs w:val="20"/>
              </w:rPr>
            </w:pPr>
            <w:r w:rsidRPr="00FC75D0">
              <w:rPr>
                <w:rFonts w:cs="AdvOT1ef757c0"/>
                <w:sz w:val="20"/>
                <w:szCs w:val="20"/>
              </w:rPr>
              <w:t>Treated: those who initiated LT4 during follow-up</w:t>
            </w:r>
          </w:p>
          <w:p w14:paraId="64783065" w14:textId="77777777" w:rsidR="00B7662D" w:rsidRPr="00FC75D0" w:rsidRDefault="00B7662D" w:rsidP="00C77EAE">
            <w:pPr>
              <w:autoSpaceDE w:val="0"/>
              <w:autoSpaceDN w:val="0"/>
              <w:adjustRightInd w:val="0"/>
              <w:rPr>
                <w:rFonts w:cs="AdvOT1ef757c0"/>
                <w:sz w:val="20"/>
                <w:szCs w:val="20"/>
              </w:rPr>
            </w:pPr>
          </w:p>
          <w:p w14:paraId="71E574EB" w14:textId="77777777" w:rsidR="00B7662D" w:rsidRPr="00FC75D0" w:rsidRDefault="00B7662D" w:rsidP="00C77EAE">
            <w:pPr>
              <w:autoSpaceDE w:val="0"/>
              <w:autoSpaceDN w:val="0"/>
              <w:adjustRightInd w:val="0"/>
              <w:rPr>
                <w:rFonts w:cs="AdvOT1ef757c0"/>
                <w:sz w:val="20"/>
                <w:szCs w:val="20"/>
              </w:rPr>
            </w:pPr>
            <w:r w:rsidRPr="00FC75D0">
              <w:rPr>
                <w:rFonts w:cs="AdvOT1ef757c0"/>
                <w:sz w:val="20"/>
                <w:szCs w:val="20"/>
              </w:rPr>
              <w:t>Observation period varied (between 2000-2009)</w:t>
            </w:r>
          </w:p>
          <w:p w14:paraId="0AC36099" w14:textId="77777777" w:rsidR="00B7662D" w:rsidRPr="00FC75D0" w:rsidRDefault="00B7662D" w:rsidP="00C77EAE">
            <w:pPr>
              <w:autoSpaceDE w:val="0"/>
              <w:autoSpaceDN w:val="0"/>
              <w:adjustRightInd w:val="0"/>
              <w:rPr>
                <w:rFonts w:cs="AdvOT1ef757c0"/>
                <w:sz w:val="20"/>
                <w:szCs w:val="20"/>
              </w:rPr>
            </w:pPr>
          </w:p>
        </w:tc>
        <w:tc>
          <w:tcPr>
            <w:tcW w:w="7654" w:type="dxa"/>
          </w:tcPr>
          <w:p w14:paraId="045D7F90" w14:textId="20440DF7" w:rsidR="00B7662D" w:rsidRPr="00FC75D0" w:rsidRDefault="00B7662D" w:rsidP="00C77EAE">
            <w:pPr>
              <w:rPr>
                <w:rFonts w:ascii="Calibri" w:hAnsi="Calibri"/>
                <w:color w:val="000000"/>
                <w:sz w:val="20"/>
                <w:szCs w:val="20"/>
              </w:rPr>
            </w:pPr>
            <w:r w:rsidRPr="00FC75D0">
              <w:rPr>
                <w:rFonts w:ascii="Calibri" w:hAnsi="Calibri"/>
                <w:b/>
                <w:color w:val="000000"/>
                <w:sz w:val="20"/>
                <w:szCs w:val="20"/>
              </w:rPr>
              <w:t>All-cause mortality:</w:t>
            </w:r>
            <w:r w:rsidRPr="00FC75D0">
              <w:rPr>
                <w:rFonts w:ascii="Calibri" w:hAnsi="Calibri"/>
                <w:color w:val="000000"/>
                <w:sz w:val="20"/>
                <w:szCs w:val="20"/>
              </w:rPr>
              <w:t xml:space="preserve"> </w:t>
            </w:r>
          </w:p>
          <w:p w14:paraId="11F370B6"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 xml:space="preserve">By age (40-70 years): multivariate adjusted HR of 0.36 (95% CI: 0.19-0.66); </w:t>
            </w:r>
            <w:r>
              <w:rPr>
                <w:rFonts w:ascii="Calibri" w:hAnsi="Calibri"/>
                <w:color w:val="000000"/>
                <w:sz w:val="20"/>
                <w:szCs w:val="20"/>
              </w:rPr>
              <w:t>p&lt;0.0001</w:t>
            </w:r>
          </w:p>
          <w:p w14:paraId="4337AED7" w14:textId="77777777" w:rsidR="00B7662D" w:rsidRPr="00FC75D0" w:rsidRDefault="00B7662D" w:rsidP="00C77EAE">
            <w:pPr>
              <w:autoSpaceDE w:val="0"/>
              <w:autoSpaceDN w:val="0"/>
              <w:adjustRightInd w:val="0"/>
              <w:rPr>
                <w:rFonts w:ascii="Calibri" w:hAnsi="Calibri"/>
                <w:b/>
                <w:color w:val="000000"/>
                <w:sz w:val="20"/>
                <w:szCs w:val="20"/>
              </w:rPr>
            </w:pPr>
            <w:r w:rsidRPr="00FC75D0">
              <w:rPr>
                <w:rFonts w:ascii="Calibri" w:hAnsi="Calibri"/>
                <w:b/>
                <w:color w:val="000000"/>
                <w:sz w:val="20"/>
                <w:szCs w:val="20"/>
              </w:rPr>
              <w:t>Deaths due to circulatory diseases:</w:t>
            </w:r>
          </w:p>
          <w:p w14:paraId="4A3B34D6"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By age (40-70 years): multivariate adjusted HR of 0.54 (95% CI: 0.37-0.92); p</w:t>
            </w:r>
            <w:r>
              <w:rPr>
                <w:rFonts w:ascii="Calibri" w:hAnsi="Calibri"/>
                <w:color w:val="000000"/>
                <w:sz w:val="20"/>
                <w:szCs w:val="20"/>
              </w:rPr>
              <w:t>=0.01</w:t>
            </w:r>
          </w:p>
          <w:p w14:paraId="5C66E190" w14:textId="77777777" w:rsidR="00B7662D" w:rsidRPr="00FC75D0" w:rsidRDefault="00B7662D" w:rsidP="00C77EAE">
            <w:pPr>
              <w:autoSpaceDE w:val="0"/>
              <w:autoSpaceDN w:val="0"/>
              <w:adjustRightInd w:val="0"/>
              <w:rPr>
                <w:rFonts w:ascii="Calibri" w:hAnsi="Calibri"/>
                <w:b/>
                <w:color w:val="000000"/>
                <w:sz w:val="20"/>
                <w:szCs w:val="20"/>
              </w:rPr>
            </w:pPr>
            <w:r w:rsidRPr="00FC75D0">
              <w:rPr>
                <w:rFonts w:ascii="Calibri" w:hAnsi="Calibri"/>
                <w:b/>
                <w:color w:val="000000"/>
                <w:sz w:val="20"/>
                <w:szCs w:val="20"/>
              </w:rPr>
              <w:t>Fatal or non-fatal cerebrovascular disease:</w:t>
            </w:r>
          </w:p>
          <w:p w14:paraId="71E839C3"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By age (40-70 years): multivariate adjusted HR of 1.03 (95% CI: 0.51-2.13); p</w:t>
            </w:r>
            <w:r>
              <w:rPr>
                <w:rFonts w:ascii="Calibri" w:hAnsi="Calibri"/>
                <w:color w:val="000000"/>
                <w:sz w:val="20"/>
                <w:szCs w:val="20"/>
              </w:rPr>
              <w:t>=0.94</w:t>
            </w:r>
          </w:p>
          <w:p w14:paraId="74FCCF9E" w14:textId="77777777" w:rsidR="00B7662D" w:rsidRPr="00FC75D0" w:rsidRDefault="00B7662D" w:rsidP="00C77EAE">
            <w:pPr>
              <w:autoSpaceDE w:val="0"/>
              <w:autoSpaceDN w:val="0"/>
              <w:adjustRightInd w:val="0"/>
              <w:rPr>
                <w:rFonts w:ascii="Calibri" w:hAnsi="Calibri"/>
                <w:b/>
                <w:color w:val="000000"/>
                <w:sz w:val="20"/>
                <w:szCs w:val="20"/>
              </w:rPr>
            </w:pPr>
            <w:r w:rsidRPr="00FC75D0">
              <w:rPr>
                <w:rFonts w:ascii="Calibri" w:hAnsi="Calibri"/>
                <w:b/>
                <w:color w:val="000000"/>
                <w:sz w:val="20"/>
                <w:szCs w:val="20"/>
              </w:rPr>
              <w:t>Atrial Fibrillation:</w:t>
            </w:r>
          </w:p>
          <w:p w14:paraId="21B5E240"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By age (40-70 years): multivariate adjusted HR of 0.76 (95% CI: 0.26-1.73); p</w:t>
            </w:r>
            <w:r>
              <w:rPr>
                <w:rFonts w:ascii="Calibri" w:hAnsi="Calibri"/>
                <w:color w:val="000000"/>
                <w:sz w:val="20"/>
                <w:szCs w:val="20"/>
              </w:rPr>
              <w:t>0.58</w:t>
            </w:r>
          </w:p>
          <w:p w14:paraId="59B582D8" w14:textId="77777777" w:rsidR="00B7662D" w:rsidRPr="00FC75D0" w:rsidRDefault="00B7662D" w:rsidP="00C77EAE">
            <w:pPr>
              <w:autoSpaceDE w:val="0"/>
              <w:autoSpaceDN w:val="0"/>
              <w:adjustRightInd w:val="0"/>
              <w:rPr>
                <w:rFonts w:ascii="Calibri" w:hAnsi="Calibri"/>
                <w:b/>
                <w:color w:val="000000"/>
                <w:sz w:val="20"/>
                <w:szCs w:val="20"/>
              </w:rPr>
            </w:pPr>
            <w:r w:rsidRPr="00FC75D0">
              <w:rPr>
                <w:rFonts w:ascii="Calibri" w:hAnsi="Calibri"/>
                <w:b/>
                <w:color w:val="000000"/>
                <w:sz w:val="20"/>
                <w:szCs w:val="20"/>
              </w:rPr>
              <w:t>Fatal or non-fatal ischemic heart disease events:</w:t>
            </w:r>
          </w:p>
          <w:p w14:paraId="23699141" w14:textId="77777777" w:rsidR="00B7662D" w:rsidRPr="00FC75D0" w:rsidRDefault="00B7662D" w:rsidP="00C77EAE">
            <w:pPr>
              <w:rPr>
                <w:rFonts w:ascii="Calibri" w:hAnsi="Calibri"/>
                <w:color w:val="000000"/>
                <w:sz w:val="20"/>
                <w:szCs w:val="20"/>
              </w:rPr>
            </w:pPr>
            <w:r w:rsidRPr="00FC75D0">
              <w:rPr>
                <w:rFonts w:ascii="Calibri" w:hAnsi="Calibri"/>
                <w:color w:val="000000"/>
                <w:sz w:val="20"/>
                <w:szCs w:val="20"/>
              </w:rPr>
              <w:t>By age (40-70 years): multivariate adjusted HR of 0.61 (95% CI: 0.39-0.95); p</w:t>
            </w:r>
            <w:r>
              <w:rPr>
                <w:rFonts w:ascii="Calibri" w:hAnsi="Calibri"/>
                <w:color w:val="000000"/>
                <w:sz w:val="20"/>
                <w:szCs w:val="20"/>
              </w:rPr>
              <w:t>=0.03</w:t>
            </w:r>
          </w:p>
        </w:tc>
        <w:tc>
          <w:tcPr>
            <w:tcW w:w="2410" w:type="dxa"/>
          </w:tcPr>
          <w:p w14:paraId="23F63CF6" w14:textId="1803B03D" w:rsidR="00B7662D" w:rsidRPr="00FC75D0" w:rsidRDefault="00B7662D" w:rsidP="00C77EAE">
            <w:pPr>
              <w:autoSpaceDE w:val="0"/>
              <w:autoSpaceDN w:val="0"/>
              <w:adjustRightInd w:val="0"/>
              <w:rPr>
                <w:rFonts w:cs="AdvOT1ef757c0"/>
                <w:i/>
                <w:sz w:val="20"/>
                <w:szCs w:val="20"/>
              </w:rPr>
            </w:pPr>
            <w:r w:rsidRPr="00FC75D0">
              <w:rPr>
                <w:rFonts w:ascii="Calibri" w:hAnsi="Calibri"/>
                <w:b/>
                <w:color w:val="000000"/>
                <w:sz w:val="20"/>
                <w:szCs w:val="20"/>
              </w:rPr>
              <w:t>NR</w:t>
            </w:r>
          </w:p>
        </w:tc>
      </w:tr>
    </w:tbl>
    <w:p w14:paraId="5BD75FD1" w14:textId="77777777" w:rsidR="00EF7D49" w:rsidRPr="00B94C53" w:rsidRDefault="00DA2044" w:rsidP="00B94C53">
      <w:pPr>
        <w:spacing w:after="0"/>
        <w:rPr>
          <w:sz w:val="20"/>
          <w:szCs w:val="20"/>
        </w:rPr>
      </w:pPr>
      <w:r w:rsidRPr="00B94C53">
        <w:rPr>
          <w:rFonts w:ascii="Calibri" w:hAnsi="Calibri"/>
          <w:b/>
          <w:color w:val="000000"/>
          <w:sz w:val="20"/>
          <w:szCs w:val="20"/>
        </w:rPr>
        <w:lastRenderedPageBreak/>
        <w:t>AE</w:t>
      </w:r>
      <w:r w:rsidRPr="00B94C53">
        <w:rPr>
          <w:rFonts w:ascii="Calibri" w:hAnsi="Calibri"/>
          <w:color w:val="000000"/>
          <w:sz w:val="20"/>
          <w:szCs w:val="20"/>
        </w:rPr>
        <w:t xml:space="preserve">=adverse event; </w:t>
      </w:r>
      <w:r w:rsidRPr="00B94C53">
        <w:rPr>
          <w:rFonts w:ascii="Calibri" w:hAnsi="Calibri"/>
          <w:b/>
          <w:color w:val="000000"/>
          <w:sz w:val="20"/>
          <w:szCs w:val="20"/>
        </w:rPr>
        <w:t>BDI</w:t>
      </w:r>
      <w:r w:rsidRPr="00B94C53">
        <w:rPr>
          <w:rFonts w:ascii="Calibri" w:hAnsi="Calibri"/>
          <w:color w:val="000000"/>
          <w:sz w:val="20"/>
          <w:szCs w:val="20"/>
        </w:rPr>
        <w:t>=Beck Depression Inventory;</w:t>
      </w:r>
      <w:r w:rsidRPr="00B94C53">
        <w:rPr>
          <w:rFonts w:ascii="Calibri" w:hAnsi="Calibri"/>
          <w:b/>
          <w:color w:val="000000"/>
          <w:sz w:val="20"/>
          <w:szCs w:val="20"/>
        </w:rPr>
        <w:t xml:space="preserve"> BMI</w:t>
      </w:r>
      <w:r w:rsidRPr="00B94C53">
        <w:rPr>
          <w:rFonts w:ascii="Calibri" w:hAnsi="Calibri"/>
          <w:color w:val="000000"/>
          <w:sz w:val="20"/>
          <w:szCs w:val="20"/>
        </w:rPr>
        <w:t>=body mass index;</w:t>
      </w:r>
      <w:r w:rsidRPr="00B94C53">
        <w:rPr>
          <w:rFonts w:ascii="Calibri" w:hAnsi="Calibri"/>
          <w:b/>
          <w:color w:val="000000"/>
          <w:sz w:val="20"/>
          <w:szCs w:val="20"/>
        </w:rPr>
        <w:t xml:space="preserve"> CalCAP</w:t>
      </w:r>
      <w:r w:rsidRPr="00B94C53">
        <w:rPr>
          <w:rFonts w:ascii="Calibri" w:hAnsi="Calibri"/>
          <w:color w:val="000000"/>
          <w:sz w:val="20"/>
          <w:szCs w:val="20"/>
        </w:rPr>
        <w:t>=California Computerized Assessment Package;</w:t>
      </w:r>
      <w:r w:rsidRPr="00B94C53">
        <w:rPr>
          <w:rFonts w:ascii="Calibri" w:hAnsi="Calibri"/>
          <w:b/>
          <w:color w:val="000000"/>
          <w:sz w:val="20"/>
          <w:szCs w:val="20"/>
        </w:rPr>
        <w:t xml:space="preserve"> CV</w:t>
      </w:r>
      <w:r w:rsidRPr="00B94C53">
        <w:rPr>
          <w:rFonts w:ascii="Calibri" w:hAnsi="Calibri"/>
          <w:color w:val="000000"/>
          <w:sz w:val="20"/>
          <w:szCs w:val="20"/>
        </w:rPr>
        <w:t>=cardiovascular;</w:t>
      </w:r>
      <w:r w:rsidRPr="00B94C53">
        <w:rPr>
          <w:rFonts w:ascii="Calibri" w:hAnsi="Calibri"/>
          <w:b/>
          <w:color w:val="000000"/>
          <w:sz w:val="20"/>
          <w:szCs w:val="20"/>
        </w:rPr>
        <w:t xml:space="preserve"> CVD</w:t>
      </w:r>
      <w:r w:rsidRPr="00B94C53">
        <w:rPr>
          <w:rFonts w:ascii="Calibri" w:hAnsi="Calibri"/>
          <w:color w:val="000000"/>
          <w:sz w:val="20"/>
          <w:szCs w:val="20"/>
        </w:rPr>
        <w:t>=cardiovascular diseases;</w:t>
      </w:r>
      <w:r w:rsidRPr="00B94C53">
        <w:rPr>
          <w:rFonts w:ascii="Calibri" w:hAnsi="Calibri"/>
          <w:b/>
          <w:color w:val="000000"/>
          <w:sz w:val="20"/>
          <w:szCs w:val="20"/>
        </w:rPr>
        <w:t xml:space="preserve"> DF</w:t>
      </w:r>
      <w:r w:rsidRPr="00B94C53">
        <w:rPr>
          <w:rFonts w:ascii="Calibri" w:hAnsi="Calibri"/>
          <w:color w:val="000000"/>
          <w:sz w:val="20"/>
          <w:szCs w:val="20"/>
        </w:rPr>
        <w:t xml:space="preserve">=difference; </w:t>
      </w:r>
      <w:r w:rsidRPr="00B94C53">
        <w:rPr>
          <w:rFonts w:ascii="Calibri" w:hAnsi="Calibri"/>
          <w:b/>
          <w:color w:val="000000"/>
          <w:sz w:val="20"/>
          <w:szCs w:val="20"/>
        </w:rPr>
        <w:t>DBP</w:t>
      </w:r>
      <w:r w:rsidRPr="00B94C53">
        <w:rPr>
          <w:rFonts w:ascii="Calibri" w:hAnsi="Calibri"/>
          <w:color w:val="000000"/>
          <w:sz w:val="20"/>
          <w:szCs w:val="20"/>
        </w:rPr>
        <w:t xml:space="preserve">=diastolic blood pressure; </w:t>
      </w:r>
      <w:r w:rsidRPr="00B94C53">
        <w:rPr>
          <w:rFonts w:ascii="Calibri" w:hAnsi="Calibri"/>
          <w:b/>
          <w:color w:val="000000"/>
          <w:sz w:val="20"/>
          <w:szCs w:val="20"/>
        </w:rPr>
        <w:t>EQ-5D</w:t>
      </w:r>
      <w:r w:rsidRPr="00B94C53">
        <w:rPr>
          <w:rFonts w:ascii="Calibri" w:hAnsi="Calibri"/>
          <w:color w:val="000000"/>
          <w:sz w:val="20"/>
          <w:szCs w:val="20"/>
        </w:rPr>
        <w:t xml:space="preserve">=Euroquol group 5-dimension self-report questionnaire; </w:t>
      </w:r>
      <w:r w:rsidRPr="00B94C53">
        <w:rPr>
          <w:rFonts w:ascii="Calibri" w:hAnsi="Calibri"/>
          <w:b/>
          <w:color w:val="000000"/>
          <w:sz w:val="20"/>
          <w:szCs w:val="20"/>
        </w:rPr>
        <w:t>GHQ-30</w:t>
      </w:r>
      <w:r w:rsidRPr="00B94C53">
        <w:rPr>
          <w:rFonts w:ascii="Calibri" w:hAnsi="Calibri"/>
          <w:color w:val="000000"/>
          <w:sz w:val="20"/>
          <w:szCs w:val="20"/>
        </w:rPr>
        <w:t xml:space="preserve">=General Health Questionnaire; </w:t>
      </w:r>
      <w:r w:rsidRPr="00B94C53">
        <w:rPr>
          <w:rFonts w:ascii="Calibri" w:hAnsi="Calibri"/>
          <w:b/>
          <w:color w:val="000000"/>
          <w:sz w:val="20"/>
          <w:szCs w:val="20"/>
        </w:rPr>
        <w:t>HADS</w:t>
      </w:r>
      <w:r w:rsidRPr="00B94C53">
        <w:rPr>
          <w:rFonts w:ascii="Calibri" w:hAnsi="Calibri"/>
          <w:color w:val="000000"/>
          <w:sz w:val="20"/>
          <w:szCs w:val="20"/>
        </w:rPr>
        <w:t xml:space="preserve">=Hospital anxiety and depression scale; </w:t>
      </w:r>
      <w:r w:rsidRPr="00B94C53">
        <w:rPr>
          <w:rFonts w:ascii="Calibri" w:hAnsi="Calibri"/>
          <w:b/>
          <w:color w:val="000000"/>
          <w:sz w:val="20"/>
          <w:szCs w:val="20"/>
        </w:rPr>
        <w:t>HDL</w:t>
      </w:r>
      <w:r w:rsidRPr="00B94C53">
        <w:rPr>
          <w:rFonts w:ascii="Calibri" w:hAnsi="Calibri"/>
          <w:color w:val="000000"/>
          <w:sz w:val="20"/>
          <w:szCs w:val="20"/>
        </w:rPr>
        <w:t xml:space="preserve">=high-density lipoprotein; </w:t>
      </w:r>
      <w:r w:rsidRPr="00B94C53">
        <w:rPr>
          <w:rFonts w:ascii="Calibri" w:hAnsi="Calibri"/>
          <w:b/>
          <w:color w:val="000000"/>
          <w:sz w:val="20"/>
          <w:szCs w:val="20"/>
        </w:rPr>
        <w:t>HR</w:t>
      </w:r>
      <w:r w:rsidRPr="00B94C53">
        <w:rPr>
          <w:rFonts w:ascii="Calibri" w:hAnsi="Calibri"/>
          <w:color w:val="000000"/>
          <w:sz w:val="20"/>
          <w:szCs w:val="20"/>
        </w:rPr>
        <w:t xml:space="preserve">=hazard ratio; </w:t>
      </w:r>
      <w:r w:rsidRPr="00B94C53">
        <w:rPr>
          <w:rFonts w:ascii="Calibri" w:hAnsi="Calibri"/>
          <w:b/>
          <w:color w:val="000000"/>
          <w:sz w:val="20"/>
          <w:szCs w:val="20"/>
        </w:rPr>
        <w:t>IHD</w:t>
      </w:r>
      <w:r w:rsidRPr="00B94C53">
        <w:rPr>
          <w:rFonts w:ascii="Calibri" w:hAnsi="Calibri"/>
          <w:color w:val="000000"/>
          <w:sz w:val="20"/>
          <w:szCs w:val="20"/>
        </w:rPr>
        <w:t xml:space="preserve">=ischemic heart disease; </w:t>
      </w:r>
      <w:r w:rsidRPr="00B94C53">
        <w:rPr>
          <w:rFonts w:ascii="Calibri" w:hAnsi="Calibri"/>
          <w:b/>
          <w:color w:val="000000"/>
          <w:sz w:val="20"/>
          <w:szCs w:val="20"/>
        </w:rPr>
        <w:t>IRR</w:t>
      </w:r>
      <w:r w:rsidRPr="00B94C53">
        <w:rPr>
          <w:rFonts w:ascii="Calibri" w:hAnsi="Calibri"/>
          <w:color w:val="000000"/>
          <w:sz w:val="20"/>
          <w:szCs w:val="20"/>
        </w:rPr>
        <w:t xml:space="preserve">=incidence rate ratio; </w:t>
      </w:r>
      <w:r w:rsidRPr="00B94C53">
        <w:rPr>
          <w:rFonts w:ascii="Calibri" w:hAnsi="Calibri"/>
          <w:b/>
          <w:color w:val="000000"/>
          <w:sz w:val="20"/>
          <w:szCs w:val="20"/>
        </w:rPr>
        <w:t>LDL</w:t>
      </w:r>
      <w:r w:rsidRPr="00B94C53">
        <w:rPr>
          <w:rFonts w:ascii="Calibri" w:hAnsi="Calibri"/>
          <w:color w:val="000000"/>
          <w:sz w:val="20"/>
          <w:szCs w:val="20"/>
        </w:rPr>
        <w:t xml:space="preserve">=low-density lipoprotein; </w:t>
      </w:r>
      <w:r w:rsidRPr="00B94C53">
        <w:rPr>
          <w:rFonts w:ascii="Calibri" w:hAnsi="Calibri"/>
          <w:b/>
          <w:color w:val="000000"/>
          <w:sz w:val="20"/>
          <w:szCs w:val="20"/>
        </w:rPr>
        <w:t>LT</w:t>
      </w:r>
      <w:r w:rsidRPr="00B94C53">
        <w:rPr>
          <w:rFonts w:ascii="Calibri" w:hAnsi="Calibri"/>
          <w:b/>
          <w:color w:val="000000"/>
          <w:sz w:val="20"/>
          <w:szCs w:val="20"/>
          <w:vertAlign w:val="subscript"/>
        </w:rPr>
        <w:t>4</w:t>
      </w:r>
      <w:r w:rsidRPr="00B94C53">
        <w:rPr>
          <w:rFonts w:ascii="Calibri" w:hAnsi="Calibri"/>
          <w:color w:val="000000"/>
          <w:sz w:val="20"/>
          <w:szCs w:val="20"/>
        </w:rPr>
        <w:t xml:space="preserve">=levothyroxine; </w:t>
      </w:r>
      <w:r w:rsidRPr="00B94C53">
        <w:rPr>
          <w:rFonts w:ascii="Calibri" w:hAnsi="Calibri"/>
          <w:b/>
          <w:color w:val="000000"/>
          <w:sz w:val="20"/>
          <w:szCs w:val="20"/>
        </w:rPr>
        <w:t>MACE</w:t>
      </w:r>
      <w:r w:rsidRPr="00B94C53">
        <w:rPr>
          <w:rFonts w:ascii="Calibri" w:hAnsi="Calibri"/>
          <w:color w:val="000000"/>
          <w:sz w:val="20"/>
          <w:szCs w:val="20"/>
        </w:rPr>
        <w:t xml:space="preserve">=Major adverse cardiac event;  </w:t>
      </w:r>
      <w:r w:rsidRPr="00B94C53">
        <w:rPr>
          <w:rFonts w:ascii="Calibri" w:hAnsi="Calibri"/>
          <w:b/>
          <w:color w:val="000000"/>
          <w:sz w:val="20"/>
          <w:szCs w:val="20"/>
        </w:rPr>
        <w:t>MEAMS</w:t>
      </w:r>
      <w:r w:rsidRPr="00B94C53">
        <w:rPr>
          <w:rFonts w:ascii="Calibri" w:hAnsi="Calibri"/>
          <w:color w:val="000000"/>
          <w:sz w:val="20"/>
          <w:szCs w:val="20"/>
        </w:rPr>
        <w:t xml:space="preserve">=Middlesex Elderly Assessment of Mental State;  </w:t>
      </w:r>
      <w:r w:rsidRPr="00B94C53">
        <w:rPr>
          <w:rFonts w:ascii="Calibri" w:hAnsi="Calibri"/>
          <w:b/>
          <w:color w:val="000000"/>
          <w:sz w:val="20"/>
          <w:szCs w:val="20"/>
        </w:rPr>
        <w:t>MI</w:t>
      </w:r>
      <w:r w:rsidRPr="00B94C53">
        <w:rPr>
          <w:rFonts w:ascii="Calibri" w:hAnsi="Calibri"/>
          <w:color w:val="000000"/>
          <w:sz w:val="20"/>
          <w:szCs w:val="20"/>
        </w:rPr>
        <w:t xml:space="preserve">=myocardial infarction;  </w:t>
      </w:r>
      <w:r w:rsidRPr="00B94C53">
        <w:rPr>
          <w:rFonts w:ascii="Calibri" w:hAnsi="Calibri"/>
          <w:b/>
          <w:color w:val="000000"/>
          <w:sz w:val="20"/>
          <w:szCs w:val="20"/>
        </w:rPr>
        <w:t>MMSE</w:t>
      </w:r>
      <w:r w:rsidRPr="00B94C53">
        <w:rPr>
          <w:rFonts w:ascii="Calibri" w:hAnsi="Calibri"/>
          <w:color w:val="000000"/>
          <w:sz w:val="20"/>
          <w:szCs w:val="20"/>
        </w:rPr>
        <w:t xml:space="preserve">=Mini-Mental State Examination;  </w:t>
      </w:r>
      <w:r w:rsidRPr="00B94C53">
        <w:rPr>
          <w:rFonts w:ascii="Calibri" w:hAnsi="Calibri"/>
          <w:b/>
          <w:color w:val="000000"/>
          <w:sz w:val="20"/>
          <w:szCs w:val="20"/>
        </w:rPr>
        <w:t>N</w:t>
      </w:r>
      <w:r w:rsidRPr="00B94C53">
        <w:rPr>
          <w:rFonts w:ascii="Calibri" w:hAnsi="Calibri"/>
          <w:color w:val="000000"/>
          <w:sz w:val="20"/>
          <w:szCs w:val="20"/>
        </w:rPr>
        <w:t xml:space="preserve"> =number of participants; </w:t>
      </w:r>
      <w:r w:rsidRPr="00B94C53">
        <w:rPr>
          <w:rFonts w:ascii="Calibri" w:hAnsi="Calibri"/>
          <w:b/>
          <w:color w:val="000000"/>
          <w:sz w:val="20"/>
          <w:szCs w:val="20"/>
        </w:rPr>
        <w:t>N/A</w:t>
      </w:r>
      <w:r w:rsidRPr="00B94C53">
        <w:rPr>
          <w:rFonts w:ascii="Calibri" w:hAnsi="Calibri"/>
          <w:color w:val="000000"/>
          <w:sz w:val="20"/>
          <w:szCs w:val="20"/>
        </w:rPr>
        <w:t xml:space="preserve">=not applicable; </w:t>
      </w:r>
      <w:r w:rsidRPr="00B94C53">
        <w:rPr>
          <w:rFonts w:ascii="Calibri" w:hAnsi="Calibri"/>
          <w:b/>
          <w:color w:val="000000"/>
          <w:sz w:val="20"/>
          <w:szCs w:val="20"/>
        </w:rPr>
        <w:t>NR</w:t>
      </w:r>
      <w:r w:rsidRPr="00B94C53">
        <w:rPr>
          <w:rFonts w:ascii="Calibri" w:hAnsi="Calibri"/>
          <w:color w:val="000000"/>
          <w:sz w:val="20"/>
          <w:szCs w:val="20"/>
        </w:rPr>
        <w:t xml:space="preserve">=not reported; </w:t>
      </w:r>
      <w:r w:rsidRPr="00B94C53">
        <w:rPr>
          <w:rFonts w:ascii="Calibri" w:hAnsi="Calibri"/>
          <w:b/>
          <w:color w:val="000000"/>
          <w:sz w:val="20"/>
          <w:szCs w:val="20"/>
        </w:rPr>
        <w:t>NS</w:t>
      </w:r>
      <w:r w:rsidRPr="00B94C53">
        <w:rPr>
          <w:rFonts w:ascii="Calibri" w:hAnsi="Calibri"/>
          <w:color w:val="000000"/>
          <w:sz w:val="20"/>
          <w:szCs w:val="20"/>
        </w:rPr>
        <w:t xml:space="preserve">=not significant; </w:t>
      </w:r>
      <w:r w:rsidRPr="00B94C53">
        <w:rPr>
          <w:rFonts w:ascii="Calibri" w:hAnsi="Calibri"/>
          <w:b/>
          <w:color w:val="000000"/>
          <w:sz w:val="20"/>
          <w:szCs w:val="20"/>
        </w:rPr>
        <w:t>OARS</w:t>
      </w:r>
      <w:r w:rsidRPr="00B94C53">
        <w:rPr>
          <w:rFonts w:ascii="Calibri" w:hAnsi="Calibri"/>
          <w:color w:val="000000"/>
          <w:sz w:val="20"/>
          <w:szCs w:val="20"/>
        </w:rPr>
        <w:t xml:space="preserve">=Older American Resources and Services tool; </w:t>
      </w:r>
      <w:r w:rsidRPr="00B94C53">
        <w:rPr>
          <w:rFonts w:ascii="Calibri" w:hAnsi="Calibri"/>
          <w:b/>
          <w:color w:val="000000"/>
          <w:sz w:val="20"/>
          <w:szCs w:val="20"/>
        </w:rPr>
        <w:t>P</w:t>
      </w:r>
      <w:r w:rsidRPr="00B94C53">
        <w:rPr>
          <w:rFonts w:ascii="Calibri" w:hAnsi="Calibri"/>
          <w:color w:val="000000"/>
          <w:sz w:val="20"/>
          <w:szCs w:val="20"/>
        </w:rPr>
        <w:t>=p-value;</w:t>
      </w:r>
      <w:r w:rsidRPr="00B94C53">
        <w:rPr>
          <w:rFonts w:ascii="Calibri" w:hAnsi="Calibri"/>
          <w:b/>
          <w:color w:val="000000"/>
          <w:sz w:val="20"/>
          <w:szCs w:val="20"/>
        </w:rPr>
        <w:t xml:space="preserve"> SBP</w:t>
      </w:r>
      <w:r w:rsidRPr="00B94C53">
        <w:rPr>
          <w:rFonts w:ascii="Calibri" w:hAnsi="Calibri"/>
          <w:color w:val="000000"/>
          <w:sz w:val="20"/>
          <w:szCs w:val="20"/>
        </w:rPr>
        <w:t xml:space="preserve">=systolic blood pressure; </w:t>
      </w:r>
      <w:r w:rsidRPr="00B94C53">
        <w:rPr>
          <w:rFonts w:ascii="Calibri" w:hAnsi="Calibri"/>
          <w:b/>
          <w:color w:val="000000"/>
          <w:sz w:val="20"/>
          <w:szCs w:val="20"/>
        </w:rPr>
        <w:t>SCH</w:t>
      </w:r>
      <w:r w:rsidRPr="00B94C53">
        <w:rPr>
          <w:rFonts w:ascii="Calibri" w:hAnsi="Calibri"/>
          <w:color w:val="000000"/>
          <w:sz w:val="20"/>
          <w:szCs w:val="20"/>
        </w:rPr>
        <w:t xml:space="preserve">=subclinical hypothyroidism; </w:t>
      </w:r>
      <w:r w:rsidRPr="00B94C53">
        <w:rPr>
          <w:rFonts w:ascii="Calibri" w:hAnsi="Calibri"/>
          <w:b/>
          <w:color w:val="000000"/>
          <w:sz w:val="20"/>
          <w:szCs w:val="20"/>
        </w:rPr>
        <w:t>SCOLP</w:t>
      </w:r>
      <w:r w:rsidRPr="00B94C53">
        <w:rPr>
          <w:rFonts w:ascii="Calibri" w:hAnsi="Calibri"/>
          <w:color w:val="000000"/>
          <w:sz w:val="20"/>
          <w:szCs w:val="20"/>
        </w:rPr>
        <w:t xml:space="preserve">=Speed and Capacity of Language Processing test; </w:t>
      </w:r>
      <w:r w:rsidRPr="00B94C53">
        <w:rPr>
          <w:rFonts w:ascii="Calibri" w:hAnsi="Calibri"/>
          <w:b/>
          <w:color w:val="000000"/>
          <w:sz w:val="20"/>
          <w:szCs w:val="20"/>
        </w:rPr>
        <w:t>SE</w:t>
      </w:r>
      <w:r w:rsidRPr="00B94C53">
        <w:rPr>
          <w:rFonts w:ascii="Calibri" w:hAnsi="Calibri"/>
          <w:color w:val="000000"/>
          <w:sz w:val="20"/>
          <w:szCs w:val="20"/>
        </w:rPr>
        <w:t xml:space="preserve">=standard error; </w:t>
      </w:r>
      <w:r w:rsidRPr="00B94C53">
        <w:rPr>
          <w:rFonts w:ascii="Calibri" w:hAnsi="Calibri"/>
          <w:b/>
          <w:color w:val="000000"/>
          <w:sz w:val="20"/>
          <w:szCs w:val="20"/>
        </w:rPr>
        <w:t>SF-36</w:t>
      </w:r>
      <w:r w:rsidRPr="00B94C53">
        <w:rPr>
          <w:rFonts w:ascii="Calibri" w:hAnsi="Calibri"/>
          <w:color w:val="000000"/>
          <w:sz w:val="20"/>
          <w:szCs w:val="20"/>
        </w:rPr>
        <w:t xml:space="preserve">=Medical outcomes study 36-item short-form health survey; </w:t>
      </w:r>
      <w:r w:rsidRPr="00B94C53">
        <w:rPr>
          <w:rFonts w:ascii="Calibri" w:hAnsi="Calibri"/>
          <w:b/>
          <w:color w:val="000000"/>
          <w:sz w:val="20"/>
          <w:szCs w:val="20"/>
        </w:rPr>
        <w:t>T</w:t>
      </w:r>
      <w:r w:rsidRPr="00B94C53">
        <w:rPr>
          <w:rFonts w:ascii="Calibri" w:hAnsi="Calibri"/>
          <w:b/>
          <w:color w:val="000000"/>
          <w:sz w:val="20"/>
          <w:szCs w:val="20"/>
          <w:vertAlign w:val="subscript"/>
        </w:rPr>
        <w:t>4</w:t>
      </w:r>
      <w:r w:rsidRPr="00B94C53">
        <w:rPr>
          <w:rFonts w:ascii="Calibri" w:hAnsi="Calibri"/>
          <w:color w:val="000000"/>
          <w:sz w:val="20"/>
          <w:szCs w:val="20"/>
        </w:rPr>
        <w:t xml:space="preserve">=thyroxine; </w:t>
      </w:r>
      <w:r w:rsidRPr="00B94C53">
        <w:rPr>
          <w:rFonts w:ascii="Calibri" w:hAnsi="Calibri"/>
          <w:b/>
          <w:color w:val="000000"/>
          <w:sz w:val="20"/>
          <w:szCs w:val="20"/>
        </w:rPr>
        <w:t>TFT</w:t>
      </w:r>
      <w:r w:rsidRPr="00B94C53">
        <w:rPr>
          <w:rFonts w:ascii="Calibri" w:hAnsi="Calibri"/>
          <w:color w:val="000000"/>
          <w:sz w:val="20"/>
          <w:szCs w:val="20"/>
        </w:rPr>
        <w:t xml:space="preserve">=thyroid function test; </w:t>
      </w:r>
      <w:r w:rsidRPr="00B94C53">
        <w:rPr>
          <w:rFonts w:ascii="Calibri" w:hAnsi="Calibri"/>
          <w:b/>
          <w:color w:val="000000"/>
          <w:sz w:val="20"/>
          <w:szCs w:val="20"/>
        </w:rPr>
        <w:t>TC</w:t>
      </w:r>
      <w:r w:rsidRPr="00B94C53">
        <w:rPr>
          <w:rFonts w:ascii="Calibri" w:hAnsi="Calibri"/>
          <w:color w:val="000000"/>
          <w:sz w:val="20"/>
          <w:szCs w:val="20"/>
        </w:rPr>
        <w:t>=total cholesterol;</w:t>
      </w:r>
      <w:r w:rsidRPr="00B94C53">
        <w:rPr>
          <w:rFonts w:ascii="Calibri" w:hAnsi="Calibri"/>
          <w:b/>
          <w:color w:val="000000"/>
          <w:sz w:val="20"/>
          <w:szCs w:val="20"/>
        </w:rPr>
        <w:t xml:space="preserve"> TG</w:t>
      </w:r>
      <w:r w:rsidRPr="00B94C53">
        <w:rPr>
          <w:rFonts w:ascii="Calibri" w:hAnsi="Calibri"/>
          <w:color w:val="000000"/>
          <w:sz w:val="20"/>
          <w:szCs w:val="20"/>
        </w:rPr>
        <w:t xml:space="preserve">=triglyceride; </w:t>
      </w:r>
      <w:r w:rsidRPr="00B94C53">
        <w:rPr>
          <w:rFonts w:ascii="Calibri" w:hAnsi="Calibri"/>
          <w:b/>
          <w:color w:val="000000"/>
          <w:sz w:val="20"/>
          <w:szCs w:val="20"/>
        </w:rPr>
        <w:t>ThyPRO</w:t>
      </w:r>
      <w:r w:rsidRPr="00B94C53">
        <w:rPr>
          <w:rFonts w:ascii="Calibri" w:hAnsi="Calibri"/>
          <w:color w:val="000000"/>
          <w:sz w:val="20"/>
          <w:szCs w:val="20"/>
        </w:rPr>
        <w:t>=</w:t>
      </w:r>
      <w:r w:rsidRPr="00B94C53">
        <w:rPr>
          <w:sz w:val="20"/>
          <w:szCs w:val="20"/>
        </w:rPr>
        <w:t xml:space="preserve">Thyroid-Related Quality-of-Life Patient-Reported Outcome; </w:t>
      </w:r>
      <w:r w:rsidRPr="00B94C53">
        <w:rPr>
          <w:rFonts w:ascii="Calibri" w:hAnsi="Calibri"/>
          <w:b/>
          <w:color w:val="000000"/>
          <w:sz w:val="20"/>
          <w:szCs w:val="20"/>
        </w:rPr>
        <w:t>TM</w:t>
      </w:r>
      <w:r w:rsidRPr="00B94C53">
        <w:rPr>
          <w:rFonts w:ascii="Calibri" w:hAnsi="Calibri"/>
          <w:color w:val="000000"/>
          <w:sz w:val="20"/>
          <w:szCs w:val="20"/>
        </w:rPr>
        <w:t xml:space="preserve">=Trail Making test; </w:t>
      </w:r>
      <w:r w:rsidRPr="00B94C53">
        <w:rPr>
          <w:rFonts w:ascii="Calibri" w:hAnsi="Calibri"/>
          <w:b/>
          <w:color w:val="000000"/>
          <w:sz w:val="20"/>
          <w:szCs w:val="20"/>
        </w:rPr>
        <w:t>TSH</w:t>
      </w:r>
      <w:r w:rsidRPr="00B94C53">
        <w:rPr>
          <w:rFonts w:ascii="Calibri" w:hAnsi="Calibri"/>
          <w:color w:val="000000"/>
          <w:sz w:val="20"/>
          <w:szCs w:val="20"/>
        </w:rPr>
        <w:t xml:space="preserve">=thyroid-stimulating hormone; </w:t>
      </w:r>
      <w:r w:rsidRPr="00B94C53">
        <w:rPr>
          <w:rFonts w:ascii="Calibri" w:hAnsi="Calibri"/>
          <w:b/>
          <w:color w:val="000000"/>
          <w:sz w:val="20"/>
          <w:szCs w:val="20"/>
        </w:rPr>
        <w:t>UK</w:t>
      </w:r>
      <w:r w:rsidRPr="00B94C53">
        <w:rPr>
          <w:rFonts w:ascii="Calibri" w:hAnsi="Calibri"/>
          <w:color w:val="000000"/>
          <w:sz w:val="20"/>
          <w:szCs w:val="20"/>
        </w:rPr>
        <w:t xml:space="preserve">=United Kingdom; </w:t>
      </w:r>
      <w:r w:rsidRPr="00B94C53">
        <w:rPr>
          <w:rFonts w:ascii="Calibri" w:hAnsi="Calibri"/>
          <w:b/>
          <w:color w:val="000000"/>
          <w:sz w:val="20"/>
          <w:szCs w:val="20"/>
        </w:rPr>
        <w:t>WAIS</w:t>
      </w:r>
      <w:r w:rsidRPr="00B94C53">
        <w:rPr>
          <w:rFonts w:ascii="Calibri" w:hAnsi="Calibri"/>
          <w:color w:val="000000"/>
          <w:sz w:val="20"/>
          <w:szCs w:val="20"/>
        </w:rPr>
        <w:t>=</w:t>
      </w:r>
      <w:r w:rsidRPr="00B94C53">
        <w:rPr>
          <w:rFonts w:eastAsia="Times New Roman" w:cs="Arial"/>
          <w:color w:val="111111"/>
          <w:sz w:val="20"/>
          <w:szCs w:val="20"/>
          <w:lang w:eastAsia="en-CA"/>
        </w:rPr>
        <w:t xml:space="preserve"> Wechsler Intelligence Scales</w:t>
      </w:r>
      <w:r w:rsidRPr="00B94C53">
        <w:rPr>
          <w:rFonts w:ascii="Calibri" w:hAnsi="Calibri"/>
          <w:color w:val="000000"/>
          <w:sz w:val="20"/>
          <w:szCs w:val="20"/>
        </w:rPr>
        <w:t>;</w:t>
      </w:r>
      <w:r w:rsidRPr="00B94C53">
        <w:rPr>
          <w:rFonts w:ascii="Calibri" w:hAnsi="Calibri"/>
          <w:b/>
          <w:color w:val="000000"/>
          <w:sz w:val="20"/>
          <w:szCs w:val="20"/>
        </w:rPr>
        <w:t xml:space="preserve"> WNL</w:t>
      </w:r>
      <w:r w:rsidRPr="00B94C53">
        <w:rPr>
          <w:rFonts w:ascii="Calibri" w:hAnsi="Calibri"/>
          <w:color w:val="000000"/>
          <w:sz w:val="20"/>
          <w:szCs w:val="20"/>
        </w:rPr>
        <w:t>=within normal limits</w:t>
      </w:r>
    </w:p>
    <w:p w14:paraId="7083AAB7" w14:textId="77777777" w:rsidR="00EF7D49" w:rsidRDefault="00EF7D49" w:rsidP="00B94C53"/>
    <w:p w14:paraId="06392DDD" w14:textId="77777777" w:rsidR="00E74E8D" w:rsidRDefault="00E74E8D" w:rsidP="00EF7D49">
      <w:pPr>
        <w:sectPr w:rsidR="00E74E8D" w:rsidSect="00EF7D49">
          <w:endnotePr>
            <w:numFmt w:val="decimal"/>
          </w:endnotePr>
          <w:pgSz w:w="15840" w:h="12240" w:orient="landscape"/>
          <w:pgMar w:top="1440" w:right="1440" w:bottom="1440" w:left="1440" w:header="708" w:footer="708" w:gutter="0"/>
          <w:cols w:space="708"/>
          <w:docGrid w:linePitch="360"/>
        </w:sectPr>
      </w:pPr>
    </w:p>
    <w:p w14:paraId="5AA122AB" w14:textId="2CF755F9" w:rsidR="00E74E8D" w:rsidRPr="00B94C53" w:rsidRDefault="00E74E8D" w:rsidP="00E74E8D">
      <w:pPr>
        <w:pStyle w:val="Heading1"/>
        <w:rPr>
          <w:sz w:val="24"/>
          <w:szCs w:val="24"/>
        </w:rPr>
      </w:pPr>
      <w:bookmarkStart w:id="9" w:name="_Toc532829304"/>
      <w:r w:rsidRPr="00B94C53">
        <w:rPr>
          <w:sz w:val="24"/>
          <w:szCs w:val="24"/>
        </w:rPr>
        <w:lastRenderedPageBreak/>
        <w:t xml:space="preserve">Appendix </w:t>
      </w:r>
      <w:r w:rsidR="00B50B35">
        <w:rPr>
          <w:sz w:val="24"/>
          <w:szCs w:val="24"/>
        </w:rPr>
        <w:t>9</w:t>
      </w:r>
      <w:r w:rsidRPr="00B94C53">
        <w:rPr>
          <w:sz w:val="24"/>
          <w:szCs w:val="24"/>
        </w:rPr>
        <w:t>. Risk of Bias Assessments</w:t>
      </w:r>
      <w:bookmarkEnd w:id="9"/>
    </w:p>
    <w:p w14:paraId="72BBDA7A" w14:textId="77777777" w:rsidR="00E74E8D" w:rsidRDefault="00E74E8D" w:rsidP="00B94C53">
      <w:pPr>
        <w:spacing w:after="0"/>
      </w:pPr>
    </w:p>
    <w:p w14:paraId="2BB96ACA" w14:textId="77777777" w:rsidR="00E74E8D" w:rsidRDefault="00E74E8D" w:rsidP="00B94C53">
      <w:pPr>
        <w:spacing w:after="0"/>
        <w:rPr>
          <w:u w:val="single"/>
        </w:rPr>
      </w:pPr>
      <w:r>
        <w:rPr>
          <w:b/>
          <w:u w:val="single"/>
        </w:rPr>
        <w:t xml:space="preserve">Risk of bias assessments – Randomized controlled trials </w:t>
      </w:r>
      <w:r>
        <w:rPr>
          <w:u w:val="single"/>
        </w:rPr>
        <w:t>(using the Cochrane Risk of Bias Tool)</w:t>
      </w:r>
    </w:p>
    <w:p w14:paraId="03429397" w14:textId="77777777" w:rsidR="00E74E8D" w:rsidRDefault="00E74E8D" w:rsidP="00B94C53">
      <w:pPr>
        <w:spacing w:after="0"/>
        <w:rPr>
          <w:u w:val="single"/>
        </w:rPr>
      </w:pPr>
    </w:p>
    <w:tbl>
      <w:tblPr>
        <w:tblStyle w:val="TableGrid"/>
        <w:tblW w:w="0" w:type="auto"/>
        <w:tblLook w:val="04A0" w:firstRow="1" w:lastRow="0" w:firstColumn="1" w:lastColumn="0" w:noHBand="0" w:noVBand="1"/>
      </w:tblPr>
      <w:tblGrid>
        <w:gridCol w:w="1605"/>
        <w:gridCol w:w="1624"/>
        <w:gridCol w:w="1634"/>
        <w:gridCol w:w="1627"/>
        <w:gridCol w:w="1626"/>
        <w:gridCol w:w="1624"/>
        <w:gridCol w:w="1616"/>
        <w:gridCol w:w="1594"/>
      </w:tblGrid>
      <w:tr w:rsidR="00E74E8D" w:rsidRPr="00961231" w14:paraId="196CE48F" w14:textId="77777777" w:rsidTr="0063693D">
        <w:tc>
          <w:tcPr>
            <w:tcW w:w="1647" w:type="dxa"/>
            <w:shd w:val="clear" w:color="auto" w:fill="D9D9D9" w:themeFill="background1" w:themeFillShade="D9"/>
          </w:tcPr>
          <w:p w14:paraId="2C24B0EB" w14:textId="77777777" w:rsidR="00E74E8D" w:rsidRPr="00961231" w:rsidRDefault="00E74E8D" w:rsidP="0063693D">
            <w:pPr>
              <w:rPr>
                <w:b/>
              </w:rPr>
            </w:pPr>
            <w:r>
              <w:rPr>
                <w:b/>
              </w:rPr>
              <w:t>Author</w:t>
            </w:r>
          </w:p>
        </w:tc>
        <w:tc>
          <w:tcPr>
            <w:tcW w:w="1647" w:type="dxa"/>
            <w:shd w:val="clear" w:color="auto" w:fill="D9D9D9" w:themeFill="background1" w:themeFillShade="D9"/>
          </w:tcPr>
          <w:p w14:paraId="16A3EF88" w14:textId="77777777" w:rsidR="00E74E8D" w:rsidRPr="00961231" w:rsidRDefault="00E74E8D" w:rsidP="0063693D">
            <w:pPr>
              <w:rPr>
                <w:b/>
              </w:rPr>
            </w:pPr>
            <w:r>
              <w:rPr>
                <w:b/>
              </w:rPr>
              <w:t>Sequence Generation</w:t>
            </w:r>
          </w:p>
        </w:tc>
        <w:tc>
          <w:tcPr>
            <w:tcW w:w="1647" w:type="dxa"/>
            <w:shd w:val="clear" w:color="auto" w:fill="D9D9D9" w:themeFill="background1" w:themeFillShade="D9"/>
          </w:tcPr>
          <w:p w14:paraId="2A28FBD1" w14:textId="77777777" w:rsidR="00E74E8D" w:rsidRPr="00961231" w:rsidRDefault="00E74E8D" w:rsidP="0063693D">
            <w:pPr>
              <w:rPr>
                <w:b/>
              </w:rPr>
            </w:pPr>
            <w:r>
              <w:rPr>
                <w:b/>
              </w:rPr>
              <w:t>Allocation Concealment</w:t>
            </w:r>
          </w:p>
        </w:tc>
        <w:tc>
          <w:tcPr>
            <w:tcW w:w="1647" w:type="dxa"/>
            <w:shd w:val="clear" w:color="auto" w:fill="D9D9D9" w:themeFill="background1" w:themeFillShade="D9"/>
          </w:tcPr>
          <w:p w14:paraId="01513860" w14:textId="77777777" w:rsidR="00E74E8D" w:rsidRPr="00961231" w:rsidRDefault="00E74E8D" w:rsidP="0063693D">
            <w:pPr>
              <w:rPr>
                <w:b/>
              </w:rPr>
            </w:pPr>
            <w:r>
              <w:rPr>
                <w:b/>
              </w:rPr>
              <w:t>Blinding of Participants and Personnel</w:t>
            </w:r>
          </w:p>
        </w:tc>
        <w:tc>
          <w:tcPr>
            <w:tcW w:w="1647" w:type="dxa"/>
            <w:shd w:val="clear" w:color="auto" w:fill="D9D9D9" w:themeFill="background1" w:themeFillShade="D9"/>
          </w:tcPr>
          <w:p w14:paraId="23EC7E3D" w14:textId="77777777" w:rsidR="00E74E8D" w:rsidRPr="00961231" w:rsidRDefault="00E74E8D" w:rsidP="0063693D">
            <w:pPr>
              <w:rPr>
                <w:b/>
              </w:rPr>
            </w:pPr>
            <w:r>
              <w:rPr>
                <w:b/>
              </w:rPr>
              <w:t>Blinding of Outcome Assessment</w:t>
            </w:r>
          </w:p>
        </w:tc>
        <w:tc>
          <w:tcPr>
            <w:tcW w:w="1647" w:type="dxa"/>
            <w:shd w:val="clear" w:color="auto" w:fill="D9D9D9" w:themeFill="background1" w:themeFillShade="D9"/>
          </w:tcPr>
          <w:p w14:paraId="42B3A8F4" w14:textId="77777777" w:rsidR="00E74E8D" w:rsidRPr="00961231" w:rsidRDefault="00E74E8D" w:rsidP="0063693D">
            <w:pPr>
              <w:rPr>
                <w:b/>
              </w:rPr>
            </w:pPr>
            <w:r>
              <w:rPr>
                <w:b/>
              </w:rPr>
              <w:t>Incomplete Outcome Data</w:t>
            </w:r>
          </w:p>
        </w:tc>
        <w:tc>
          <w:tcPr>
            <w:tcW w:w="1647" w:type="dxa"/>
            <w:shd w:val="clear" w:color="auto" w:fill="D9D9D9" w:themeFill="background1" w:themeFillShade="D9"/>
          </w:tcPr>
          <w:p w14:paraId="01655FDD" w14:textId="77777777" w:rsidR="00E74E8D" w:rsidRPr="00961231" w:rsidRDefault="00E74E8D" w:rsidP="0063693D">
            <w:pPr>
              <w:rPr>
                <w:b/>
              </w:rPr>
            </w:pPr>
            <w:r>
              <w:rPr>
                <w:b/>
              </w:rPr>
              <w:t>Selective Reporting</w:t>
            </w:r>
          </w:p>
        </w:tc>
        <w:tc>
          <w:tcPr>
            <w:tcW w:w="1647" w:type="dxa"/>
            <w:shd w:val="clear" w:color="auto" w:fill="D9D9D9" w:themeFill="background1" w:themeFillShade="D9"/>
          </w:tcPr>
          <w:p w14:paraId="291B5A88" w14:textId="77777777" w:rsidR="00E74E8D" w:rsidRPr="00961231" w:rsidRDefault="00E74E8D" w:rsidP="0063693D">
            <w:pPr>
              <w:rPr>
                <w:b/>
              </w:rPr>
            </w:pPr>
            <w:r>
              <w:rPr>
                <w:b/>
              </w:rPr>
              <w:t>Other Bias</w:t>
            </w:r>
          </w:p>
        </w:tc>
      </w:tr>
      <w:tr w:rsidR="00E74E8D" w:rsidRPr="00961231" w14:paraId="7AF3184C" w14:textId="77777777" w:rsidTr="0063693D">
        <w:tc>
          <w:tcPr>
            <w:tcW w:w="1647" w:type="dxa"/>
          </w:tcPr>
          <w:p w14:paraId="0188F611" w14:textId="77777777" w:rsidR="00E74E8D" w:rsidRPr="00E967E7" w:rsidRDefault="00E74E8D" w:rsidP="00E967E7">
            <w:pPr>
              <w:rPr>
                <w:sz w:val="20"/>
                <w:szCs w:val="20"/>
              </w:rPr>
            </w:pPr>
            <w:r w:rsidRPr="00E967E7">
              <w:rPr>
                <w:sz w:val="20"/>
                <w:szCs w:val="20"/>
              </w:rPr>
              <w:t>Cabral 2011</w:t>
            </w:r>
          </w:p>
        </w:tc>
        <w:tc>
          <w:tcPr>
            <w:tcW w:w="1647" w:type="dxa"/>
            <w:shd w:val="clear" w:color="auto" w:fill="92D050"/>
          </w:tcPr>
          <w:p w14:paraId="7E54972B" w14:textId="77777777" w:rsidR="00E74E8D" w:rsidRPr="00514290" w:rsidRDefault="00E74E8D" w:rsidP="0063693D">
            <w:pPr>
              <w:jc w:val="center"/>
              <w:rPr>
                <w:sz w:val="20"/>
                <w:szCs w:val="20"/>
              </w:rPr>
            </w:pPr>
            <w:r w:rsidRPr="00514290">
              <w:rPr>
                <w:sz w:val="20"/>
                <w:szCs w:val="20"/>
              </w:rPr>
              <w:t>-</w:t>
            </w:r>
          </w:p>
        </w:tc>
        <w:tc>
          <w:tcPr>
            <w:tcW w:w="1647" w:type="dxa"/>
            <w:shd w:val="clear" w:color="auto" w:fill="FF0000"/>
          </w:tcPr>
          <w:p w14:paraId="0E383C88" w14:textId="77777777" w:rsidR="00E74E8D" w:rsidRPr="00961231" w:rsidRDefault="00E74E8D" w:rsidP="0063693D">
            <w:pPr>
              <w:jc w:val="center"/>
              <w:rPr>
                <w:sz w:val="20"/>
                <w:szCs w:val="20"/>
              </w:rPr>
            </w:pPr>
            <w:r>
              <w:rPr>
                <w:sz w:val="20"/>
                <w:szCs w:val="20"/>
              </w:rPr>
              <w:t>+</w:t>
            </w:r>
          </w:p>
        </w:tc>
        <w:tc>
          <w:tcPr>
            <w:tcW w:w="1647" w:type="dxa"/>
            <w:shd w:val="clear" w:color="auto" w:fill="92D050"/>
          </w:tcPr>
          <w:p w14:paraId="1E76E408" w14:textId="77777777" w:rsidR="00E74E8D" w:rsidRPr="00514290" w:rsidRDefault="00E74E8D" w:rsidP="0063693D">
            <w:pPr>
              <w:jc w:val="center"/>
              <w:rPr>
                <w:sz w:val="20"/>
                <w:szCs w:val="20"/>
              </w:rPr>
            </w:pPr>
            <w:r w:rsidRPr="00514290">
              <w:rPr>
                <w:sz w:val="20"/>
                <w:szCs w:val="20"/>
              </w:rPr>
              <w:t>-</w:t>
            </w:r>
          </w:p>
        </w:tc>
        <w:tc>
          <w:tcPr>
            <w:tcW w:w="1647" w:type="dxa"/>
            <w:shd w:val="clear" w:color="auto" w:fill="92D050"/>
          </w:tcPr>
          <w:p w14:paraId="5216CA57" w14:textId="77777777" w:rsidR="00E74E8D" w:rsidRPr="00514290" w:rsidRDefault="00E74E8D" w:rsidP="0063693D">
            <w:pPr>
              <w:jc w:val="center"/>
              <w:rPr>
                <w:sz w:val="20"/>
                <w:szCs w:val="20"/>
              </w:rPr>
            </w:pPr>
            <w:r w:rsidRPr="00514290">
              <w:rPr>
                <w:sz w:val="20"/>
                <w:szCs w:val="20"/>
              </w:rPr>
              <w:t>-</w:t>
            </w:r>
          </w:p>
        </w:tc>
        <w:tc>
          <w:tcPr>
            <w:tcW w:w="1647" w:type="dxa"/>
            <w:shd w:val="clear" w:color="auto" w:fill="FFFF00"/>
          </w:tcPr>
          <w:p w14:paraId="4F5D57BA" w14:textId="77777777" w:rsidR="00E74E8D" w:rsidRPr="00961231" w:rsidRDefault="00E74E8D" w:rsidP="0063693D">
            <w:pPr>
              <w:jc w:val="center"/>
              <w:rPr>
                <w:sz w:val="20"/>
                <w:szCs w:val="20"/>
              </w:rPr>
            </w:pPr>
            <w:r>
              <w:rPr>
                <w:sz w:val="20"/>
                <w:szCs w:val="20"/>
              </w:rPr>
              <w:t>?</w:t>
            </w:r>
          </w:p>
        </w:tc>
        <w:tc>
          <w:tcPr>
            <w:tcW w:w="1647" w:type="dxa"/>
            <w:shd w:val="clear" w:color="auto" w:fill="FFFF00"/>
          </w:tcPr>
          <w:p w14:paraId="4AFB5888" w14:textId="77777777" w:rsidR="00E74E8D" w:rsidRPr="00961231" w:rsidRDefault="00E74E8D" w:rsidP="0063693D">
            <w:pPr>
              <w:jc w:val="center"/>
              <w:rPr>
                <w:sz w:val="20"/>
                <w:szCs w:val="20"/>
              </w:rPr>
            </w:pPr>
            <w:r>
              <w:rPr>
                <w:sz w:val="20"/>
                <w:szCs w:val="20"/>
              </w:rPr>
              <w:t>?</w:t>
            </w:r>
          </w:p>
        </w:tc>
        <w:tc>
          <w:tcPr>
            <w:tcW w:w="1647" w:type="dxa"/>
            <w:shd w:val="clear" w:color="auto" w:fill="FFFF00"/>
          </w:tcPr>
          <w:p w14:paraId="27802AB5" w14:textId="77777777" w:rsidR="00E74E8D" w:rsidRPr="00961231" w:rsidRDefault="00E74E8D" w:rsidP="0063693D">
            <w:pPr>
              <w:jc w:val="center"/>
              <w:rPr>
                <w:sz w:val="20"/>
                <w:szCs w:val="20"/>
              </w:rPr>
            </w:pPr>
            <w:r>
              <w:rPr>
                <w:sz w:val="20"/>
                <w:szCs w:val="20"/>
              </w:rPr>
              <w:t>?</w:t>
            </w:r>
          </w:p>
        </w:tc>
      </w:tr>
      <w:tr w:rsidR="00E74E8D" w:rsidRPr="00961231" w14:paraId="24E48415" w14:textId="77777777" w:rsidTr="0063693D">
        <w:tc>
          <w:tcPr>
            <w:tcW w:w="1647" w:type="dxa"/>
          </w:tcPr>
          <w:p w14:paraId="5AF824CD" w14:textId="77777777" w:rsidR="00E74E8D" w:rsidRPr="00E967E7" w:rsidRDefault="00E74E8D" w:rsidP="00E967E7">
            <w:pPr>
              <w:rPr>
                <w:sz w:val="20"/>
                <w:szCs w:val="20"/>
              </w:rPr>
            </w:pPr>
            <w:r w:rsidRPr="00E967E7">
              <w:rPr>
                <w:sz w:val="20"/>
                <w:szCs w:val="20"/>
              </w:rPr>
              <w:t>Caraccio 2002</w:t>
            </w:r>
          </w:p>
        </w:tc>
        <w:tc>
          <w:tcPr>
            <w:tcW w:w="1647" w:type="dxa"/>
            <w:shd w:val="clear" w:color="auto" w:fill="FFFF00"/>
          </w:tcPr>
          <w:p w14:paraId="7CA8BCC9" w14:textId="77777777" w:rsidR="00E74E8D" w:rsidRPr="00961231" w:rsidRDefault="00E74E8D" w:rsidP="0063693D">
            <w:pPr>
              <w:jc w:val="center"/>
              <w:rPr>
                <w:sz w:val="20"/>
                <w:szCs w:val="20"/>
              </w:rPr>
            </w:pPr>
            <w:r>
              <w:rPr>
                <w:sz w:val="20"/>
                <w:szCs w:val="20"/>
              </w:rPr>
              <w:t>?</w:t>
            </w:r>
          </w:p>
        </w:tc>
        <w:tc>
          <w:tcPr>
            <w:tcW w:w="1647" w:type="dxa"/>
            <w:shd w:val="clear" w:color="auto" w:fill="FFFF00"/>
          </w:tcPr>
          <w:p w14:paraId="705F75EF" w14:textId="77777777" w:rsidR="00E74E8D" w:rsidRPr="00961231" w:rsidRDefault="00E74E8D" w:rsidP="0063693D">
            <w:pPr>
              <w:jc w:val="center"/>
              <w:rPr>
                <w:sz w:val="20"/>
                <w:szCs w:val="20"/>
              </w:rPr>
            </w:pPr>
            <w:r>
              <w:rPr>
                <w:sz w:val="20"/>
                <w:szCs w:val="20"/>
              </w:rPr>
              <w:t>?</w:t>
            </w:r>
          </w:p>
        </w:tc>
        <w:tc>
          <w:tcPr>
            <w:tcW w:w="1647" w:type="dxa"/>
            <w:shd w:val="clear" w:color="auto" w:fill="92D050"/>
          </w:tcPr>
          <w:p w14:paraId="193C490A" w14:textId="77777777" w:rsidR="00E74E8D" w:rsidRPr="00514290" w:rsidRDefault="00E74E8D" w:rsidP="0063693D">
            <w:pPr>
              <w:jc w:val="center"/>
              <w:rPr>
                <w:sz w:val="20"/>
                <w:szCs w:val="20"/>
              </w:rPr>
            </w:pPr>
            <w:r w:rsidRPr="00514290">
              <w:rPr>
                <w:sz w:val="20"/>
                <w:szCs w:val="20"/>
              </w:rPr>
              <w:t>-</w:t>
            </w:r>
          </w:p>
        </w:tc>
        <w:tc>
          <w:tcPr>
            <w:tcW w:w="1647" w:type="dxa"/>
            <w:shd w:val="clear" w:color="auto" w:fill="92D050"/>
          </w:tcPr>
          <w:p w14:paraId="38CAB7CF" w14:textId="77777777" w:rsidR="00E74E8D" w:rsidRPr="00514290" w:rsidRDefault="00E74E8D" w:rsidP="0063693D">
            <w:pPr>
              <w:jc w:val="center"/>
              <w:rPr>
                <w:sz w:val="20"/>
                <w:szCs w:val="20"/>
              </w:rPr>
            </w:pPr>
            <w:r w:rsidRPr="00514290">
              <w:rPr>
                <w:sz w:val="20"/>
                <w:szCs w:val="20"/>
              </w:rPr>
              <w:t>-</w:t>
            </w:r>
          </w:p>
        </w:tc>
        <w:tc>
          <w:tcPr>
            <w:tcW w:w="1647" w:type="dxa"/>
            <w:shd w:val="clear" w:color="auto" w:fill="FFFF00"/>
          </w:tcPr>
          <w:p w14:paraId="53FA5C5C" w14:textId="77777777" w:rsidR="00E74E8D" w:rsidRPr="00961231" w:rsidRDefault="00E74E8D" w:rsidP="0063693D">
            <w:pPr>
              <w:jc w:val="center"/>
              <w:rPr>
                <w:sz w:val="20"/>
                <w:szCs w:val="20"/>
              </w:rPr>
            </w:pPr>
            <w:r>
              <w:rPr>
                <w:sz w:val="20"/>
                <w:szCs w:val="20"/>
              </w:rPr>
              <w:t>?</w:t>
            </w:r>
          </w:p>
        </w:tc>
        <w:tc>
          <w:tcPr>
            <w:tcW w:w="1647" w:type="dxa"/>
            <w:shd w:val="clear" w:color="auto" w:fill="FFFF00"/>
          </w:tcPr>
          <w:p w14:paraId="46B61F4C" w14:textId="77777777" w:rsidR="00E74E8D" w:rsidRPr="00961231" w:rsidRDefault="00E74E8D" w:rsidP="0063693D">
            <w:pPr>
              <w:jc w:val="center"/>
              <w:rPr>
                <w:sz w:val="20"/>
                <w:szCs w:val="20"/>
              </w:rPr>
            </w:pPr>
            <w:r>
              <w:rPr>
                <w:sz w:val="20"/>
                <w:szCs w:val="20"/>
              </w:rPr>
              <w:t>?</w:t>
            </w:r>
          </w:p>
        </w:tc>
        <w:tc>
          <w:tcPr>
            <w:tcW w:w="1647" w:type="dxa"/>
            <w:shd w:val="clear" w:color="auto" w:fill="FFFF00"/>
          </w:tcPr>
          <w:p w14:paraId="53DB7356" w14:textId="77777777" w:rsidR="00E74E8D" w:rsidRPr="00961231" w:rsidRDefault="00E74E8D" w:rsidP="0063693D">
            <w:pPr>
              <w:jc w:val="center"/>
              <w:rPr>
                <w:sz w:val="20"/>
                <w:szCs w:val="20"/>
              </w:rPr>
            </w:pPr>
            <w:r>
              <w:rPr>
                <w:sz w:val="20"/>
                <w:szCs w:val="20"/>
              </w:rPr>
              <w:t>?</w:t>
            </w:r>
          </w:p>
        </w:tc>
      </w:tr>
      <w:tr w:rsidR="00B03330" w:rsidRPr="00961231" w14:paraId="13E2255D" w14:textId="77777777" w:rsidTr="0063693D">
        <w:tc>
          <w:tcPr>
            <w:tcW w:w="1647" w:type="dxa"/>
          </w:tcPr>
          <w:p w14:paraId="6DABEB4C" w14:textId="77777777" w:rsidR="00B03330" w:rsidRPr="00E967E7" w:rsidRDefault="00B03330" w:rsidP="00E967E7">
            <w:pPr>
              <w:rPr>
                <w:sz w:val="20"/>
                <w:szCs w:val="20"/>
              </w:rPr>
            </w:pPr>
            <w:r w:rsidRPr="00E967E7">
              <w:rPr>
                <w:sz w:val="20"/>
                <w:szCs w:val="20"/>
              </w:rPr>
              <w:t>Caraccio 2005</w:t>
            </w:r>
          </w:p>
        </w:tc>
        <w:tc>
          <w:tcPr>
            <w:tcW w:w="1647" w:type="dxa"/>
            <w:shd w:val="clear" w:color="auto" w:fill="FFFF00"/>
          </w:tcPr>
          <w:p w14:paraId="776EC25C" w14:textId="77777777" w:rsidR="00B03330" w:rsidRDefault="00B03330" w:rsidP="0063693D">
            <w:pPr>
              <w:jc w:val="center"/>
              <w:rPr>
                <w:sz w:val="20"/>
                <w:szCs w:val="20"/>
              </w:rPr>
            </w:pPr>
            <w:r>
              <w:rPr>
                <w:sz w:val="20"/>
                <w:szCs w:val="20"/>
              </w:rPr>
              <w:t>?</w:t>
            </w:r>
          </w:p>
        </w:tc>
        <w:tc>
          <w:tcPr>
            <w:tcW w:w="1647" w:type="dxa"/>
            <w:shd w:val="clear" w:color="auto" w:fill="FFFF00"/>
          </w:tcPr>
          <w:p w14:paraId="6F233815" w14:textId="77777777" w:rsidR="00B03330" w:rsidRDefault="00B03330" w:rsidP="0063693D">
            <w:pPr>
              <w:jc w:val="center"/>
              <w:rPr>
                <w:sz w:val="20"/>
                <w:szCs w:val="20"/>
              </w:rPr>
            </w:pPr>
            <w:r>
              <w:rPr>
                <w:sz w:val="20"/>
                <w:szCs w:val="20"/>
              </w:rPr>
              <w:t>?</w:t>
            </w:r>
          </w:p>
        </w:tc>
        <w:tc>
          <w:tcPr>
            <w:tcW w:w="1647" w:type="dxa"/>
            <w:shd w:val="clear" w:color="auto" w:fill="92D050"/>
          </w:tcPr>
          <w:p w14:paraId="352B76CA" w14:textId="77777777" w:rsidR="00B03330" w:rsidRPr="00514290" w:rsidRDefault="00B03330" w:rsidP="0063693D">
            <w:pPr>
              <w:jc w:val="center"/>
              <w:rPr>
                <w:sz w:val="20"/>
                <w:szCs w:val="20"/>
              </w:rPr>
            </w:pPr>
            <w:r w:rsidRPr="00514290">
              <w:rPr>
                <w:sz w:val="20"/>
                <w:szCs w:val="20"/>
              </w:rPr>
              <w:t>-</w:t>
            </w:r>
          </w:p>
        </w:tc>
        <w:tc>
          <w:tcPr>
            <w:tcW w:w="1647" w:type="dxa"/>
            <w:shd w:val="clear" w:color="auto" w:fill="92D050"/>
          </w:tcPr>
          <w:p w14:paraId="5F78F248" w14:textId="77777777" w:rsidR="00B03330" w:rsidRPr="00514290" w:rsidRDefault="00B03330" w:rsidP="0063693D">
            <w:pPr>
              <w:jc w:val="center"/>
              <w:rPr>
                <w:sz w:val="20"/>
                <w:szCs w:val="20"/>
              </w:rPr>
            </w:pPr>
            <w:r w:rsidRPr="00514290">
              <w:rPr>
                <w:sz w:val="20"/>
                <w:szCs w:val="20"/>
              </w:rPr>
              <w:t>-</w:t>
            </w:r>
          </w:p>
        </w:tc>
        <w:tc>
          <w:tcPr>
            <w:tcW w:w="1647" w:type="dxa"/>
            <w:shd w:val="clear" w:color="auto" w:fill="92D050"/>
          </w:tcPr>
          <w:p w14:paraId="3DF39843" w14:textId="77777777" w:rsidR="00B03330" w:rsidRPr="00514290" w:rsidRDefault="00B03330" w:rsidP="0063693D">
            <w:pPr>
              <w:jc w:val="center"/>
              <w:rPr>
                <w:sz w:val="20"/>
                <w:szCs w:val="20"/>
              </w:rPr>
            </w:pPr>
            <w:r w:rsidRPr="00514290">
              <w:rPr>
                <w:sz w:val="20"/>
                <w:szCs w:val="20"/>
              </w:rPr>
              <w:t>-</w:t>
            </w:r>
          </w:p>
        </w:tc>
        <w:tc>
          <w:tcPr>
            <w:tcW w:w="1647" w:type="dxa"/>
            <w:shd w:val="clear" w:color="auto" w:fill="FFFF00"/>
          </w:tcPr>
          <w:p w14:paraId="45250F97" w14:textId="77777777" w:rsidR="00B03330" w:rsidRDefault="00B03330" w:rsidP="0063693D">
            <w:pPr>
              <w:jc w:val="center"/>
              <w:rPr>
                <w:sz w:val="20"/>
                <w:szCs w:val="20"/>
              </w:rPr>
            </w:pPr>
            <w:r>
              <w:rPr>
                <w:sz w:val="20"/>
                <w:szCs w:val="20"/>
              </w:rPr>
              <w:t>?</w:t>
            </w:r>
          </w:p>
        </w:tc>
        <w:tc>
          <w:tcPr>
            <w:tcW w:w="1647" w:type="dxa"/>
            <w:shd w:val="clear" w:color="auto" w:fill="FFFF00"/>
          </w:tcPr>
          <w:p w14:paraId="39D3F81C" w14:textId="77777777" w:rsidR="00B03330" w:rsidRDefault="00B03330" w:rsidP="0063693D">
            <w:pPr>
              <w:jc w:val="center"/>
              <w:rPr>
                <w:sz w:val="20"/>
                <w:szCs w:val="20"/>
              </w:rPr>
            </w:pPr>
            <w:r>
              <w:rPr>
                <w:sz w:val="20"/>
                <w:szCs w:val="20"/>
              </w:rPr>
              <w:t>?</w:t>
            </w:r>
          </w:p>
        </w:tc>
      </w:tr>
      <w:tr w:rsidR="00B03330" w:rsidRPr="00961231" w14:paraId="6E61EA37" w14:textId="77777777" w:rsidTr="0063693D">
        <w:tc>
          <w:tcPr>
            <w:tcW w:w="1647" w:type="dxa"/>
          </w:tcPr>
          <w:p w14:paraId="65C0166F" w14:textId="77777777" w:rsidR="00B03330" w:rsidRPr="00E967E7" w:rsidRDefault="00B03330" w:rsidP="00E967E7">
            <w:pPr>
              <w:rPr>
                <w:sz w:val="20"/>
                <w:szCs w:val="20"/>
              </w:rPr>
            </w:pPr>
            <w:r w:rsidRPr="00E967E7">
              <w:rPr>
                <w:sz w:val="20"/>
                <w:szCs w:val="20"/>
              </w:rPr>
              <w:t>Duman 2007</w:t>
            </w:r>
          </w:p>
        </w:tc>
        <w:tc>
          <w:tcPr>
            <w:tcW w:w="1647" w:type="dxa"/>
            <w:shd w:val="clear" w:color="auto" w:fill="FFFF00"/>
          </w:tcPr>
          <w:p w14:paraId="15297C44"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7390EB4E"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19A00ECB" w14:textId="77777777" w:rsidR="00B03330" w:rsidRPr="00514290" w:rsidRDefault="00B03330" w:rsidP="0063693D">
            <w:pPr>
              <w:jc w:val="center"/>
              <w:rPr>
                <w:sz w:val="20"/>
                <w:szCs w:val="20"/>
              </w:rPr>
            </w:pPr>
            <w:r w:rsidRPr="00514290">
              <w:rPr>
                <w:sz w:val="20"/>
                <w:szCs w:val="20"/>
              </w:rPr>
              <w:t>-</w:t>
            </w:r>
          </w:p>
        </w:tc>
        <w:tc>
          <w:tcPr>
            <w:tcW w:w="1647" w:type="dxa"/>
            <w:shd w:val="clear" w:color="auto" w:fill="92D050"/>
          </w:tcPr>
          <w:p w14:paraId="2C64342D" w14:textId="77777777" w:rsidR="00B03330" w:rsidRPr="00514290" w:rsidRDefault="00B03330" w:rsidP="0063693D">
            <w:pPr>
              <w:jc w:val="center"/>
              <w:rPr>
                <w:sz w:val="20"/>
                <w:szCs w:val="20"/>
              </w:rPr>
            </w:pPr>
            <w:r w:rsidRPr="00514290">
              <w:rPr>
                <w:sz w:val="20"/>
                <w:szCs w:val="20"/>
              </w:rPr>
              <w:t>-</w:t>
            </w:r>
          </w:p>
        </w:tc>
        <w:tc>
          <w:tcPr>
            <w:tcW w:w="1647" w:type="dxa"/>
            <w:shd w:val="clear" w:color="auto" w:fill="92D050"/>
          </w:tcPr>
          <w:p w14:paraId="1B325F31" w14:textId="77777777" w:rsidR="00B03330" w:rsidRPr="00514290" w:rsidRDefault="00B03330" w:rsidP="0063693D">
            <w:pPr>
              <w:jc w:val="center"/>
              <w:rPr>
                <w:sz w:val="20"/>
                <w:szCs w:val="20"/>
              </w:rPr>
            </w:pPr>
            <w:r w:rsidRPr="00514290">
              <w:rPr>
                <w:sz w:val="20"/>
                <w:szCs w:val="20"/>
              </w:rPr>
              <w:t>-</w:t>
            </w:r>
          </w:p>
        </w:tc>
        <w:tc>
          <w:tcPr>
            <w:tcW w:w="1647" w:type="dxa"/>
            <w:shd w:val="clear" w:color="auto" w:fill="FFFF00"/>
          </w:tcPr>
          <w:p w14:paraId="767AA128"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59856AE0" w14:textId="77777777" w:rsidR="00B03330" w:rsidRPr="00961231" w:rsidRDefault="00B03330" w:rsidP="0063693D">
            <w:pPr>
              <w:jc w:val="center"/>
              <w:rPr>
                <w:sz w:val="20"/>
                <w:szCs w:val="20"/>
              </w:rPr>
            </w:pPr>
            <w:r>
              <w:rPr>
                <w:sz w:val="20"/>
                <w:szCs w:val="20"/>
              </w:rPr>
              <w:t>?</w:t>
            </w:r>
          </w:p>
        </w:tc>
      </w:tr>
      <w:tr w:rsidR="00B03330" w:rsidRPr="00961231" w14:paraId="0E2C375D" w14:textId="77777777" w:rsidTr="0063693D">
        <w:tc>
          <w:tcPr>
            <w:tcW w:w="1647" w:type="dxa"/>
          </w:tcPr>
          <w:p w14:paraId="3D632DD3" w14:textId="77777777" w:rsidR="00B03330" w:rsidRPr="00E967E7" w:rsidRDefault="00B03330" w:rsidP="00E967E7">
            <w:pPr>
              <w:rPr>
                <w:sz w:val="20"/>
                <w:szCs w:val="20"/>
              </w:rPr>
            </w:pPr>
            <w:r w:rsidRPr="00E967E7">
              <w:rPr>
                <w:sz w:val="20"/>
                <w:szCs w:val="20"/>
              </w:rPr>
              <w:t>Fadeyav 2006</w:t>
            </w:r>
          </w:p>
        </w:tc>
        <w:tc>
          <w:tcPr>
            <w:tcW w:w="1647" w:type="dxa"/>
            <w:shd w:val="clear" w:color="auto" w:fill="92D050"/>
          </w:tcPr>
          <w:p w14:paraId="20E1DC95" w14:textId="77777777" w:rsidR="00B03330" w:rsidRPr="00514290" w:rsidRDefault="00B03330" w:rsidP="0063693D">
            <w:pPr>
              <w:jc w:val="center"/>
              <w:rPr>
                <w:sz w:val="20"/>
                <w:szCs w:val="20"/>
              </w:rPr>
            </w:pPr>
            <w:r w:rsidRPr="00514290">
              <w:rPr>
                <w:sz w:val="20"/>
                <w:szCs w:val="20"/>
              </w:rPr>
              <w:t>-</w:t>
            </w:r>
          </w:p>
        </w:tc>
        <w:tc>
          <w:tcPr>
            <w:tcW w:w="1647" w:type="dxa"/>
            <w:shd w:val="clear" w:color="auto" w:fill="FF0000"/>
          </w:tcPr>
          <w:p w14:paraId="13D80D4F" w14:textId="77777777" w:rsidR="00B03330" w:rsidRPr="00961231" w:rsidRDefault="00B03330" w:rsidP="0063693D">
            <w:pPr>
              <w:jc w:val="center"/>
              <w:rPr>
                <w:sz w:val="20"/>
                <w:szCs w:val="20"/>
              </w:rPr>
            </w:pPr>
            <w:r>
              <w:rPr>
                <w:sz w:val="20"/>
                <w:szCs w:val="20"/>
              </w:rPr>
              <w:t>+</w:t>
            </w:r>
          </w:p>
        </w:tc>
        <w:tc>
          <w:tcPr>
            <w:tcW w:w="1647" w:type="dxa"/>
            <w:shd w:val="clear" w:color="auto" w:fill="FF0000"/>
          </w:tcPr>
          <w:p w14:paraId="6283469F"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61392112"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67B68B2D"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61061CCE" w14:textId="77777777" w:rsidR="00B03330" w:rsidRPr="00961231" w:rsidRDefault="00B03330" w:rsidP="0063693D">
            <w:pPr>
              <w:jc w:val="center"/>
              <w:rPr>
                <w:sz w:val="20"/>
                <w:szCs w:val="20"/>
              </w:rPr>
            </w:pPr>
            <w:r>
              <w:rPr>
                <w:sz w:val="20"/>
                <w:szCs w:val="20"/>
              </w:rPr>
              <w:t>?</w:t>
            </w:r>
          </w:p>
        </w:tc>
        <w:tc>
          <w:tcPr>
            <w:tcW w:w="1647" w:type="dxa"/>
            <w:shd w:val="clear" w:color="auto" w:fill="FF0000"/>
          </w:tcPr>
          <w:p w14:paraId="428BF469" w14:textId="77777777" w:rsidR="00B03330" w:rsidRPr="00961231" w:rsidRDefault="00B03330" w:rsidP="0063693D">
            <w:pPr>
              <w:jc w:val="center"/>
              <w:rPr>
                <w:sz w:val="20"/>
                <w:szCs w:val="20"/>
              </w:rPr>
            </w:pPr>
            <w:r>
              <w:rPr>
                <w:sz w:val="20"/>
                <w:szCs w:val="20"/>
              </w:rPr>
              <w:t>+</w:t>
            </w:r>
          </w:p>
        </w:tc>
      </w:tr>
      <w:tr w:rsidR="00B03330" w:rsidRPr="00961231" w14:paraId="7D7E0A2C" w14:textId="77777777" w:rsidTr="0063693D">
        <w:tc>
          <w:tcPr>
            <w:tcW w:w="1647" w:type="dxa"/>
          </w:tcPr>
          <w:p w14:paraId="5154AEBF" w14:textId="77777777" w:rsidR="00B03330" w:rsidRPr="00E967E7" w:rsidRDefault="00B03330" w:rsidP="00E967E7">
            <w:pPr>
              <w:rPr>
                <w:sz w:val="20"/>
                <w:szCs w:val="20"/>
              </w:rPr>
            </w:pPr>
            <w:r w:rsidRPr="00E967E7">
              <w:rPr>
                <w:sz w:val="20"/>
                <w:szCs w:val="20"/>
              </w:rPr>
              <w:t>Iqbal 2006</w:t>
            </w:r>
          </w:p>
        </w:tc>
        <w:tc>
          <w:tcPr>
            <w:tcW w:w="1647" w:type="dxa"/>
            <w:shd w:val="clear" w:color="auto" w:fill="FFFF00"/>
          </w:tcPr>
          <w:p w14:paraId="38C0A590"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519C466D"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73469784"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762F8D93"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19572C87"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4053EEB7"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6EF9BABE" w14:textId="77777777" w:rsidR="00B03330" w:rsidRPr="00961231" w:rsidRDefault="00B03330" w:rsidP="0063693D">
            <w:pPr>
              <w:jc w:val="center"/>
              <w:rPr>
                <w:sz w:val="20"/>
                <w:szCs w:val="20"/>
              </w:rPr>
            </w:pPr>
            <w:r>
              <w:rPr>
                <w:sz w:val="20"/>
                <w:szCs w:val="20"/>
              </w:rPr>
              <w:t>?</w:t>
            </w:r>
          </w:p>
        </w:tc>
      </w:tr>
      <w:tr w:rsidR="00B03330" w:rsidRPr="00961231" w14:paraId="105D5B4E" w14:textId="77777777" w:rsidTr="0063693D">
        <w:tc>
          <w:tcPr>
            <w:tcW w:w="1647" w:type="dxa"/>
          </w:tcPr>
          <w:p w14:paraId="675943A0" w14:textId="77777777" w:rsidR="00B03330" w:rsidRPr="00E967E7" w:rsidRDefault="00B03330" w:rsidP="00E967E7">
            <w:pPr>
              <w:rPr>
                <w:sz w:val="20"/>
                <w:szCs w:val="20"/>
              </w:rPr>
            </w:pPr>
            <w:r w:rsidRPr="00E967E7">
              <w:rPr>
                <w:sz w:val="20"/>
                <w:szCs w:val="20"/>
              </w:rPr>
              <w:t>Jorde 2006</w:t>
            </w:r>
          </w:p>
        </w:tc>
        <w:tc>
          <w:tcPr>
            <w:tcW w:w="1647" w:type="dxa"/>
            <w:shd w:val="clear" w:color="auto" w:fill="FFFF00"/>
          </w:tcPr>
          <w:p w14:paraId="668444E3"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7B53AAA7"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53C6C1FA"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0B0C70A9"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774AB8E4"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08A3F732"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154EF017" w14:textId="77777777" w:rsidR="00B03330" w:rsidRPr="00961231" w:rsidRDefault="00B03330" w:rsidP="0063693D">
            <w:pPr>
              <w:jc w:val="center"/>
              <w:rPr>
                <w:sz w:val="20"/>
                <w:szCs w:val="20"/>
              </w:rPr>
            </w:pPr>
            <w:r>
              <w:rPr>
                <w:sz w:val="20"/>
                <w:szCs w:val="20"/>
              </w:rPr>
              <w:t>?</w:t>
            </w:r>
          </w:p>
        </w:tc>
      </w:tr>
      <w:tr w:rsidR="00B03330" w:rsidRPr="00961231" w14:paraId="4D3C0462" w14:textId="77777777" w:rsidTr="0063693D">
        <w:tc>
          <w:tcPr>
            <w:tcW w:w="1647" w:type="dxa"/>
          </w:tcPr>
          <w:p w14:paraId="6884749C" w14:textId="77777777" w:rsidR="00B03330" w:rsidRPr="00E967E7" w:rsidRDefault="00B03330" w:rsidP="00E967E7">
            <w:pPr>
              <w:rPr>
                <w:sz w:val="20"/>
                <w:szCs w:val="20"/>
              </w:rPr>
            </w:pPr>
            <w:r w:rsidRPr="00E967E7">
              <w:rPr>
                <w:sz w:val="20"/>
                <w:szCs w:val="20"/>
              </w:rPr>
              <w:t>Liu 2015</w:t>
            </w:r>
          </w:p>
        </w:tc>
        <w:tc>
          <w:tcPr>
            <w:tcW w:w="1647" w:type="dxa"/>
            <w:shd w:val="clear" w:color="auto" w:fill="92D050"/>
          </w:tcPr>
          <w:p w14:paraId="3C7A6422" w14:textId="77777777" w:rsidR="00B03330" w:rsidRPr="00514290" w:rsidRDefault="00B03330" w:rsidP="0063693D">
            <w:pPr>
              <w:jc w:val="center"/>
              <w:rPr>
                <w:sz w:val="20"/>
                <w:szCs w:val="20"/>
              </w:rPr>
            </w:pPr>
            <w:r w:rsidRPr="00514290">
              <w:rPr>
                <w:sz w:val="20"/>
                <w:szCs w:val="20"/>
              </w:rPr>
              <w:t>-</w:t>
            </w:r>
          </w:p>
        </w:tc>
        <w:tc>
          <w:tcPr>
            <w:tcW w:w="1647" w:type="dxa"/>
            <w:shd w:val="clear" w:color="auto" w:fill="FFFF00"/>
          </w:tcPr>
          <w:p w14:paraId="3E602F90"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0B0D7E88"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1FBBEB5E"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07414553"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6E0D4243"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0DB3FEA0" w14:textId="77777777" w:rsidR="00B03330" w:rsidRPr="00961231" w:rsidRDefault="00B03330" w:rsidP="0063693D">
            <w:pPr>
              <w:jc w:val="center"/>
              <w:rPr>
                <w:sz w:val="20"/>
                <w:szCs w:val="20"/>
              </w:rPr>
            </w:pPr>
            <w:r>
              <w:rPr>
                <w:sz w:val="20"/>
                <w:szCs w:val="20"/>
              </w:rPr>
              <w:t>?</w:t>
            </w:r>
          </w:p>
        </w:tc>
      </w:tr>
      <w:tr w:rsidR="00B03330" w:rsidRPr="00961231" w14:paraId="40BF0B41" w14:textId="77777777" w:rsidTr="0063693D">
        <w:tc>
          <w:tcPr>
            <w:tcW w:w="1647" w:type="dxa"/>
          </w:tcPr>
          <w:p w14:paraId="12810FA7" w14:textId="77777777" w:rsidR="00B03330" w:rsidRPr="00E967E7" w:rsidRDefault="00B03330" w:rsidP="00E967E7">
            <w:pPr>
              <w:rPr>
                <w:sz w:val="20"/>
                <w:szCs w:val="20"/>
              </w:rPr>
            </w:pPr>
            <w:r w:rsidRPr="00E967E7">
              <w:rPr>
                <w:sz w:val="20"/>
                <w:szCs w:val="20"/>
              </w:rPr>
              <w:t>Mainenti 2009</w:t>
            </w:r>
          </w:p>
        </w:tc>
        <w:tc>
          <w:tcPr>
            <w:tcW w:w="1647" w:type="dxa"/>
            <w:shd w:val="clear" w:color="auto" w:fill="FFFF00"/>
          </w:tcPr>
          <w:p w14:paraId="7C422A4B"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115D7B08" w14:textId="77777777" w:rsidR="00B03330" w:rsidRPr="00961231" w:rsidRDefault="00B03330" w:rsidP="0063693D">
            <w:pPr>
              <w:jc w:val="center"/>
              <w:rPr>
                <w:sz w:val="20"/>
                <w:szCs w:val="20"/>
              </w:rPr>
            </w:pPr>
            <w:r>
              <w:rPr>
                <w:sz w:val="20"/>
                <w:szCs w:val="20"/>
              </w:rPr>
              <w:t>?</w:t>
            </w:r>
          </w:p>
        </w:tc>
        <w:tc>
          <w:tcPr>
            <w:tcW w:w="1647" w:type="dxa"/>
            <w:shd w:val="clear" w:color="auto" w:fill="FF0000"/>
          </w:tcPr>
          <w:p w14:paraId="4A459814"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6AE81D9E"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65C514E2"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54BEFDE3"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3E1EDADC" w14:textId="77777777" w:rsidR="00B03330" w:rsidRPr="00961231" w:rsidRDefault="00B03330" w:rsidP="0063693D">
            <w:pPr>
              <w:jc w:val="center"/>
              <w:rPr>
                <w:sz w:val="20"/>
                <w:szCs w:val="20"/>
              </w:rPr>
            </w:pPr>
            <w:r>
              <w:rPr>
                <w:sz w:val="20"/>
                <w:szCs w:val="20"/>
              </w:rPr>
              <w:t>?</w:t>
            </w:r>
          </w:p>
        </w:tc>
      </w:tr>
      <w:tr w:rsidR="00B03330" w:rsidRPr="00961231" w14:paraId="19309297" w14:textId="77777777" w:rsidTr="0063693D">
        <w:tc>
          <w:tcPr>
            <w:tcW w:w="1647" w:type="dxa"/>
          </w:tcPr>
          <w:p w14:paraId="7C1F9493" w14:textId="77777777" w:rsidR="00B03330" w:rsidRPr="00E967E7" w:rsidRDefault="00B03330" w:rsidP="00E967E7">
            <w:pPr>
              <w:rPr>
                <w:sz w:val="20"/>
                <w:szCs w:val="20"/>
              </w:rPr>
            </w:pPr>
            <w:r w:rsidRPr="00E967E7">
              <w:rPr>
                <w:sz w:val="20"/>
                <w:szCs w:val="20"/>
              </w:rPr>
              <w:t>Mikhail 2008</w:t>
            </w:r>
          </w:p>
        </w:tc>
        <w:tc>
          <w:tcPr>
            <w:tcW w:w="1647" w:type="dxa"/>
            <w:shd w:val="clear" w:color="auto" w:fill="FFFF00"/>
          </w:tcPr>
          <w:p w14:paraId="6293D50B"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5C60FAC2"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0F80D6AC"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5CB83111"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213F35F0"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11050D16"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09D3B0C1" w14:textId="77777777" w:rsidR="00B03330" w:rsidRPr="00961231" w:rsidRDefault="00B03330" w:rsidP="0063693D">
            <w:pPr>
              <w:jc w:val="center"/>
              <w:rPr>
                <w:sz w:val="20"/>
                <w:szCs w:val="20"/>
              </w:rPr>
            </w:pPr>
            <w:r>
              <w:rPr>
                <w:sz w:val="20"/>
                <w:szCs w:val="20"/>
              </w:rPr>
              <w:t>?</w:t>
            </w:r>
          </w:p>
        </w:tc>
      </w:tr>
      <w:tr w:rsidR="00B03330" w:rsidRPr="00961231" w14:paraId="613FCC93" w14:textId="77777777" w:rsidTr="0063693D">
        <w:tc>
          <w:tcPr>
            <w:tcW w:w="1647" w:type="dxa"/>
          </w:tcPr>
          <w:p w14:paraId="7774605A" w14:textId="77777777" w:rsidR="00B03330" w:rsidRPr="00E967E7" w:rsidRDefault="00B03330" w:rsidP="00E967E7">
            <w:pPr>
              <w:rPr>
                <w:sz w:val="20"/>
                <w:szCs w:val="20"/>
              </w:rPr>
            </w:pPr>
            <w:r w:rsidRPr="00E967E7">
              <w:rPr>
                <w:sz w:val="20"/>
                <w:szCs w:val="20"/>
              </w:rPr>
              <w:t>Monzani 2001</w:t>
            </w:r>
          </w:p>
        </w:tc>
        <w:tc>
          <w:tcPr>
            <w:tcW w:w="1647" w:type="dxa"/>
            <w:shd w:val="clear" w:color="auto" w:fill="FFFF00"/>
          </w:tcPr>
          <w:p w14:paraId="46A1510F"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35AF89BC"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2A43D09B"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06A6A5F3"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4239145F"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22CF6A16"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0A25A536" w14:textId="77777777" w:rsidR="00B03330" w:rsidRPr="00961231" w:rsidRDefault="00B03330" w:rsidP="0063693D">
            <w:pPr>
              <w:jc w:val="center"/>
              <w:rPr>
                <w:sz w:val="20"/>
                <w:szCs w:val="20"/>
              </w:rPr>
            </w:pPr>
            <w:r>
              <w:rPr>
                <w:sz w:val="20"/>
                <w:szCs w:val="20"/>
              </w:rPr>
              <w:t>?</w:t>
            </w:r>
          </w:p>
        </w:tc>
      </w:tr>
      <w:tr w:rsidR="00B03330" w:rsidRPr="00961231" w14:paraId="51D724FC" w14:textId="77777777" w:rsidTr="0063693D">
        <w:tc>
          <w:tcPr>
            <w:tcW w:w="1647" w:type="dxa"/>
          </w:tcPr>
          <w:p w14:paraId="679819F0" w14:textId="77777777" w:rsidR="00B03330" w:rsidRPr="00E967E7" w:rsidRDefault="00B03330" w:rsidP="00E967E7">
            <w:pPr>
              <w:rPr>
                <w:sz w:val="20"/>
                <w:szCs w:val="20"/>
              </w:rPr>
            </w:pPr>
            <w:r w:rsidRPr="00E967E7">
              <w:rPr>
                <w:sz w:val="20"/>
                <w:szCs w:val="20"/>
              </w:rPr>
              <w:t>Monzani 2004</w:t>
            </w:r>
          </w:p>
        </w:tc>
        <w:tc>
          <w:tcPr>
            <w:tcW w:w="1647" w:type="dxa"/>
            <w:shd w:val="clear" w:color="auto" w:fill="FFFF00"/>
          </w:tcPr>
          <w:p w14:paraId="5127F3AA"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04BB94AE"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2B439B79"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5BB036A4"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122D0893"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64AE9E75"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1A01CB0B" w14:textId="77777777" w:rsidR="00B03330" w:rsidRPr="00961231" w:rsidRDefault="00B03330" w:rsidP="0063693D">
            <w:pPr>
              <w:jc w:val="center"/>
              <w:rPr>
                <w:sz w:val="20"/>
                <w:szCs w:val="20"/>
              </w:rPr>
            </w:pPr>
            <w:r>
              <w:rPr>
                <w:sz w:val="20"/>
                <w:szCs w:val="20"/>
              </w:rPr>
              <w:t>?</w:t>
            </w:r>
          </w:p>
        </w:tc>
      </w:tr>
      <w:tr w:rsidR="00B03330" w:rsidRPr="00961231" w14:paraId="6A55EDB4" w14:textId="77777777" w:rsidTr="0063693D">
        <w:tc>
          <w:tcPr>
            <w:tcW w:w="1647" w:type="dxa"/>
          </w:tcPr>
          <w:p w14:paraId="45B2B608" w14:textId="77777777" w:rsidR="00B03330" w:rsidRPr="00E967E7" w:rsidRDefault="00B03330" w:rsidP="00E967E7">
            <w:pPr>
              <w:rPr>
                <w:sz w:val="20"/>
                <w:szCs w:val="20"/>
              </w:rPr>
            </w:pPr>
            <w:r w:rsidRPr="00E967E7">
              <w:rPr>
                <w:sz w:val="20"/>
                <w:szCs w:val="20"/>
              </w:rPr>
              <w:t>Nagasaki 2009</w:t>
            </w:r>
          </w:p>
        </w:tc>
        <w:tc>
          <w:tcPr>
            <w:tcW w:w="1647" w:type="dxa"/>
            <w:shd w:val="clear" w:color="auto" w:fill="FFFF00"/>
          </w:tcPr>
          <w:p w14:paraId="73FE2C9E"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79028FD2"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7254772D"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2D6CFE59"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49665FB1"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7771EE73"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68D5BA38" w14:textId="77777777" w:rsidR="00B03330" w:rsidRPr="00961231" w:rsidRDefault="00B03330" w:rsidP="0063693D">
            <w:pPr>
              <w:jc w:val="center"/>
              <w:rPr>
                <w:sz w:val="20"/>
                <w:szCs w:val="20"/>
              </w:rPr>
            </w:pPr>
            <w:r>
              <w:rPr>
                <w:sz w:val="20"/>
                <w:szCs w:val="20"/>
              </w:rPr>
              <w:t>?</w:t>
            </w:r>
          </w:p>
        </w:tc>
      </w:tr>
      <w:tr w:rsidR="00B03330" w:rsidRPr="00961231" w14:paraId="45435717" w14:textId="77777777" w:rsidTr="0063693D">
        <w:tc>
          <w:tcPr>
            <w:tcW w:w="1647" w:type="dxa"/>
          </w:tcPr>
          <w:p w14:paraId="7D8CF9CA" w14:textId="77777777" w:rsidR="00B03330" w:rsidRPr="00E967E7" w:rsidRDefault="00B03330" w:rsidP="00E967E7">
            <w:pPr>
              <w:rPr>
                <w:sz w:val="20"/>
                <w:szCs w:val="20"/>
              </w:rPr>
            </w:pPr>
            <w:r w:rsidRPr="00E967E7">
              <w:rPr>
                <w:sz w:val="20"/>
                <w:szCs w:val="20"/>
              </w:rPr>
              <w:t>Najafi 2015</w:t>
            </w:r>
          </w:p>
        </w:tc>
        <w:tc>
          <w:tcPr>
            <w:tcW w:w="1647" w:type="dxa"/>
            <w:shd w:val="clear" w:color="auto" w:fill="FF0000"/>
          </w:tcPr>
          <w:p w14:paraId="2457ADB3" w14:textId="77777777" w:rsidR="00B03330" w:rsidRPr="00961231" w:rsidRDefault="00B03330" w:rsidP="0063693D">
            <w:pPr>
              <w:tabs>
                <w:tab w:val="center" w:pos="715"/>
                <w:tab w:val="left" w:pos="1170"/>
              </w:tabs>
              <w:rPr>
                <w:sz w:val="20"/>
                <w:szCs w:val="20"/>
              </w:rPr>
            </w:pPr>
            <w:r>
              <w:rPr>
                <w:sz w:val="20"/>
                <w:szCs w:val="20"/>
              </w:rPr>
              <w:tab/>
              <w:t>+</w:t>
            </w:r>
            <w:r>
              <w:rPr>
                <w:sz w:val="20"/>
                <w:szCs w:val="20"/>
              </w:rPr>
              <w:tab/>
            </w:r>
          </w:p>
        </w:tc>
        <w:tc>
          <w:tcPr>
            <w:tcW w:w="1647" w:type="dxa"/>
            <w:shd w:val="clear" w:color="auto" w:fill="FFFF00"/>
          </w:tcPr>
          <w:p w14:paraId="52AF747B"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30148553"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1E4B978C"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550199E5"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3979BD55"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0E61493D" w14:textId="77777777" w:rsidR="00B03330" w:rsidRPr="00961231" w:rsidRDefault="00B03330" w:rsidP="0063693D">
            <w:pPr>
              <w:jc w:val="center"/>
              <w:rPr>
                <w:sz w:val="20"/>
                <w:szCs w:val="20"/>
              </w:rPr>
            </w:pPr>
            <w:r>
              <w:rPr>
                <w:sz w:val="20"/>
                <w:szCs w:val="20"/>
              </w:rPr>
              <w:t>?</w:t>
            </w:r>
          </w:p>
        </w:tc>
      </w:tr>
      <w:tr w:rsidR="00B03330" w:rsidRPr="00961231" w14:paraId="61BB3D15" w14:textId="77777777" w:rsidTr="0063693D">
        <w:tc>
          <w:tcPr>
            <w:tcW w:w="1647" w:type="dxa"/>
          </w:tcPr>
          <w:p w14:paraId="4370F475" w14:textId="77777777" w:rsidR="00B03330" w:rsidRPr="00E967E7" w:rsidRDefault="00B03330" w:rsidP="00E967E7">
            <w:pPr>
              <w:rPr>
                <w:sz w:val="20"/>
                <w:szCs w:val="20"/>
              </w:rPr>
            </w:pPr>
            <w:r w:rsidRPr="00E967E7">
              <w:rPr>
                <w:sz w:val="20"/>
                <w:szCs w:val="20"/>
              </w:rPr>
              <w:t>Parle 2010</w:t>
            </w:r>
          </w:p>
        </w:tc>
        <w:tc>
          <w:tcPr>
            <w:tcW w:w="1647" w:type="dxa"/>
            <w:shd w:val="clear" w:color="auto" w:fill="92D050"/>
          </w:tcPr>
          <w:p w14:paraId="5F5F03F2" w14:textId="77777777" w:rsidR="00B03330" w:rsidRPr="00514290" w:rsidRDefault="00B03330" w:rsidP="0063693D">
            <w:pPr>
              <w:jc w:val="center"/>
              <w:rPr>
                <w:sz w:val="20"/>
                <w:szCs w:val="20"/>
              </w:rPr>
            </w:pPr>
            <w:r w:rsidRPr="00514290">
              <w:rPr>
                <w:sz w:val="20"/>
                <w:szCs w:val="20"/>
              </w:rPr>
              <w:t>-</w:t>
            </w:r>
          </w:p>
        </w:tc>
        <w:tc>
          <w:tcPr>
            <w:tcW w:w="1647" w:type="dxa"/>
            <w:shd w:val="clear" w:color="auto" w:fill="FFFF00"/>
          </w:tcPr>
          <w:p w14:paraId="5B2733C7"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09FA4378"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60FB14D4" w14:textId="77777777" w:rsidR="00B03330" w:rsidRPr="00961231" w:rsidRDefault="00B03330" w:rsidP="0063693D">
            <w:pPr>
              <w:jc w:val="center"/>
              <w:rPr>
                <w:sz w:val="20"/>
                <w:szCs w:val="20"/>
              </w:rPr>
            </w:pPr>
            <w:r>
              <w:rPr>
                <w:sz w:val="20"/>
                <w:szCs w:val="20"/>
              </w:rPr>
              <w:t>-</w:t>
            </w:r>
          </w:p>
        </w:tc>
        <w:tc>
          <w:tcPr>
            <w:tcW w:w="1647" w:type="dxa"/>
            <w:shd w:val="clear" w:color="auto" w:fill="FF0000"/>
          </w:tcPr>
          <w:p w14:paraId="1B5AF8BC"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0C051779" w14:textId="77777777" w:rsidR="00B03330" w:rsidRPr="00961231" w:rsidRDefault="00B03330" w:rsidP="0063693D">
            <w:pPr>
              <w:jc w:val="center"/>
              <w:rPr>
                <w:sz w:val="20"/>
                <w:szCs w:val="20"/>
              </w:rPr>
            </w:pPr>
            <w:r>
              <w:rPr>
                <w:sz w:val="20"/>
                <w:szCs w:val="20"/>
              </w:rPr>
              <w:t>?</w:t>
            </w:r>
          </w:p>
        </w:tc>
        <w:tc>
          <w:tcPr>
            <w:tcW w:w="1647" w:type="dxa"/>
            <w:shd w:val="clear" w:color="auto" w:fill="FF0000"/>
          </w:tcPr>
          <w:p w14:paraId="3A6221E6" w14:textId="77777777" w:rsidR="00B03330" w:rsidRPr="00961231" w:rsidRDefault="00B03330" w:rsidP="0063693D">
            <w:pPr>
              <w:jc w:val="center"/>
              <w:rPr>
                <w:sz w:val="20"/>
                <w:szCs w:val="20"/>
              </w:rPr>
            </w:pPr>
            <w:r>
              <w:rPr>
                <w:sz w:val="20"/>
                <w:szCs w:val="20"/>
              </w:rPr>
              <w:t>+</w:t>
            </w:r>
          </w:p>
        </w:tc>
      </w:tr>
      <w:tr w:rsidR="00B03330" w:rsidRPr="00961231" w14:paraId="456DE5F4" w14:textId="77777777" w:rsidTr="0063693D">
        <w:tc>
          <w:tcPr>
            <w:tcW w:w="1647" w:type="dxa"/>
          </w:tcPr>
          <w:p w14:paraId="6723483C" w14:textId="77777777" w:rsidR="00B03330" w:rsidRPr="00E967E7" w:rsidRDefault="00B03330" w:rsidP="00E967E7">
            <w:pPr>
              <w:rPr>
                <w:sz w:val="20"/>
                <w:szCs w:val="20"/>
              </w:rPr>
            </w:pPr>
            <w:r w:rsidRPr="00E967E7">
              <w:rPr>
                <w:sz w:val="20"/>
                <w:szCs w:val="20"/>
              </w:rPr>
              <w:t>Reuters 2012</w:t>
            </w:r>
          </w:p>
        </w:tc>
        <w:tc>
          <w:tcPr>
            <w:tcW w:w="1647" w:type="dxa"/>
            <w:shd w:val="clear" w:color="auto" w:fill="FFFF00"/>
          </w:tcPr>
          <w:p w14:paraId="4F971E6E"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73774CBB"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42C79BEB"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7EB5551E" w14:textId="77777777" w:rsidR="00B03330" w:rsidRPr="00961231" w:rsidRDefault="00B03330" w:rsidP="0063693D">
            <w:pPr>
              <w:jc w:val="center"/>
              <w:rPr>
                <w:sz w:val="20"/>
                <w:szCs w:val="20"/>
              </w:rPr>
            </w:pPr>
            <w:r>
              <w:rPr>
                <w:sz w:val="20"/>
                <w:szCs w:val="20"/>
              </w:rPr>
              <w:t>?</w:t>
            </w:r>
          </w:p>
        </w:tc>
        <w:tc>
          <w:tcPr>
            <w:tcW w:w="1647" w:type="dxa"/>
            <w:shd w:val="clear" w:color="auto" w:fill="FF0000"/>
          </w:tcPr>
          <w:p w14:paraId="0D8F5C6F"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4FD9BD9A"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6F4BAE62" w14:textId="77777777" w:rsidR="00B03330" w:rsidRPr="00961231" w:rsidRDefault="00B03330" w:rsidP="0063693D">
            <w:pPr>
              <w:jc w:val="center"/>
              <w:rPr>
                <w:sz w:val="20"/>
                <w:szCs w:val="20"/>
              </w:rPr>
            </w:pPr>
            <w:r>
              <w:rPr>
                <w:sz w:val="20"/>
                <w:szCs w:val="20"/>
              </w:rPr>
              <w:t>?</w:t>
            </w:r>
          </w:p>
        </w:tc>
      </w:tr>
      <w:tr w:rsidR="00B03330" w:rsidRPr="00961231" w14:paraId="4DA85929" w14:textId="77777777" w:rsidTr="0063693D">
        <w:tc>
          <w:tcPr>
            <w:tcW w:w="1647" w:type="dxa"/>
          </w:tcPr>
          <w:p w14:paraId="241BA153" w14:textId="77777777" w:rsidR="00B03330" w:rsidRPr="00E967E7" w:rsidRDefault="00B03330" w:rsidP="00E967E7">
            <w:pPr>
              <w:rPr>
                <w:sz w:val="20"/>
                <w:szCs w:val="20"/>
              </w:rPr>
            </w:pPr>
            <w:r w:rsidRPr="00E967E7">
              <w:rPr>
                <w:sz w:val="20"/>
                <w:szCs w:val="20"/>
              </w:rPr>
              <w:t>Stott 2017</w:t>
            </w:r>
          </w:p>
        </w:tc>
        <w:tc>
          <w:tcPr>
            <w:tcW w:w="1647" w:type="dxa"/>
            <w:shd w:val="clear" w:color="auto" w:fill="92D050"/>
          </w:tcPr>
          <w:p w14:paraId="5308C544"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1284B2EC"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07D0CCD2"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704E59E5"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08DB9C95"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6C12B34D"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24759380" w14:textId="77777777" w:rsidR="00B03330" w:rsidRPr="00961231" w:rsidRDefault="00B03330" w:rsidP="0063693D">
            <w:pPr>
              <w:jc w:val="center"/>
              <w:rPr>
                <w:sz w:val="20"/>
                <w:szCs w:val="20"/>
              </w:rPr>
            </w:pPr>
            <w:r>
              <w:rPr>
                <w:sz w:val="20"/>
                <w:szCs w:val="20"/>
              </w:rPr>
              <w:t>-</w:t>
            </w:r>
          </w:p>
        </w:tc>
      </w:tr>
      <w:tr w:rsidR="00B03330" w:rsidRPr="00961231" w14:paraId="58643D2D" w14:textId="77777777" w:rsidTr="0063693D">
        <w:tc>
          <w:tcPr>
            <w:tcW w:w="1647" w:type="dxa"/>
            <w:shd w:val="clear" w:color="auto" w:fill="auto"/>
          </w:tcPr>
          <w:p w14:paraId="4E71548F" w14:textId="77777777" w:rsidR="00B03330" w:rsidRPr="00E967E7" w:rsidRDefault="00B03330" w:rsidP="00E967E7">
            <w:pPr>
              <w:rPr>
                <w:sz w:val="20"/>
                <w:szCs w:val="20"/>
              </w:rPr>
            </w:pPr>
            <w:r w:rsidRPr="00E967E7">
              <w:rPr>
                <w:sz w:val="20"/>
                <w:szCs w:val="20"/>
              </w:rPr>
              <w:t>Teixeira 2008a</w:t>
            </w:r>
          </w:p>
        </w:tc>
        <w:tc>
          <w:tcPr>
            <w:tcW w:w="1647" w:type="dxa"/>
            <w:shd w:val="clear" w:color="auto" w:fill="FFFF00"/>
          </w:tcPr>
          <w:p w14:paraId="6CC5C38B"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79EBA447"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600A3080" w14:textId="77777777" w:rsidR="00B03330" w:rsidRPr="00514290" w:rsidRDefault="00B03330" w:rsidP="0063693D">
            <w:pPr>
              <w:jc w:val="center"/>
              <w:rPr>
                <w:sz w:val="20"/>
                <w:szCs w:val="20"/>
              </w:rPr>
            </w:pPr>
            <w:r w:rsidRPr="00514290">
              <w:rPr>
                <w:sz w:val="20"/>
                <w:szCs w:val="20"/>
              </w:rPr>
              <w:t>-</w:t>
            </w:r>
          </w:p>
        </w:tc>
        <w:tc>
          <w:tcPr>
            <w:tcW w:w="1647" w:type="dxa"/>
            <w:shd w:val="clear" w:color="auto" w:fill="92D050"/>
          </w:tcPr>
          <w:p w14:paraId="01F39052" w14:textId="77777777" w:rsidR="00B03330" w:rsidRPr="00514290" w:rsidRDefault="00B03330" w:rsidP="0063693D">
            <w:pPr>
              <w:jc w:val="center"/>
              <w:rPr>
                <w:sz w:val="20"/>
                <w:szCs w:val="20"/>
              </w:rPr>
            </w:pPr>
            <w:r w:rsidRPr="00514290">
              <w:rPr>
                <w:sz w:val="20"/>
                <w:szCs w:val="20"/>
              </w:rPr>
              <w:t>-</w:t>
            </w:r>
          </w:p>
        </w:tc>
        <w:tc>
          <w:tcPr>
            <w:tcW w:w="1647" w:type="dxa"/>
            <w:shd w:val="clear" w:color="auto" w:fill="FF0000"/>
          </w:tcPr>
          <w:p w14:paraId="77F449E4"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71C3A132"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790BE52F" w14:textId="77777777" w:rsidR="00B03330" w:rsidRPr="00961231" w:rsidRDefault="00B03330" w:rsidP="0063693D">
            <w:pPr>
              <w:jc w:val="center"/>
              <w:rPr>
                <w:sz w:val="20"/>
                <w:szCs w:val="20"/>
              </w:rPr>
            </w:pPr>
            <w:r>
              <w:rPr>
                <w:sz w:val="20"/>
                <w:szCs w:val="20"/>
              </w:rPr>
              <w:t>?</w:t>
            </w:r>
          </w:p>
        </w:tc>
      </w:tr>
      <w:tr w:rsidR="00B03330" w:rsidRPr="00961231" w14:paraId="3CD166D9" w14:textId="77777777" w:rsidTr="0063693D">
        <w:tc>
          <w:tcPr>
            <w:tcW w:w="1647" w:type="dxa"/>
            <w:shd w:val="clear" w:color="auto" w:fill="auto"/>
          </w:tcPr>
          <w:p w14:paraId="188BBFFE" w14:textId="77777777" w:rsidR="00B03330" w:rsidRPr="00E967E7" w:rsidRDefault="00B03330" w:rsidP="00E967E7">
            <w:pPr>
              <w:rPr>
                <w:sz w:val="20"/>
                <w:szCs w:val="20"/>
              </w:rPr>
            </w:pPr>
            <w:r w:rsidRPr="00E967E7">
              <w:rPr>
                <w:sz w:val="20"/>
                <w:szCs w:val="20"/>
              </w:rPr>
              <w:t>Teixeira 2008b</w:t>
            </w:r>
          </w:p>
        </w:tc>
        <w:tc>
          <w:tcPr>
            <w:tcW w:w="1647" w:type="dxa"/>
            <w:shd w:val="clear" w:color="auto" w:fill="FFFF00"/>
          </w:tcPr>
          <w:p w14:paraId="4451222E"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77990D4F"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45A07E4B" w14:textId="77777777" w:rsidR="00B03330" w:rsidRPr="00514290" w:rsidRDefault="00B03330" w:rsidP="0063693D">
            <w:pPr>
              <w:jc w:val="center"/>
              <w:rPr>
                <w:sz w:val="20"/>
                <w:szCs w:val="20"/>
              </w:rPr>
            </w:pPr>
            <w:r w:rsidRPr="00514290">
              <w:rPr>
                <w:sz w:val="20"/>
                <w:szCs w:val="20"/>
              </w:rPr>
              <w:t>-</w:t>
            </w:r>
          </w:p>
        </w:tc>
        <w:tc>
          <w:tcPr>
            <w:tcW w:w="1647" w:type="dxa"/>
            <w:shd w:val="clear" w:color="auto" w:fill="92D050"/>
          </w:tcPr>
          <w:p w14:paraId="3919E0FB" w14:textId="77777777" w:rsidR="00B03330" w:rsidRPr="00514290" w:rsidRDefault="00B03330" w:rsidP="0063693D">
            <w:pPr>
              <w:jc w:val="center"/>
              <w:rPr>
                <w:sz w:val="20"/>
                <w:szCs w:val="20"/>
              </w:rPr>
            </w:pPr>
            <w:r w:rsidRPr="00514290">
              <w:rPr>
                <w:sz w:val="20"/>
                <w:szCs w:val="20"/>
              </w:rPr>
              <w:t>-</w:t>
            </w:r>
          </w:p>
        </w:tc>
        <w:tc>
          <w:tcPr>
            <w:tcW w:w="1647" w:type="dxa"/>
            <w:shd w:val="clear" w:color="auto" w:fill="FF0000"/>
          </w:tcPr>
          <w:p w14:paraId="30D8DFF1"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0B13E377" w14:textId="77777777" w:rsidR="00B03330" w:rsidRPr="00961231" w:rsidRDefault="00B03330" w:rsidP="0063693D">
            <w:pPr>
              <w:jc w:val="center"/>
              <w:rPr>
                <w:sz w:val="20"/>
                <w:szCs w:val="20"/>
              </w:rPr>
            </w:pPr>
            <w:r>
              <w:rPr>
                <w:sz w:val="20"/>
                <w:szCs w:val="20"/>
              </w:rPr>
              <w:t>?</w:t>
            </w:r>
          </w:p>
        </w:tc>
        <w:tc>
          <w:tcPr>
            <w:tcW w:w="1647" w:type="dxa"/>
            <w:shd w:val="clear" w:color="auto" w:fill="FF0000"/>
          </w:tcPr>
          <w:p w14:paraId="150A0794" w14:textId="77777777" w:rsidR="00B03330" w:rsidRPr="00961231" w:rsidRDefault="00B03330" w:rsidP="0063693D">
            <w:pPr>
              <w:jc w:val="center"/>
              <w:rPr>
                <w:sz w:val="20"/>
                <w:szCs w:val="20"/>
              </w:rPr>
            </w:pPr>
            <w:r>
              <w:rPr>
                <w:sz w:val="20"/>
                <w:szCs w:val="20"/>
              </w:rPr>
              <w:t>+</w:t>
            </w:r>
          </w:p>
        </w:tc>
      </w:tr>
      <w:tr w:rsidR="00B03330" w:rsidRPr="00961231" w14:paraId="45FD7CB8" w14:textId="77777777" w:rsidTr="0063693D">
        <w:tc>
          <w:tcPr>
            <w:tcW w:w="1647" w:type="dxa"/>
            <w:shd w:val="clear" w:color="auto" w:fill="auto"/>
          </w:tcPr>
          <w:p w14:paraId="48636182" w14:textId="77777777" w:rsidR="00B03330" w:rsidRPr="00E967E7" w:rsidRDefault="00B03330" w:rsidP="00E967E7">
            <w:pPr>
              <w:rPr>
                <w:sz w:val="20"/>
                <w:szCs w:val="20"/>
              </w:rPr>
            </w:pPr>
            <w:r w:rsidRPr="00E967E7">
              <w:rPr>
                <w:sz w:val="20"/>
                <w:szCs w:val="20"/>
              </w:rPr>
              <w:t>Yazici 2004</w:t>
            </w:r>
          </w:p>
        </w:tc>
        <w:tc>
          <w:tcPr>
            <w:tcW w:w="1647" w:type="dxa"/>
            <w:shd w:val="clear" w:color="auto" w:fill="FFFF00"/>
          </w:tcPr>
          <w:p w14:paraId="27A0876D"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54783A36"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235E0CC0"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6A1BE123"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4A98EF2E"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681C8E07"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2A8185F9" w14:textId="77777777" w:rsidR="00B03330" w:rsidRPr="00961231" w:rsidRDefault="00B03330" w:rsidP="0063693D">
            <w:pPr>
              <w:jc w:val="center"/>
              <w:rPr>
                <w:sz w:val="20"/>
                <w:szCs w:val="20"/>
              </w:rPr>
            </w:pPr>
            <w:r>
              <w:rPr>
                <w:sz w:val="20"/>
                <w:szCs w:val="20"/>
              </w:rPr>
              <w:t>?</w:t>
            </w:r>
          </w:p>
        </w:tc>
      </w:tr>
      <w:tr w:rsidR="00B03330" w:rsidRPr="00961231" w14:paraId="39F92605" w14:textId="77777777" w:rsidTr="0063693D">
        <w:tc>
          <w:tcPr>
            <w:tcW w:w="1647" w:type="dxa"/>
            <w:shd w:val="clear" w:color="auto" w:fill="auto"/>
          </w:tcPr>
          <w:p w14:paraId="28A681D3" w14:textId="77777777" w:rsidR="00B03330" w:rsidRPr="00E967E7" w:rsidRDefault="00B03330" w:rsidP="00E967E7">
            <w:pPr>
              <w:rPr>
                <w:sz w:val="20"/>
                <w:szCs w:val="20"/>
              </w:rPr>
            </w:pPr>
            <w:r w:rsidRPr="00E967E7">
              <w:rPr>
                <w:sz w:val="20"/>
                <w:szCs w:val="20"/>
              </w:rPr>
              <w:t>Zhao 2016</w:t>
            </w:r>
          </w:p>
        </w:tc>
        <w:tc>
          <w:tcPr>
            <w:tcW w:w="1647" w:type="dxa"/>
            <w:shd w:val="clear" w:color="auto" w:fill="92D050"/>
          </w:tcPr>
          <w:p w14:paraId="16CF5379" w14:textId="77777777" w:rsidR="00B03330" w:rsidRPr="00514290" w:rsidRDefault="00B03330" w:rsidP="0063693D">
            <w:pPr>
              <w:jc w:val="center"/>
              <w:rPr>
                <w:sz w:val="20"/>
                <w:szCs w:val="20"/>
              </w:rPr>
            </w:pPr>
            <w:r w:rsidRPr="00514290">
              <w:rPr>
                <w:sz w:val="20"/>
                <w:szCs w:val="20"/>
              </w:rPr>
              <w:t>-</w:t>
            </w:r>
          </w:p>
        </w:tc>
        <w:tc>
          <w:tcPr>
            <w:tcW w:w="1647" w:type="dxa"/>
            <w:shd w:val="clear" w:color="auto" w:fill="FFFF00"/>
          </w:tcPr>
          <w:p w14:paraId="2AC1F7F0" w14:textId="77777777" w:rsidR="00B03330" w:rsidRPr="00961231" w:rsidRDefault="00B03330" w:rsidP="0063693D">
            <w:pPr>
              <w:jc w:val="center"/>
              <w:rPr>
                <w:sz w:val="20"/>
                <w:szCs w:val="20"/>
              </w:rPr>
            </w:pPr>
            <w:r>
              <w:rPr>
                <w:sz w:val="20"/>
                <w:szCs w:val="20"/>
              </w:rPr>
              <w:t>?</w:t>
            </w:r>
          </w:p>
        </w:tc>
        <w:tc>
          <w:tcPr>
            <w:tcW w:w="1647" w:type="dxa"/>
            <w:shd w:val="clear" w:color="auto" w:fill="FF0000"/>
          </w:tcPr>
          <w:p w14:paraId="6E5187C1"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48D1E196" w14:textId="77777777" w:rsidR="00B03330" w:rsidRPr="00961231" w:rsidRDefault="00B03330" w:rsidP="0063693D">
            <w:pPr>
              <w:jc w:val="center"/>
              <w:rPr>
                <w:sz w:val="20"/>
                <w:szCs w:val="20"/>
              </w:rPr>
            </w:pPr>
            <w:r>
              <w:rPr>
                <w:sz w:val="20"/>
                <w:szCs w:val="20"/>
              </w:rPr>
              <w:t>?</w:t>
            </w:r>
          </w:p>
        </w:tc>
        <w:tc>
          <w:tcPr>
            <w:tcW w:w="1647" w:type="dxa"/>
            <w:shd w:val="clear" w:color="auto" w:fill="92D050"/>
          </w:tcPr>
          <w:p w14:paraId="36C815AE" w14:textId="77777777" w:rsidR="00B03330" w:rsidRPr="00514290" w:rsidRDefault="00B03330" w:rsidP="0063693D">
            <w:pPr>
              <w:jc w:val="center"/>
              <w:rPr>
                <w:sz w:val="20"/>
                <w:szCs w:val="20"/>
              </w:rPr>
            </w:pPr>
            <w:r w:rsidRPr="00514290">
              <w:rPr>
                <w:sz w:val="20"/>
                <w:szCs w:val="20"/>
              </w:rPr>
              <w:t>-</w:t>
            </w:r>
          </w:p>
        </w:tc>
        <w:tc>
          <w:tcPr>
            <w:tcW w:w="1647" w:type="dxa"/>
            <w:shd w:val="clear" w:color="auto" w:fill="FFFF00"/>
          </w:tcPr>
          <w:p w14:paraId="34F4740D" w14:textId="77777777" w:rsidR="00B03330" w:rsidRPr="00961231" w:rsidRDefault="00B03330" w:rsidP="0063693D">
            <w:pPr>
              <w:jc w:val="center"/>
              <w:rPr>
                <w:sz w:val="20"/>
                <w:szCs w:val="20"/>
              </w:rPr>
            </w:pPr>
            <w:r>
              <w:rPr>
                <w:sz w:val="20"/>
                <w:szCs w:val="20"/>
              </w:rPr>
              <w:t>?</w:t>
            </w:r>
          </w:p>
        </w:tc>
        <w:tc>
          <w:tcPr>
            <w:tcW w:w="1647" w:type="dxa"/>
            <w:shd w:val="clear" w:color="auto" w:fill="FFFF00"/>
          </w:tcPr>
          <w:p w14:paraId="2114E746" w14:textId="77777777" w:rsidR="00B03330" w:rsidRPr="00961231" w:rsidRDefault="00B03330" w:rsidP="0063693D">
            <w:pPr>
              <w:jc w:val="center"/>
              <w:rPr>
                <w:sz w:val="20"/>
                <w:szCs w:val="20"/>
              </w:rPr>
            </w:pPr>
            <w:r>
              <w:rPr>
                <w:sz w:val="20"/>
                <w:szCs w:val="20"/>
              </w:rPr>
              <w:t>?</w:t>
            </w:r>
          </w:p>
        </w:tc>
      </w:tr>
    </w:tbl>
    <w:p w14:paraId="2634737F" w14:textId="77777777" w:rsidR="00E74E8D" w:rsidRDefault="00E74E8D" w:rsidP="00B94C53">
      <w:pPr>
        <w:spacing w:after="0"/>
        <w:rPr>
          <w:u w:val="single"/>
        </w:rPr>
      </w:pPr>
    </w:p>
    <w:p w14:paraId="453F9545" w14:textId="77777777" w:rsidR="00E74E8D" w:rsidRDefault="00E74E8D" w:rsidP="00B94C53">
      <w:pPr>
        <w:spacing w:after="0"/>
        <w:rPr>
          <w:u w:val="single"/>
        </w:rPr>
      </w:pPr>
    </w:p>
    <w:p w14:paraId="334E5282" w14:textId="77777777" w:rsidR="00E74E8D" w:rsidRDefault="00E74E8D" w:rsidP="00E74E8D">
      <w:pPr>
        <w:spacing w:after="0"/>
        <w:rPr>
          <w:b/>
          <w:u w:val="single"/>
        </w:rPr>
      </w:pPr>
    </w:p>
    <w:p w14:paraId="5EC001EB" w14:textId="77777777" w:rsidR="00E74E8D" w:rsidRDefault="00E74E8D" w:rsidP="00E74E8D">
      <w:pPr>
        <w:spacing w:after="0"/>
        <w:rPr>
          <w:b/>
          <w:u w:val="single"/>
        </w:rPr>
      </w:pPr>
    </w:p>
    <w:p w14:paraId="07167329" w14:textId="77777777" w:rsidR="00E74E8D" w:rsidRDefault="00E74E8D" w:rsidP="00E74E8D">
      <w:pPr>
        <w:spacing w:after="0"/>
        <w:rPr>
          <w:b/>
          <w:u w:val="single"/>
        </w:rPr>
      </w:pPr>
    </w:p>
    <w:p w14:paraId="034C96C2" w14:textId="77777777" w:rsidR="00E74E8D" w:rsidRDefault="00E74E8D" w:rsidP="00E74E8D">
      <w:pPr>
        <w:spacing w:after="0"/>
        <w:rPr>
          <w:b/>
          <w:u w:val="single"/>
        </w:rPr>
      </w:pPr>
    </w:p>
    <w:p w14:paraId="2C40400F" w14:textId="77777777" w:rsidR="00E74E8D" w:rsidRDefault="00E74E8D" w:rsidP="00E74E8D">
      <w:pPr>
        <w:spacing w:after="0"/>
        <w:rPr>
          <w:u w:val="single"/>
        </w:rPr>
      </w:pPr>
      <w:r>
        <w:rPr>
          <w:b/>
          <w:u w:val="single"/>
        </w:rPr>
        <w:t xml:space="preserve">Risk of bias assessments – Cohort studies </w:t>
      </w:r>
      <w:r>
        <w:rPr>
          <w:u w:val="single"/>
        </w:rPr>
        <w:t>(using the Newcastle-Ottawa Scale for Cohort Studies)</w:t>
      </w:r>
    </w:p>
    <w:p w14:paraId="37E6400A" w14:textId="77777777" w:rsidR="00E74E8D" w:rsidRDefault="00E74E8D" w:rsidP="00B94C53">
      <w:pPr>
        <w:spacing w:after="0"/>
        <w:rPr>
          <w:u w:val="single"/>
        </w:rPr>
      </w:pPr>
    </w:p>
    <w:tbl>
      <w:tblPr>
        <w:tblStyle w:val="TableGrid"/>
        <w:tblW w:w="0" w:type="auto"/>
        <w:tblLook w:val="04A0" w:firstRow="1" w:lastRow="0" w:firstColumn="1" w:lastColumn="0" w:noHBand="0" w:noVBand="1"/>
      </w:tblPr>
      <w:tblGrid>
        <w:gridCol w:w="3258"/>
        <w:gridCol w:w="3234"/>
        <w:gridCol w:w="3234"/>
        <w:gridCol w:w="3224"/>
      </w:tblGrid>
      <w:tr w:rsidR="00E74E8D" w:rsidRPr="00B90E83" w14:paraId="65BF2952" w14:textId="77777777" w:rsidTr="0063693D">
        <w:tc>
          <w:tcPr>
            <w:tcW w:w="3294" w:type="dxa"/>
            <w:shd w:val="clear" w:color="auto" w:fill="BFBFBF" w:themeFill="background1" w:themeFillShade="BF"/>
          </w:tcPr>
          <w:p w14:paraId="1733A025" w14:textId="77777777" w:rsidR="00E74E8D" w:rsidRPr="00B90E83" w:rsidRDefault="00E74E8D" w:rsidP="0063693D">
            <w:pPr>
              <w:rPr>
                <w:b/>
              </w:rPr>
            </w:pPr>
            <w:r>
              <w:rPr>
                <w:b/>
              </w:rPr>
              <w:t>Category</w:t>
            </w:r>
          </w:p>
        </w:tc>
        <w:tc>
          <w:tcPr>
            <w:tcW w:w="3294" w:type="dxa"/>
            <w:shd w:val="clear" w:color="auto" w:fill="BFBFBF" w:themeFill="background1" w:themeFillShade="BF"/>
          </w:tcPr>
          <w:p w14:paraId="32935D1F" w14:textId="77777777" w:rsidR="00E74E8D" w:rsidRPr="00B90E83" w:rsidRDefault="00E74E8D" w:rsidP="0063693D">
            <w:pPr>
              <w:jc w:val="center"/>
              <w:rPr>
                <w:b/>
              </w:rPr>
            </w:pPr>
            <w:r>
              <w:rPr>
                <w:b/>
              </w:rPr>
              <w:t>Andersen 2015</w:t>
            </w:r>
          </w:p>
        </w:tc>
        <w:tc>
          <w:tcPr>
            <w:tcW w:w="3294" w:type="dxa"/>
            <w:shd w:val="clear" w:color="auto" w:fill="BFBFBF" w:themeFill="background1" w:themeFillShade="BF"/>
          </w:tcPr>
          <w:p w14:paraId="5A683225" w14:textId="77777777" w:rsidR="00E74E8D" w:rsidRPr="00B90E83" w:rsidRDefault="00E74E8D" w:rsidP="0063693D">
            <w:pPr>
              <w:jc w:val="center"/>
              <w:rPr>
                <w:b/>
              </w:rPr>
            </w:pPr>
            <w:r>
              <w:rPr>
                <w:b/>
              </w:rPr>
              <w:t>Andersen 2017</w:t>
            </w:r>
          </w:p>
        </w:tc>
        <w:tc>
          <w:tcPr>
            <w:tcW w:w="3294" w:type="dxa"/>
            <w:shd w:val="clear" w:color="auto" w:fill="BFBFBF" w:themeFill="background1" w:themeFillShade="BF"/>
          </w:tcPr>
          <w:p w14:paraId="6A58A502" w14:textId="77777777" w:rsidR="00E74E8D" w:rsidRPr="00B90E83" w:rsidRDefault="00E74E8D" w:rsidP="0063693D">
            <w:pPr>
              <w:jc w:val="center"/>
              <w:rPr>
                <w:b/>
              </w:rPr>
            </w:pPr>
            <w:r>
              <w:rPr>
                <w:b/>
              </w:rPr>
              <w:t>Razvi 2012</w:t>
            </w:r>
          </w:p>
        </w:tc>
      </w:tr>
      <w:tr w:rsidR="00E74E8D" w14:paraId="1D5A06DA" w14:textId="77777777" w:rsidTr="0063693D">
        <w:tc>
          <w:tcPr>
            <w:tcW w:w="3294" w:type="dxa"/>
            <w:shd w:val="clear" w:color="auto" w:fill="F2F2F2" w:themeFill="background1" w:themeFillShade="F2"/>
          </w:tcPr>
          <w:p w14:paraId="71A128B2" w14:textId="77777777" w:rsidR="00E74E8D" w:rsidRPr="00B90E83" w:rsidRDefault="00E74E8D" w:rsidP="0063693D">
            <w:pPr>
              <w:rPr>
                <w:b/>
              </w:rPr>
            </w:pPr>
            <w:r>
              <w:rPr>
                <w:b/>
              </w:rPr>
              <w:t>Selection</w:t>
            </w:r>
          </w:p>
        </w:tc>
        <w:tc>
          <w:tcPr>
            <w:tcW w:w="3294" w:type="dxa"/>
            <w:shd w:val="clear" w:color="auto" w:fill="F2F2F2" w:themeFill="background1" w:themeFillShade="F2"/>
          </w:tcPr>
          <w:p w14:paraId="4EA322CF" w14:textId="77777777" w:rsidR="00E74E8D" w:rsidRDefault="00E74E8D" w:rsidP="0063693D">
            <w:pPr>
              <w:jc w:val="center"/>
            </w:pPr>
          </w:p>
        </w:tc>
        <w:tc>
          <w:tcPr>
            <w:tcW w:w="3294" w:type="dxa"/>
            <w:shd w:val="clear" w:color="auto" w:fill="F2F2F2" w:themeFill="background1" w:themeFillShade="F2"/>
          </w:tcPr>
          <w:p w14:paraId="637B39A3" w14:textId="77777777" w:rsidR="00E74E8D" w:rsidRDefault="00E74E8D" w:rsidP="0063693D">
            <w:pPr>
              <w:jc w:val="center"/>
            </w:pPr>
          </w:p>
        </w:tc>
        <w:tc>
          <w:tcPr>
            <w:tcW w:w="3294" w:type="dxa"/>
            <w:shd w:val="clear" w:color="auto" w:fill="F2F2F2" w:themeFill="background1" w:themeFillShade="F2"/>
          </w:tcPr>
          <w:p w14:paraId="095F0546" w14:textId="77777777" w:rsidR="00E74E8D" w:rsidRDefault="00E74E8D" w:rsidP="0063693D">
            <w:pPr>
              <w:jc w:val="center"/>
            </w:pPr>
          </w:p>
        </w:tc>
      </w:tr>
      <w:tr w:rsidR="00E74E8D" w14:paraId="0123589D" w14:textId="77777777" w:rsidTr="0063693D">
        <w:tc>
          <w:tcPr>
            <w:tcW w:w="3294" w:type="dxa"/>
          </w:tcPr>
          <w:p w14:paraId="21C5AA6B" w14:textId="77777777" w:rsidR="00E74E8D" w:rsidRDefault="00E74E8D" w:rsidP="0063693D">
            <w:pPr>
              <w:jc w:val="right"/>
            </w:pPr>
            <w:r>
              <w:t>Representativeness of the exposed cohort</w:t>
            </w:r>
          </w:p>
        </w:tc>
        <w:tc>
          <w:tcPr>
            <w:tcW w:w="3294" w:type="dxa"/>
          </w:tcPr>
          <w:p w14:paraId="3727A0D1" w14:textId="77777777" w:rsidR="00E74E8D" w:rsidRDefault="00E74E8D" w:rsidP="0063693D">
            <w:pPr>
              <w:jc w:val="center"/>
            </w:pPr>
            <w:r>
              <w:t>*</w:t>
            </w:r>
          </w:p>
        </w:tc>
        <w:tc>
          <w:tcPr>
            <w:tcW w:w="3294" w:type="dxa"/>
          </w:tcPr>
          <w:p w14:paraId="06513285" w14:textId="77777777" w:rsidR="00E74E8D" w:rsidRDefault="00E74E8D" w:rsidP="0063693D">
            <w:pPr>
              <w:jc w:val="center"/>
            </w:pPr>
            <w:r>
              <w:t>*</w:t>
            </w:r>
          </w:p>
        </w:tc>
        <w:tc>
          <w:tcPr>
            <w:tcW w:w="3294" w:type="dxa"/>
          </w:tcPr>
          <w:p w14:paraId="740BBB74" w14:textId="77777777" w:rsidR="00E74E8D" w:rsidRDefault="00E74E8D" w:rsidP="0063693D">
            <w:pPr>
              <w:jc w:val="center"/>
            </w:pPr>
            <w:r>
              <w:t>*</w:t>
            </w:r>
          </w:p>
        </w:tc>
      </w:tr>
      <w:tr w:rsidR="00E74E8D" w14:paraId="53754669" w14:textId="77777777" w:rsidTr="0063693D">
        <w:tc>
          <w:tcPr>
            <w:tcW w:w="3294" w:type="dxa"/>
          </w:tcPr>
          <w:p w14:paraId="440B4219" w14:textId="77777777" w:rsidR="00E74E8D" w:rsidRDefault="00E74E8D" w:rsidP="0063693D">
            <w:pPr>
              <w:jc w:val="right"/>
            </w:pPr>
            <w:r>
              <w:t>Selection of the non-exposed cohort</w:t>
            </w:r>
          </w:p>
        </w:tc>
        <w:tc>
          <w:tcPr>
            <w:tcW w:w="3294" w:type="dxa"/>
          </w:tcPr>
          <w:p w14:paraId="7EF3825C" w14:textId="77777777" w:rsidR="00E74E8D" w:rsidRDefault="00E74E8D" w:rsidP="0063693D">
            <w:pPr>
              <w:jc w:val="center"/>
            </w:pPr>
            <w:r>
              <w:t>*</w:t>
            </w:r>
          </w:p>
        </w:tc>
        <w:tc>
          <w:tcPr>
            <w:tcW w:w="3294" w:type="dxa"/>
          </w:tcPr>
          <w:p w14:paraId="5EDD0173" w14:textId="77777777" w:rsidR="00E74E8D" w:rsidRDefault="00E74E8D" w:rsidP="0063693D">
            <w:pPr>
              <w:jc w:val="center"/>
            </w:pPr>
            <w:r>
              <w:t>*</w:t>
            </w:r>
          </w:p>
        </w:tc>
        <w:tc>
          <w:tcPr>
            <w:tcW w:w="3294" w:type="dxa"/>
          </w:tcPr>
          <w:p w14:paraId="5F8D86B2" w14:textId="77777777" w:rsidR="00E74E8D" w:rsidRDefault="00E74E8D" w:rsidP="0063693D">
            <w:pPr>
              <w:jc w:val="center"/>
            </w:pPr>
            <w:r>
              <w:t>*</w:t>
            </w:r>
          </w:p>
        </w:tc>
      </w:tr>
      <w:tr w:rsidR="00E74E8D" w14:paraId="3B92C338" w14:textId="77777777" w:rsidTr="0063693D">
        <w:tc>
          <w:tcPr>
            <w:tcW w:w="3294" w:type="dxa"/>
          </w:tcPr>
          <w:p w14:paraId="551B0BA0" w14:textId="77777777" w:rsidR="00E74E8D" w:rsidRDefault="00E74E8D" w:rsidP="0063693D">
            <w:pPr>
              <w:jc w:val="right"/>
            </w:pPr>
            <w:r>
              <w:t>Ascertainment of exposure</w:t>
            </w:r>
          </w:p>
        </w:tc>
        <w:tc>
          <w:tcPr>
            <w:tcW w:w="3294" w:type="dxa"/>
          </w:tcPr>
          <w:p w14:paraId="0999DF08" w14:textId="77777777" w:rsidR="00E74E8D" w:rsidRDefault="00E74E8D" w:rsidP="0063693D">
            <w:pPr>
              <w:jc w:val="center"/>
            </w:pPr>
            <w:r>
              <w:t>*</w:t>
            </w:r>
          </w:p>
        </w:tc>
        <w:tc>
          <w:tcPr>
            <w:tcW w:w="3294" w:type="dxa"/>
          </w:tcPr>
          <w:p w14:paraId="6F0DEA94" w14:textId="77777777" w:rsidR="00E74E8D" w:rsidRDefault="00E74E8D" w:rsidP="0063693D">
            <w:pPr>
              <w:jc w:val="center"/>
            </w:pPr>
            <w:r>
              <w:t>*</w:t>
            </w:r>
          </w:p>
        </w:tc>
        <w:tc>
          <w:tcPr>
            <w:tcW w:w="3294" w:type="dxa"/>
          </w:tcPr>
          <w:p w14:paraId="03ED2435" w14:textId="77777777" w:rsidR="00E74E8D" w:rsidRDefault="00E74E8D" w:rsidP="0063693D">
            <w:pPr>
              <w:jc w:val="center"/>
            </w:pPr>
            <w:r>
              <w:t>*</w:t>
            </w:r>
          </w:p>
        </w:tc>
      </w:tr>
      <w:tr w:rsidR="00E74E8D" w14:paraId="65E0E51A" w14:textId="77777777" w:rsidTr="0063693D">
        <w:tc>
          <w:tcPr>
            <w:tcW w:w="3294" w:type="dxa"/>
          </w:tcPr>
          <w:p w14:paraId="08581D81" w14:textId="77777777" w:rsidR="00E74E8D" w:rsidRDefault="00E74E8D" w:rsidP="0063693D">
            <w:pPr>
              <w:jc w:val="right"/>
            </w:pPr>
            <w:r>
              <w:t>Demonstration that outcome of interest was not present at start of study</w:t>
            </w:r>
          </w:p>
        </w:tc>
        <w:tc>
          <w:tcPr>
            <w:tcW w:w="3294" w:type="dxa"/>
          </w:tcPr>
          <w:p w14:paraId="37708F64" w14:textId="77777777" w:rsidR="00E74E8D" w:rsidRDefault="00E74E8D" w:rsidP="0063693D">
            <w:pPr>
              <w:jc w:val="center"/>
            </w:pPr>
            <w:r>
              <w:t>*</w:t>
            </w:r>
          </w:p>
        </w:tc>
        <w:tc>
          <w:tcPr>
            <w:tcW w:w="3294" w:type="dxa"/>
          </w:tcPr>
          <w:p w14:paraId="7439CBA3" w14:textId="77777777" w:rsidR="00E74E8D" w:rsidRDefault="00E74E8D" w:rsidP="0063693D">
            <w:pPr>
              <w:jc w:val="center"/>
            </w:pPr>
            <w:r>
              <w:t>*</w:t>
            </w:r>
          </w:p>
        </w:tc>
        <w:tc>
          <w:tcPr>
            <w:tcW w:w="3294" w:type="dxa"/>
          </w:tcPr>
          <w:p w14:paraId="68462406" w14:textId="77777777" w:rsidR="00E74E8D" w:rsidRDefault="00E74E8D" w:rsidP="0063693D">
            <w:pPr>
              <w:jc w:val="center"/>
            </w:pPr>
            <w:r>
              <w:t>*</w:t>
            </w:r>
          </w:p>
        </w:tc>
      </w:tr>
      <w:tr w:rsidR="00E74E8D" w14:paraId="13F3EA32" w14:textId="77777777" w:rsidTr="0063693D">
        <w:tc>
          <w:tcPr>
            <w:tcW w:w="3294" w:type="dxa"/>
            <w:shd w:val="clear" w:color="auto" w:fill="F2F2F2" w:themeFill="background1" w:themeFillShade="F2"/>
          </w:tcPr>
          <w:p w14:paraId="7FC1F800" w14:textId="77777777" w:rsidR="00E74E8D" w:rsidRPr="00A15BAC" w:rsidRDefault="00E74E8D" w:rsidP="0063693D">
            <w:r>
              <w:rPr>
                <w:b/>
              </w:rPr>
              <w:t>Comparability</w:t>
            </w:r>
            <w:r>
              <w:t xml:space="preserve"> – Comparability of cohorts on the basis of design or analysis</w:t>
            </w:r>
          </w:p>
        </w:tc>
        <w:tc>
          <w:tcPr>
            <w:tcW w:w="3294" w:type="dxa"/>
            <w:shd w:val="clear" w:color="auto" w:fill="F2F2F2" w:themeFill="background1" w:themeFillShade="F2"/>
          </w:tcPr>
          <w:p w14:paraId="4F5404DF" w14:textId="77777777" w:rsidR="00E74E8D" w:rsidRDefault="00E74E8D" w:rsidP="0063693D">
            <w:pPr>
              <w:jc w:val="center"/>
            </w:pPr>
          </w:p>
        </w:tc>
        <w:tc>
          <w:tcPr>
            <w:tcW w:w="3294" w:type="dxa"/>
            <w:shd w:val="clear" w:color="auto" w:fill="F2F2F2" w:themeFill="background1" w:themeFillShade="F2"/>
          </w:tcPr>
          <w:p w14:paraId="654BB600" w14:textId="77777777" w:rsidR="00E74E8D" w:rsidRDefault="00E74E8D" w:rsidP="0063693D">
            <w:pPr>
              <w:jc w:val="center"/>
            </w:pPr>
          </w:p>
        </w:tc>
        <w:tc>
          <w:tcPr>
            <w:tcW w:w="3294" w:type="dxa"/>
            <w:shd w:val="clear" w:color="auto" w:fill="F2F2F2" w:themeFill="background1" w:themeFillShade="F2"/>
          </w:tcPr>
          <w:p w14:paraId="249219C9" w14:textId="77777777" w:rsidR="00E74E8D" w:rsidRDefault="00E74E8D" w:rsidP="0063693D">
            <w:pPr>
              <w:jc w:val="center"/>
            </w:pPr>
          </w:p>
        </w:tc>
      </w:tr>
      <w:tr w:rsidR="00E74E8D" w14:paraId="39DDF249" w14:textId="77777777" w:rsidTr="0063693D">
        <w:tc>
          <w:tcPr>
            <w:tcW w:w="3294" w:type="dxa"/>
          </w:tcPr>
          <w:p w14:paraId="0F6C4028" w14:textId="77777777" w:rsidR="00E74E8D" w:rsidRDefault="00E74E8D" w:rsidP="0063693D">
            <w:pPr>
              <w:jc w:val="right"/>
            </w:pPr>
            <w:r>
              <w:t>Study controls for an important factor</w:t>
            </w:r>
          </w:p>
        </w:tc>
        <w:tc>
          <w:tcPr>
            <w:tcW w:w="3294" w:type="dxa"/>
          </w:tcPr>
          <w:p w14:paraId="46E5F6A7" w14:textId="77777777" w:rsidR="00E74E8D" w:rsidRDefault="00E74E8D" w:rsidP="0063693D">
            <w:pPr>
              <w:jc w:val="center"/>
            </w:pPr>
            <w:r>
              <w:t>*</w:t>
            </w:r>
          </w:p>
        </w:tc>
        <w:tc>
          <w:tcPr>
            <w:tcW w:w="3294" w:type="dxa"/>
          </w:tcPr>
          <w:p w14:paraId="7F344060" w14:textId="77777777" w:rsidR="00E74E8D" w:rsidRDefault="00E74E8D" w:rsidP="0063693D">
            <w:pPr>
              <w:jc w:val="center"/>
            </w:pPr>
            <w:r>
              <w:t>*</w:t>
            </w:r>
          </w:p>
        </w:tc>
        <w:tc>
          <w:tcPr>
            <w:tcW w:w="3294" w:type="dxa"/>
          </w:tcPr>
          <w:p w14:paraId="1296AFAB" w14:textId="77777777" w:rsidR="00E74E8D" w:rsidRDefault="00E74E8D" w:rsidP="0063693D">
            <w:pPr>
              <w:jc w:val="center"/>
            </w:pPr>
            <w:r>
              <w:t>*</w:t>
            </w:r>
          </w:p>
        </w:tc>
      </w:tr>
      <w:tr w:rsidR="00E74E8D" w14:paraId="1871920F" w14:textId="77777777" w:rsidTr="0063693D">
        <w:tc>
          <w:tcPr>
            <w:tcW w:w="3294" w:type="dxa"/>
          </w:tcPr>
          <w:p w14:paraId="12A4B915" w14:textId="77777777" w:rsidR="00E74E8D" w:rsidRDefault="00E74E8D" w:rsidP="0063693D">
            <w:pPr>
              <w:jc w:val="right"/>
            </w:pPr>
            <w:r>
              <w:t>Study controls for an additional factor</w:t>
            </w:r>
          </w:p>
        </w:tc>
        <w:tc>
          <w:tcPr>
            <w:tcW w:w="3294" w:type="dxa"/>
          </w:tcPr>
          <w:p w14:paraId="545D16F2" w14:textId="77777777" w:rsidR="00E74E8D" w:rsidRDefault="00E74E8D" w:rsidP="0063693D">
            <w:pPr>
              <w:jc w:val="center"/>
            </w:pPr>
            <w:r>
              <w:t>*</w:t>
            </w:r>
          </w:p>
        </w:tc>
        <w:tc>
          <w:tcPr>
            <w:tcW w:w="3294" w:type="dxa"/>
          </w:tcPr>
          <w:p w14:paraId="12462439" w14:textId="77777777" w:rsidR="00E74E8D" w:rsidRDefault="00E74E8D" w:rsidP="0063693D">
            <w:pPr>
              <w:jc w:val="center"/>
            </w:pPr>
            <w:r>
              <w:t>*</w:t>
            </w:r>
          </w:p>
        </w:tc>
        <w:tc>
          <w:tcPr>
            <w:tcW w:w="3294" w:type="dxa"/>
          </w:tcPr>
          <w:p w14:paraId="27E85E2C" w14:textId="77777777" w:rsidR="00E74E8D" w:rsidRDefault="00E74E8D" w:rsidP="0063693D">
            <w:pPr>
              <w:jc w:val="center"/>
            </w:pPr>
            <w:r>
              <w:t>*</w:t>
            </w:r>
          </w:p>
        </w:tc>
      </w:tr>
      <w:tr w:rsidR="00E74E8D" w14:paraId="67AC578C" w14:textId="77777777" w:rsidTr="0063693D">
        <w:tc>
          <w:tcPr>
            <w:tcW w:w="3294" w:type="dxa"/>
            <w:shd w:val="clear" w:color="auto" w:fill="F2F2F2" w:themeFill="background1" w:themeFillShade="F2"/>
          </w:tcPr>
          <w:p w14:paraId="57FCF548" w14:textId="77777777" w:rsidR="00E74E8D" w:rsidRPr="00B90E83" w:rsidRDefault="00E74E8D" w:rsidP="0063693D">
            <w:pPr>
              <w:rPr>
                <w:b/>
              </w:rPr>
            </w:pPr>
            <w:r>
              <w:rPr>
                <w:b/>
              </w:rPr>
              <w:t>Outcome</w:t>
            </w:r>
          </w:p>
        </w:tc>
        <w:tc>
          <w:tcPr>
            <w:tcW w:w="3294" w:type="dxa"/>
            <w:shd w:val="clear" w:color="auto" w:fill="F2F2F2" w:themeFill="background1" w:themeFillShade="F2"/>
          </w:tcPr>
          <w:p w14:paraId="1E5AAEF7" w14:textId="77777777" w:rsidR="00E74E8D" w:rsidRDefault="00E74E8D" w:rsidP="0063693D">
            <w:pPr>
              <w:jc w:val="center"/>
            </w:pPr>
          </w:p>
        </w:tc>
        <w:tc>
          <w:tcPr>
            <w:tcW w:w="3294" w:type="dxa"/>
            <w:shd w:val="clear" w:color="auto" w:fill="F2F2F2" w:themeFill="background1" w:themeFillShade="F2"/>
          </w:tcPr>
          <w:p w14:paraId="17F6EB1C" w14:textId="77777777" w:rsidR="00E74E8D" w:rsidRDefault="00E74E8D" w:rsidP="0063693D">
            <w:pPr>
              <w:jc w:val="center"/>
            </w:pPr>
          </w:p>
        </w:tc>
        <w:tc>
          <w:tcPr>
            <w:tcW w:w="3294" w:type="dxa"/>
            <w:shd w:val="clear" w:color="auto" w:fill="F2F2F2" w:themeFill="background1" w:themeFillShade="F2"/>
          </w:tcPr>
          <w:p w14:paraId="76A65F8B" w14:textId="77777777" w:rsidR="00E74E8D" w:rsidRDefault="00E74E8D" w:rsidP="0063693D">
            <w:pPr>
              <w:jc w:val="center"/>
            </w:pPr>
          </w:p>
        </w:tc>
      </w:tr>
      <w:tr w:rsidR="00E74E8D" w14:paraId="6CCEEB46" w14:textId="77777777" w:rsidTr="0063693D">
        <w:tc>
          <w:tcPr>
            <w:tcW w:w="3294" w:type="dxa"/>
          </w:tcPr>
          <w:p w14:paraId="59A78008" w14:textId="77777777" w:rsidR="00E74E8D" w:rsidRDefault="00E74E8D" w:rsidP="0063693D">
            <w:pPr>
              <w:jc w:val="right"/>
            </w:pPr>
            <w:r>
              <w:t>Assessment of outcome</w:t>
            </w:r>
          </w:p>
        </w:tc>
        <w:tc>
          <w:tcPr>
            <w:tcW w:w="3294" w:type="dxa"/>
          </w:tcPr>
          <w:p w14:paraId="09E79B83" w14:textId="77777777" w:rsidR="00E74E8D" w:rsidRDefault="00E74E8D" w:rsidP="0063693D">
            <w:pPr>
              <w:jc w:val="center"/>
            </w:pPr>
            <w:r>
              <w:t>*</w:t>
            </w:r>
          </w:p>
        </w:tc>
        <w:tc>
          <w:tcPr>
            <w:tcW w:w="3294" w:type="dxa"/>
          </w:tcPr>
          <w:p w14:paraId="15459396" w14:textId="77777777" w:rsidR="00E74E8D" w:rsidRDefault="00E74E8D" w:rsidP="0063693D">
            <w:pPr>
              <w:jc w:val="center"/>
            </w:pPr>
            <w:r>
              <w:t>*</w:t>
            </w:r>
          </w:p>
        </w:tc>
        <w:tc>
          <w:tcPr>
            <w:tcW w:w="3294" w:type="dxa"/>
          </w:tcPr>
          <w:p w14:paraId="293B8E4D" w14:textId="77777777" w:rsidR="00E74E8D" w:rsidRDefault="00E74E8D" w:rsidP="0063693D">
            <w:pPr>
              <w:jc w:val="center"/>
            </w:pPr>
            <w:r>
              <w:t>*</w:t>
            </w:r>
          </w:p>
        </w:tc>
      </w:tr>
      <w:tr w:rsidR="00E74E8D" w14:paraId="56550675" w14:textId="77777777" w:rsidTr="0063693D">
        <w:tc>
          <w:tcPr>
            <w:tcW w:w="3294" w:type="dxa"/>
          </w:tcPr>
          <w:p w14:paraId="5924CB53" w14:textId="77777777" w:rsidR="00E74E8D" w:rsidRDefault="00E74E8D" w:rsidP="0063693D">
            <w:pPr>
              <w:jc w:val="right"/>
            </w:pPr>
            <w:r>
              <w:t>Was follow-up long enough for outcomes to occur</w:t>
            </w:r>
          </w:p>
        </w:tc>
        <w:tc>
          <w:tcPr>
            <w:tcW w:w="3294" w:type="dxa"/>
          </w:tcPr>
          <w:p w14:paraId="73990265" w14:textId="77777777" w:rsidR="00E74E8D" w:rsidRDefault="00E74E8D" w:rsidP="0063693D">
            <w:pPr>
              <w:jc w:val="center"/>
            </w:pPr>
          </w:p>
        </w:tc>
        <w:tc>
          <w:tcPr>
            <w:tcW w:w="3294" w:type="dxa"/>
          </w:tcPr>
          <w:p w14:paraId="4FFDD553" w14:textId="77777777" w:rsidR="00E74E8D" w:rsidRDefault="00E74E8D" w:rsidP="0063693D">
            <w:pPr>
              <w:jc w:val="center"/>
            </w:pPr>
          </w:p>
        </w:tc>
        <w:tc>
          <w:tcPr>
            <w:tcW w:w="3294" w:type="dxa"/>
          </w:tcPr>
          <w:p w14:paraId="57EDBC13" w14:textId="77777777" w:rsidR="00E74E8D" w:rsidRDefault="00E74E8D" w:rsidP="0063693D">
            <w:pPr>
              <w:jc w:val="center"/>
            </w:pPr>
          </w:p>
        </w:tc>
      </w:tr>
      <w:tr w:rsidR="00E74E8D" w14:paraId="39685545" w14:textId="77777777" w:rsidTr="0063693D">
        <w:tc>
          <w:tcPr>
            <w:tcW w:w="3294" w:type="dxa"/>
          </w:tcPr>
          <w:p w14:paraId="16E5A361" w14:textId="77777777" w:rsidR="00E74E8D" w:rsidRDefault="00E74E8D" w:rsidP="0063693D">
            <w:pPr>
              <w:jc w:val="right"/>
            </w:pPr>
            <w:r>
              <w:t>Adequacy of follow-up of cohorts</w:t>
            </w:r>
          </w:p>
        </w:tc>
        <w:tc>
          <w:tcPr>
            <w:tcW w:w="3294" w:type="dxa"/>
          </w:tcPr>
          <w:p w14:paraId="02B970CC" w14:textId="77777777" w:rsidR="00E74E8D" w:rsidRDefault="00E74E8D" w:rsidP="0063693D">
            <w:pPr>
              <w:jc w:val="center"/>
            </w:pPr>
            <w:r>
              <w:t>*</w:t>
            </w:r>
          </w:p>
        </w:tc>
        <w:tc>
          <w:tcPr>
            <w:tcW w:w="3294" w:type="dxa"/>
          </w:tcPr>
          <w:p w14:paraId="1F28EA33" w14:textId="77777777" w:rsidR="00E74E8D" w:rsidRDefault="00E74E8D" w:rsidP="0063693D">
            <w:pPr>
              <w:jc w:val="center"/>
            </w:pPr>
            <w:r>
              <w:t>*</w:t>
            </w:r>
          </w:p>
        </w:tc>
        <w:tc>
          <w:tcPr>
            <w:tcW w:w="3294" w:type="dxa"/>
          </w:tcPr>
          <w:p w14:paraId="7FAD60D2" w14:textId="77777777" w:rsidR="00E74E8D" w:rsidRDefault="00E74E8D" w:rsidP="0063693D">
            <w:pPr>
              <w:jc w:val="center"/>
            </w:pPr>
            <w:r>
              <w:t>*</w:t>
            </w:r>
          </w:p>
        </w:tc>
      </w:tr>
      <w:tr w:rsidR="00E74E8D" w:rsidRPr="00B90E83" w14:paraId="7AF60074" w14:textId="77777777" w:rsidTr="0063693D">
        <w:tc>
          <w:tcPr>
            <w:tcW w:w="3294" w:type="dxa"/>
            <w:shd w:val="clear" w:color="auto" w:fill="F2F2F2" w:themeFill="background1" w:themeFillShade="F2"/>
          </w:tcPr>
          <w:p w14:paraId="729C1101" w14:textId="77777777" w:rsidR="00E74E8D" w:rsidRPr="00B90E83" w:rsidRDefault="00E74E8D" w:rsidP="0063693D">
            <w:pPr>
              <w:jc w:val="right"/>
              <w:rPr>
                <w:b/>
              </w:rPr>
            </w:pPr>
            <w:r>
              <w:rPr>
                <w:b/>
              </w:rPr>
              <w:t>Total number of stars (out of 9):</w:t>
            </w:r>
          </w:p>
        </w:tc>
        <w:tc>
          <w:tcPr>
            <w:tcW w:w="3294" w:type="dxa"/>
            <w:shd w:val="clear" w:color="auto" w:fill="F2F2F2" w:themeFill="background1" w:themeFillShade="F2"/>
          </w:tcPr>
          <w:p w14:paraId="68454481" w14:textId="77777777" w:rsidR="00E74E8D" w:rsidRPr="00B90E83" w:rsidRDefault="00E74E8D" w:rsidP="0063693D">
            <w:pPr>
              <w:jc w:val="center"/>
              <w:rPr>
                <w:b/>
              </w:rPr>
            </w:pPr>
            <w:r>
              <w:rPr>
                <w:b/>
              </w:rPr>
              <w:t>8</w:t>
            </w:r>
          </w:p>
        </w:tc>
        <w:tc>
          <w:tcPr>
            <w:tcW w:w="3294" w:type="dxa"/>
            <w:shd w:val="clear" w:color="auto" w:fill="F2F2F2" w:themeFill="background1" w:themeFillShade="F2"/>
          </w:tcPr>
          <w:p w14:paraId="4461ED7E" w14:textId="77777777" w:rsidR="00E74E8D" w:rsidRPr="00B90E83" w:rsidRDefault="00E74E8D" w:rsidP="0063693D">
            <w:pPr>
              <w:jc w:val="center"/>
              <w:rPr>
                <w:b/>
              </w:rPr>
            </w:pPr>
            <w:r>
              <w:rPr>
                <w:b/>
              </w:rPr>
              <w:t>8</w:t>
            </w:r>
          </w:p>
        </w:tc>
        <w:tc>
          <w:tcPr>
            <w:tcW w:w="3294" w:type="dxa"/>
            <w:shd w:val="clear" w:color="auto" w:fill="F2F2F2" w:themeFill="background1" w:themeFillShade="F2"/>
          </w:tcPr>
          <w:p w14:paraId="7BE0D270" w14:textId="77777777" w:rsidR="00E74E8D" w:rsidRPr="00B90E83" w:rsidRDefault="00E74E8D" w:rsidP="0063693D">
            <w:pPr>
              <w:jc w:val="center"/>
              <w:rPr>
                <w:b/>
              </w:rPr>
            </w:pPr>
            <w:r>
              <w:rPr>
                <w:b/>
              </w:rPr>
              <w:t>8</w:t>
            </w:r>
          </w:p>
        </w:tc>
      </w:tr>
    </w:tbl>
    <w:p w14:paraId="4A7C6664" w14:textId="77777777" w:rsidR="00E74E8D" w:rsidRPr="00B94C53" w:rsidRDefault="00E74E8D" w:rsidP="00B94C53">
      <w:pPr>
        <w:spacing w:after="0"/>
        <w:rPr>
          <w:u w:val="single"/>
        </w:rPr>
      </w:pPr>
    </w:p>
    <w:p w14:paraId="2170D4BC" w14:textId="77777777" w:rsidR="00E74E8D" w:rsidRDefault="00E74E8D" w:rsidP="00B94C53"/>
    <w:p w14:paraId="009DF1F0" w14:textId="77777777" w:rsidR="003A385D" w:rsidRPr="00B94C53" w:rsidRDefault="003A385D" w:rsidP="00B94C53">
      <w:pPr>
        <w:sectPr w:rsidR="003A385D" w:rsidRPr="00B94C53" w:rsidSect="00B94C53">
          <w:endnotePr>
            <w:numFmt w:val="decimal"/>
          </w:endnotePr>
          <w:pgSz w:w="15840" w:h="12240" w:orient="landscape"/>
          <w:pgMar w:top="1440" w:right="1440" w:bottom="1440" w:left="1440" w:header="708" w:footer="708" w:gutter="0"/>
          <w:cols w:space="708"/>
          <w:docGrid w:linePitch="360"/>
        </w:sectPr>
      </w:pPr>
    </w:p>
    <w:p w14:paraId="46573C29" w14:textId="3C980CCC" w:rsidR="00AE6259" w:rsidRPr="00AE6259" w:rsidRDefault="00AE6259" w:rsidP="00AE6259">
      <w:pPr>
        <w:pStyle w:val="Heading1"/>
        <w:rPr>
          <w:sz w:val="22"/>
          <w:szCs w:val="22"/>
        </w:rPr>
      </w:pPr>
      <w:bookmarkStart w:id="10" w:name="_Toc532829305"/>
      <w:r w:rsidRPr="00AE6259">
        <w:rPr>
          <w:sz w:val="22"/>
          <w:szCs w:val="22"/>
        </w:rPr>
        <w:lastRenderedPageBreak/>
        <w:t xml:space="preserve">Appendix </w:t>
      </w:r>
      <w:r w:rsidR="00275BBA">
        <w:rPr>
          <w:sz w:val="22"/>
          <w:szCs w:val="22"/>
        </w:rPr>
        <w:t>1</w:t>
      </w:r>
      <w:r w:rsidR="00B50B35">
        <w:rPr>
          <w:sz w:val="22"/>
          <w:szCs w:val="22"/>
        </w:rPr>
        <w:t>0</w:t>
      </w:r>
      <w:r w:rsidRPr="00AE6259">
        <w:rPr>
          <w:sz w:val="22"/>
          <w:szCs w:val="22"/>
        </w:rPr>
        <w:t>. Measures of Quality of Life and Cognitive Function</w:t>
      </w:r>
      <w:bookmarkEnd w:id="10"/>
    </w:p>
    <w:p w14:paraId="1BABBEAC" w14:textId="77777777" w:rsidR="00AE6259" w:rsidRDefault="00AE6259" w:rsidP="00AE6259">
      <w:pPr>
        <w:rPr>
          <w:b/>
          <w:sz w:val="24"/>
          <w:szCs w:val="24"/>
          <w:u w:val="single"/>
        </w:rPr>
      </w:pPr>
    </w:p>
    <w:p w14:paraId="26BEA042" w14:textId="77777777" w:rsidR="00AE6259" w:rsidRPr="009E5FDE" w:rsidRDefault="00AE6259" w:rsidP="00AE6259">
      <w:pPr>
        <w:rPr>
          <w:b/>
          <w:color w:val="000000" w:themeColor="text1"/>
          <w:sz w:val="24"/>
          <w:szCs w:val="24"/>
          <w:u w:val="single"/>
        </w:rPr>
      </w:pPr>
      <w:r w:rsidRPr="009E5FDE">
        <w:rPr>
          <w:b/>
          <w:color w:val="000000" w:themeColor="text1"/>
          <w:sz w:val="24"/>
          <w:szCs w:val="24"/>
          <w:u w:val="single"/>
        </w:rPr>
        <w:t>Quality of Life</w:t>
      </w:r>
    </w:p>
    <w:p w14:paraId="7A16BA4C" w14:textId="56EE35D2" w:rsidR="00AE6259" w:rsidRPr="009E5FDE" w:rsidRDefault="00AE6259" w:rsidP="00AE6259">
      <w:pPr>
        <w:rPr>
          <w:color w:val="000000" w:themeColor="text1"/>
        </w:rPr>
      </w:pPr>
      <w:r w:rsidRPr="009E5FDE">
        <w:rPr>
          <w:b/>
          <w:color w:val="000000" w:themeColor="text1"/>
        </w:rPr>
        <w:t>36-Item Short Form Health Survey (SF-36)</w:t>
      </w:r>
      <w:r w:rsidR="00A250F2" w:rsidRPr="00A250F2">
        <w:rPr>
          <w:color w:val="000000" w:themeColor="text1"/>
        </w:rPr>
        <w:t xml:space="preserve"> [</w:t>
      </w:r>
      <w:r w:rsidRPr="00A250F2">
        <w:rPr>
          <w:rStyle w:val="EndnoteReference"/>
          <w:color w:val="000000" w:themeColor="text1"/>
          <w:vertAlign w:val="baseline"/>
        </w:rPr>
        <w:endnoteReference w:id="1"/>
      </w:r>
      <w:r w:rsidR="00A250F2" w:rsidRPr="00A250F2">
        <w:rPr>
          <w:color w:val="000000" w:themeColor="text1"/>
        </w:rPr>
        <w:t>]</w:t>
      </w:r>
      <w:r w:rsidRPr="00A250F2">
        <w:rPr>
          <w:color w:val="000000" w:themeColor="text1"/>
        </w:rPr>
        <w:t xml:space="preserve"> –</w:t>
      </w:r>
      <w:r w:rsidRPr="009E5FDE">
        <w:rPr>
          <w:b/>
          <w:color w:val="000000" w:themeColor="text1"/>
        </w:rPr>
        <w:t xml:space="preserve"> </w:t>
      </w:r>
      <w:r w:rsidRPr="009E5FDE">
        <w:rPr>
          <w:color w:val="000000" w:themeColor="text1"/>
        </w:rPr>
        <w:t xml:space="preserve">a quality of life survey that looks at eight health concepts: physical functioning, bodily pain, role limitations due to physical health problems, role limitations due to personal or emotional problems, emotional well-being, social functioning, energy/fatigue, and general health perceptions. </w:t>
      </w:r>
    </w:p>
    <w:p w14:paraId="54F5E9E6" w14:textId="0CC0587A" w:rsidR="00AE6259" w:rsidRPr="009E5FDE" w:rsidRDefault="00AE6259" w:rsidP="00AE6259">
      <w:pPr>
        <w:rPr>
          <w:color w:val="000000" w:themeColor="text1"/>
        </w:rPr>
      </w:pPr>
      <w:r w:rsidRPr="009E5FDE">
        <w:rPr>
          <w:b/>
          <w:color w:val="000000" w:themeColor="text1"/>
        </w:rPr>
        <w:t>Beck Depression Inventory (BDI)</w:t>
      </w:r>
      <w:r w:rsidR="00A250F2">
        <w:rPr>
          <w:b/>
          <w:color w:val="000000" w:themeColor="text1"/>
        </w:rPr>
        <w:t xml:space="preserve"> </w:t>
      </w:r>
      <w:r w:rsidR="00A250F2" w:rsidRPr="00A250F2">
        <w:rPr>
          <w:color w:val="000000" w:themeColor="text1"/>
        </w:rPr>
        <w:t>[</w:t>
      </w:r>
      <w:r w:rsidRPr="00A250F2">
        <w:rPr>
          <w:rStyle w:val="EndnoteReference"/>
          <w:color w:val="000000" w:themeColor="text1"/>
          <w:vertAlign w:val="baseline"/>
        </w:rPr>
        <w:endnoteReference w:id="2"/>
      </w:r>
      <w:r w:rsidR="00A250F2" w:rsidRPr="00A250F2">
        <w:rPr>
          <w:color w:val="000000" w:themeColor="text1"/>
        </w:rPr>
        <w:t>]</w:t>
      </w:r>
      <w:r w:rsidRPr="00A250F2">
        <w:rPr>
          <w:color w:val="000000" w:themeColor="text1"/>
        </w:rPr>
        <w:t xml:space="preserve"> -</w:t>
      </w:r>
      <w:r w:rsidRPr="009E5FDE">
        <w:rPr>
          <w:color w:val="000000" w:themeColor="text1"/>
        </w:rPr>
        <w:t xml:space="preserve"> is a 21-item, self-report rating inventory that measures characteristic attitudes and symptoms of depression and includes the following subscales: (a) Affective subscale to measure affective components (i.e. pessimism, past failures, guilty feelings, punishment feelings, self-dislike, self-criticalness, suicidal thoughts or wishes, and worthlessness) and (b) Somatic subscale to measure somatic components (i.e. sadness, loss of pleasure, crying, agitation, loss of interest, indecisiveness, loss of energy, change in sleep patterns, irritability, change in appetite, concentration difficulties, tiredness and/or fatigue, and loss of interest in sex)</w:t>
      </w:r>
    </w:p>
    <w:p w14:paraId="791AF2CB" w14:textId="3B9FFFCA" w:rsidR="00AE6259" w:rsidRPr="009E5FDE" w:rsidRDefault="00AE6259" w:rsidP="00AE6259">
      <w:pPr>
        <w:rPr>
          <w:color w:val="000000" w:themeColor="text1"/>
        </w:rPr>
      </w:pPr>
      <w:r w:rsidRPr="009E5FDE">
        <w:rPr>
          <w:b/>
          <w:color w:val="000000" w:themeColor="text1"/>
        </w:rPr>
        <w:t>Barthel index</w:t>
      </w:r>
      <w:r w:rsidR="00A250F2">
        <w:rPr>
          <w:b/>
          <w:color w:val="000000" w:themeColor="text1"/>
        </w:rPr>
        <w:t xml:space="preserve"> </w:t>
      </w:r>
      <w:r w:rsidR="00A250F2" w:rsidRPr="00A250F2">
        <w:rPr>
          <w:color w:val="000000" w:themeColor="text1"/>
        </w:rPr>
        <w:t>[</w:t>
      </w:r>
      <w:r w:rsidRPr="00A250F2">
        <w:rPr>
          <w:rStyle w:val="EndnoteReference"/>
          <w:color w:val="000000" w:themeColor="text1"/>
          <w:vertAlign w:val="baseline"/>
        </w:rPr>
        <w:endnoteReference w:id="3"/>
      </w:r>
      <w:r w:rsidR="00A250F2" w:rsidRPr="00A250F2">
        <w:rPr>
          <w:color w:val="000000" w:themeColor="text1"/>
        </w:rPr>
        <w:t>]</w:t>
      </w:r>
      <w:r w:rsidRPr="009E5FDE">
        <w:rPr>
          <w:color w:val="000000" w:themeColor="text1"/>
        </w:rPr>
        <w:t xml:space="preserve"> – measures the extent to which somebody can function independently and has mobility in their activities of daily living (i.e. feeding, bathing, grooming, dressing, etc.).</w:t>
      </w:r>
    </w:p>
    <w:p w14:paraId="19E15893" w14:textId="1069FFD3" w:rsidR="00AE6259" w:rsidRPr="009E5FDE" w:rsidRDefault="00AE6259" w:rsidP="00AE6259">
      <w:pPr>
        <w:rPr>
          <w:color w:val="000000" w:themeColor="text1"/>
        </w:rPr>
      </w:pPr>
      <w:r w:rsidRPr="009E5FDE">
        <w:rPr>
          <w:b/>
          <w:color w:val="000000" w:themeColor="text1"/>
        </w:rPr>
        <w:t>Comprehensive Thyroid Quality of Life Assessment ThyPRO-39 score</w:t>
      </w:r>
      <w:r w:rsidR="00A250F2">
        <w:rPr>
          <w:b/>
          <w:color w:val="000000" w:themeColor="text1"/>
        </w:rPr>
        <w:t xml:space="preserve"> </w:t>
      </w:r>
      <w:r w:rsidR="00A250F2" w:rsidRPr="00A250F2">
        <w:rPr>
          <w:color w:val="000000" w:themeColor="text1"/>
        </w:rPr>
        <w:t>[</w:t>
      </w:r>
      <w:r w:rsidRPr="00A250F2">
        <w:rPr>
          <w:rStyle w:val="EndnoteReference"/>
          <w:color w:val="000000" w:themeColor="text1"/>
          <w:vertAlign w:val="baseline"/>
        </w:rPr>
        <w:endnoteReference w:id="4"/>
      </w:r>
      <w:r w:rsidR="00A250F2" w:rsidRPr="00A250F2">
        <w:rPr>
          <w:color w:val="000000" w:themeColor="text1"/>
        </w:rPr>
        <w:t>]</w:t>
      </w:r>
      <w:r w:rsidRPr="009E5FDE">
        <w:rPr>
          <w:color w:val="000000" w:themeColor="text1"/>
        </w:rPr>
        <w:t xml:space="preserve"> – an abbreviated version of the Thyroid-related Quality of Life Patient-reported outcome measure (ThyPRO)</w:t>
      </w:r>
    </w:p>
    <w:p w14:paraId="750FB892" w14:textId="72D9AFE9" w:rsidR="00AE6259" w:rsidRPr="009E5FDE" w:rsidRDefault="00AE6259" w:rsidP="00AE6259">
      <w:pPr>
        <w:rPr>
          <w:color w:val="000000" w:themeColor="text1"/>
        </w:rPr>
      </w:pPr>
      <w:r w:rsidRPr="009E5FDE">
        <w:rPr>
          <w:b/>
          <w:color w:val="000000" w:themeColor="text1"/>
        </w:rPr>
        <w:t>EuroQuol Group 5-Dimension Self Report Questionnaire (EQ-5D)</w:t>
      </w:r>
      <w:r w:rsidR="00A250F2">
        <w:rPr>
          <w:b/>
          <w:color w:val="000000" w:themeColor="text1"/>
        </w:rPr>
        <w:t xml:space="preserve"> </w:t>
      </w:r>
      <w:r w:rsidR="00A250F2" w:rsidRPr="00A250F2">
        <w:rPr>
          <w:color w:val="000000" w:themeColor="text1"/>
        </w:rPr>
        <w:t>[</w:t>
      </w:r>
      <w:r w:rsidRPr="00A250F2">
        <w:rPr>
          <w:rStyle w:val="EndnoteReference"/>
          <w:color w:val="000000" w:themeColor="text1"/>
          <w:vertAlign w:val="baseline"/>
        </w:rPr>
        <w:endnoteReference w:id="5"/>
      </w:r>
      <w:r w:rsidR="00A250F2" w:rsidRPr="00A250F2">
        <w:rPr>
          <w:color w:val="000000" w:themeColor="text1"/>
        </w:rPr>
        <w:t>]</w:t>
      </w:r>
      <w:r w:rsidRPr="009E5FDE">
        <w:rPr>
          <w:color w:val="000000" w:themeColor="text1"/>
        </w:rPr>
        <w:t xml:space="preserve"> – standardized instrument for measuring generic health status and consists of two components. The first is a descriptive score which comprises five dimensions (mobility, self-care, usual activities, pain/discomfort and anxiety/depression) and the second is a visual analogue score to measure current health status.</w:t>
      </w:r>
    </w:p>
    <w:p w14:paraId="7728A994" w14:textId="089A8BC2" w:rsidR="00AE6259" w:rsidRPr="009E5FDE" w:rsidRDefault="00AE6259" w:rsidP="00AE6259">
      <w:pPr>
        <w:rPr>
          <w:color w:val="000000" w:themeColor="text1"/>
        </w:rPr>
      </w:pPr>
      <w:r w:rsidRPr="009E5FDE">
        <w:rPr>
          <w:b/>
          <w:color w:val="000000" w:themeColor="text1"/>
        </w:rPr>
        <w:t>General Health Questionnaire (GHQ-30)</w:t>
      </w:r>
      <w:r w:rsidR="00A250F2">
        <w:rPr>
          <w:b/>
          <w:color w:val="000000" w:themeColor="text1"/>
        </w:rPr>
        <w:t xml:space="preserve"> </w:t>
      </w:r>
      <w:r w:rsidR="00A250F2" w:rsidRPr="00A250F2">
        <w:rPr>
          <w:color w:val="000000" w:themeColor="text1"/>
        </w:rPr>
        <w:t>[</w:t>
      </w:r>
      <w:r w:rsidRPr="00A250F2">
        <w:rPr>
          <w:rStyle w:val="EndnoteReference"/>
          <w:color w:val="000000" w:themeColor="text1"/>
          <w:vertAlign w:val="baseline"/>
        </w:rPr>
        <w:endnoteReference w:id="6"/>
      </w:r>
      <w:r w:rsidR="00A250F2" w:rsidRPr="00A250F2">
        <w:rPr>
          <w:color w:val="000000" w:themeColor="text1"/>
        </w:rPr>
        <w:t>]</w:t>
      </w:r>
      <w:r w:rsidRPr="009E5FDE">
        <w:rPr>
          <w:color w:val="000000" w:themeColor="text1"/>
        </w:rPr>
        <w:t xml:space="preserve"> - </w:t>
      </w:r>
      <w:r w:rsidRPr="009E5FDE">
        <w:rPr>
          <w:rFonts w:cs="Arial"/>
          <w:color w:val="000000" w:themeColor="text1"/>
          <w:shd w:val="clear" w:color="auto" w:fill="FFFFFF"/>
        </w:rPr>
        <w:t>is a screening device for identifying minor psychiatric disorders in the general population and within community or non-psychiatric clinical settings such as primary care or general medical out-patients</w:t>
      </w:r>
    </w:p>
    <w:p w14:paraId="6DFE8C5F" w14:textId="3B78377A" w:rsidR="00AE6259" w:rsidRPr="009E5FDE" w:rsidRDefault="00AE6259" w:rsidP="00AE6259">
      <w:pPr>
        <w:rPr>
          <w:color w:val="000000" w:themeColor="text1"/>
        </w:rPr>
      </w:pPr>
      <w:r w:rsidRPr="009E5FDE">
        <w:rPr>
          <w:b/>
          <w:color w:val="000000" w:themeColor="text1"/>
        </w:rPr>
        <w:t>Hamilton Scale for Anxiety and Depression</w:t>
      </w:r>
      <w:r w:rsidR="00A250F2">
        <w:rPr>
          <w:b/>
          <w:color w:val="000000" w:themeColor="text1"/>
        </w:rPr>
        <w:t xml:space="preserve"> </w:t>
      </w:r>
      <w:r w:rsidR="00A250F2" w:rsidRPr="00A250F2">
        <w:rPr>
          <w:color w:val="000000" w:themeColor="text1"/>
        </w:rPr>
        <w:t>[</w:t>
      </w:r>
      <w:r w:rsidRPr="00A250F2">
        <w:rPr>
          <w:rStyle w:val="EndnoteReference"/>
          <w:color w:val="000000" w:themeColor="text1"/>
          <w:vertAlign w:val="baseline"/>
        </w:rPr>
        <w:endnoteReference w:id="7"/>
      </w:r>
      <w:r w:rsidRPr="00A250F2">
        <w:rPr>
          <w:color w:val="000000" w:themeColor="text1"/>
        </w:rPr>
        <w:t>,</w:t>
      </w:r>
      <w:r w:rsidRPr="00A250F2">
        <w:rPr>
          <w:rStyle w:val="EndnoteReference"/>
          <w:color w:val="000000" w:themeColor="text1"/>
          <w:vertAlign w:val="baseline"/>
        </w:rPr>
        <w:endnoteReference w:id="8"/>
      </w:r>
      <w:r w:rsidR="00A250F2" w:rsidRPr="00A250F2">
        <w:rPr>
          <w:color w:val="000000" w:themeColor="text1"/>
        </w:rPr>
        <w:t>]</w:t>
      </w:r>
      <w:r w:rsidRPr="009E5FDE">
        <w:rPr>
          <w:b/>
          <w:color w:val="000000" w:themeColor="text1"/>
        </w:rPr>
        <w:t xml:space="preserve"> </w:t>
      </w:r>
      <w:r w:rsidRPr="009E5FDE">
        <w:rPr>
          <w:color w:val="000000" w:themeColor="text1"/>
        </w:rPr>
        <w:t xml:space="preserve">- </w:t>
      </w:r>
      <w:r w:rsidRPr="009E5FDE">
        <w:rPr>
          <w:rFonts w:cs="Arial"/>
          <w:color w:val="000000" w:themeColor="text1"/>
          <w:shd w:val="clear" w:color="auto" w:fill="FFFFFF"/>
        </w:rPr>
        <w:t>a 14 item scale that determine the levels of anxiety and depression that a patient is experiencing and includes two subscales: anxiety scale and depression scale</w:t>
      </w:r>
    </w:p>
    <w:p w14:paraId="595C1138" w14:textId="0F2A628B" w:rsidR="00AE6259" w:rsidRPr="009E5FDE" w:rsidRDefault="00AE6259" w:rsidP="00AE6259">
      <w:pPr>
        <w:rPr>
          <w:color w:val="000000" w:themeColor="text1"/>
        </w:rPr>
      </w:pPr>
      <w:r w:rsidRPr="009E5FDE">
        <w:rPr>
          <w:b/>
          <w:color w:val="000000" w:themeColor="text1"/>
        </w:rPr>
        <w:t>Hospital Anxiety and Depression Scale (HADS)</w:t>
      </w:r>
      <w:r w:rsidR="00A250F2">
        <w:rPr>
          <w:b/>
          <w:color w:val="000000" w:themeColor="text1"/>
        </w:rPr>
        <w:t xml:space="preserve"> </w:t>
      </w:r>
      <w:r w:rsidR="00A250F2" w:rsidRPr="00A250F2">
        <w:rPr>
          <w:color w:val="000000" w:themeColor="text1"/>
        </w:rPr>
        <w:t>[</w:t>
      </w:r>
      <w:r w:rsidRPr="00A250F2">
        <w:rPr>
          <w:rStyle w:val="EndnoteReference"/>
          <w:color w:val="000000" w:themeColor="text1"/>
          <w:vertAlign w:val="baseline"/>
        </w:rPr>
        <w:endnoteReference w:id="9"/>
      </w:r>
      <w:r w:rsidR="00A250F2" w:rsidRPr="00A250F2">
        <w:rPr>
          <w:color w:val="000000" w:themeColor="text1"/>
        </w:rPr>
        <w:t>]</w:t>
      </w:r>
      <w:r w:rsidRPr="009E5FDE">
        <w:rPr>
          <w:color w:val="000000" w:themeColor="text1"/>
        </w:rPr>
        <w:t xml:space="preserve"> – measures anxiety and depression in a general medical population of patients</w:t>
      </w:r>
    </w:p>
    <w:p w14:paraId="3C0D8329" w14:textId="43AEA0BD" w:rsidR="00AE6259" w:rsidRPr="009E5FDE" w:rsidRDefault="00AE6259" w:rsidP="00AE6259">
      <w:pPr>
        <w:rPr>
          <w:rFonts w:cs="Arial"/>
          <w:color w:val="000000" w:themeColor="text1"/>
          <w:shd w:val="clear" w:color="auto" w:fill="FFFFFF"/>
        </w:rPr>
      </w:pPr>
      <w:r w:rsidRPr="009E5FDE">
        <w:rPr>
          <w:b/>
          <w:color w:val="000000" w:themeColor="text1"/>
        </w:rPr>
        <w:t>Older American Resources and Services (OARS) Instrumental Activities of Daily Living</w:t>
      </w:r>
      <w:r w:rsidR="00A250F2">
        <w:rPr>
          <w:b/>
          <w:color w:val="000000" w:themeColor="text1"/>
        </w:rPr>
        <w:t xml:space="preserve"> </w:t>
      </w:r>
      <w:r w:rsidR="00A250F2" w:rsidRPr="00A250F2">
        <w:rPr>
          <w:color w:val="000000" w:themeColor="text1"/>
        </w:rPr>
        <w:t>[</w:t>
      </w:r>
      <w:r w:rsidRPr="00A250F2">
        <w:rPr>
          <w:rStyle w:val="EndnoteReference"/>
          <w:color w:val="000000" w:themeColor="text1"/>
          <w:vertAlign w:val="baseline"/>
        </w:rPr>
        <w:endnoteReference w:id="10"/>
      </w:r>
      <w:r w:rsidR="00A250F2" w:rsidRPr="00A250F2">
        <w:rPr>
          <w:color w:val="000000" w:themeColor="text1"/>
        </w:rPr>
        <w:t>]</w:t>
      </w:r>
      <w:r w:rsidRPr="009E5FDE">
        <w:rPr>
          <w:color w:val="000000" w:themeColor="text1"/>
        </w:rPr>
        <w:t xml:space="preserve"> - </w:t>
      </w:r>
      <w:r w:rsidRPr="009E5FDE">
        <w:rPr>
          <w:rFonts w:cs="Arial"/>
          <w:color w:val="000000" w:themeColor="text1"/>
          <w:shd w:val="clear" w:color="auto" w:fill="FFFFFF"/>
        </w:rPr>
        <w:t>The Activities of Daily Living (ADL) questionnaire is a component of the OARS Multidimensional Functional Assessment Questionnaire. It measures an individual’s functioning related to independent living and one’s interaction with one’s physical and social environment</w:t>
      </w:r>
    </w:p>
    <w:p w14:paraId="6D6D925C" w14:textId="04600D1E" w:rsidR="00AE6259" w:rsidRPr="009E5FDE" w:rsidRDefault="00AE6259" w:rsidP="00AE6259">
      <w:pPr>
        <w:shd w:val="clear" w:color="auto" w:fill="FFFFFF"/>
        <w:rPr>
          <w:color w:val="000000" w:themeColor="text1"/>
        </w:rPr>
      </w:pPr>
      <w:r w:rsidRPr="009E5FDE">
        <w:rPr>
          <w:b/>
          <w:color w:val="000000" w:themeColor="text1"/>
        </w:rPr>
        <w:lastRenderedPageBreak/>
        <w:t>Thyroid-related Quality of Life Patient-reported outcome measure (ThyPRO)</w:t>
      </w:r>
      <w:r w:rsidR="00A250F2" w:rsidRPr="00A250F2">
        <w:rPr>
          <w:color w:val="000000" w:themeColor="text1"/>
        </w:rPr>
        <w:t xml:space="preserve"> [</w:t>
      </w:r>
      <w:r w:rsidRPr="00A250F2">
        <w:rPr>
          <w:rStyle w:val="EndnoteReference"/>
          <w:color w:val="000000" w:themeColor="text1"/>
          <w:vertAlign w:val="baseline"/>
        </w:rPr>
        <w:endnoteReference w:id="11"/>
      </w:r>
      <w:r w:rsidR="00A250F2" w:rsidRPr="00A250F2">
        <w:rPr>
          <w:color w:val="000000" w:themeColor="text1"/>
        </w:rPr>
        <w:t>]</w:t>
      </w:r>
      <w:r w:rsidRPr="009E5FDE">
        <w:rPr>
          <w:color w:val="000000" w:themeColor="text1"/>
        </w:rPr>
        <w:t xml:space="preserve"> - </w:t>
      </w:r>
      <w:r w:rsidRPr="009E5FDE">
        <w:rPr>
          <w:rFonts w:eastAsia="Times New Roman" w:cs="Arial"/>
          <w:color w:val="000000" w:themeColor="text1"/>
          <w:lang w:val="en" w:eastAsia="en-CA"/>
        </w:rPr>
        <w:t xml:space="preserve">a questionnaire for measurement of quality of life in patients with benign thyroid diseases. Includes the following sub-measures:  </w:t>
      </w:r>
      <w:r w:rsidRPr="009E5FDE">
        <w:rPr>
          <w:color w:val="000000" w:themeColor="text1"/>
        </w:rPr>
        <w:t>Hypothyroid Symptoms Score Hypothyroid Tiredness Score.</w:t>
      </w:r>
    </w:p>
    <w:p w14:paraId="1F94C4CA" w14:textId="77777777" w:rsidR="00AE6259" w:rsidRPr="009E5FDE" w:rsidRDefault="00AE6259" w:rsidP="00AE6259">
      <w:pPr>
        <w:ind w:left="360"/>
        <w:rPr>
          <w:color w:val="000000" w:themeColor="text1"/>
        </w:rPr>
      </w:pPr>
    </w:p>
    <w:p w14:paraId="294E4C7B" w14:textId="77777777" w:rsidR="00AE6259" w:rsidRPr="009E5FDE" w:rsidRDefault="00AE6259" w:rsidP="00AE6259">
      <w:pPr>
        <w:rPr>
          <w:b/>
          <w:color w:val="000000" w:themeColor="text1"/>
          <w:sz w:val="24"/>
          <w:szCs w:val="24"/>
          <w:u w:val="single"/>
        </w:rPr>
      </w:pPr>
      <w:r w:rsidRPr="009E5FDE">
        <w:rPr>
          <w:b/>
          <w:color w:val="000000" w:themeColor="text1"/>
          <w:sz w:val="24"/>
          <w:szCs w:val="24"/>
          <w:u w:val="single"/>
        </w:rPr>
        <w:t>Cognitive Function</w:t>
      </w:r>
    </w:p>
    <w:p w14:paraId="3BD8CF05" w14:textId="0A22AF8B" w:rsidR="00AE6259" w:rsidRPr="009E5FDE" w:rsidRDefault="00AE6259" w:rsidP="00AE6259">
      <w:pPr>
        <w:shd w:val="clear" w:color="auto" w:fill="FFFFFF"/>
        <w:rPr>
          <w:color w:val="000000" w:themeColor="text1"/>
        </w:rPr>
      </w:pPr>
      <w:r w:rsidRPr="009E5FDE">
        <w:rPr>
          <w:rFonts w:eastAsia="Times New Roman" w:cs="Arial"/>
          <w:b/>
          <w:color w:val="000000" w:themeColor="text1"/>
          <w:lang w:eastAsia="en-CA"/>
        </w:rPr>
        <w:t>California Computerized Assessment Package (CalCAP)</w:t>
      </w:r>
      <w:r w:rsidR="00A250F2">
        <w:rPr>
          <w:rFonts w:eastAsia="Times New Roman" w:cs="Arial"/>
          <w:b/>
          <w:color w:val="000000" w:themeColor="text1"/>
          <w:lang w:eastAsia="en-CA"/>
        </w:rPr>
        <w:t xml:space="preserve"> </w:t>
      </w:r>
      <w:r w:rsidR="00A250F2" w:rsidRPr="00A250F2">
        <w:rPr>
          <w:rFonts w:eastAsia="Times New Roman" w:cs="Arial"/>
          <w:color w:val="000000" w:themeColor="text1"/>
          <w:lang w:eastAsia="en-CA"/>
        </w:rPr>
        <w:t>[</w:t>
      </w:r>
      <w:r w:rsidRPr="00A250F2">
        <w:rPr>
          <w:rStyle w:val="EndnoteReference"/>
          <w:rFonts w:eastAsia="Times New Roman" w:cs="Arial"/>
          <w:color w:val="000000" w:themeColor="text1"/>
          <w:vertAlign w:val="baseline"/>
          <w:lang w:eastAsia="en-CA"/>
        </w:rPr>
        <w:endnoteReference w:id="12"/>
      </w:r>
      <w:r w:rsidR="00A250F2" w:rsidRPr="00A250F2">
        <w:rPr>
          <w:rFonts w:eastAsia="Times New Roman" w:cs="Arial"/>
          <w:color w:val="000000" w:themeColor="text1"/>
          <w:lang w:eastAsia="en-CA"/>
        </w:rPr>
        <w:t>]</w:t>
      </w:r>
      <w:r w:rsidRPr="009E5FDE">
        <w:rPr>
          <w:rFonts w:eastAsia="Times New Roman" w:cs="Arial"/>
          <w:color w:val="000000" w:themeColor="text1"/>
          <w:lang w:eastAsia="en-CA"/>
        </w:rPr>
        <w:t xml:space="preserve"> – assesses speed of information processing</w:t>
      </w:r>
    </w:p>
    <w:p w14:paraId="078ABF79" w14:textId="0FE46AA3" w:rsidR="00AE6259" w:rsidRPr="009E5FDE" w:rsidRDefault="00AE6259" w:rsidP="00AE6259">
      <w:pPr>
        <w:shd w:val="clear" w:color="auto" w:fill="FFFFFF"/>
        <w:rPr>
          <w:color w:val="000000" w:themeColor="text1"/>
        </w:rPr>
      </w:pPr>
      <w:r w:rsidRPr="009E5FDE">
        <w:rPr>
          <w:b/>
          <w:color w:val="000000" w:themeColor="text1"/>
        </w:rPr>
        <w:t>Composite Cognitive Score</w:t>
      </w:r>
      <w:r w:rsidR="00A250F2">
        <w:rPr>
          <w:b/>
          <w:color w:val="000000" w:themeColor="text1"/>
        </w:rPr>
        <w:t xml:space="preserve"> </w:t>
      </w:r>
      <w:r w:rsidR="00A250F2" w:rsidRPr="00A250F2">
        <w:rPr>
          <w:color w:val="000000" w:themeColor="text1"/>
        </w:rPr>
        <w:t>[</w:t>
      </w:r>
      <w:r w:rsidRPr="00A250F2">
        <w:rPr>
          <w:rStyle w:val="EndnoteReference"/>
          <w:color w:val="000000" w:themeColor="text1"/>
          <w:vertAlign w:val="baseline"/>
        </w:rPr>
        <w:endnoteReference w:id="13"/>
      </w:r>
      <w:r w:rsidR="00A250F2" w:rsidRPr="00A250F2">
        <w:rPr>
          <w:color w:val="000000" w:themeColor="text1"/>
        </w:rPr>
        <w:t>]</w:t>
      </w:r>
      <w:r w:rsidRPr="009E5FDE">
        <w:rPr>
          <w:color w:val="000000" w:themeColor="text1"/>
        </w:rPr>
        <w:t xml:space="preserve"> – Used in one study and was made by adding together the Z-scores for the following tests: Digit span forward and backward (to assess attention and working memory), Stroop tests parts 1 &amp; 2 (psychomotor/cognitive speed), Verbal and visual recall (memory), and the Stroop test part 3(cognitive flexibility/executive function)</w:t>
      </w:r>
      <w:r w:rsidRPr="009E5FDE">
        <w:rPr>
          <w:rFonts w:eastAsia="Times New Roman" w:cs="Arial"/>
          <w:color w:val="000000" w:themeColor="text1"/>
          <w:lang w:val="en" w:eastAsia="en-CA"/>
        </w:rPr>
        <w:t xml:space="preserve"> </w:t>
      </w:r>
    </w:p>
    <w:p w14:paraId="70E03176" w14:textId="2B25C72F" w:rsidR="00AE6259" w:rsidRPr="009E5FDE" w:rsidRDefault="00AE6259" w:rsidP="00AE6259">
      <w:pPr>
        <w:shd w:val="clear" w:color="auto" w:fill="FFFFFF"/>
        <w:rPr>
          <w:color w:val="000000" w:themeColor="text1"/>
        </w:rPr>
      </w:pPr>
      <w:r w:rsidRPr="009E5FDE">
        <w:rPr>
          <w:rFonts w:eastAsia="Times New Roman" w:cs="Arial"/>
          <w:b/>
          <w:color w:val="000000" w:themeColor="text1"/>
          <w:lang w:eastAsia="en-CA"/>
        </w:rPr>
        <w:t>Controlled Word Association test</w:t>
      </w:r>
      <w:r w:rsidR="00A250F2">
        <w:rPr>
          <w:rFonts w:eastAsia="Times New Roman" w:cs="Arial"/>
          <w:b/>
          <w:color w:val="000000" w:themeColor="text1"/>
          <w:lang w:eastAsia="en-CA"/>
        </w:rPr>
        <w:t xml:space="preserve"> </w:t>
      </w:r>
      <w:r w:rsidR="00A250F2" w:rsidRPr="00A250F2">
        <w:rPr>
          <w:rFonts w:eastAsia="Times New Roman" w:cs="Arial"/>
          <w:color w:val="000000" w:themeColor="text1"/>
          <w:lang w:eastAsia="en-CA"/>
        </w:rPr>
        <w:t>[</w:t>
      </w:r>
      <w:r w:rsidRPr="00A250F2">
        <w:rPr>
          <w:rStyle w:val="EndnoteReference"/>
          <w:rFonts w:eastAsia="Times New Roman" w:cs="Arial"/>
          <w:color w:val="000000" w:themeColor="text1"/>
          <w:vertAlign w:val="baseline"/>
          <w:lang w:eastAsia="en-CA"/>
        </w:rPr>
        <w:endnoteReference w:id="14"/>
      </w:r>
      <w:r w:rsidR="00A250F2" w:rsidRPr="00A250F2">
        <w:rPr>
          <w:rFonts w:eastAsia="Times New Roman" w:cs="Arial"/>
          <w:color w:val="000000" w:themeColor="text1"/>
          <w:lang w:eastAsia="en-CA"/>
        </w:rPr>
        <w:t>]</w:t>
      </w:r>
      <w:r w:rsidRPr="009E5FDE">
        <w:rPr>
          <w:rFonts w:eastAsia="Times New Roman" w:cs="Arial"/>
          <w:color w:val="000000" w:themeColor="text1"/>
          <w:lang w:eastAsia="en-CA"/>
        </w:rPr>
        <w:t xml:space="preserve"> – assesses language/word fluency</w:t>
      </w:r>
    </w:p>
    <w:p w14:paraId="63D67806" w14:textId="20914FCE" w:rsidR="00AE6259" w:rsidRPr="009E5FDE" w:rsidRDefault="00AE6259" w:rsidP="00AE6259">
      <w:pPr>
        <w:shd w:val="clear" w:color="auto" w:fill="FFFFFF"/>
        <w:rPr>
          <w:color w:val="000000" w:themeColor="text1"/>
        </w:rPr>
      </w:pPr>
      <w:r w:rsidRPr="009E5FDE">
        <w:rPr>
          <w:rFonts w:eastAsia="Times New Roman" w:cs="Arial"/>
          <w:b/>
          <w:color w:val="000000" w:themeColor="text1"/>
          <w:lang w:val="en" w:eastAsia="en-CA"/>
        </w:rPr>
        <w:t>Letter Digit Coding Test</w:t>
      </w:r>
      <w:r w:rsidR="00A250F2">
        <w:rPr>
          <w:rFonts w:eastAsia="Times New Roman" w:cs="Arial"/>
          <w:b/>
          <w:color w:val="000000" w:themeColor="text1"/>
          <w:lang w:val="en" w:eastAsia="en-CA"/>
        </w:rPr>
        <w:t xml:space="preserve"> </w:t>
      </w:r>
      <w:r w:rsidR="00A250F2" w:rsidRPr="00A250F2">
        <w:rPr>
          <w:rFonts w:eastAsia="Times New Roman" w:cs="Arial"/>
          <w:color w:val="000000" w:themeColor="text1"/>
          <w:lang w:val="en" w:eastAsia="en-CA"/>
        </w:rPr>
        <w:t>[</w:t>
      </w:r>
      <w:r w:rsidRPr="00A250F2">
        <w:rPr>
          <w:rStyle w:val="EndnoteReference"/>
          <w:rFonts w:eastAsia="Times New Roman" w:cs="Arial"/>
          <w:color w:val="000000" w:themeColor="text1"/>
          <w:vertAlign w:val="baseline"/>
          <w:lang w:val="en" w:eastAsia="en-CA"/>
        </w:rPr>
        <w:endnoteReference w:id="15"/>
      </w:r>
      <w:r w:rsidR="00A250F2" w:rsidRPr="00A250F2">
        <w:rPr>
          <w:rFonts w:eastAsia="Times New Roman" w:cs="Arial"/>
          <w:color w:val="000000" w:themeColor="text1"/>
          <w:lang w:val="en" w:eastAsia="en-CA"/>
        </w:rPr>
        <w:t>]</w:t>
      </w:r>
      <w:r w:rsidRPr="009E5FDE">
        <w:rPr>
          <w:rFonts w:eastAsia="Times New Roman" w:cs="Arial"/>
          <w:color w:val="000000" w:themeColor="text1"/>
          <w:lang w:val="en" w:eastAsia="en-CA"/>
        </w:rPr>
        <w:t xml:space="preserve"> – to assess executive cognitive function whereby the test would indicate the speed of processing</w:t>
      </w:r>
    </w:p>
    <w:p w14:paraId="35C75745" w14:textId="3FF6B236" w:rsidR="00AE6259" w:rsidRPr="009E5FDE" w:rsidRDefault="00AE6259" w:rsidP="00AE6259">
      <w:pPr>
        <w:shd w:val="clear" w:color="auto" w:fill="FFFFFF"/>
        <w:rPr>
          <w:color w:val="000000" w:themeColor="text1"/>
        </w:rPr>
      </w:pPr>
      <w:r w:rsidRPr="009E5FDE">
        <w:rPr>
          <w:rFonts w:eastAsia="Times New Roman" w:cs="Arial"/>
          <w:b/>
          <w:color w:val="000000" w:themeColor="text1"/>
          <w:lang w:eastAsia="en-CA"/>
        </w:rPr>
        <w:t>Middlesex Elderly Assessment of Mental State (MEAMS)</w:t>
      </w:r>
      <w:r w:rsidR="00A250F2">
        <w:rPr>
          <w:rFonts w:eastAsia="Times New Roman" w:cs="Arial"/>
          <w:b/>
          <w:color w:val="000000" w:themeColor="text1"/>
          <w:lang w:eastAsia="en-CA"/>
        </w:rPr>
        <w:t xml:space="preserve"> </w:t>
      </w:r>
      <w:r w:rsidR="00A250F2" w:rsidRPr="00A250F2">
        <w:rPr>
          <w:rFonts w:eastAsia="Times New Roman" w:cs="Arial"/>
          <w:color w:val="000000" w:themeColor="text1"/>
          <w:lang w:eastAsia="en-CA"/>
        </w:rPr>
        <w:t>[</w:t>
      </w:r>
      <w:r w:rsidRPr="00A250F2">
        <w:rPr>
          <w:rStyle w:val="EndnoteReference"/>
          <w:rFonts w:eastAsia="Times New Roman" w:cs="Arial"/>
          <w:color w:val="000000" w:themeColor="text1"/>
          <w:vertAlign w:val="baseline"/>
          <w:lang w:eastAsia="en-CA"/>
        </w:rPr>
        <w:endnoteReference w:id="16"/>
      </w:r>
      <w:r w:rsidR="00A250F2" w:rsidRPr="00A250F2">
        <w:rPr>
          <w:rFonts w:eastAsia="Times New Roman" w:cs="Arial"/>
          <w:color w:val="000000" w:themeColor="text1"/>
          <w:lang w:eastAsia="en-CA"/>
        </w:rPr>
        <w:t>]</w:t>
      </w:r>
      <w:r w:rsidRPr="009E5FDE">
        <w:rPr>
          <w:rFonts w:eastAsia="Times New Roman" w:cs="Arial"/>
          <w:color w:val="000000" w:themeColor="text1"/>
          <w:lang w:eastAsia="en-CA"/>
        </w:rPr>
        <w:t xml:space="preserve"> – screens for gross impairment of cognitive skills in the elderly</w:t>
      </w:r>
    </w:p>
    <w:p w14:paraId="3B6BCAC8" w14:textId="369E748A" w:rsidR="00AE6259" w:rsidRPr="009E5FDE" w:rsidRDefault="00AE6259" w:rsidP="00AE6259">
      <w:pPr>
        <w:shd w:val="clear" w:color="auto" w:fill="FFFFFF"/>
        <w:rPr>
          <w:color w:val="000000" w:themeColor="text1"/>
        </w:rPr>
      </w:pPr>
      <w:r w:rsidRPr="009E5FDE">
        <w:rPr>
          <w:rFonts w:eastAsia="Times New Roman" w:cs="Arial"/>
          <w:b/>
          <w:color w:val="000000" w:themeColor="text1"/>
          <w:lang w:eastAsia="en-CA"/>
        </w:rPr>
        <w:t>Mini-Mental State Examination (MMSE)</w:t>
      </w:r>
      <w:r w:rsidR="00A250F2">
        <w:rPr>
          <w:rFonts w:eastAsia="Times New Roman" w:cs="Arial"/>
          <w:b/>
          <w:color w:val="000000" w:themeColor="text1"/>
          <w:lang w:eastAsia="en-CA"/>
        </w:rPr>
        <w:t xml:space="preserve"> </w:t>
      </w:r>
      <w:r w:rsidR="00A250F2" w:rsidRPr="00A250F2">
        <w:rPr>
          <w:rFonts w:eastAsia="Times New Roman" w:cs="Arial"/>
          <w:color w:val="000000" w:themeColor="text1"/>
          <w:lang w:eastAsia="en-CA"/>
        </w:rPr>
        <w:t>[</w:t>
      </w:r>
      <w:r w:rsidRPr="00A250F2">
        <w:rPr>
          <w:rStyle w:val="EndnoteReference"/>
          <w:rFonts w:eastAsia="Times New Roman" w:cs="Arial"/>
          <w:color w:val="000000" w:themeColor="text1"/>
          <w:vertAlign w:val="baseline"/>
          <w:lang w:eastAsia="en-CA"/>
        </w:rPr>
        <w:endnoteReference w:id="17"/>
      </w:r>
      <w:r w:rsidR="00A250F2" w:rsidRPr="00A250F2">
        <w:rPr>
          <w:rFonts w:eastAsia="Times New Roman" w:cs="Arial"/>
          <w:color w:val="000000" w:themeColor="text1"/>
          <w:lang w:eastAsia="en-CA"/>
        </w:rPr>
        <w:t>]</w:t>
      </w:r>
      <w:r w:rsidRPr="009E5FDE">
        <w:rPr>
          <w:rFonts w:eastAsia="Times New Roman" w:cs="Arial"/>
          <w:color w:val="000000" w:themeColor="text1"/>
          <w:lang w:eastAsia="en-CA"/>
        </w:rPr>
        <w:t xml:space="preserve"> – measures cognitive impairment</w:t>
      </w:r>
    </w:p>
    <w:p w14:paraId="314F36E5" w14:textId="5AF5BB70" w:rsidR="00AE6259" w:rsidRPr="009E5FDE" w:rsidRDefault="00AE6259" w:rsidP="00AE6259">
      <w:pPr>
        <w:shd w:val="clear" w:color="auto" w:fill="FFFFFF"/>
        <w:rPr>
          <w:color w:val="000000" w:themeColor="text1"/>
        </w:rPr>
      </w:pPr>
      <w:r w:rsidRPr="009E5FDE">
        <w:rPr>
          <w:rFonts w:eastAsia="Times New Roman" w:cs="Arial"/>
          <w:b/>
          <w:color w:val="000000" w:themeColor="text1"/>
          <w:lang w:eastAsia="en-CA"/>
        </w:rPr>
        <w:t>Seashore Rhythm test</w:t>
      </w:r>
      <w:r w:rsidR="00A250F2">
        <w:rPr>
          <w:rFonts w:eastAsia="Times New Roman" w:cs="Arial"/>
          <w:b/>
          <w:color w:val="000000" w:themeColor="text1"/>
          <w:lang w:eastAsia="en-CA"/>
        </w:rPr>
        <w:t xml:space="preserve"> </w:t>
      </w:r>
      <w:r w:rsidR="00A250F2" w:rsidRPr="00A250F2">
        <w:rPr>
          <w:rFonts w:eastAsia="Times New Roman" w:cs="Arial"/>
          <w:color w:val="000000" w:themeColor="text1"/>
          <w:lang w:eastAsia="en-CA"/>
        </w:rPr>
        <w:t>[</w:t>
      </w:r>
      <w:r w:rsidRPr="00A250F2">
        <w:rPr>
          <w:rStyle w:val="EndnoteReference"/>
          <w:rFonts w:eastAsia="Times New Roman" w:cs="Arial"/>
          <w:color w:val="000000" w:themeColor="text1"/>
          <w:vertAlign w:val="baseline"/>
          <w:lang w:eastAsia="en-CA"/>
        </w:rPr>
        <w:endnoteReference w:id="18"/>
      </w:r>
      <w:r w:rsidR="00A250F2" w:rsidRPr="00A250F2">
        <w:rPr>
          <w:rFonts w:eastAsia="Times New Roman" w:cs="Arial"/>
          <w:color w:val="000000" w:themeColor="text1"/>
          <w:lang w:eastAsia="en-CA"/>
        </w:rPr>
        <w:t>]</w:t>
      </w:r>
      <w:r w:rsidRPr="009E5FDE">
        <w:rPr>
          <w:rFonts w:eastAsia="Times New Roman" w:cs="Arial"/>
          <w:color w:val="000000" w:themeColor="text1"/>
          <w:lang w:eastAsia="en-CA"/>
        </w:rPr>
        <w:t xml:space="preserve"> – assesses attention and working memory</w:t>
      </w:r>
    </w:p>
    <w:p w14:paraId="46F9B9AC" w14:textId="3776A821" w:rsidR="00AE6259" w:rsidRPr="009E5FDE" w:rsidRDefault="00AE6259" w:rsidP="00AE6259">
      <w:pPr>
        <w:shd w:val="clear" w:color="auto" w:fill="FFFFFF"/>
        <w:rPr>
          <w:color w:val="000000" w:themeColor="text1"/>
        </w:rPr>
      </w:pPr>
      <w:r w:rsidRPr="009E5FDE">
        <w:rPr>
          <w:rFonts w:eastAsia="Times New Roman" w:cs="Arial"/>
          <w:b/>
          <w:color w:val="000000" w:themeColor="text1"/>
          <w:lang w:eastAsia="en-CA"/>
        </w:rPr>
        <w:t>Speed and Capacity of Language Processing test (SCOLP)</w:t>
      </w:r>
      <w:r w:rsidR="00A250F2">
        <w:rPr>
          <w:rFonts w:eastAsia="Times New Roman" w:cs="Arial"/>
          <w:b/>
          <w:color w:val="000000" w:themeColor="text1"/>
          <w:lang w:eastAsia="en-CA"/>
        </w:rPr>
        <w:t xml:space="preserve"> </w:t>
      </w:r>
      <w:r w:rsidR="00A250F2" w:rsidRPr="00A250F2">
        <w:rPr>
          <w:rFonts w:eastAsia="Times New Roman" w:cs="Arial"/>
          <w:color w:val="000000" w:themeColor="text1"/>
          <w:lang w:eastAsia="en-CA"/>
        </w:rPr>
        <w:t>[</w:t>
      </w:r>
      <w:r w:rsidRPr="00A250F2">
        <w:rPr>
          <w:rStyle w:val="EndnoteReference"/>
          <w:rFonts w:eastAsia="Times New Roman" w:cs="Arial"/>
          <w:color w:val="000000" w:themeColor="text1"/>
          <w:vertAlign w:val="baseline"/>
          <w:lang w:eastAsia="en-CA"/>
        </w:rPr>
        <w:endnoteReference w:id="19"/>
      </w:r>
      <w:r w:rsidR="00A250F2" w:rsidRPr="00A250F2">
        <w:rPr>
          <w:rFonts w:eastAsia="Times New Roman" w:cs="Arial"/>
          <w:color w:val="000000" w:themeColor="text1"/>
          <w:lang w:eastAsia="en-CA"/>
        </w:rPr>
        <w:t>]</w:t>
      </w:r>
      <w:r w:rsidRPr="009E5FDE">
        <w:rPr>
          <w:rFonts w:eastAsia="Times New Roman" w:cs="Arial"/>
          <w:color w:val="000000" w:themeColor="text1"/>
          <w:lang w:eastAsia="en-CA"/>
        </w:rPr>
        <w:t xml:space="preserve"> - measures the slowing in cognitive processes</w:t>
      </w:r>
    </w:p>
    <w:p w14:paraId="7554C416" w14:textId="212B5E43" w:rsidR="00AE6259" w:rsidRPr="009E5FDE" w:rsidRDefault="00AE6259" w:rsidP="00AE6259">
      <w:pPr>
        <w:shd w:val="clear" w:color="auto" w:fill="FFFFFF"/>
        <w:rPr>
          <w:color w:val="000000" w:themeColor="text1"/>
        </w:rPr>
      </w:pPr>
      <w:r w:rsidRPr="009E5FDE">
        <w:rPr>
          <w:rFonts w:eastAsia="Times New Roman" w:cs="Arial"/>
          <w:b/>
          <w:color w:val="000000" w:themeColor="text1"/>
          <w:lang w:eastAsia="en-CA"/>
        </w:rPr>
        <w:t>Trail Making Test</w:t>
      </w:r>
      <w:r w:rsidR="00A250F2">
        <w:rPr>
          <w:rFonts w:eastAsia="Times New Roman" w:cs="Arial"/>
          <w:b/>
          <w:color w:val="000000" w:themeColor="text1"/>
          <w:lang w:eastAsia="en-CA"/>
        </w:rPr>
        <w:t xml:space="preserve"> </w:t>
      </w:r>
      <w:r w:rsidR="00A250F2" w:rsidRPr="00A250F2">
        <w:rPr>
          <w:rFonts w:eastAsia="Times New Roman" w:cs="Arial"/>
          <w:color w:val="000000" w:themeColor="text1"/>
          <w:lang w:eastAsia="en-CA"/>
        </w:rPr>
        <w:t>[</w:t>
      </w:r>
      <w:r w:rsidRPr="00A250F2">
        <w:rPr>
          <w:rStyle w:val="EndnoteReference"/>
          <w:rFonts w:eastAsia="Times New Roman" w:cs="Arial"/>
          <w:color w:val="000000" w:themeColor="text1"/>
          <w:vertAlign w:val="baseline"/>
          <w:lang w:eastAsia="en-CA"/>
        </w:rPr>
        <w:endnoteReference w:id="20"/>
      </w:r>
      <w:r w:rsidR="00A250F2" w:rsidRPr="00A250F2">
        <w:rPr>
          <w:rFonts w:eastAsia="Times New Roman" w:cs="Arial"/>
          <w:color w:val="000000" w:themeColor="text1"/>
          <w:lang w:eastAsia="en-CA"/>
        </w:rPr>
        <w:t>]</w:t>
      </w:r>
      <w:r w:rsidRPr="009E5FDE">
        <w:rPr>
          <w:rFonts w:eastAsia="Times New Roman" w:cs="Arial"/>
          <w:color w:val="000000" w:themeColor="text1"/>
          <w:lang w:eastAsia="en-CA"/>
        </w:rPr>
        <w:t xml:space="preserve"> – is a neuropsychological test of visual attention and task switching. Test A assesses psychomotor/cognitive speed and Test B assesses cognitive flexibility/executive function. Trail making test B-</w:t>
      </w:r>
      <w:r w:rsidR="00A250F2">
        <w:rPr>
          <w:rFonts w:eastAsia="Times New Roman" w:cs="Arial"/>
          <w:color w:val="000000" w:themeColor="text1"/>
          <w:lang w:eastAsia="en-CA"/>
        </w:rPr>
        <w:t xml:space="preserve">A, or the difference in score, </w:t>
      </w:r>
      <w:r w:rsidRPr="009E5FDE">
        <w:rPr>
          <w:rFonts w:eastAsia="Times New Roman" w:cs="Arial"/>
          <w:color w:val="000000" w:themeColor="text1"/>
          <w:lang w:eastAsia="en-CA"/>
        </w:rPr>
        <w:t>can be used to control for the effect of motor speed on performance to give a more accurate measure of executive function than the performance on either part alone.</w:t>
      </w:r>
    </w:p>
    <w:p w14:paraId="4FF38092" w14:textId="08ACA407" w:rsidR="00AE6259" w:rsidRPr="009E5FDE" w:rsidRDefault="00AE6259" w:rsidP="00AE6259">
      <w:pPr>
        <w:shd w:val="clear" w:color="auto" w:fill="FFFFFF"/>
        <w:rPr>
          <w:color w:val="000000" w:themeColor="text1"/>
        </w:rPr>
      </w:pPr>
      <w:r w:rsidRPr="009E5FDE">
        <w:rPr>
          <w:rFonts w:eastAsia="Times New Roman" w:cs="Arial"/>
          <w:b/>
          <w:color w:val="000000" w:themeColor="text1"/>
          <w:lang w:eastAsia="en-CA"/>
        </w:rPr>
        <w:t>Wechsler Intelligence Scales (WAIS) Vocabulary scale</w:t>
      </w:r>
      <w:r w:rsidR="00A250F2">
        <w:rPr>
          <w:rFonts w:eastAsia="Times New Roman" w:cs="Arial"/>
          <w:b/>
          <w:color w:val="000000" w:themeColor="text1"/>
          <w:lang w:eastAsia="en-CA"/>
        </w:rPr>
        <w:t xml:space="preserve"> </w:t>
      </w:r>
      <w:r w:rsidR="00A250F2" w:rsidRPr="00A250F2">
        <w:rPr>
          <w:rFonts w:eastAsia="Times New Roman" w:cs="Arial"/>
          <w:color w:val="000000" w:themeColor="text1"/>
          <w:lang w:eastAsia="en-CA"/>
        </w:rPr>
        <w:t>[</w:t>
      </w:r>
      <w:r w:rsidRPr="00A250F2">
        <w:rPr>
          <w:rStyle w:val="EndnoteReference"/>
          <w:rFonts w:eastAsia="Times New Roman" w:cs="Arial"/>
          <w:color w:val="000000" w:themeColor="text1"/>
          <w:vertAlign w:val="baseline"/>
          <w:lang w:eastAsia="en-CA"/>
        </w:rPr>
        <w:endnoteReference w:id="21"/>
      </w:r>
      <w:r w:rsidR="00A250F2" w:rsidRPr="00A250F2">
        <w:rPr>
          <w:rFonts w:eastAsia="Times New Roman" w:cs="Arial"/>
          <w:color w:val="000000" w:themeColor="text1"/>
          <w:lang w:eastAsia="en-CA"/>
        </w:rPr>
        <w:t>]</w:t>
      </w:r>
      <w:r w:rsidRPr="009E5FDE">
        <w:rPr>
          <w:rFonts w:eastAsia="Times New Roman" w:cs="Arial"/>
          <w:color w:val="000000" w:themeColor="text1"/>
          <w:lang w:eastAsia="en-CA"/>
        </w:rPr>
        <w:t xml:space="preserve"> – assesses intelligence, verbal knowledge and concept formation</w:t>
      </w:r>
    </w:p>
    <w:p w14:paraId="4B982F30" w14:textId="18332C41" w:rsidR="00AE6259" w:rsidRPr="009E5FDE" w:rsidRDefault="00AE6259" w:rsidP="00AE6259">
      <w:pPr>
        <w:shd w:val="clear" w:color="auto" w:fill="FFFFFF"/>
        <w:rPr>
          <w:color w:val="000000" w:themeColor="text1"/>
        </w:rPr>
      </w:pPr>
      <w:r w:rsidRPr="009E5FDE">
        <w:rPr>
          <w:rFonts w:eastAsia="Times New Roman" w:cs="Arial"/>
          <w:b/>
          <w:color w:val="000000" w:themeColor="text1"/>
          <w:lang w:eastAsia="en-CA"/>
        </w:rPr>
        <w:t>Word List test</w:t>
      </w:r>
      <w:r w:rsidR="00A250F2">
        <w:rPr>
          <w:rFonts w:eastAsia="Times New Roman" w:cs="Arial"/>
          <w:b/>
          <w:color w:val="000000" w:themeColor="text1"/>
          <w:lang w:eastAsia="en-CA"/>
        </w:rPr>
        <w:t xml:space="preserve"> </w:t>
      </w:r>
      <w:r w:rsidR="00A250F2" w:rsidRPr="00A250F2">
        <w:rPr>
          <w:rFonts w:eastAsia="Times New Roman" w:cs="Arial"/>
          <w:color w:val="000000" w:themeColor="text1"/>
          <w:lang w:eastAsia="en-CA"/>
        </w:rPr>
        <w:t>[</w:t>
      </w:r>
      <w:r w:rsidRPr="00A250F2">
        <w:rPr>
          <w:rStyle w:val="EndnoteReference"/>
          <w:rFonts w:eastAsia="Times New Roman" w:cs="Arial"/>
          <w:color w:val="000000" w:themeColor="text1"/>
          <w:vertAlign w:val="baseline"/>
          <w:lang w:eastAsia="en-CA"/>
        </w:rPr>
        <w:endnoteReference w:id="22"/>
      </w:r>
      <w:r w:rsidR="00A250F2" w:rsidRPr="00A250F2">
        <w:rPr>
          <w:rFonts w:eastAsia="Times New Roman" w:cs="Arial"/>
          <w:color w:val="000000" w:themeColor="text1"/>
          <w:lang w:eastAsia="en-CA"/>
        </w:rPr>
        <w:t>]</w:t>
      </w:r>
      <w:r w:rsidRPr="009E5FDE">
        <w:rPr>
          <w:rFonts w:eastAsia="Times New Roman" w:cs="Arial"/>
          <w:color w:val="000000" w:themeColor="text1"/>
          <w:lang w:eastAsia="en-CA"/>
        </w:rPr>
        <w:t xml:space="preserve"> – assesses memory and is a sub-test from the California Verbal Learning Test</w:t>
      </w:r>
    </w:p>
    <w:p w14:paraId="28572F96" w14:textId="77777777" w:rsidR="00D26BA7" w:rsidRPr="009E5FDE" w:rsidRDefault="00D26BA7" w:rsidP="00D2440A">
      <w:pPr>
        <w:spacing w:after="0" w:line="240" w:lineRule="auto"/>
        <w:rPr>
          <w:b/>
          <w:color w:val="000000" w:themeColor="text1"/>
        </w:rPr>
      </w:pPr>
    </w:p>
    <w:sectPr w:rsidR="00D26BA7" w:rsidRPr="009E5FDE">
      <w:endnotePr>
        <w:numFmt w:val="decimal"/>
      </w:endnotePr>
      <w:pgSz w:w="12240" w:h="15840"/>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390D09A" w16cid:durableId="1E94A747"/>
  <w16cid:commentId w16cid:paraId="259F6F40" w16cid:durableId="1E94A7C1"/>
  <w16cid:commentId w16cid:paraId="707BB2C7" w16cid:durableId="1E94A84E"/>
  <w16cid:commentId w16cid:paraId="548675E7" w16cid:durableId="1E94A85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829EC8" w14:textId="77777777" w:rsidR="00451864" w:rsidRDefault="00451864" w:rsidP="00AE6259">
      <w:pPr>
        <w:spacing w:after="0" w:line="240" w:lineRule="auto"/>
      </w:pPr>
      <w:r>
        <w:separator/>
      </w:r>
    </w:p>
  </w:endnote>
  <w:endnote w:type="continuationSeparator" w:id="0">
    <w:p w14:paraId="71CFF9B6" w14:textId="77777777" w:rsidR="00451864" w:rsidRDefault="00451864" w:rsidP="00AE6259">
      <w:pPr>
        <w:spacing w:after="0" w:line="240" w:lineRule="auto"/>
      </w:pPr>
      <w:r>
        <w:continuationSeparator/>
      </w:r>
    </w:p>
  </w:endnote>
  <w:endnote w:id="1">
    <w:p w14:paraId="7A485A1B" w14:textId="620BA402" w:rsidR="00451864" w:rsidRPr="00A250F2" w:rsidRDefault="00451864" w:rsidP="00AE6259">
      <w:pPr>
        <w:pStyle w:val="EndnoteText"/>
        <w:rPr>
          <w:color w:val="000000" w:themeColor="text1"/>
          <w:sz w:val="22"/>
        </w:rPr>
      </w:pPr>
      <w:r w:rsidRPr="00A250F2">
        <w:rPr>
          <w:color w:val="000000" w:themeColor="text1"/>
          <w:sz w:val="22"/>
        </w:rPr>
        <w:t>[</w:t>
      </w:r>
      <w:r w:rsidRPr="00A250F2">
        <w:rPr>
          <w:rStyle w:val="EndnoteReference"/>
          <w:color w:val="000000" w:themeColor="text1"/>
          <w:sz w:val="22"/>
          <w:vertAlign w:val="baseline"/>
        </w:rPr>
        <w:endnoteRef/>
      </w:r>
      <w:r w:rsidRPr="00A250F2">
        <w:rPr>
          <w:color w:val="000000" w:themeColor="text1"/>
          <w:sz w:val="22"/>
        </w:rPr>
        <w:t xml:space="preserve">] </w:t>
      </w:r>
      <w:r w:rsidRPr="00A250F2">
        <w:rPr>
          <w:rFonts w:cs="Arial"/>
          <w:color w:val="000000" w:themeColor="text1"/>
          <w:sz w:val="22"/>
          <w:shd w:val="clear" w:color="auto" w:fill="FFFFFF"/>
        </w:rPr>
        <w:t>Montazeri, Ali, et al. "The Short Form Health Survey (SF-36): translation and validation study of the Iranian version." </w:t>
      </w:r>
      <w:r w:rsidRPr="00A250F2">
        <w:rPr>
          <w:rFonts w:cs="Arial"/>
          <w:i/>
          <w:iCs/>
          <w:color w:val="000000" w:themeColor="text1"/>
          <w:sz w:val="22"/>
          <w:shd w:val="clear" w:color="auto" w:fill="FFFFFF"/>
        </w:rPr>
        <w:t>Quality of life research</w:t>
      </w:r>
      <w:r w:rsidRPr="00A250F2">
        <w:rPr>
          <w:rFonts w:cs="Arial"/>
          <w:color w:val="000000" w:themeColor="text1"/>
          <w:sz w:val="22"/>
          <w:shd w:val="clear" w:color="auto" w:fill="FFFFFF"/>
        </w:rPr>
        <w:t> 14.3 (2005): 875-882.</w:t>
      </w:r>
    </w:p>
  </w:endnote>
  <w:endnote w:id="2">
    <w:p w14:paraId="44B5AEE0" w14:textId="564E6A19" w:rsidR="00451864" w:rsidRPr="00A250F2" w:rsidRDefault="00451864" w:rsidP="00AE6259">
      <w:pPr>
        <w:pStyle w:val="EndnoteText"/>
        <w:rPr>
          <w:color w:val="000000" w:themeColor="text1"/>
          <w:sz w:val="22"/>
        </w:rPr>
      </w:pPr>
      <w:r w:rsidRPr="00A250F2">
        <w:rPr>
          <w:color w:val="000000" w:themeColor="text1"/>
          <w:sz w:val="22"/>
        </w:rPr>
        <w:t>[</w:t>
      </w:r>
      <w:r w:rsidRPr="00A250F2">
        <w:rPr>
          <w:rStyle w:val="EndnoteReference"/>
          <w:color w:val="000000" w:themeColor="text1"/>
          <w:sz w:val="22"/>
          <w:vertAlign w:val="baseline"/>
        </w:rPr>
        <w:endnoteRef/>
      </w:r>
      <w:r w:rsidRPr="00A250F2">
        <w:rPr>
          <w:color w:val="000000" w:themeColor="text1"/>
          <w:sz w:val="22"/>
        </w:rPr>
        <w:t xml:space="preserve">] </w:t>
      </w:r>
      <w:r w:rsidRPr="00A250F2">
        <w:rPr>
          <w:rFonts w:cs="Arial"/>
          <w:color w:val="000000" w:themeColor="text1"/>
          <w:sz w:val="22"/>
          <w:shd w:val="clear" w:color="auto" w:fill="FFFFFF"/>
        </w:rPr>
        <w:t>Beck, Aaron T., Robert A. Steer, and Gregory K. Brown. "Beck depression inventory-II." </w:t>
      </w:r>
      <w:r w:rsidRPr="00A250F2">
        <w:rPr>
          <w:rFonts w:cs="Arial"/>
          <w:i/>
          <w:iCs/>
          <w:color w:val="000000" w:themeColor="text1"/>
          <w:sz w:val="22"/>
          <w:shd w:val="clear" w:color="auto" w:fill="FFFFFF"/>
        </w:rPr>
        <w:t>San Antonio</w:t>
      </w:r>
      <w:r w:rsidRPr="00A250F2">
        <w:rPr>
          <w:rFonts w:cs="Arial"/>
          <w:color w:val="000000" w:themeColor="text1"/>
          <w:sz w:val="22"/>
          <w:shd w:val="clear" w:color="auto" w:fill="FFFFFF"/>
        </w:rPr>
        <w:t> 78.2 (1996): 490-8.</w:t>
      </w:r>
    </w:p>
  </w:endnote>
  <w:endnote w:id="3">
    <w:p w14:paraId="0902A4F7" w14:textId="28047A18" w:rsidR="00451864" w:rsidRPr="00A250F2" w:rsidRDefault="00451864" w:rsidP="00AE6259">
      <w:pPr>
        <w:pStyle w:val="EndnoteText"/>
        <w:rPr>
          <w:color w:val="000000" w:themeColor="text1"/>
          <w:sz w:val="22"/>
        </w:rPr>
      </w:pPr>
      <w:r w:rsidRPr="00A250F2">
        <w:rPr>
          <w:color w:val="000000" w:themeColor="text1"/>
          <w:sz w:val="22"/>
        </w:rPr>
        <w:t>[</w:t>
      </w:r>
      <w:r w:rsidRPr="00A250F2">
        <w:rPr>
          <w:rStyle w:val="EndnoteReference"/>
          <w:color w:val="000000" w:themeColor="text1"/>
          <w:sz w:val="22"/>
          <w:vertAlign w:val="baseline"/>
        </w:rPr>
        <w:endnoteRef/>
      </w:r>
      <w:r w:rsidRPr="00A250F2">
        <w:rPr>
          <w:color w:val="000000" w:themeColor="text1"/>
          <w:sz w:val="22"/>
        </w:rPr>
        <w:t xml:space="preserve">] </w:t>
      </w:r>
      <w:r w:rsidRPr="00A250F2">
        <w:rPr>
          <w:rFonts w:cs="Arial"/>
          <w:color w:val="000000" w:themeColor="text1"/>
          <w:sz w:val="22"/>
          <w:shd w:val="clear" w:color="auto" w:fill="FFFFFF"/>
        </w:rPr>
        <w:t>Collin, C., et al. "The Barthel ADL Index: a reliability study." </w:t>
      </w:r>
      <w:r w:rsidRPr="00A250F2">
        <w:rPr>
          <w:rFonts w:cs="Arial"/>
          <w:i/>
          <w:iCs/>
          <w:color w:val="000000" w:themeColor="text1"/>
          <w:sz w:val="22"/>
          <w:shd w:val="clear" w:color="auto" w:fill="FFFFFF"/>
        </w:rPr>
        <w:t>International disability studies</w:t>
      </w:r>
      <w:r w:rsidRPr="00A250F2">
        <w:rPr>
          <w:rFonts w:cs="Arial"/>
          <w:color w:val="000000" w:themeColor="text1"/>
          <w:sz w:val="22"/>
          <w:shd w:val="clear" w:color="auto" w:fill="FFFFFF"/>
        </w:rPr>
        <w:t> 10.2 (1988): 61-63.</w:t>
      </w:r>
    </w:p>
  </w:endnote>
  <w:endnote w:id="4">
    <w:p w14:paraId="457F4630" w14:textId="1CC65FDA" w:rsidR="00451864" w:rsidRPr="00A250F2" w:rsidRDefault="00451864" w:rsidP="00AE6259">
      <w:pPr>
        <w:pStyle w:val="EndnoteText"/>
        <w:rPr>
          <w:color w:val="000000" w:themeColor="text1"/>
          <w:sz w:val="22"/>
        </w:rPr>
      </w:pPr>
      <w:r w:rsidRPr="00A250F2">
        <w:rPr>
          <w:color w:val="000000" w:themeColor="text1"/>
          <w:sz w:val="22"/>
        </w:rPr>
        <w:t>[</w:t>
      </w:r>
      <w:r w:rsidRPr="00A250F2">
        <w:rPr>
          <w:rStyle w:val="EndnoteReference"/>
          <w:color w:val="000000" w:themeColor="text1"/>
          <w:sz w:val="22"/>
          <w:vertAlign w:val="baseline"/>
        </w:rPr>
        <w:endnoteRef/>
      </w:r>
      <w:r w:rsidRPr="00A250F2">
        <w:rPr>
          <w:color w:val="000000" w:themeColor="text1"/>
          <w:sz w:val="22"/>
        </w:rPr>
        <w:t>] Watt Torquil, Bjorner Jakob Bue, Groenvold Mogens, Cramon Per, Winther Kristian Hillert, Hegedüs Laszlo, Bonnema Steen Joop, Rasmussen Åse Krogh, Ware John E. Jr., and Feldt-Rasmussen Ulla. Thyroid. September 2015, 25(10): 1069-1079. </w:t>
      </w:r>
      <w:r w:rsidRPr="00A250F2" w:rsidDel="00016E9A">
        <w:rPr>
          <w:sz w:val="22"/>
        </w:rPr>
        <w:t xml:space="preserve"> </w:t>
      </w:r>
    </w:p>
  </w:endnote>
  <w:endnote w:id="5">
    <w:p w14:paraId="3EB46A97" w14:textId="27A6A50C" w:rsidR="00451864" w:rsidRPr="00A250F2" w:rsidRDefault="00451864" w:rsidP="00C562C2">
      <w:pPr>
        <w:pStyle w:val="EndnoteText"/>
        <w:rPr>
          <w:color w:val="000000" w:themeColor="text1"/>
          <w:sz w:val="22"/>
        </w:rPr>
      </w:pPr>
      <w:r w:rsidRPr="00A250F2">
        <w:rPr>
          <w:color w:val="000000" w:themeColor="text1"/>
          <w:sz w:val="22"/>
        </w:rPr>
        <w:t>[</w:t>
      </w:r>
      <w:r w:rsidRPr="00A250F2">
        <w:rPr>
          <w:rStyle w:val="EndnoteReference"/>
          <w:color w:val="000000" w:themeColor="text1"/>
          <w:sz w:val="22"/>
          <w:vertAlign w:val="baseline"/>
        </w:rPr>
        <w:endnoteRef/>
      </w:r>
      <w:r w:rsidRPr="00A250F2">
        <w:rPr>
          <w:color w:val="000000" w:themeColor="text1"/>
          <w:sz w:val="22"/>
        </w:rPr>
        <w:t xml:space="preserve">] The EuroQol Group (1990). EuroQol-a new facility for the measurement of health-related quality of life. Health Policy 16(3):199-208. </w:t>
      </w:r>
    </w:p>
  </w:endnote>
  <w:endnote w:id="6">
    <w:p w14:paraId="2A6A03D0" w14:textId="60DB9AE3" w:rsidR="00451864" w:rsidRPr="00A250F2" w:rsidRDefault="00451864" w:rsidP="00AE6259">
      <w:pPr>
        <w:pStyle w:val="EndnoteText"/>
        <w:rPr>
          <w:color w:val="000000" w:themeColor="text1"/>
          <w:sz w:val="22"/>
        </w:rPr>
      </w:pPr>
      <w:r w:rsidRPr="00A250F2">
        <w:rPr>
          <w:color w:val="000000" w:themeColor="text1"/>
          <w:sz w:val="22"/>
        </w:rPr>
        <w:t>[</w:t>
      </w:r>
      <w:r w:rsidRPr="00A250F2">
        <w:rPr>
          <w:rStyle w:val="EndnoteReference"/>
          <w:color w:val="000000" w:themeColor="text1"/>
          <w:sz w:val="22"/>
          <w:vertAlign w:val="baseline"/>
        </w:rPr>
        <w:endnoteRef/>
      </w:r>
      <w:r w:rsidRPr="00A250F2">
        <w:rPr>
          <w:color w:val="000000" w:themeColor="text1"/>
          <w:sz w:val="22"/>
        </w:rPr>
        <w:t>] Goldberg D, Williams P. A user’s guide to the general health questionnaire. Windsor: NFER-Nelson, 1988</w:t>
      </w:r>
    </w:p>
  </w:endnote>
  <w:endnote w:id="7">
    <w:p w14:paraId="40211E0D" w14:textId="082A78B8" w:rsidR="00451864" w:rsidRPr="00A250F2" w:rsidRDefault="00451864" w:rsidP="00AE6259">
      <w:pPr>
        <w:pStyle w:val="EndnoteText"/>
        <w:rPr>
          <w:color w:val="000000" w:themeColor="text1"/>
          <w:sz w:val="22"/>
        </w:rPr>
      </w:pPr>
      <w:r w:rsidRPr="00A250F2">
        <w:rPr>
          <w:color w:val="000000" w:themeColor="text1"/>
          <w:sz w:val="22"/>
        </w:rPr>
        <w:t>[</w:t>
      </w:r>
      <w:r w:rsidRPr="00A250F2">
        <w:rPr>
          <w:rStyle w:val="EndnoteReference"/>
          <w:color w:val="000000" w:themeColor="text1"/>
          <w:sz w:val="22"/>
          <w:vertAlign w:val="baseline"/>
        </w:rPr>
        <w:endnoteRef/>
      </w:r>
      <w:r w:rsidRPr="00A250F2">
        <w:rPr>
          <w:color w:val="000000" w:themeColor="text1"/>
          <w:sz w:val="22"/>
        </w:rPr>
        <w:t xml:space="preserve">] </w:t>
      </w:r>
      <w:r w:rsidRPr="00A250F2">
        <w:rPr>
          <w:rFonts w:cs="Arial"/>
          <w:color w:val="000000" w:themeColor="text1"/>
          <w:sz w:val="22"/>
          <w:shd w:val="clear" w:color="auto" w:fill="FFFFFF"/>
        </w:rPr>
        <w:t>Euan Thompson; Hamilton Rating Scale for Anxiety (HAM-A), </w:t>
      </w:r>
      <w:r w:rsidRPr="00A250F2">
        <w:rPr>
          <w:rStyle w:val="Emphasis"/>
          <w:rFonts w:cs="Arial"/>
          <w:color w:val="000000" w:themeColor="text1"/>
          <w:sz w:val="22"/>
          <w:bdr w:val="none" w:sz="0" w:space="0" w:color="auto" w:frame="1"/>
          <w:shd w:val="clear" w:color="auto" w:fill="FFFFFF"/>
        </w:rPr>
        <w:t>Occupational Medicine</w:t>
      </w:r>
      <w:r w:rsidRPr="00A250F2">
        <w:rPr>
          <w:rFonts w:cs="Arial"/>
          <w:color w:val="000000" w:themeColor="text1"/>
          <w:sz w:val="22"/>
          <w:shd w:val="clear" w:color="auto" w:fill="FFFFFF"/>
        </w:rPr>
        <w:t>, Volume 65, Issue 7, 1 October 2015, Pages 601</w:t>
      </w:r>
      <w:r w:rsidRPr="00A250F2" w:rsidDel="00016E9A">
        <w:rPr>
          <w:rFonts w:cs="Arial"/>
          <w:color w:val="000000" w:themeColor="text1"/>
          <w:sz w:val="22"/>
          <w:shd w:val="clear" w:color="auto" w:fill="FFFFFF"/>
        </w:rPr>
        <w:t xml:space="preserve"> </w:t>
      </w:r>
    </w:p>
  </w:endnote>
  <w:endnote w:id="8">
    <w:p w14:paraId="518AAA3E" w14:textId="415C06F3" w:rsidR="00451864" w:rsidRPr="00A250F2" w:rsidRDefault="00451864" w:rsidP="00AE6259">
      <w:pPr>
        <w:pStyle w:val="EndnoteText"/>
        <w:rPr>
          <w:color w:val="000000" w:themeColor="text1"/>
          <w:sz w:val="22"/>
        </w:rPr>
      </w:pPr>
      <w:r w:rsidRPr="00A250F2">
        <w:rPr>
          <w:color w:val="000000" w:themeColor="text1"/>
          <w:sz w:val="22"/>
        </w:rPr>
        <w:t>[</w:t>
      </w:r>
      <w:r w:rsidRPr="00A250F2">
        <w:rPr>
          <w:rStyle w:val="EndnoteReference"/>
          <w:color w:val="000000" w:themeColor="text1"/>
          <w:sz w:val="22"/>
          <w:vertAlign w:val="baseline"/>
        </w:rPr>
        <w:endnoteRef/>
      </w:r>
      <w:r w:rsidRPr="00A250F2">
        <w:rPr>
          <w:color w:val="000000" w:themeColor="text1"/>
          <w:sz w:val="22"/>
        </w:rPr>
        <w:t xml:space="preserve">] </w:t>
      </w:r>
      <w:r w:rsidRPr="00A250F2">
        <w:rPr>
          <w:rFonts w:cs="Arial"/>
          <w:color w:val="000000" w:themeColor="text1"/>
          <w:sz w:val="22"/>
          <w:shd w:val="clear" w:color="auto" w:fill="FFFFFF"/>
        </w:rPr>
        <w:t>Rachel Sharp; The Hamilton Rating Scale for Depression, </w:t>
      </w:r>
      <w:r w:rsidRPr="00A250F2">
        <w:rPr>
          <w:rStyle w:val="Emphasis"/>
          <w:rFonts w:cs="Arial"/>
          <w:color w:val="000000" w:themeColor="text1"/>
          <w:sz w:val="22"/>
          <w:bdr w:val="none" w:sz="0" w:space="0" w:color="auto" w:frame="1"/>
          <w:shd w:val="clear" w:color="auto" w:fill="FFFFFF"/>
        </w:rPr>
        <w:t>Occupational Medicine</w:t>
      </w:r>
      <w:r w:rsidRPr="00A250F2">
        <w:rPr>
          <w:rFonts w:cs="Arial"/>
          <w:color w:val="000000" w:themeColor="text1"/>
          <w:sz w:val="22"/>
          <w:shd w:val="clear" w:color="auto" w:fill="FFFFFF"/>
        </w:rPr>
        <w:t>, Volume 65, Issue 4, 1 June 2015, Pages 340</w:t>
      </w:r>
      <w:r w:rsidRPr="00A250F2" w:rsidDel="00016E9A">
        <w:rPr>
          <w:rFonts w:cs="Arial"/>
          <w:color w:val="000000" w:themeColor="text1"/>
          <w:sz w:val="22"/>
          <w:shd w:val="clear" w:color="auto" w:fill="FFFFFF"/>
        </w:rPr>
        <w:t xml:space="preserve"> </w:t>
      </w:r>
    </w:p>
  </w:endnote>
  <w:endnote w:id="9">
    <w:p w14:paraId="4FB1FE57" w14:textId="078CDCC6" w:rsidR="00451864" w:rsidRPr="00A250F2" w:rsidRDefault="00451864" w:rsidP="00AE6259">
      <w:pPr>
        <w:pStyle w:val="EndnoteText"/>
        <w:rPr>
          <w:color w:val="000000" w:themeColor="text1"/>
          <w:sz w:val="22"/>
        </w:rPr>
      </w:pPr>
      <w:r w:rsidRPr="00A250F2">
        <w:rPr>
          <w:color w:val="000000" w:themeColor="text1"/>
          <w:sz w:val="22"/>
        </w:rPr>
        <w:t>[</w:t>
      </w:r>
      <w:r w:rsidRPr="00A250F2">
        <w:rPr>
          <w:rStyle w:val="EndnoteReference"/>
          <w:color w:val="000000" w:themeColor="text1"/>
          <w:sz w:val="22"/>
          <w:vertAlign w:val="baseline"/>
        </w:rPr>
        <w:endnoteRef/>
      </w:r>
      <w:r w:rsidRPr="00A250F2">
        <w:rPr>
          <w:color w:val="000000" w:themeColor="text1"/>
          <w:sz w:val="22"/>
        </w:rPr>
        <w:t xml:space="preserve">] </w:t>
      </w:r>
      <w:r w:rsidRPr="00A250F2">
        <w:rPr>
          <w:rFonts w:cs="Arial"/>
          <w:color w:val="000000" w:themeColor="text1"/>
          <w:sz w:val="22"/>
          <w:shd w:val="clear" w:color="auto" w:fill="FFFFFF"/>
        </w:rPr>
        <w:t>Snaith, R. Philip. "The hospital anxiety and depression scale." </w:t>
      </w:r>
      <w:r w:rsidRPr="00A250F2">
        <w:rPr>
          <w:rFonts w:cs="Arial"/>
          <w:i/>
          <w:iCs/>
          <w:color w:val="000000" w:themeColor="text1"/>
          <w:sz w:val="22"/>
          <w:shd w:val="clear" w:color="auto" w:fill="FFFFFF"/>
        </w:rPr>
        <w:t>Health and quality of life outcomes</w:t>
      </w:r>
      <w:r w:rsidRPr="00A250F2">
        <w:rPr>
          <w:rFonts w:cs="Arial"/>
          <w:color w:val="000000" w:themeColor="text1"/>
          <w:sz w:val="22"/>
          <w:shd w:val="clear" w:color="auto" w:fill="FFFFFF"/>
        </w:rPr>
        <w:t> 1.1 (2003): 29.</w:t>
      </w:r>
    </w:p>
  </w:endnote>
  <w:endnote w:id="10">
    <w:p w14:paraId="7A772612" w14:textId="491B4C9D" w:rsidR="00451864" w:rsidRPr="00A250F2" w:rsidRDefault="00451864" w:rsidP="00AE6259">
      <w:pPr>
        <w:pStyle w:val="EndnoteText"/>
        <w:rPr>
          <w:color w:val="000000" w:themeColor="text1"/>
          <w:sz w:val="22"/>
        </w:rPr>
      </w:pPr>
      <w:r w:rsidRPr="00A250F2">
        <w:rPr>
          <w:color w:val="000000" w:themeColor="text1"/>
          <w:sz w:val="22"/>
        </w:rPr>
        <w:t>[</w:t>
      </w:r>
      <w:r w:rsidRPr="00A250F2">
        <w:rPr>
          <w:rStyle w:val="EndnoteReference"/>
          <w:color w:val="000000" w:themeColor="text1"/>
          <w:sz w:val="22"/>
          <w:vertAlign w:val="baseline"/>
        </w:rPr>
        <w:endnoteRef/>
      </w:r>
      <w:r w:rsidRPr="00A250F2">
        <w:rPr>
          <w:color w:val="000000" w:themeColor="text1"/>
          <w:sz w:val="22"/>
        </w:rPr>
        <w:t xml:space="preserve">] </w:t>
      </w:r>
      <w:r w:rsidRPr="00A250F2">
        <w:rPr>
          <w:rFonts w:cs="Arial"/>
          <w:color w:val="000000" w:themeColor="text1"/>
          <w:sz w:val="22"/>
          <w:shd w:val="clear" w:color="auto" w:fill="FFFFFF"/>
        </w:rPr>
        <w:t>Doble, S. E., and A. G. Fisher. "The dimensionality and validity of the Older Americans Resources and Services (OARS) Activities of Daily Living (ADL) scale." </w:t>
      </w:r>
      <w:r w:rsidRPr="00A250F2">
        <w:rPr>
          <w:rFonts w:cs="Arial"/>
          <w:i/>
          <w:iCs/>
          <w:color w:val="000000" w:themeColor="text1"/>
          <w:sz w:val="22"/>
          <w:shd w:val="clear" w:color="auto" w:fill="FFFFFF"/>
        </w:rPr>
        <w:t>Journal of Outcome Measurement</w:t>
      </w:r>
      <w:r w:rsidRPr="00A250F2">
        <w:rPr>
          <w:rFonts w:cs="Arial"/>
          <w:color w:val="000000" w:themeColor="text1"/>
          <w:sz w:val="22"/>
          <w:shd w:val="clear" w:color="auto" w:fill="FFFFFF"/>
        </w:rPr>
        <w:t> 2.1 (1998): 4-24.</w:t>
      </w:r>
    </w:p>
  </w:endnote>
  <w:endnote w:id="11">
    <w:p w14:paraId="47FC71E8" w14:textId="528EA9BB" w:rsidR="00451864" w:rsidRPr="00A250F2" w:rsidRDefault="00451864" w:rsidP="00AE6259">
      <w:pPr>
        <w:pStyle w:val="EndnoteText"/>
        <w:rPr>
          <w:color w:val="000000" w:themeColor="text1"/>
          <w:sz w:val="22"/>
        </w:rPr>
      </w:pPr>
      <w:r w:rsidRPr="00A250F2">
        <w:rPr>
          <w:color w:val="000000" w:themeColor="text1"/>
          <w:sz w:val="22"/>
        </w:rPr>
        <w:t>[</w:t>
      </w:r>
      <w:r w:rsidRPr="00A250F2">
        <w:rPr>
          <w:rStyle w:val="EndnoteReference"/>
          <w:color w:val="000000" w:themeColor="text1"/>
          <w:sz w:val="22"/>
          <w:vertAlign w:val="baseline"/>
        </w:rPr>
        <w:endnoteRef/>
      </w:r>
      <w:r w:rsidRPr="00A250F2">
        <w:rPr>
          <w:color w:val="000000" w:themeColor="text1"/>
          <w:sz w:val="22"/>
        </w:rPr>
        <w:t>] Watt, Torquil, et al. "The thyroid-related quality of life measure ThyPRO has good responsiveness and ability to detect relevant treatment effects." The Journal of Clinical Endocrinology &amp; Metabolism 99.10 (2014): 3708-3717.</w:t>
      </w:r>
    </w:p>
  </w:endnote>
  <w:endnote w:id="12">
    <w:p w14:paraId="3AAAA461" w14:textId="20B6DD76" w:rsidR="00451864" w:rsidRPr="00A250F2" w:rsidRDefault="00451864" w:rsidP="00AE6259">
      <w:pPr>
        <w:pStyle w:val="EndnoteText"/>
        <w:rPr>
          <w:color w:val="000000" w:themeColor="text1"/>
          <w:sz w:val="22"/>
        </w:rPr>
      </w:pPr>
      <w:r w:rsidRPr="00A250F2">
        <w:rPr>
          <w:color w:val="000000" w:themeColor="text1"/>
          <w:sz w:val="22"/>
        </w:rPr>
        <w:t>[</w:t>
      </w:r>
      <w:r w:rsidRPr="00A250F2">
        <w:rPr>
          <w:rStyle w:val="EndnoteReference"/>
          <w:color w:val="000000" w:themeColor="text1"/>
          <w:sz w:val="22"/>
          <w:vertAlign w:val="baseline"/>
        </w:rPr>
        <w:endnoteRef/>
      </w:r>
      <w:r w:rsidRPr="00A250F2">
        <w:rPr>
          <w:color w:val="000000" w:themeColor="text1"/>
          <w:sz w:val="22"/>
        </w:rPr>
        <w:t xml:space="preserve">] </w:t>
      </w:r>
      <w:r w:rsidRPr="00A250F2">
        <w:rPr>
          <w:rFonts w:cs="Arial"/>
          <w:color w:val="000000" w:themeColor="text1"/>
          <w:sz w:val="22"/>
          <w:shd w:val="clear" w:color="auto" w:fill="FFFFFF"/>
        </w:rPr>
        <w:t>Miller, Eric N. "California computerized assessment package." Encyclopedia of Clinical Neuropsychology. Springer New York, 2011. 473-475.</w:t>
      </w:r>
    </w:p>
  </w:endnote>
  <w:endnote w:id="13">
    <w:p w14:paraId="3F70E193" w14:textId="0D99C78E" w:rsidR="00451864" w:rsidRPr="00A250F2" w:rsidRDefault="00451864" w:rsidP="00AE6259">
      <w:pPr>
        <w:pStyle w:val="EndnoteText"/>
        <w:rPr>
          <w:color w:val="000000" w:themeColor="text1"/>
          <w:sz w:val="22"/>
        </w:rPr>
      </w:pPr>
      <w:r w:rsidRPr="00A250F2">
        <w:rPr>
          <w:color w:val="000000" w:themeColor="text1"/>
          <w:sz w:val="22"/>
        </w:rPr>
        <w:t>[</w:t>
      </w:r>
      <w:r w:rsidRPr="00A250F2">
        <w:rPr>
          <w:rStyle w:val="EndnoteReference"/>
          <w:color w:val="000000" w:themeColor="text1"/>
          <w:sz w:val="22"/>
          <w:vertAlign w:val="baseline"/>
        </w:rPr>
        <w:endnoteRef/>
      </w:r>
      <w:r w:rsidRPr="00A250F2">
        <w:rPr>
          <w:color w:val="000000" w:themeColor="text1"/>
          <w:sz w:val="22"/>
        </w:rPr>
        <w:t>] Jorde R, Waterloo K, Storhaug H, Nyrnes A, Sundsfjord J, Jenssen TG. Neuropsychological function and symptoms in subjects with subclinical hypothyroidism and the effect of thyroxine treatment. J Clin Endocrinol Metab. 2006;91(1):145-53.</w:t>
      </w:r>
    </w:p>
  </w:endnote>
  <w:endnote w:id="14">
    <w:p w14:paraId="688A910D" w14:textId="312C1BA8" w:rsidR="00451864" w:rsidRPr="00A250F2" w:rsidRDefault="00451864" w:rsidP="00AE6259">
      <w:pPr>
        <w:pStyle w:val="EndnoteText"/>
        <w:rPr>
          <w:color w:val="000000" w:themeColor="text1"/>
          <w:sz w:val="22"/>
        </w:rPr>
      </w:pPr>
      <w:r w:rsidRPr="00A250F2">
        <w:rPr>
          <w:color w:val="000000" w:themeColor="text1"/>
          <w:sz w:val="22"/>
        </w:rPr>
        <w:t>[</w:t>
      </w:r>
      <w:r w:rsidRPr="00A250F2">
        <w:rPr>
          <w:rStyle w:val="EndnoteReference"/>
          <w:color w:val="000000" w:themeColor="text1"/>
          <w:sz w:val="22"/>
          <w:vertAlign w:val="baseline"/>
        </w:rPr>
        <w:endnoteRef/>
      </w:r>
      <w:r w:rsidRPr="00A250F2">
        <w:rPr>
          <w:color w:val="000000" w:themeColor="text1"/>
          <w:sz w:val="22"/>
        </w:rPr>
        <w:t xml:space="preserve">] </w:t>
      </w:r>
      <w:r w:rsidRPr="00A250F2">
        <w:rPr>
          <w:rFonts w:cs="Palatino-Bold"/>
          <w:bCs/>
          <w:color w:val="000000" w:themeColor="text1"/>
          <w:sz w:val="22"/>
        </w:rPr>
        <w:t xml:space="preserve">Spreen O, Strauss E </w:t>
      </w:r>
      <w:r w:rsidRPr="00A250F2">
        <w:rPr>
          <w:rFonts w:cs="Palatino-Roman"/>
          <w:color w:val="000000" w:themeColor="text1"/>
          <w:sz w:val="22"/>
        </w:rPr>
        <w:t>1998 A compendium of neuropsychological tests. 2nd ed. New York: Oxford University Press</w:t>
      </w:r>
    </w:p>
  </w:endnote>
  <w:endnote w:id="15">
    <w:p w14:paraId="26EB98F5" w14:textId="6C6FE952" w:rsidR="00451864" w:rsidRPr="00A250F2" w:rsidRDefault="00451864" w:rsidP="00AE6259">
      <w:pPr>
        <w:autoSpaceDE w:val="0"/>
        <w:autoSpaceDN w:val="0"/>
        <w:adjustRightInd w:val="0"/>
        <w:spacing w:after="0" w:line="240" w:lineRule="auto"/>
        <w:rPr>
          <w:rFonts w:eastAsia="OTNEJMQuadraat" w:cs="OTNEJMQuadraat"/>
          <w:color w:val="000000" w:themeColor="text1"/>
          <w:szCs w:val="20"/>
        </w:rPr>
      </w:pPr>
      <w:r w:rsidRPr="00A250F2">
        <w:rPr>
          <w:color w:val="000000" w:themeColor="text1"/>
          <w:szCs w:val="20"/>
        </w:rPr>
        <w:t>[</w:t>
      </w:r>
      <w:r w:rsidRPr="00A250F2">
        <w:rPr>
          <w:rStyle w:val="EndnoteReference"/>
          <w:color w:val="000000" w:themeColor="text1"/>
          <w:szCs w:val="20"/>
          <w:vertAlign w:val="baseline"/>
        </w:rPr>
        <w:endnoteRef/>
      </w:r>
      <w:r w:rsidRPr="00A250F2">
        <w:rPr>
          <w:color w:val="000000" w:themeColor="text1"/>
          <w:szCs w:val="20"/>
        </w:rPr>
        <w:t xml:space="preserve">] </w:t>
      </w:r>
      <w:r w:rsidRPr="00A250F2">
        <w:rPr>
          <w:rFonts w:eastAsia="OTNEJMQuadraat" w:cs="OTNEJMQuadraat"/>
          <w:color w:val="000000" w:themeColor="text1"/>
          <w:szCs w:val="20"/>
        </w:rPr>
        <w:t>Houx PJ, Shepherd J, Blauw GJ, et al. Testing cognitive function in elderly populations: the PROSPER study: PROspective Study of Pravastatin in the Elderly at Risk.J Neurol Neurosurg Psychiatry 2002; 73: 385-9.</w:t>
      </w:r>
    </w:p>
  </w:endnote>
  <w:endnote w:id="16">
    <w:p w14:paraId="3757C4CC" w14:textId="4C216EC8" w:rsidR="00451864" w:rsidRPr="00A250F2" w:rsidRDefault="00451864" w:rsidP="00AE6259">
      <w:pPr>
        <w:pStyle w:val="EndnoteText"/>
        <w:rPr>
          <w:color w:val="000000" w:themeColor="text1"/>
          <w:sz w:val="22"/>
        </w:rPr>
      </w:pPr>
      <w:r w:rsidRPr="00A250F2">
        <w:rPr>
          <w:color w:val="000000" w:themeColor="text1"/>
          <w:sz w:val="22"/>
        </w:rPr>
        <w:t>[</w:t>
      </w:r>
      <w:r w:rsidRPr="00A250F2">
        <w:rPr>
          <w:rStyle w:val="EndnoteReference"/>
          <w:color w:val="000000" w:themeColor="text1"/>
          <w:sz w:val="22"/>
          <w:vertAlign w:val="baseline"/>
        </w:rPr>
        <w:endnoteRef/>
      </w:r>
      <w:r w:rsidRPr="00A250F2">
        <w:rPr>
          <w:color w:val="000000" w:themeColor="text1"/>
          <w:sz w:val="22"/>
        </w:rPr>
        <w:t xml:space="preserve">] </w:t>
      </w:r>
      <w:r w:rsidRPr="00A250F2">
        <w:rPr>
          <w:rFonts w:cs="Arial"/>
          <w:color w:val="000000" w:themeColor="text1"/>
          <w:sz w:val="22"/>
          <w:shd w:val="clear" w:color="auto" w:fill="FFFFFF"/>
        </w:rPr>
        <w:t>Golding, E. "Middlesex Elderly Assessment of Mental State (MEAMS)." Thames Valley Test Company, Bury St. Edmunds (1989).</w:t>
      </w:r>
    </w:p>
  </w:endnote>
  <w:endnote w:id="17">
    <w:p w14:paraId="3D259F20" w14:textId="5BBF9CC3" w:rsidR="00451864" w:rsidRPr="00A250F2" w:rsidRDefault="00451864" w:rsidP="00AE6259">
      <w:pPr>
        <w:pStyle w:val="EndnoteText"/>
        <w:rPr>
          <w:color w:val="000000" w:themeColor="text1"/>
          <w:sz w:val="22"/>
        </w:rPr>
      </w:pPr>
      <w:r w:rsidRPr="00A250F2">
        <w:rPr>
          <w:color w:val="000000" w:themeColor="text1"/>
          <w:sz w:val="22"/>
        </w:rPr>
        <w:t>[</w:t>
      </w:r>
      <w:r w:rsidRPr="00A250F2">
        <w:rPr>
          <w:rStyle w:val="EndnoteReference"/>
          <w:color w:val="000000" w:themeColor="text1"/>
          <w:sz w:val="22"/>
          <w:vertAlign w:val="baseline"/>
        </w:rPr>
        <w:endnoteRef/>
      </w:r>
      <w:r w:rsidRPr="00A250F2">
        <w:rPr>
          <w:color w:val="000000" w:themeColor="text1"/>
          <w:sz w:val="22"/>
        </w:rPr>
        <w:t xml:space="preserve">] </w:t>
      </w:r>
      <w:r w:rsidRPr="00A250F2">
        <w:rPr>
          <w:rFonts w:cs="Arial"/>
          <w:color w:val="000000" w:themeColor="text1"/>
          <w:sz w:val="22"/>
          <w:shd w:val="clear" w:color="auto" w:fill="FFFFFF"/>
        </w:rPr>
        <w:t>Folstein, Marshal F., Susan E. Folstein, and Paul R. McHugh. "“Mini-mental state”: a practical method for grading the cognitive state of patients for the clinician." Journal of psychiatric research 12.3 (1975): 189-198.</w:t>
      </w:r>
    </w:p>
  </w:endnote>
  <w:endnote w:id="18">
    <w:p w14:paraId="6756605F" w14:textId="205095FE" w:rsidR="00451864" w:rsidRPr="00A250F2" w:rsidRDefault="00451864" w:rsidP="00AE6259">
      <w:pPr>
        <w:pStyle w:val="EndnoteText"/>
        <w:rPr>
          <w:color w:val="000000" w:themeColor="text1"/>
          <w:sz w:val="22"/>
        </w:rPr>
      </w:pPr>
      <w:r w:rsidRPr="00A250F2">
        <w:rPr>
          <w:color w:val="000000" w:themeColor="text1"/>
          <w:sz w:val="22"/>
        </w:rPr>
        <w:t>[</w:t>
      </w:r>
      <w:r w:rsidRPr="00A250F2">
        <w:rPr>
          <w:rStyle w:val="EndnoteReference"/>
          <w:color w:val="000000" w:themeColor="text1"/>
          <w:sz w:val="22"/>
          <w:vertAlign w:val="baseline"/>
        </w:rPr>
        <w:endnoteRef/>
      </w:r>
      <w:r w:rsidRPr="00A250F2">
        <w:rPr>
          <w:color w:val="000000" w:themeColor="text1"/>
          <w:sz w:val="22"/>
        </w:rPr>
        <w:t xml:space="preserve">] </w:t>
      </w:r>
      <w:r w:rsidRPr="00A250F2">
        <w:rPr>
          <w:rFonts w:cs="Arial"/>
          <w:color w:val="000000" w:themeColor="text1"/>
          <w:sz w:val="22"/>
          <w:shd w:val="clear" w:color="auto" w:fill="FFFFFF"/>
        </w:rPr>
        <w:t>Meyers, John E. "Seashore Rhythm Test." </w:t>
      </w:r>
      <w:r w:rsidRPr="00A250F2">
        <w:rPr>
          <w:rFonts w:cs="Arial"/>
          <w:i/>
          <w:iCs/>
          <w:color w:val="000000" w:themeColor="text1"/>
          <w:sz w:val="22"/>
          <w:shd w:val="clear" w:color="auto" w:fill="FFFFFF"/>
        </w:rPr>
        <w:t>Encyclopedia of Clinical Neuropsychology</w:t>
      </w:r>
      <w:r w:rsidRPr="00A250F2">
        <w:rPr>
          <w:rFonts w:cs="Arial"/>
          <w:color w:val="000000" w:themeColor="text1"/>
          <w:sz w:val="22"/>
          <w:shd w:val="clear" w:color="auto" w:fill="FFFFFF"/>
        </w:rPr>
        <w:t>. Springer New York, 2011. 2219-2219.</w:t>
      </w:r>
    </w:p>
  </w:endnote>
  <w:endnote w:id="19">
    <w:p w14:paraId="77BBFCDE" w14:textId="0E2007EF" w:rsidR="00451864" w:rsidRPr="00A250F2" w:rsidRDefault="00451864" w:rsidP="00AE6259">
      <w:pPr>
        <w:pStyle w:val="EndnoteText"/>
        <w:rPr>
          <w:color w:val="000000" w:themeColor="text1"/>
          <w:sz w:val="22"/>
        </w:rPr>
      </w:pPr>
      <w:r w:rsidRPr="00A250F2">
        <w:rPr>
          <w:color w:val="000000" w:themeColor="text1"/>
          <w:sz w:val="22"/>
        </w:rPr>
        <w:t>[</w:t>
      </w:r>
      <w:r w:rsidRPr="00A250F2">
        <w:rPr>
          <w:rStyle w:val="EndnoteReference"/>
          <w:color w:val="000000" w:themeColor="text1"/>
          <w:sz w:val="22"/>
          <w:vertAlign w:val="baseline"/>
        </w:rPr>
        <w:endnoteRef/>
      </w:r>
      <w:r w:rsidRPr="00A250F2">
        <w:rPr>
          <w:color w:val="000000" w:themeColor="text1"/>
          <w:sz w:val="22"/>
        </w:rPr>
        <w:t xml:space="preserve">] </w:t>
      </w:r>
      <w:r w:rsidRPr="00A250F2">
        <w:rPr>
          <w:rFonts w:cs="Arial"/>
          <w:color w:val="000000" w:themeColor="text1"/>
          <w:sz w:val="22"/>
          <w:shd w:val="clear" w:color="auto" w:fill="FFFFFF"/>
        </w:rPr>
        <w:t>Baddeley, A., Emslie, H., &amp; Smith, I. N. (1992). The Speed and Capacity of Language-Processing Test. Bury St. Edmunds, England: Thames Valley Test Company</w:t>
      </w:r>
    </w:p>
  </w:endnote>
  <w:endnote w:id="20">
    <w:p w14:paraId="01E0C11F" w14:textId="252228D4" w:rsidR="00451864" w:rsidRPr="00A250F2" w:rsidRDefault="00451864" w:rsidP="00AE6259">
      <w:pPr>
        <w:pStyle w:val="EndnoteText"/>
        <w:rPr>
          <w:color w:val="000000" w:themeColor="text1"/>
          <w:sz w:val="22"/>
        </w:rPr>
      </w:pPr>
      <w:r w:rsidRPr="00A250F2">
        <w:rPr>
          <w:color w:val="000000" w:themeColor="text1"/>
          <w:sz w:val="22"/>
        </w:rPr>
        <w:t>[</w:t>
      </w:r>
      <w:r w:rsidRPr="00A250F2">
        <w:rPr>
          <w:rStyle w:val="EndnoteReference"/>
          <w:color w:val="000000" w:themeColor="text1"/>
          <w:sz w:val="22"/>
          <w:vertAlign w:val="baseline"/>
        </w:rPr>
        <w:endnoteRef/>
      </w:r>
      <w:r w:rsidRPr="00A250F2">
        <w:rPr>
          <w:color w:val="000000" w:themeColor="text1"/>
          <w:sz w:val="22"/>
        </w:rPr>
        <w:t xml:space="preserve">] </w:t>
      </w:r>
      <w:r w:rsidRPr="00A250F2">
        <w:rPr>
          <w:rFonts w:cs="Arial"/>
          <w:color w:val="000000" w:themeColor="text1"/>
          <w:sz w:val="22"/>
          <w:shd w:val="clear" w:color="auto" w:fill="FFFFFF"/>
        </w:rPr>
        <w:t>Reitan RM, Wolfson D 1993 The Halstead-Reitan Neuropsychological Test Battery. 2nd ed. Tucson, AZ: Neuropsychology Press</w:t>
      </w:r>
    </w:p>
  </w:endnote>
  <w:endnote w:id="21">
    <w:p w14:paraId="265D681A" w14:textId="4C56A919" w:rsidR="00451864" w:rsidRPr="00A250F2" w:rsidRDefault="00451864" w:rsidP="00AE6259">
      <w:pPr>
        <w:spacing w:after="0" w:line="240" w:lineRule="auto"/>
        <w:rPr>
          <w:rFonts w:cs="Arial"/>
          <w:color w:val="000000" w:themeColor="text1"/>
          <w:szCs w:val="20"/>
          <w:shd w:val="clear" w:color="auto" w:fill="FFFFFF"/>
        </w:rPr>
      </w:pPr>
      <w:r w:rsidRPr="00A250F2">
        <w:rPr>
          <w:color w:val="000000" w:themeColor="text1"/>
          <w:szCs w:val="20"/>
        </w:rPr>
        <w:t>[</w:t>
      </w:r>
      <w:r w:rsidRPr="00A250F2">
        <w:rPr>
          <w:rStyle w:val="EndnoteReference"/>
          <w:color w:val="000000" w:themeColor="text1"/>
          <w:szCs w:val="20"/>
          <w:vertAlign w:val="baseline"/>
        </w:rPr>
        <w:endnoteRef/>
      </w:r>
      <w:r w:rsidRPr="00A250F2">
        <w:rPr>
          <w:color w:val="000000" w:themeColor="text1"/>
          <w:szCs w:val="20"/>
        </w:rPr>
        <w:t xml:space="preserve">] </w:t>
      </w:r>
      <w:r w:rsidRPr="00A250F2">
        <w:rPr>
          <w:rFonts w:cs="Arial"/>
          <w:color w:val="000000" w:themeColor="text1"/>
          <w:szCs w:val="20"/>
          <w:shd w:val="clear" w:color="auto" w:fill="FFFFFF"/>
        </w:rPr>
        <w:t>Wechsler D 1987 Wechsler Memory Scale-Revised. Manual. New York: The Psychological Corp.</w:t>
      </w:r>
    </w:p>
  </w:endnote>
  <w:endnote w:id="22">
    <w:p w14:paraId="686F7CDF" w14:textId="6ADBBE48" w:rsidR="00451864" w:rsidRDefault="00451864" w:rsidP="00AE6259">
      <w:pPr>
        <w:pStyle w:val="EndnoteText"/>
        <w:rPr>
          <w:rFonts w:cs="Arial"/>
          <w:color w:val="000000" w:themeColor="text1"/>
          <w:sz w:val="22"/>
          <w:shd w:val="clear" w:color="auto" w:fill="FFFFFF"/>
        </w:rPr>
      </w:pPr>
      <w:r w:rsidRPr="00A250F2">
        <w:rPr>
          <w:color w:val="000000" w:themeColor="text1"/>
          <w:sz w:val="22"/>
        </w:rPr>
        <w:t>[</w:t>
      </w:r>
      <w:r w:rsidRPr="00A250F2">
        <w:rPr>
          <w:rStyle w:val="EndnoteReference"/>
          <w:color w:val="000000" w:themeColor="text1"/>
          <w:sz w:val="22"/>
          <w:vertAlign w:val="baseline"/>
        </w:rPr>
        <w:endnoteRef/>
      </w:r>
      <w:r w:rsidRPr="00A250F2">
        <w:rPr>
          <w:color w:val="000000" w:themeColor="text1"/>
          <w:sz w:val="22"/>
        </w:rPr>
        <w:t xml:space="preserve">] </w:t>
      </w:r>
      <w:r w:rsidRPr="00A250F2">
        <w:rPr>
          <w:rFonts w:cs="Arial"/>
          <w:color w:val="000000" w:themeColor="text1"/>
          <w:sz w:val="22"/>
          <w:shd w:val="clear" w:color="auto" w:fill="FFFFFF"/>
        </w:rPr>
        <w:t>Delis DC, Kramer JH, Kaplan E, Ober BA 1987 California Verbal Learning Test: Adult Version. San Antonio, TX: The Psychological Corp.</w:t>
      </w:r>
    </w:p>
    <w:p w14:paraId="25CAF8D2" w14:textId="77777777" w:rsidR="00451864" w:rsidRDefault="00451864" w:rsidP="00AE6259">
      <w:pPr>
        <w:pStyle w:val="EndnoteText"/>
        <w:rPr>
          <w:rFonts w:cs="Arial"/>
          <w:color w:val="000000" w:themeColor="text1"/>
          <w:sz w:val="22"/>
          <w:shd w:val="clear" w:color="auto" w:fill="FFFFFF"/>
        </w:rPr>
      </w:pPr>
    </w:p>
    <w:p w14:paraId="36ACE59B" w14:textId="77777777" w:rsidR="00451864" w:rsidRDefault="00451864" w:rsidP="00AE6259">
      <w:pPr>
        <w:pStyle w:val="EndnoteText"/>
        <w:rPr>
          <w:rFonts w:cs="Arial"/>
          <w:color w:val="000000" w:themeColor="text1"/>
          <w:sz w:val="22"/>
          <w:shd w:val="clear" w:color="auto" w:fill="FFFFFF"/>
        </w:rPr>
      </w:pPr>
    </w:p>
    <w:p w14:paraId="19098ECA" w14:textId="44AC2C32" w:rsidR="00451864" w:rsidRPr="00B94C53" w:rsidRDefault="00451864" w:rsidP="003646EC">
      <w:pPr>
        <w:pStyle w:val="Heading1"/>
        <w:rPr>
          <w:sz w:val="24"/>
          <w:szCs w:val="24"/>
        </w:rPr>
      </w:pPr>
      <w:r w:rsidRPr="00B94C53">
        <w:rPr>
          <w:sz w:val="24"/>
          <w:szCs w:val="24"/>
        </w:rPr>
        <w:t xml:space="preserve">Appendix </w:t>
      </w:r>
      <w:r>
        <w:rPr>
          <w:sz w:val="24"/>
          <w:szCs w:val="24"/>
        </w:rPr>
        <w:t>11</w:t>
      </w:r>
      <w:r w:rsidRPr="00B94C53">
        <w:rPr>
          <w:sz w:val="24"/>
          <w:szCs w:val="24"/>
        </w:rPr>
        <w:t xml:space="preserve">. </w:t>
      </w:r>
      <w:r>
        <w:rPr>
          <w:sz w:val="24"/>
          <w:szCs w:val="24"/>
        </w:rPr>
        <w:t xml:space="preserve">Author Correspondence </w:t>
      </w:r>
    </w:p>
    <w:p w14:paraId="25F2C4EE" w14:textId="77777777" w:rsidR="00451864" w:rsidRDefault="00451864" w:rsidP="00AE6259">
      <w:pPr>
        <w:pStyle w:val="EndnoteText"/>
        <w:rPr>
          <w:color w:val="000000" w:themeColor="text1"/>
        </w:rPr>
      </w:pPr>
    </w:p>
    <w:tbl>
      <w:tblPr>
        <w:tblStyle w:val="TableGrid"/>
        <w:tblW w:w="0" w:type="auto"/>
        <w:tblLook w:val="04A0" w:firstRow="1" w:lastRow="0" w:firstColumn="1" w:lastColumn="0" w:noHBand="0" w:noVBand="1"/>
      </w:tblPr>
      <w:tblGrid>
        <w:gridCol w:w="2330"/>
        <w:gridCol w:w="1634"/>
        <w:gridCol w:w="3026"/>
        <w:gridCol w:w="2360"/>
      </w:tblGrid>
      <w:tr w:rsidR="00451864" w14:paraId="5CBFB400" w14:textId="77777777" w:rsidTr="00EA2A99">
        <w:tc>
          <w:tcPr>
            <w:tcW w:w="2330" w:type="dxa"/>
          </w:tcPr>
          <w:p w14:paraId="186C6269" w14:textId="3ADFD1E9" w:rsidR="00451864" w:rsidRDefault="00451864" w:rsidP="00AE6259">
            <w:pPr>
              <w:pStyle w:val="EndnoteText"/>
              <w:rPr>
                <w:color w:val="000000" w:themeColor="text1"/>
              </w:rPr>
            </w:pPr>
            <w:r>
              <w:rPr>
                <w:color w:val="000000" w:themeColor="text1"/>
              </w:rPr>
              <w:t>Study Author</w:t>
            </w:r>
          </w:p>
        </w:tc>
        <w:tc>
          <w:tcPr>
            <w:tcW w:w="1634" w:type="dxa"/>
          </w:tcPr>
          <w:p w14:paraId="11080F9E" w14:textId="4A685518" w:rsidR="00451864" w:rsidRDefault="00451864" w:rsidP="00AE6259">
            <w:pPr>
              <w:pStyle w:val="EndnoteText"/>
              <w:rPr>
                <w:color w:val="000000" w:themeColor="text1"/>
              </w:rPr>
            </w:pPr>
            <w:r>
              <w:rPr>
                <w:color w:val="000000" w:themeColor="text1"/>
              </w:rPr>
              <w:t>Date of Contact</w:t>
            </w:r>
          </w:p>
        </w:tc>
        <w:tc>
          <w:tcPr>
            <w:tcW w:w="3026" w:type="dxa"/>
          </w:tcPr>
          <w:p w14:paraId="7D4BE016" w14:textId="4B8C9F43" w:rsidR="00451864" w:rsidRDefault="00451864" w:rsidP="00AE6259">
            <w:pPr>
              <w:pStyle w:val="EndnoteText"/>
              <w:rPr>
                <w:color w:val="000000" w:themeColor="text1"/>
              </w:rPr>
            </w:pPr>
            <w:r>
              <w:rPr>
                <w:color w:val="000000" w:themeColor="text1"/>
              </w:rPr>
              <w:t>Information Sought</w:t>
            </w:r>
          </w:p>
        </w:tc>
        <w:tc>
          <w:tcPr>
            <w:tcW w:w="2360" w:type="dxa"/>
          </w:tcPr>
          <w:p w14:paraId="62E094F7" w14:textId="17C4C23D" w:rsidR="00451864" w:rsidRDefault="00451864" w:rsidP="00AE6259">
            <w:pPr>
              <w:pStyle w:val="EndnoteText"/>
              <w:rPr>
                <w:color w:val="000000" w:themeColor="text1"/>
              </w:rPr>
            </w:pPr>
            <w:r>
              <w:rPr>
                <w:color w:val="000000" w:themeColor="text1"/>
              </w:rPr>
              <w:t>Response</w:t>
            </w:r>
          </w:p>
        </w:tc>
      </w:tr>
      <w:tr w:rsidR="00451864" w14:paraId="6AEC1A87" w14:textId="77777777" w:rsidTr="00EA2A99">
        <w:tc>
          <w:tcPr>
            <w:tcW w:w="2330" w:type="dxa"/>
          </w:tcPr>
          <w:p w14:paraId="41694FE6" w14:textId="5B8F6C1D" w:rsidR="00451864" w:rsidRDefault="00451864" w:rsidP="00AE6259">
            <w:pPr>
              <w:pStyle w:val="EndnoteText"/>
              <w:rPr>
                <w:color w:val="000000" w:themeColor="text1"/>
              </w:rPr>
            </w:pPr>
            <w:r>
              <w:rPr>
                <w:color w:val="000000" w:themeColor="text1"/>
              </w:rPr>
              <w:t>Jorde 2006</w:t>
            </w:r>
          </w:p>
        </w:tc>
        <w:tc>
          <w:tcPr>
            <w:tcW w:w="1634" w:type="dxa"/>
          </w:tcPr>
          <w:p w14:paraId="002AF39D" w14:textId="0670550B" w:rsidR="00451864" w:rsidRDefault="00451864" w:rsidP="00AE6259">
            <w:pPr>
              <w:pStyle w:val="EndnoteText"/>
              <w:rPr>
                <w:color w:val="000000" w:themeColor="text1"/>
              </w:rPr>
            </w:pPr>
            <w:r>
              <w:rPr>
                <w:color w:val="000000" w:themeColor="text1"/>
              </w:rPr>
              <w:t>2018 10 15</w:t>
            </w:r>
          </w:p>
        </w:tc>
        <w:tc>
          <w:tcPr>
            <w:tcW w:w="3026" w:type="dxa"/>
          </w:tcPr>
          <w:p w14:paraId="0AD08556" w14:textId="22814907" w:rsidR="00451864" w:rsidRDefault="00451864" w:rsidP="00AE6259">
            <w:pPr>
              <w:pStyle w:val="EndnoteText"/>
              <w:rPr>
                <w:color w:val="000000" w:themeColor="text1"/>
              </w:rPr>
            </w:pPr>
            <w:r w:rsidRPr="003646EC">
              <w:rPr>
                <w:color w:val="000000" w:themeColor="text1"/>
              </w:rPr>
              <w:t>Is composite cognitive score adjusted for baseline?</w:t>
            </w:r>
          </w:p>
        </w:tc>
        <w:tc>
          <w:tcPr>
            <w:tcW w:w="2360" w:type="dxa"/>
          </w:tcPr>
          <w:p w14:paraId="7C97E9AA" w14:textId="5C062F48" w:rsidR="00451864" w:rsidRDefault="00451864" w:rsidP="00AE6259">
            <w:pPr>
              <w:pStyle w:val="EndnoteText"/>
              <w:rPr>
                <w:color w:val="000000" w:themeColor="text1"/>
              </w:rPr>
            </w:pPr>
            <w:r>
              <w:rPr>
                <w:color w:val="000000" w:themeColor="text1"/>
              </w:rPr>
              <w:t>Yes</w:t>
            </w:r>
          </w:p>
        </w:tc>
      </w:tr>
      <w:tr w:rsidR="00451864" w14:paraId="459F2AF9" w14:textId="77777777" w:rsidTr="00EA2A99">
        <w:tc>
          <w:tcPr>
            <w:tcW w:w="2330" w:type="dxa"/>
          </w:tcPr>
          <w:p w14:paraId="7EC2A0CE" w14:textId="04C34EF8" w:rsidR="00451864" w:rsidRDefault="00451864" w:rsidP="00AE6259">
            <w:pPr>
              <w:pStyle w:val="EndnoteText"/>
              <w:rPr>
                <w:color w:val="000000" w:themeColor="text1"/>
              </w:rPr>
            </w:pPr>
            <w:r>
              <w:rPr>
                <w:color w:val="000000" w:themeColor="text1"/>
              </w:rPr>
              <w:t>Mikhail 2008</w:t>
            </w:r>
          </w:p>
        </w:tc>
        <w:tc>
          <w:tcPr>
            <w:tcW w:w="1634" w:type="dxa"/>
          </w:tcPr>
          <w:p w14:paraId="0B9FF11B" w14:textId="67BDF0BC" w:rsidR="00451864" w:rsidRDefault="00451864" w:rsidP="00AE6259">
            <w:pPr>
              <w:pStyle w:val="EndnoteText"/>
              <w:rPr>
                <w:color w:val="000000" w:themeColor="text1"/>
              </w:rPr>
            </w:pPr>
            <w:r>
              <w:rPr>
                <w:color w:val="000000" w:themeColor="text1"/>
              </w:rPr>
              <w:t>2018 10 01 (via Embassy of Kuwait)</w:t>
            </w:r>
          </w:p>
        </w:tc>
        <w:tc>
          <w:tcPr>
            <w:tcW w:w="3026" w:type="dxa"/>
          </w:tcPr>
          <w:p w14:paraId="11F14C70" w14:textId="442D150F" w:rsidR="00451864" w:rsidRDefault="00451864" w:rsidP="00AE6259">
            <w:pPr>
              <w:pStyle w:val="EndnoteText"/>
              <w:rPr>
                <w:color w:val="000000" w:themeColor="text1"/>
              </w:rPr>
            </w:pPr>
            <w:r w:rsidRPr="003646EC">
              <w:rPr>
                <w:color w:val="000000" w:themeColor="text1"/>
              </w:rPr>
              <w:t>Lipid SEM appears to be SD</w:t>
            </w:r>
          </w:p>
        </w:tc>
        <w:tc>
          <w:tcPr>
            <w:tcW w:w="2360" w:type="dxa"/>
          </w:tcPr>
          <w:p w14:paraId="710E1DEE" w14:textId="1C6CD3B4" w:rsidR="00451864" w:rsidRDefault="00451864" w:rsidP="00AE6259">
            <w:pPr>
              <w:pStyle w:val="EndnoteText"/>
              <w:rPr>
                <w:color w:val="000000" w:themeColor="text1"/>
              </w:rPr>
            </w:pPr>
            <w:r>
              <w:rPr>
                <w:color w:val="000000" w:themeColor="text1"/>
              </w:rPr>
              <w:t>Could not locate contact information.</w:t>
            </w:r>
          </w:p>
        </w:tc>
      </w:tr>
      <w:tr w:rsidR="00451864" w14:paraId="3B89077B" w14:textId="77777777" w:rsidTr="00EA2A99">
        <w:tc>
          <w:tcPr>
            <w:tcW w:w="2330" w:type="dxa"/>
            <w:vMerge w:val="restart"/>
          </w:tcPr>
          <w:p w14:paraId="06406183" w14:textId="725E6D95" w:rsidR="00451864" w:rsidRDefault="00451864" w:rsidP="00AE6259">
            <w:pPr>
              <w:pStyle w:val="EndnoteText"/>
              <w:rPr>
                <w:color w:val="000000" w:themeColor="text1"/>
              </w:rPr>
            </w:pPr>
            <w:r>
              <w:rPr>
                <w:color w:val="000000" w:themeColor="text1"/>
              </w:rPr>
              <w:t>Stott 2017</w:t>
            </w:r>
          </w:p>
        </w:tc>
        <w:tc>
          <w:tcPr>
            <w:tcW w:w="1634" w:type="dxa"/>
          </w:tcPr>
          <w:p w14:paraId="6EE983E7" w14:textId="7B1DF570" w:rsidR="00451864" w:rsidRDefault="00451864" w:rsidP="00AE6259">
            <w:pPr>
              <w:pStyle w:val="EndnoteText"/>
              <w:rPr>
                <w:color w:val="000000" w:themeColor="text1"/>
              </w:rPr>
            </w:pPr>
            <w:r>
              <w:rPr>
                <w:color w:val="000000" w:themeColor="text1"/>
              </w:rPr>
              <w:t>2018 12 04</w:t>
            </w:r>
          </w:p>
        </w:tc>
        <w:tc>
          <w:tcPr>
            <w:tcW w:w="3026" w:type="dxa"/>
          </w:tcPr>
          <w:p w14:paraId="0F76204B" w14:textId="035535F6" w:rsidR="00451864" w:rsidRDefault="00451864" w:rsidP="00AE6259">
            <w:pPr>
              <w:pStyle w:val="EndnoteText"/>
              <w:rPr>
                <w:color w:val="000000" w:themeColor="text1"/>
              </w:rPr>
            </w:pPr>
            <w:r w:rsidRPr="003646EC">
              <w:rPr>
                <w:color w:val="000000" w:themeColor="text1"/>
              </w:rPr>
              <w:t>Attrition at extended follow-up</w:t>
            </w:r>
          </w:p>
        </w:tc>
        <w:tc>
          <w:tcPr>
            <w:tcW w:w="2360" w:type="dxa"/>
          </w:tcPr>
          <w:p w14:paraId="41C19BF6" w14:textId="3CCBA73A" w:rsidR="00451864" w:rsidRDefault="00451864" w:rsidP="00AE6259">
            <w:pPr>
              <w:pStyle w:val="EndnoteText"/>
              <w:rPr>
                <w:color w:val="000000" w:themeColor="text1"/>
              </w:rPr>
            </w:pPr>
            <w:r>
              <w:rPr>
                <w:color w:val="000000" w:themeColor="text1"/>
              </w:rPr>
              <w:t>Pending</w:t>
            </w:r>
          </w:p>
        </w:tc>
      </w:tr>
      <w:tr w:rsidR="00451864" w14:paraId="1840613B" w14:textId="77777777" w:rsidTr="00EA2A99">
        <w:tc>
          <w:tcPr>
            <w:tcW w:w="2330" w:type="dxa"/>
            <w:vMerge/>
          </w:tcPr>
          <w:p w14:paraId="2172CDDF" w14:textId="77777777" w:rsidR="00451864" w:rsidRDefault="00451864" w:rsidP="00AE6259">
            <w:pPr>
              <w:pStyle w:val="EndnoteText"/>
              <w:rPr>
                <w:color w:val="000000" w:themeColor="text1"/>
              </w:rPr>
            </w:pPr>
          </w:p>
        </w:tc>
        <w:tc>
          <w:tcPr>
            <w:tcW w:w="1634" w:type="dxa"/>
          </w:tcPr>
          <w:p w14:paraId="4C50B229" w14:textId="2185FFC3" w:rsidR="00451864" w:rsidRDefault="00451864" w:rsidP="00AE6259">
            <w:pPr>
              <w:pStyle w:val="EndnoteText"/>
              <w:rPr>
                <w:color w:val="000000" w:themeColor="text1"/>
              </w:rPr>
            </w:pPr>
            <w:r>
              <w:rPr>
                <w:color w:val="000000" w:themeColor="text1"/>
              </w:rPr>
              <w:t>2018 10 30</w:t>
            </w:r>
          </w:p>
        </w:tc>
        <w:tc>
          <w:tcPr>
            <w:tcW w:w="3026" w:type="dxa"/>
          </w:tcPr>
          <w:p w14:paraId="4ECFBA0B" w14:textId="67854921" w:rsidR="00451864" w:rsidRDefault="00451864" w:rsidP="00AE6259">
            <w:pPr>
              <w:pStyle w:val="EndnoteText"/>
              <w:rPr>
                <w:color w:val="000000" w:themeColor="text1"/>
              </w:rPr>
            </w:pPr>
            <w:r w:rsidRPr="003646EC">
              <w:rPr>
                <w:color w:val="000000" w:themeColor="text1"/>
              </w:rPr>
              <w:t>Adverse Event P-value clarification</w:t>
            </w:r>
          </w:p>
        </w:tc>
        <w:tc>
          <w:tcPr>
            <w:tcW w:w="2360" w:type="dxa"/>
          </w:tcPr>
          <w:p w14:paraId="12210819" w14:textId="4F910408" w:rsidR="00451864" w:rsidRDefault="00451864" w:rsidP="00AE6259">
            <w:pPr>
              <w:pStyle w:val="EndnoteText"/>
              <w:rPr>
                <w:color w:val="000000" w:themeColor="text1"/>
              </w:rPr>
            </w:pPr>
            <w:r>
              <w:rPr>
                <w:color w:val="000000" w:themeColor="text1"/>
              </w:rPr>
              <w:t>Error in stats program</w:t>
            </w:r>
            <w:r w:rsidRPr="003646EC">
              <w:rPr>
                <w:color w:val="000000" w:themeColor="text1"/>
              </w:rPr>
              <w:t>. New p-value provided</w:t>
            </w:r>
            <w:r>
              <w:rPr>
                <w:color w:val="000000" w:themeColor="text1"/>
              </w:rPr>
              <w:t>.</w:t>
            </w:r>
          </w:p>
        </w:tc>
      </w:tr>
      <w:tr w:rsidR="00451864" w14:paraId="4865F9B6" w14:textId="77777777" w:rsidTr="00EA2A99">
        <w:tc>
          <w:tcPr>
            <w:tcW w:w="2330" w:type="dxa"/>
            <w:vMerge/>
          </w:tcPr>
          <w:p w14:paraId="2D06E7DA" w14:textId="77777777" w:rsidR="00451864" w:rsidRDefault="00451864" w:rsidP="00AE6259">
            <w:pPr>
              <w:pStyle w:val="EndnoteText"/>
              <w:rPr>
                <w:color w:val="000000" w:themeColor="text1"/>
              </w:rPr>
            </w:pPr>
          </w:p>
        </w:tc>
        <w:tc>
          <w:tcPr>
            <w:tcW w:w="1634" w:type="dxa"/>
          </w:tcPr>
          <w:p w14:paraId="7CF96C5C" w14:textId="44BF69AB" w:rsidR="00451864" w:rsidRDefault="00451864" w:rsidP="00AE6259">
            <w:pPr>
              <w:pStyle w:val="EndnoteText"/>
              <w:rPr>
                <w:color w:val="000000" w:themeColor="text1"/>
              </w:rPr>
            </w:pPr>
            <w:r>
              <w:rPr>
                <w:color w:val="000000" w:themeColor="text1"/>
              </w:rPr>
              <w:t>2017 09 06</w:t>
            </w:r>
          </w:p>
        </w:tc>
        <w:tc>
          <w:tcPr>
            <w:tcW w:w="3026" w:type="dxa"/>
          </w:tcPr>
          <w:p w14:paraId="07BF0148" w14:textId="4A091368" w:rsidR="00451864" w:rsidRDefault="00451864" w:rsidP="00AE6259">
            <w:pPr>
              <w:pStyle w:val="EndnoteText"/>
              <w:rPr>
                <w:color w:val="000000" w:themeColor="text1"/>
              </w:rPr>
            </w:pPr>
            <w:r>
              <w:rPr>
                <w:color w:val="000000" w:themeColor="text1"/>
              </w:rPr>
              <w:t>D</w:t>
            </w:r>
            <w:r w:rsidRPr="003646EC">
              <w:rPr>
                <w:color w:val="000000" w:themeColor="text1"/>
              </w:rPr>
              <w:t>efinition for what constitutes a "serious adverse event" in the TRUST trail.</w:t>
            </w:r>
          </w:p>
        </w:tc>
        <w:tc>
          <w:tcPr>
            <w:tcW w:w="2360" w:type="dxa"/>
          </w:tcPr>
          <w:p w14:paraId="45A0E45F" w14:textId="2FEFB575" w:rsidR="00451864" w:rsidRDefault="00451864" w:rsidP="003646EC">
            <w:pPr>
              <w:pStyle w:val="EndnoteText"/>
              <w:rPr>
                <w:color w:val="000000" w:themeColor="text1"/>
              </w:rPr>
            </w:pPr>
            <w:r w:rsidRPr="003646EC">
              <w:rPr>
                <w:color w:val="000000" w:themeColor="text1"/>
              </w:rPr>
              <w:t>We used the legal definition of SAEs as required by our regulatory authorities</w:t>
            </w:r>
            <w:r>
              <w:rPr>
                <w:color w:val="000000" w:themeColor="text1"/>
              </w:rPr>
              <w:t>.</w:t>
            </w:r>
          </w:p>
        </w:tc>
      </w:tr>
      <w:tr w:rsidR="00451864" w14:paraId="665BAE87" w14:textId="77777777" w:rsidTr="00EA2A99">
        <w:tc>
          <w:tcPr>
            <w:tcW w:w="2330" w:type="dxa"/>
          </w:tcPr>
          <w:p w14:paraId="0AA2CB33" w14:textId="253E7676" w:rsidR="00451864" w:rsidRDefault="00451864" w:rsidP="00AE6259">
            <w:pPr>
              <w:pStyle w:val="EndnoteText"/>
              <w:rPr>
                <w:color w:val="000000" w:themeColor="text1"/>
              </w:rPr>
            </w:pPr>
            <w:r>
              <w:rPr>
                <w:color w:val="000000" w:themeColor="text1"/>
              </w:rPr>
              <w:t>Andersen 2015/2016</w:t>
            </w:r>
          </w:p>
        </w:tc>
        <w:tc>
          <w:tcPr>
            <w:tcW w:w="1634" w:type="dxa"/>
          </w:tcPr>
          <w:p w14:paraId="38CF087C" w14:textId="77777777" w:rsidR="00451864" w:rsidRDefault="00451864" w:rsidP="00AE6259">
            <w:pPr>
              <w:pStyle w:val="EndnoteText"/>
              <w:rPr>
                <w:color w:val="000000" w:themeColor="text1"/>
              </w:rPr>
            </w:pPr>
            <w:r>
              <w:rPr>
                <w:color w:val="000000" w:themeColor="text1"/>
              </w:rPr>
              <w:t>2018 10 02</w:t>
            </w:r>
          </w:p>
          <w:p w14:paraId="225A19ED" w14:textId="01D03022" w:rsidR="00451864" w:rsidRDefault="00451864" w:rsidP="00AE6259">
            <w:pPr>
              <w:pStyle w:val="EndnoteText"/>
              <w:rPr>
                <w:color w:val="000000" w:themeColor="text1"/>
              </w:rPr>
            </w:pPr>
            <w:r>
              <w:rPr>
                <w:color w:val="000000" w:themeColor="text1"/>
              </w:rPr>
              <w:t>2018 10 18</w:t>
            </w:r>
          </w:p>
        </w:tc>
        <w:tc>
          <w:tcPr>
            <w:tcW w:w="3026" w:type="dxa"/>
          </w:tcPr>
          <w:p w14:paraId="75A16DFD" w14:textId="028BBE23" w:rsidR="00451864" w:rsidRDefault="00451864" w:rsidP="00AE6259">
            <w:pPr>
              <w:pStyle w:val="EndnoteText"/>
              <w:rPr>
                <w:color w:val="000000" w:themeColor="text1"/>
              </w:rPr>
            </w:pPr>
            <w:r w:rsidRPr="003646EC">
              <w:rPr>
                <w:color w:val="000000" w:themeColor="text1"/>
              </w:rPr>
              <w:t>The total number of participants who were aged &lt; 65 years? And of these, how many were “treated” and “untreated”?</w:t>
            </w:r>
          </w:p>
        </w:tc>
        <w:tc>
          <w:tcPr>
            <w:tcW w:w="2360" w:type="dxa"/>
          </w:tcPr>
          <w:p w14:paraId="4D057B65" w14:textId="12A4693E" w:rsidR="00451864" w:rsidRDefault="00451864" w:rsidP="00AE6259">
            <w:pPr>
              <w:pStyle w:val="EndnoteText"/>
              <w:rPr>
                <w:color w:val="000000" w:themeColor="text1"/>
              </w:rPr>
            </w:pPr>
            <w:r>
              <w:rPr>
                <w:color w:val="000000" w:themeColor="text1"/>
              </w:rPr>
              <w:t>No response</w:t>
            </w:r>
          </w:p>
        </w:tc>
      </w:tr>
      <w:tr w:rsidR="00451864" w14:paraId="258EE3D0" w14:textId="77777777" w:rsidTr="00EA2A99">
        <w:tc>
          <w:tcPr>
            <w:tcW w:w="2330" w:type="dxa"/>
          </w:tcPr>
          <w:p w14:paraId="54EBEAC6" w14:textId="5CA3C7E8" w:rsidR="00451864" w:rsidRDefault="00451864" w:rsidP="00AE6259">
            <w:pPr>
              <w:pStyle w:val="EndnoteText"/>
              <w:rPr>
                <w:color w:val="000000" w:themeColor="text1"/>
              </w:rPr>
            </w:pPr>
            <w:r>
              <w:rPr>
                <w:color w:val="000000" w:themeColor="text1"/>
              </w:rPr>
              <w:t>Monzani 2004</w:t>
            </w:r>
          </w:p>
        </w:tc>
        <w:tc>
          <w:tcPr>
            <w:tcW w:w="1634" w:type="dxa"/>
          </w:tcPr>
          <w:p w14:paraId="799A7F73" w14:textId="482D13A9" w:rsidR="00451864" w:rsidRDefault="00451864" w:rsidP="00AE6259">
            <w:pPr>
              <w:pStyle w:val="EndnoteText"/>
              <w:rPr>
                <w:color w:val="000000" w:themeColor="text1"/>
              </w:rPr>
            </w:pPr>
            <w:r>
              <w:rPr>
                <w:color w:val="000000" w:themeColor="text1"/>
              </w:rPr>
              <w:t>2017 06 26</w:t>
            </w:r>
          </w:p>
        </w:tc>
        <w:tc>
          <w:tcPr>
            <w:tcW w:w="3026" w:type="dxa"/>
          </w:tcPr>
          <w:p w14:paraId="37185098" w14:textId="43695F4A" w:rsidR="00451864" w:rsidRDefault="00451864" w:rsidP="00AE6259">
            <w:pPr>
              <w:pStyle w:val="EndnoteText"/>
              <w:rPr>
                <w:color w:val="000000" w:themeColor="text1"/>
              </w:rPr>
            </w:pPr>
            <w:r w:rsidRPr="003646EC">
              <w:rPr>
                <w:color w:val="000000" w:themeColor="text1"/>
              </w:rPr>
              <w:t>Are the patients from the 2 studies above the same? Or were these 2 separate studies for which  there were 2 separate patient populations used?</w:t>
            </w:r>
          </w:p>
        </w:tc>
        <w:tc>
          <w:tcPr>
            <w:tcW w:w="2360" w:type="dxa"/>
          </w:tcPr>
          <w:p w14:paraId="3AD8ADC3" w14:textId="4FC30856" w:rsidR="00451864" w:rsidRDefault="00451864" w:rsidP="00AE6259">
            <w:pPr>
              <w:pStyle w:val="EndnoteText"/>
              <w:rPr>
                <w:color w:val="000000" w:themeColor="text1"/>
              </w:rPr>
            </w:pPr>
            <w:r>
              <w:rPr>
                <w:color w:val="000000" w:themeColor="text1"/>
              </w:rPr>
              <w:t>T</w:t>
            </w:r>
            <w:r w:rsidRPr="003646EC">
              <w:rPr>
                <w:color w:val="000000" w:themeColor="text1"/>
              </w:rPr>
              <w:t>he data of the two studies belonged to 2 different databases obviously, some patients were registered in both the databases.</w:t>
            </w:r>
          </w:p>
        </w:tc>
      </w:tr>
      <w:tr w:rsidR="00451864" w14:paraId="1796117C" w14:textId="77777777" w:rsidTr="00EA2A99">
        <w:tc>
          <w:tcPr>
            <w:tcW w:w="2330" w:type="dxa"/>
          </w:tcPr>
          <w:p w14:paraId="12F0CEBB" w14:textId="1878678C" w:rsidR="00451864" w:rsidRDefault="00451864" w:rsidP="00AE6259">
            <w:pPr>
              <w:pStyle w:val="EndnoteText"/>
              <w:rPr>
                <w:color w:val="000000" w:themeColor="text1"/>
              </w:rPr>
            </w:pPr>
            <w:r>
              <w:rPr>
                <w:color w:val="000000" w:themeColor="text1"/>
              </w:rPr>
              <w:t>Zhao 2016</w:t>
            </w:r>
          </w:p>
        </w:tc>
        <w:tc>
          <w:tcPr>
            <w:tcW w:w="1634" w:type="dxa"/>
          </w:tcPr>
          <w:p w14:paraId="3B3795A1" w14:textId="272955EA" w:rsidR="00451864" w:rsidRDefault="00451864" w:rsidP="00AE6259">
            <w:pPr>
              <w:pStyle w:val="EndnoteText"/>
              <w:rPr>
                <w:color w:val="000000" w:themeColor="text1"/>
              </w:rPr>
            </w:pPr>
            <w:r>
              <w:rPr>
                <w:color w:val="000000" w:themeColor="text1"/>
              </w:rPr>
              <w:t>2019 06 10</w:t>
            </w:r>
          </w:p>
        </w:tc>
        <w:tc>
          <w:tcPr>
            <w:tcW w:w="3026" w:type="dxa"/>
          </w:tcPr>
          <w:p w14:paraId="5E741615" w14:textId="4931139C" w:rsidR="00451864" w:rsidRDefault="00451864" w:rsidP="00AE6259">
            <w:pPr>
              <w:pStyle w:val="EndnoteText"/>
              <w:rPr>
                <w:color w:val="000000" w:themeColor="text1"/>
              </w:rPr>
            </w:pPr>
            <w:r>
              <w:rPr>
                <w:color w:val="000000" w:themeColor="text1"/>
              </w:rPr>
              <w:t>M</w:t>
            </w:r>
            <w:r w:rsidRPr="00423F32">
              <w:rPr>
                <w:color w:val="000000" w:themeColor="text1"/>
              </w:rPr>
              <w:t>ean, standard deviation, and p-value for the between group comparison of Mild SCH-Control to Mild SCH-Intervention for: 1) Body Mass Index, 2) Weight, 5) HDL, and 6) LDL.</w:t>
            </w:r>
          </w:p>
        </w:tc>
        <w:tc>
          <w:tcPr>
            <w:tcW w:w="2360" w:type="dxa"/>
          </w:tcPr>
          <w:p w14:paraId="2680003E" w14:textId="0B7E2733" w:rsidR="00451864" w:rsidRDefault="00451864" w:rsidP="00423F32">
            <w:pPr>
              <w:pStyle w:val="EndnoteText"/>
              <w:rPr>
                <w:color w:val="000000" w:themeColor="text1"/>
              </w:rPr>
            </w:pPr>
            <w:r>
              <w:rPr>
                <w:color w:val="000000" w:themeColor="text1"/>
              </w:rPr>
              <w:t>Auto-acknowledgement of email receipt; no data provided.</w:t>
            </w:r>
          </w:p>
        </w:tc>
      </w:tr>
    </w:tbl>
    <w:p w14:paraId="6FE31EC0" w14:textId="6D96CFDB" w:rsidR="00451864" w:rsidRPr="009E5FDE" w:rsidRDefault="00451864" w:rsidP="00AE6259">
      <w:pPr>
        <w:pStyle w:val="EndnoteText"/>
        <w:rPr>
          <w:color w:val="000000" w:themeColor="text1"/>
        </w:rPr>
      </w:pPr>
      <w:r>
        <w:rPr>
          <w:color w:val="000000" w:themeColor="text1"/>
        </w:rPr>
        <w:b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dvOT1ef757c0">
    <w:panose1 w:val="00000000000000000000"/>
    <w:charset w:val="00"/>
    <w:family w:val="roman"/>
    <w:notTrueType/>
    <w:pitch w:val="default"/>
    <w:sig w:usb0="00000003" w:usb1="00000000" w:usb2="00000000" w:usb3="00000000" w:csb0="00000001" w:csb1="00000000"/>
  </w:font>
  <w:font w:name="AdvP7C2E">
    <w:panose1 w:val="00000000000000000000"/>
    <w:charset w:val="00"/>
    <w:family w:val="roman"/>
    <w:notTrueType/>
    <w:pitch w:val="default"/>
    <w:sig w:usb0="00000003" w:usb1="00000000" w:usb2="00000000" w:usb3="00000000" w:csb0="00000001" w:csb1="00000000"/>
  </w:font>
  <w:font w:name="AdvOT82c4f4c4">
    <w:panose1 w:val="00000000000000000000"/>
    <w:charset w:val="00"/>
    <w:family w:val="swiss"/>
    <w:notTrueType/>
    <w:pitch w:val="default"/>
    <w:sig w:usb0="00000003" w:usb1="00000000" w:usb2="00000000" w:usb3="00000000" w:csb0="00000001" w:csb1="00000000"/>
  </w:font>
  <w:font w:name="Berkeley-Medium">
    <w:panose1 w:val="00000000000000000000"/>
    <w:charset w:val="00"/>
    <w:family w:val="roman"/>
    <w:notTrueType/>
    <w:pitch w:val="default"/>
    <w:sig w:usb0="00000003" w:usb1="00000000" w:usb2="00000000" w:usb3="00000000" w:csb0="00000001" w:csb1="00000000"/>
  </w:font>
  <w:font w:name="Palatino-Bold">
    <w:charset w:val="4D"/>
    <w:family w:val="auto"/>
    <w:pitch w:val="variable"/>
    <w:sig w:usb0="A00002FF" w:usb1="7800205A" w:usb2="14600000" w:usb3="00000000" w:csb0="00000193" w:csb1="00000000"/>
  </w:font>
  <w:font w:name="Palatino-Roman">
    <w:charset w:val="4D"/>
    <w:family w:val="auto"/>
    <w:pitch w:val="variable"/>
    <w:sig w:usb0="A00002FF" w:usb1="7800205A" w:usb2="14600000" w:usb3="00000000" w:csb0="00000193" w:csb1="00000000"/>
  </w:font>
  <w:font w:name="OTNEJMQuadraat">
    <w:altName w:val="Arial Unicode MS"/>
    <w:panose1 w:val="00000000000000000000"/>
    <w:charset w:val="86"/>
    <w:family w:val="roman"/>
    <w:notTrueType/>
    <w:pitch w:val="default"/>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67374" w14:textId="77777777" w:rsidR="00451864" w:rsidRDefault="004518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8778400"/>
      <w:docPartObj>
        <w:docPartGallery w:val="Page Numbers (Bottom of Page)"/>
        <w:docPartUnique/>
      </w:docPartObj>
    </w:sdtPr>
    <w:sdtEndPr>
      <w:rPr>
        <w:noProof/>
      </w:rPr>
    </w:sdtEndPr>
    <w:sdtContent>
      <w:p w14:paraId="61C55CB2" w14:textId="469F1118" w:rsidR="00451864" w:rsidRDefault="00451864">
        <w:pPr>
          <w:pStyle w:val="Footer"/>
          <w:jc w:val="right"/>
        </w:pPr>
        <w:r>
          <w:fldChar w:fldCharType="begin"/>
        </w:r>
        <w:r>
          <w:instrText xml:space="preserve"> PAGE   \* MERGEFORMAT </w:instrText>
        </w:r>
        <w:r>
          <w:fldChar w:fldCharType="separate"/>
        </w:r>
        <w:r w:rsidR="00B23B80">
          <w:rPr>
            <w:noProof/>
          </w:rPr>
          <w:t>76</w:t>
        </w:r>
        <w:r>
          <w:rPr>
            <w:noProof/>
          </w:rPr>
          <w:fldChar w:fldCharType="end"/>
        </w:r>
      </w:p>
    </w:sdtContent>
  </w:sdt>
  <w:p w14:paraId="6B8214AB" w14:textId="77777777" w:rsidR="00451864" w:rsidRDefault="004518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C84EF" w14:textId="77777777" w:rsidR="00451864" w:rsidRDefault="004518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3711B0" w14:textId="77777777" w:rsidR="00451864" w:rsidRDefault="00451864" w:rsidP="00AE6259">
      <w:pPr>
        <w:spacing w:after="0" w:line="240" w:lineRule="auto"/>
      </w:pPr>
      <w:r>
        <w:separator/>
      </w:r>
    </w:p>
  </w:footnote>
  <w:footnote w:type="continuationSeparator" w:id="0">
    <w:p w14:paraId="4667C073" w14:textId="77777777" w:rsidR="00451864" w:rsidRDefault="00451864" w:rsidP="00AE62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A68AF" w14:textId="77777777" w:rsidR="00451864" w:rsidRDefault="004518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303F5" w14:textId="77777777" w:rsidR="00451864" w:rsidRDefault="004518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0CF74" w14:textId="77777777" w:rsidR="00451864" w:rsidRDefault="004518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416B1"/>
    <w:multiLevelType w:val="hybridMultilevel"/>
    <w:tmpl w:val="4236A06A"/>
    <w:lvl w:ilvl="0" w:tplc="14D208DC">
      <w:numFmt w:val="bullet"/>
      <w:lvlText w:val="-"/>
      <w:lvlJc w:val="left"/>
      <w:pPr>
        <w:ind w:left="450" w:hanging="360"/>
      </w:pPr>
      <w:rPr>
        <w:rFonts w:ascii="Calibri" w:eastAsiaTheme="minorHAnsi" w:hAnsi="Calibri" w:cstheme="minorBidi" w:hint="default"/>
        <w:b/>
      </w:rPr>
    </w:lvl>
    <w:lvl w:ilvl="1" w:tplc="10090003" w:tentative="1">
      <w:start w:val="1"/>
      <w:numFmt w:val="bullet"/>
      <w:lvlText w:val="o"/>
      <w:lvlJc w:val="left"/>
      <w:pPr>
        <w:ind w:left="1170" w:hanging="360"/>
      </w:pPr>
      <w:rPr>
        <w:rFonts w:ascii="Courier New" w:hAnsi="Courier New" w:cs="Courier New" w:hint="default"/>
      </w:rPr>
    </w:lvl>
    <w:lvl w:ilvl="2" w:tplc="10090005" w:tentative="1">
      <w:start w:val="1"/>
      <w:numFmt w:val="bullet"/>
      <w:lvlText w:val=""/>
      <w:lvlJc w:val="left"/>
      <w:pPr>
        <w:ind w:left="1890" w:hanging="360"/>
      </w:pPr>
      <w:rPr>
        <w:rFonts w:ascii="Wingdings" w:hAnsi="Wingdings" w:hint="default"/>
      </w:rPr>
    </w:lvl>
    <w:lvl w:ilvl="3" w:tplc="10090001" w:tentative="1">
      <w:start w:val="1"/>
      <w:numFmt w:val="bullet"/>
      <w:lvlText w:val=""/>
      <w:lvlJc w:val="left"/>
      <w:pPr>
        <w:ind w:left="2610" w:hanging="360"/>
      </w:pPr>
      <w:rPr>
        <w:rFonts w:ascii="Symbol" w:hAnsi="Symbol" w:hint="default"/>
      </w:rPr>
    </w:lvl>
    <w:lvl w:ilvl="4" w:tplc="10090003" w:tentative="1">
      <w:start w:val="1"/>
      <w:numFmt w:val="bullet"/>
      <w:lvlText w:val="o"/>
      <w:lvlJc w:val="left"/>
      <w:pPr>
        <w:ind w:left="3330" w:hanging="360"/>
      </w:pPr>
      <w:rPr>
        <w:rFonts w:ascii="Courier New" w:hAnsi="Courier New" w:cs="Courier New" w:hint="default"/>
      </w:rPr>
    </w:lvl>
    <w:lvl w:ilvl="5" w:tplc="10090005" w:tentative="1">
      <w:start w:val="1"/>
      <w:numFmt w:val="bullet"/>
      <w:lvlText w:val=""/>
      <w:lvlJc w:val="left"/>
      <w:pPr>
        <w:ind w:left="4050" w:hanging="360"/>
      </w:pPr>
      <w:rPr>
        <w:rFonts w:ascii="Wingdings" w:hAnsi="Wingdings" w:hint="default"/>
      </w:rPr>
    </w:lvl>
    <w:lvl w:ilvl="6" w:tplc="10090001" w:tentative="1">
      <w:start w:val="1"/>
      <w:numFmt w:val="bullet"/>
      <w:lvlText w:val=""/>
      <w:lvlJc w:val="left"/>
      <w:pPr>
        <w:ind w:left="4770" w:hanging="360"/>
      </w:pPr>
      <w:rPr>
        <w:rFonts w:ascii="Symbol" w:hAnsi="Symbol" w:hint="default"/>
      </w:rPr>
    </w:lvl>
    <w:lvl w:ilvl="7" w:tplc="10090003" w:tentative="1">
      <w:start w:val="1"/>
      <w:numFmt w:val="bullet"/>
      <w:lvlText w:val="o"/>
      <w:lvlJc w:val="left"/>
      <w:pPr>
        <w:ind w:left="5490" w:hanging="360"/>
      </w:pPr>
      <w:rPr>
        <w:rFonts w:ascii="Courier New" w:hAnsi="Courier New" w:cs="Courier New" w:hint="default"/>
      </w:rPr>
    </w:lvl>
    <w:lvl w:ilvl="8" w:tplc="10090005" w:tentative="1">
      <w:start w:val="1"/>
      <w:numFmt w:val="bullet"/>
      <w:lvlText w:val=""/>
      <w:lvlJc w:val="left"/>
      <w:pPr>
        <w:ind w:left="6210" w:hanging="360"/>
      </w:pPr>
      <w:rPr>
        <w:rFonts w:ascii="Wingdings" w:hAnsi="Wingdings" w:hint="default"/>
      </w:rPr>
    </w:lvl>
  </w:abstractNum>
  <w:abstractNum w:abstractNumId="1" w15:restartNumberingAfterBreak="0">
    <w:nsid w:val="05BF15C8"/>
    <w:multiLevelType w:val="hybridMultilevel"/>
    <w:tmpl w:val="A01CDA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196822"/>
    <w:multiLevelType w:val="hybridMultilevel"/>
    <w:tmpl w:val="74A2D77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9327C97"/>
    <w:multiLevelType w:val="hybridMultilevel"/>
    <w:tmpl w:val="99ACF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720612B"/>
    <w:multiLevelType w:val="hybridMultilevel"/>
    <w:tmpl w:val="8104FF02"/>
    <w:lvl w:ilvl="0" w:tplc="EC9EFF94">
      <w:start w:val="1"/>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C2D1309"/>
    <w:multiLevelType w:val="hybridMultilevel"/>
    <w:tmpl w:val="EB524CC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57896CDA"/>
    <w:multiLevelType w:val="hybridMultilevel"/>
    <w:tmpl w:val="91A87F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3114B6C"/>
    <w:multiLevelType w:val="hybridMultilevel"/>
    <w:tmpl w:val="59AA2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1"/>
  </w:num>
  <w:num w:numId="4">
    <w:abstractNumId w:val="5"/>
  </w:num>
  <w:num w:numId="5">
    <w:abstractNumId w:val="7"/>
  </w:num>
  <w:num w:numId="6">
    <w:abstractNumId w:val="4"/>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3"/>
  <w:hideSpellingErrors/>
  <w:activeWritingStyle w:appName="MSWord" w:lang="fr-CA" w:vendorID="64" w:dllVersion="131078" w:nlCheck="1" w:checkStyle="0"/>
  <w:activeWritingStyle w:appName="MSWord" w:lang="en-CA" w:vendorID="64" w:dllVersion="131078" w:nlCheck="1" w:checkStyle="1"/>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E54"/>
    <w:rsid w:val="00002291"/>
    <w:rsid w:val="00016E9A"/>
    <w:rsid w:val="00032E10"/>
    <w:rsid w:val="000404E1"/>
    <w:rsid w:val="00041AEF"/>
    <w:rsid w:val="00043A14"/>
    <w:rsid w:val="000504F6"/>
    <w:rsid w:val="0006294E"/>
    <w:rsid w:val="00091925"/>
    <w:rsid w:val="000922C5"/>
    <w:rsid w:val="000937F8"/>
    <w:rsid w:val="000A35A5"/>
    <w:rsid w:val="000A503C"/>
    <w:rsid w:val="000B1B93"/>
    <w:rsid w:val="000C4843"/>
    <w:rsid w:val="000E23C4"/>
    <w:rsid w:val="000E53DD"/>
    <w:rsid w:val="001328F0"/>
    <w:rsid w:val="00144E9A"/>
    <w:rsid w:val="00177838"/>
    <w:rsid w:val="00177942"/>
    <w:rsid w:val="001908EE"/>
    <w:rsid w:val="00220B3F"/>
    <w:rsid w:val="00220B9C"/>
    <w:rsid w:val="00222D6D"/>
    <w:rsid w:val="00230462"/>
    <w:rsid w:val="00247999"/>
    <w:rsid w:val="00247DF3"/>
    <w:rsid w:val="00260933"/>
    <w:rsid w:val="00271FEF"/>
    <w:rsid w:val="00275BBA"/>
    <w:rsid w:val="00281B74"/>
    <w:rsid w:val="002962A1"/>
    <w:rsid w:val="002A2E54"/>
    <w:rsid w:val="002B322C"/>
    <w:rsid w:val="002D0C70"/>
    <w:rsid w:val="002D5189"/>
    <w:rsid w:val="002E1D77"/>
    <w:rsid w:val="002E6AD8"/>
    <w:rsid w:val="002F409D"/>
    <w:rsid w:val="00303B1A"/>
    <w:rsid w:val="00305F64"/>
    <w:rsid w:val="00310F04"/>
    <w:rsid w:val="003646EC"/>
    <w:rsid w:val="0039040D"/>
    <w:rsid w:val="003970CF"/>
    <w:rsid w:val="003A385D"/>
    <w:rsid w:val="003A3F9F"/>
    <w:rsid w:val="003B321E"/>
    <w:rsid w:val="003C4E6F"/>
    <w:rsid w:val="003D1181"/>
    <w:rsid w:val="00423F32"/>
    <w:rsid w:val="0044483D"/>
    <w:rsid w:val="00451864"/>
    <w:rsid w:val="00455F4D"/>
    <w:rsid w:val="00456894"/>
    <w:rsid w:val="004762AA"/>
    <w:rsid w:val="004827E3"/>
    <w:rsid w:val="004874E3"/>
    <w:rsid w:val="00497B7C"/>
    <w:rsid w:val="004A4488"/>
    <w:rsid w:val="004A5D76"/>
    <w:rsid w:val="004A7BE3"/>
    <w:rsid w:val="004B1BF4"/>
    <w:rsid w:val="004D6A36"/>
    <w:rsid w:val="004E2F62"/>
    <w:rsid w:val="004E4953"/>
    <w:rsid w:val="004E666A"/>
    <w:rsid w:val="004F0FA7"/>
    <w:rsid w:val="004F1625"/>
    <w:rsid w:val="004F2729"/>
    <w:rsid w:val="005500B2"/>
    <w:rsid w:val="00551CC2"/>
    <w:rsid w:val="0057338B"/>
    <w:rsid w:val="005956EE"/>
    <w:rsid w:val="005B099C"/>
    <w:rsid w:val="005C1CF8"/>
    <w:rsid w:val="005C7EDD"/>
    <w:rsid w:val="005D0363"/>
    <w:rsid w:val="005D45A8"/>
    <w:rsid w:val="0063693D"/>
    <w:rsid w:val="0065480E"/>
    <w:rsid w:val="0066798B"/>
    <w:rsid w:val="00671321"/>
    <w:rsid w:val="006C2CF0"/>
    <w:rsid w:val="006C381D"/>
    <w:rsid w:val="006F1F34"/>
    <w:rsid w:val="006F5BDB"/>
    <w:rsid w:val="00715AD9"/>
    <w:rsid w:val="00720B1B"/>
    <w:rsid w:val="0072267F"/>
    <w:rsid w:val="00727C53"/>
    <w:rsid w:val="0073058B"/>
    <w:rsid w:val="007357E5"/>
    <w:rsid w:val="00752543"/>
    <w:rsid w:val="00764C3D"/>
    <w:rsid w:val="00780958"/>
    <w:rsid w:val="007A1167"/>
    <w:rsid w:val="007B4D7E"/>
    <w:rsid w:val="007D1B37"/>
    <w:rsid w:val="007E53A4"/>
    <w:rsid w:val="007F4F06"/>
    <w:rsid w:val="0082038F"/>
    <w:rsid w:val="0082250C"/>
    <w:rsid w:val="008350E6"/>
    <w:rsid w:val="0083568E"/>
    <w:rsid w:val="0084782A"/>
    <w:rsid w:val="008568C0"/>
    <w:rsid w:val="00870FB5"/>
    <w:rsid w:val="0087618C"/>
    <w:rsid w:val="008A7B56"/>
    <w:rsid w:val="008C4716"/>
    <w:rsid w:val="008D6EB5"/>
    <w:rsid w:val="008E0E75"/>
    <w:rsid w:val="00916146"/>
    <w:rsid w:val="00932E35"/>
    <w:rsid w:val="00943AF8"/>
    <w:rsid w:val="0095718B"/>
    <w:rsid w:val="0096362B"/>
    <w:rsid w:val="00970DAD"/>
    <w:rsid w:val="009A7805"/>
    <w:rsid w:val="009E5FDE"/>
    <w:rsid w:val="009F3018"/>
    <w:rsid w:val="009F7CC2"/>
    <w:rsid w:val="00A13535"/>
    <w:rsid w:val="00A250F2"/>
    <w:rsid w:val="00A268A3"/>
    <w:rsid w:val="00A3063F"/>
    <w:rsid w:val="00A333BB"/>
    <w:rsid w:val="00A348C6"/>
    <w:rsid w:val="00A432C0"/>
    <w:rsid w:val="00A47759"/>
    <w:rsid w:val="00A51FC8"/>
    <w:rsid w:val="00A5561C"/>
    <w:rsid w:val="00A652A8"/>
    <w:rsid w:val="00A844E3"/>
    <w:rsid w:val="00AA12E9"/>
    <w:rsid w:val="00AA156B"/>
    <w:rsid w:val="00AA3120"/>
    <w:rsid w:val="00AC3375"/>
    <w:rsid w:val="00AD2254"/>
    <w:rsid w:val="00AE6259"/>
    <w:rsid w:val="00B03330"/>
    <w:rsid w:val="00B047FF"/>
    <w:rsid w:val="00B207A5"/>
    <w:rsid w:val="00B22423"/>
    <w:rsid w:val="00B2327F"/>
    <w:rsid w:val="00B23B80"/>
    <w:rsid w:val="00B415B2"/>
    <w:rsid w:val="00B50B35"/>
    <w:rsid w:val="00B52F74"/>
    <w:rsid w:val="00B707C7"/>
    <w:rsid w:val="00B7662D"/>
    <w:rsid w:val="00B9211E"/>
    <w:rsid w:val="00B93079"/>
    <w:rsid w:val="00B94C53"/>
    <w:rsid w:val="00BC6995"/>
    <w:rsid w:val="00C1136B"/>
    <w:rsid w:val="00C436E0"/>
    <w:rsid w:val="00C562C2"/>
    <w:rsid w:val="00C64CEF"/>
    <w:rsid w:val="00C7630B"/>
    <w:rsid w:val="00C77EAE"/>
    <w:rsid w:val="00C80836"/>
    <w:rsid w:val="00C838BF"/>
    <w:rsid w:val="00C9474F"/>
    <w:rsid w:val="00CA4FA4"/>
    <w:rsid w:val="00CC15D1"/>
    <w:rsid w:val="00CC2BEE"/>
    <w:rsid w:val="00CC3673"/>
    <w:rsid w:val="00CD09DF"/>
    <w:rsid w:val="00CF793A"/>
    <w:rsid w:val="00D13EDD"/>
    <w:rsid w:val="00D2440A"/>
    <w:rsid w:val="00D26BA7"/>
    <w:rsid w:val="00D66650"/>
    <w:rsid w:val="00D75091"/>
    <w:rsid w:val="00D754EF"/>
    <w:rsid w:val="00D849D8"/>
    <w:rsid w:val="00D852AB"/>
    <w:rsid w:val="00D91BAB"/>
    <w:rsid w:val="00D97471"/>
    <w:rsid w:val="00DA2044"/>
    <w:rsid w:val="00DA50A6"/>
    <w:rsid w:val="00DB5CEB"/>
    <w:rsid w:val="00DD5EDD"/>
    <w:rsid w:val="00DD60C6"/>
    <w:rsid w:val="00E100C5"/>
    <w:rsid w:val="00E264F9"/>
    <w:rsid w:val="00E36F3B"/>
    <w:rsid w:val="00E558E9"/>
    <w:rsid w:val="00E74E8D"/>
    <w:rsid w:val="00E85AF0"/>
    <w:rsid w:val="00E86988"/>
    <w:rsid w:val="00E967E7"/>
    <w:rsid w:val="00EA2A99"/>
    <w:rsid w:val="00EA3226"/>
    <w:rsid w:val="00EB0CA0"/>
    <w:rsid w:val="00EF007E"/>
    <w:rsid w:val="00EF7D49"/>
    <w:rsid w:val="00F0022E"/>
    <w:rsid w:val="00F06489"/>
    <w:rsid w:val="00F306C6"/>
    <w:rsid w:val="00F34741"/>
    <w:rsid w:val="00F36C2B"/>
    <w:rsid w:val="00F4505B"/>
    <w:rsid w:val="00F45CE0"/>
    <w:rsid w:val="00F60875"/>
    <w:rsid w:val="00F615B2"/>
    <w:rsid w:val="00F72E02"/>
    <w:rsid w:val="00F800A2"/>
    <w:rsid w:val="00F87F78"/>
    <w:rsid w:val="00FA01E6"/>
    <w:rsid w:val="00FC5E05"/>
    <w:rsid w:val="00FD51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F5E42"/>
  <w15:docId w15:val="{F135AAB3-7826-4891-8771-1EEBD5526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0E6"/>
  </w:style>
  <w:style w:type="paragraph" w:styleId="Heading1">
    <w:name w:val="heading 1"/>
    <w:basedOn w:val="Normal"/>
    <w:next w:val="Normal"/>
    <w:link w:val="Heading1Char"/>
    <w:uiPriority w:val="9"/>
    <w:qFormat/>
    <w:rsid w:val="001328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50E6"/>
    <w:rPr>
      <w:color w:val="0000FF" w:themeColor="hyperlink"/>
      <w:u w:val="single"/>
    </w:rPr>
  </w:style>
  <w:style w:type="paragraph" w:styleId="NormalWeb">
    <w:name w:val="Normal (Web)"/>
    <w:basedOn w:val="Normal"/>
    <w:uiPriority w:val="99"/>
    <w:unhideWhenUsed/>
    <w:rsid w:val="008350E6"/>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ListParagraph">
    <w:name w:val="List Paragraph"/>
    <w:basedOn w:val="Normal"/>
    <w:uiPriority w:val="34"/>
    <w:qFormat/>
    <w:rsid w:val="008350E6"/>
    <w:pPr>
      <w:ind w:left="720"/>
      <w:contextualSpacing/>
    </w:pPr>
  </w:style>
  <w:style w:type="table" w:styleId="TableGrid">
    <w:name w:val="Table Grid"/>
    <w:basedOn w:val="TableNormal"/>
    <w:uiPriority w:val="59"/>
    <w:rsid w:val="00835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8350E6"/>
  </w:style>
  <w:style w:type="paragraph" w:styleId="BalloonText">
    <w:name w:val="Balloon Text"/>
    <w:basedOn w:val="Normal"/>
    <w:link w:val="BalloonTextChar"/>
    <w:uiPriority w:val="99"/>
    <w:semiHidden/>
    <w:unhideWhenUsed/>
    <w:rsid w:val="008350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50E6"/>
    <w:rPr>
      <w:rFonts w:ascii="Tahoma" w:hAnsi="Tahoma" w:cs="Tahoma"/>
      <w:sz w:val="16"/>
      <w:szCs w:val="16"/>
    </w:rPr>
  </w:style>
  <w:style w:type="character" w:customStyle="1" w:styleId="Heading1Char">
    <w:name w:val="Heading 1 Char"/>
    <w:basedOn w:val="DefaultParagraphFont"/>
    <w:link w:val="Heading1"/>
    <w:uiPriority w:val="9"/>
    <w:rsid w:val="001328F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A268A3"/>
    <w:pPr>
      <w:outlineLvl w:val="9"/>
    </w:pPr>
    <w:rPr>
      <w:lang w:val="en-US" w:eastAsia="ja-JP"/>
    </w:rPr>
  </w:style>
  <w:style w:type="paragraph" w:styleId="TOC1">
    <w:name w:val="toc 1"/>
    <w:basedOn w:val="Normal"/>
    <w:next w:val="Normal"/>
    <w:autoRedefine/>
    <w:uiPriority w:val="39"/>
    <w:unhideWhenUsed/>
    <w:rsid w:val="00A268A3"/>
    <w:pPr>
      <w:spacing w:after="100"/>
    </w:pPr>
  </w:style>
  <w:style w:type="paragraph" w:styleId="EndnoteText">
    <w:name w:val="endnote text"/>
    <w:basedOn w:val="Normal"/>
    <w:link w:val="EndnoteTextChar"/>
    <w:uiPriority w:val="99"/>
    <w:unhideWhenUsed/>
    <w:rsid w:val="00AE6259"/>
    <w:pPr>
      <w:spacing w:after="0" w:line="240" w:lineRule="auto"/>
    </w:pPr>
    <w:rPr>
      <w:sz w:val="20"/>
      <w:szCs w:val="20"/>
    </w:rPr>
  </w:style>
  <w:style w:type="character" w:customStyle="1" w:styleId="EndnoteTextChar">
    <w:name w:val="Endnote Text Char"/>
    <w:basedOn w:val="DefaultParagraphFont"/>
    <w:link w:val="EndnoteText"/>
    <w:uiPriority w:val="99"/>
    <w:rsid w:val="00AE6259"/>
    <w:rPr>
      <w:sz w:val="20"/>
      <w:szCs w:val="20"/>
    </w:rPr>
  </w:style>
  <w:style w:type="character" w:styleId="EndnoteReference">
    <w:name w:val="endnote reference"/>
    <w:basedOn w:val="DefaultParagraphFont"/>
    <w:uiPriority w:val="99"/>
    <w:semiHidden/>
    <w:unhideWhenUsed/>
    <w:rsid w:val="00AE6259"/>
    <w:rPr>
      <w:vertAlign w:val="superscript"/>
    </w:rPr>
  </w:style>
  <w:style w:type="paragraph" w:customStyle="1" w:styleId="Default">
    <w:name w:val="Default"/>
    <w:rsid w:val="00AE6259"/>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AE6259"/>
    <w:rPr>
      <w:i/>
      <w:iCs/>
    </w:rPr>
  </w:style>
  <w:style w:type="character" w:styleId="CommentReference">
    <w:name w:val="annotation reference"/>
    <w:basedOn w:val="DefaultParagraphFont"/>
    <w:uiPriority w:val="99"/>
    <w:semiHidden/>
    <w:unhideWhenUsed/>
    <w:rsid w:val="00271FEF"/>
    <w:rPr>
      <w:sz w:val="16"/>
      <w:szCs w:val="16"/>
    </w:rPr>
  </w:style>
  <w:style w:type="paragraph" w:styleId="CommentText">
    <w:name w:val="annotation text"/>
    <w:basedOn w:val="Normal"/>
    <w:link w:val="CommentTextChar"/>
    <w:uiPriority w:val="99"/>
    <w:semiHidden/>
    <w:unhideWhenUsed/>
    <w:rsid w:val="00271FEF"/>
    <w:pPr>
      <w:spacing w:line="240" w:lineRule="auto"/>
    </w:pPr>
    <w:rPr>
      <w:sz w:val="20"/>
      <w:szCs w:val="20"/>
    </w:rPr>
  </w:style>
  <w:style w:type="character" w:customStyle="1" w:styleId="CommentTextChar">
    <w:name w:val="Comment Text Char"/>
    <w:basedOn w:val="DefaultParagraphFont"/>
    <w:link w:val="CommentText"/>
    <w:uiPriority w:val="99"/>
    <w:semiHidden/>
    <w:rsid w:val="00271FEF"/>
    <w:rPr>
      <w:sz w:val="20"/>
      <w:szCs w:val="20"/>
    </w:rPr>
  </w:style>
  <w:style w:type="paragraph" w:styleId="CommentSubject">
    <w:name w:val="annotation subject"/>
    <w:basedOn w:val="CommentText"/>
    <w:next w:val="CommentText"/>
    <w:link w:val="CommentSubjectChar"/>
    <w:uiPriority w:val="99"/>
    <w:semiHidden/>
    <w:unhideWhenUsed/>
    <w:rsid w:val="00271FEF"/>
    <w:rPr>
      <w:b/>
      <w:bCs/>
    </w:rPr>
  </w:style>
  <w:style w:type="character" w:customStyle="1" w:styleId="CommentSubjectChar">
    <w:name w:val="Comment Subject Char"/>
    <w:basedOn w:val="CommentTextChar"/>
    <w:link w:val="CommentSubject"/>
    <w:uiPriority w:val="99"/>
    <w:semiHidden/>
    <w:rsid w:val="00271FEF"/>
    <w:rPr>
      <w:b/>
      <w:bCs/>
      <w:sz w:val="20"/>
      <w:szCs w:val="20"/>
    </w:rPr>
  </w:style>
  <w:style w:type="paragraph" w:styleId="Header">
    <w:name w:val="header"/>
    <w:basedOn w:val="Normal"/>
    <w:link w:val="HeaderChar"/>
    <w:uiPriority w:val="99"/>
    <w:unhideWhenUsed/>
    <w:rsid w:val="008C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4716"/>
  </w:style>
  <w:style w:type="paragraph" w:styleId="Footer">
    <w:name w:val="footer"/>
    <w:basedOn w:val="Normal"/>
    <w:link w:val="FooterChar"/>
    <w:uiPriority w:val="99"/>
    <w:unhideWhenUsed/>
    <w:rsid w:val="008C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4716"/>
  </w:style>
  <w:style w:type="character" w:styleId="FollowedHyperlink">
    <w:name w:val="FollowedHyperlink"/>
    <w:basedOn w:val="DefaultParagraphFont"/>
    <w:uiPriority w:val="99"/>
    <w:semiHidden/>
    <w:unhideWhenUsed/>
    <w:rsid w:val="007E53A4"/>
    <w:rPr>
      <w:color w:val="800080" w:themeColor="followedHyperlink"/>
      <w:u w:val="single"/>
    </w:rPr>
  </w:style>
  <w:style w:type="paragraph" w:styleId="Revision">
    <w:name w:val="Revision"/>
    <w:hidden/>
    <w:uiPriority w:val="99"/>
    <w:semiHidden/>
    <w:rsid w:val="00423F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228976">
      <w:bodyDiv w:val="1"/>
      <w:marLeft w:val="0"/>
      <w:marRight w:val="0"/>
      <w:marTop w:val="0"/>
      <w:marBottom w:val="0"/>
      <w:divBdr>
        <w:top w:val="none" w:sz="0" w:space="0" w:color="auto"/>
        <w:left w:val="none" w:sz="0" w:space="0" w:color="auto"/>
        <w:bottom w:val="none" w:sz="0" w:space="0" w:color="auto"/>
        <w:right w:val="none" w:sz="0" w:space="0" w:color="auto"/>
      </w:divBdr>
    </w:div>
    <w:div w:id="320425592">
      <w:bodyDiv w:val="1"/>
      <w:marLeft w:val="0"/>
      <w:marRight w:val="0"/>
      <w:marTop w:val="0"/>
      <w:marBottom w:val="0"/>
      <w:divBdr>
        <w:top w:val="none" w:sz="0" w:space="0" w:color="auto"/>
        <w:left w:val="none" w:sz="0" w:space="0" w:color="auto"/>
        <w:bottom w:val="none" w:sz="0" w:space="0" w:color="auto"/>
        <w:right w:val="none" w:sz="0" w:space="0" w:color="auto"/>
      </w:divBdr>
    </w:div>
    <w:div w:id="1178501001">
      <w:bodyDiv w:val="1"/>
      <w:marLeft w:val="0"/>
      <w:marRight w:val="0"/>
      <w:marTop w:val="0"/>
      <w:marBottom w:val="0"/>
      <w:divBdr>
        <w:top w:val="none" w:sz="0" w:space="0" w:color="auto"/>
        <w:left w:val="none" w:sz="0" w:space="0" w:color="auto"/>
        <w:bottom w:val="none" w:sz="0" w:space="0" w:color="auto"/>
        <w:right w:val="none" w:sz="0" w:space="0" w:color="auto"/>
      </w:divBdr>
    </w:div>
    <w:div w:id="1347713609">
      <w:bodyDiv w:val="1"/>
      <w:marLeft w:val="0"/>
      <w:marRight w:val="0"/>
      <w:marTop w:val="0"/>
      <w:marBottom w:val="0"/>
      <w:divBdr>
        <w:top w:val="none" w:sz="0" w:space="0" w:color="auto"/>
        <w:left w:val="none" w:sz="0" w:space="0" w:color="auto"/>
        <w:bottom w:val="none" w:sz="0" w:space="0" w:color="auto"/>
        <w:right w:val="none" w:sz="0" w:space="0" w:color="auto"/>
      </w:divBdr>
    </w:div>
    <w:div w:id="185456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ncbi.nlm.nih.gov/books/NBK285869/pdf/Bookshelf_NBK28586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CFA9B8-E375-4E24-B58B-48BD76EAD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77</Pages>
  <Words>23583</Words>
  <Characters>134424</Characters>
  <Application>Microsoft Office Word</Application>
  <DocSecurity>0</DocSecurity>
  <Lines>1120</Lines>
  <Paragraphs>315</Paragraphs>
  <ScaleCrop>false</ScaleCrop>
  <HeadingPairs>
    <vt:vector size="2" baseType="variant">
      <vt:variant>
        <vt:lpstr>Title</vt:lpstr>
      </vt:variant>
      <vt:variant>
        <vt:i4>1</vt:i4>
      </vt:variant>
    </vt:vector>
  </HeadingPairs>
  <TitlesOfParts>
    <vt:vector size="1" baseType="lpstr">
      <vt:lpstr/>
    </vt:vector>
  </TitlesOfParts>
  <Company>Health Canada - Santé Canada</Company>
  <LinksUpToDate>false</LinksUpToDate>
  <CharactersWithSpaces>157692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Francesca Reyes Domingo</dc:creator>
  <cp:lastModifiedBy>Marc Avey</cp:lastModifiedBy>
  <cp:revision>6</cp:revision>
  <dcterms:created xsi:type="dcterms:W3CDTF">2019-07-29T14:21:00Z</dcterms:created>
  <dcterms:modified xsi:type="dcterms:W3CDTF">2019-07-29T20:06:00Z</dcterms:modified>
</cp:coreProperties>
</file>