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58BD64" w14:textId="04663AF9" w:rsidR="00CE6076" w:rsidRDefault="00CE6076" w:rsidP="00CE6076">
      <w:pPr>
        <w:widowControl w:val="0"/>
        <w:autoSpaceDE w:val="0"/>
        <w:autoSpaceDN w:val="0"/>
        <w:adjustRightInd w:val="0"/>
        <w:spacing w:line="480" w:lineRule="auto"/>
        <w:ind w:left="640" w:hanging="640"/>
        <w:jc w:val="both"/>
        <w:rPr>
          <w:rFonts w:ascii="Times New Roman" w:hAnsi="Times New Roman" w:cs="Times New Roman"/>
          <w:b/>
          <w:bCs/>
          <w:sz w:val="36"/>
          <w:szCs w:val="36"/>
        </w:rPr>
      </w:pPr>
      <w:bookmarkStart w:id="0" w:name="_GoBack"/>
      <w:bookmarkEnd w:id="0"/>
      <w:r>
        <w:rPr>
          <w:rFonts w:ascii="Times New Roman" w:hAnsi="Times New Roman" w:cs="Times New Roman"/>
          <w:b/>
          <w:bCs/>
          <w:sz w:val="36"/>
          <w:szCs w:val="36"/>
        </w:rPr>
        <w:t xml:space="preserve">Additional file </w:t>
      </w:r>
      <w:r w:rsidR="00371648">
        <w:rPr>
          <w:rFonts w:ascii="Times New Roman" w:hAnsi="Times New Roman" w:cs="Times New Roman"/>
          <w:b/>
          <w:bCs/>
          <w:sz w:val="36"/>
          <w:szCs w:val="36"/>
        </w:rPr>
        <w:t>3</w:t>
      </w:r>
    </w:p>
    <w:p w14:paraId="25668204" w14:textId="77777777" w:rsidR="00CE6076" w:rsidRDefault="00CE6076" w:rsidP="00CE6076">
      <w:pPr>
        <w:spacing w:line="480" w:lineRule="auto"/>
        <w:jc w:val="both"/>
        <w:rPr>
          <w:rFonts w:ascii="Times New Roman" w:hAnsi="Times New Roman" w:cs="Times New Roman"/>
          <w:b/>
          <w:bCs/>
          <w:sz w:val="32"/>
          <w:szCs w:val="32"/>
        </w:rPr>
      </w:pPr>
      <w:r w:rsidRPr="0026604B">
        <w:rPr>
          <w:rFonts w:ascii="Times New Roman" w:hAnsi="Times New Roman" w:cs="Times New Roman"/>
          <w:b/>
          <w:bCs/>
          <w:sz w:val="32"/>
          <w:szCs w:val="32"/>
        </w:rPr>
        <w:t xml:space="preserve">Excluded studies </w:t>
      </w:r>
      <w:r>
        <w:rPr>
          <w:rFonts w:ascii="Times New Roman" w:hAnsi="Times New Roman" w:cs="Times New Roman"/>
          <w:b/>
          <w:bCs/>
          <w:sz w:val="32"/>
          <w:szCs w:val="32"/>
        </w:rPr>
        <w:t>and reasons for exclusion</w:t>
      </w:r>
    </w:p>
    <w:tbl>
      <w:tblPr>
        <w:tblStyle w:val="TableGrid"/>
        <w:tblW w:w="0" w:type="auto"/>
        <w:tblLook w:val="04A0" w:firstRow="1" w:lastRow="0" w:firstColumn="1" w:lastColumn="0" w:noHBand="0" w:noVBand="1"/>
      </w:tblPr>
      <w:tblGrid>
        <w:gridCol w:w="2068"/>
        <w:gridCol w:w="845"/>
        <w:gridCol w:w="6437"/>
      </w:tblGrid>
      <w:tr w:rsidR="00CE6076" w:rsidRPr="001355FE" w14:paraId="64EC65F9" w14:textId="77777777" w:rsidTr="007D14E0">
        <w:tc>
          <w:tcPr>
            <w:tcW w:w="2093" w:type="dxa"/>
          </w:tcPr>
          <w:p w14:paraId="6896A160" w14:textId="77777777" w:rsidR="00CE6076" w:rsidRPr="001355FE" w:rsidRDefault="00CE6076" w:rsidP="007D14E0">
            <w:pPr>
              <w:jc w:val="both"/>
              <w:rPr>
                <w:rFonts w:ascii="Times New Roman" w:hAnsi="Times New Roman" w:cs="Times New Roman"/>
                <w:b/>
                <w:bCs/>
                <w:sz w:val="24"/>
                <w:szCs w:val="24"/>
              </w:rPr>
            </w:pPr>
            <w:r w:rsidRPr="001355FE">
              <w:rPr>
                <w:rFonts w:ascii="Times New Roman" w:hAnsi="Times New Roman" w:cs="Times New Roman"/>
                <w:b/>
                <w:bCs/>
                <w:sz w:val="24"/>
                <w:szCs w:val="24"/>
              </w:rPr>
              <w:t>Study</w:t>
            </w:r>
          </w:p>
        </w:tc>
        <w:tc>
          <w:tcPr>
            <w:tcW w:w="850" w:type="dxa"/>
          </w:tcPr>
          <w:p w14:paraId="75B9DC7A" w14:textId="77777777" w:rsidR="00CE6076" w:rsidRPr="001355FE" w:rsidRDefault="00CE6076" w:rsidP="007D14E0">
            <w:pPr>
              <w:jc w:val="both"/>
              <w:rPr>
                <w:rFonts w:ascii="Times New Roman" w:hAnsi="Times New Roman" w:cs="Times New Roman"/>
                <w:b/>
                <w:bCs/>
                <w:sz w:val="24"/>
                <w:szCs w:val="24"/>
              </w:rPr>
            </w:pPr>
            <w:r w:rsidRPr="001355FE">
              <w:rPr>
                <w:rFonts w:ascii="Times New Roman" w:hAnsi="Times New Roman" w:cs="Times New Roman"/>
                <w:b/>
                <w:bCs/>
                <w:sz w:val="24"/>
                <w:szCs w:val="24"/>
              </w:rPr>
              <w:t>Year</w:t>
            </w:r>
          </w:p>
        </w:tc>
        <w:tc>
          <w:tcPr>
            <w:tcW w:w="6633" w:type="dxa"/>
          </w:tcPr>
          <w:p w14:paraId="764C3724" w14:textId="77777777" w:rsidR="00CE6076" w:rsidRPr="001355FE" w:rsidRDefault="00CE6076" w:rsidP="007D14E0">
            <w:pPr>
              <w:jc w:val="both"/>
              <w:rPr>
                <w:rFonts w:ascii="Times New Roman" w:hAnsi="Times New Roman" w:cs="Times New Roman"/>
                <w:b/>
                <w:bCs/>
                <w:sz w:val="24"/>
                <w:szCs w:val="24"/>
              </w:rPr>
            </w:pPr>
            <w:r w:rsidRPr="001355FE">
              <w:rPr>
                <w:rFonts w:ascii="Times New Roman" w:hAnsi="Times New Roman" w:cs="Times New Roman"/>
                <w:b/>
                <w:bCs/>
                <w:sz w:val="24"/>
                <w:szCs w:val="24"/>
              </w:rPr>
              <w:t>Reason for exclusion</w:t>
            </w:r>
          </w:p>
        </w:tc>
      </w:tr>
      <w:tr w:rsidR="00CE6076" w:rsidRPr="001355FE" w14:paraId="081821BB" w14:textId="77777777" w:rsidTr="007D14E0">
        <w:tc>
          <w:tcPr>
            <w:tcW w:w="2093" w:type="dxa"/>
          </w:tcPr>
          <w:p w14:paraId="5C10F213" w14:textId="77777777" w:rsidR="00CE6076" w:rsidRPr="001355FE" w:rsidRDefault="00CE6076" w:rsidP="006E5EBD">
            <w:pPr>
              <w:jc w:val="both"/>
              <w:rPr>
                <w:rFonts w:ascii="Times New Roman" w:hAnsi="Times New Roman" w:cs="Times New Roman"/>
                <w:sz w:val="24"/>
                <w:szCs w:val="24"/>
              </w:rPr>
            </w:pPr>
            <w:proofErr w:type="spellStart"/>
            <w:r w:rsidRPr="001355FE">
              <w:rPr>
                <w:rFonts w:ascii="Times New Roman" w:hAnsi="Times New Roman" w:cs="Times New Roman"/>
                <w:sz w:val="24"/>
                <w:szCs w:val="24"/>
              </w:rPr>
              <w:t>Belongia</w:t>
            </w:r>
            <w:proofErr w:type="spellEnd"/>
            <w:r w:rsidRPr="001355FE">
              <w:rPr>
                <w:rFonts w:ascii="Times New Roman" w:hAnsi="Times New Roman" w:cs="Times New Roman"/>
                <w:sz w:val="24"/>
                <w:szCs w:val="24"/>
              </w:rPr>
              <w:t xml:space="preserve"> </w:t>
            </w:r>
            <w:r>
              <w:rPr>
                <w:rFonts w:ascii="Times New Roman" w:hAnsi="Times New Roman" w:cs="Times New Roman"/>
                <w:sz w:val="24"/>
                <w:szCs w:val="24"/>
              </w:rPr>
              <w:t>et al.</w:t>
            </w:r>
            <w:r w:rsidR="006E5EBD">
              <w:rPr>
                <w:rFonts w:ascii="Times New Roman" w:hAnsi="Times New Roman" w:cs="Times New Roman"/>
                <w:sz w:val="24"/>
                <w:szCs w:val="24"/>
              </w:rPr>
              <w:t xml:space="preserve"> [1]</w:t>
            </w:r>
            <w:r w:rsidR="006E5EBD" w:rsidRPr="001355FE">
              <w:rPr>
                <w:rFonts w:ascii="Times New Roman" w:hAnsi="Times New Roman" w:cs="Times New Roman"/>
                <w:sz w:val="24"/>
                <w:szCs w:val="24"/>
              </w:rPr>
              <w:t xml:space="preserve"> </w:t>
            </w:r>
          </w:p>
        </w:tc>
        <w:tc>
          <w:tcPr>
            <w:tcW w:w="850" w:type="dxa"/>
          </w:tcPr>
          <w:p w14:paraId="11239CF8" w14:textId="77777777" w:rsidR="00CE6076" w:rsidRPr="001355FE" w:rsidRDefault="00CE6076" w:rsidP="007D14E0">
            <w:pPr>
              <w:jc w:val="both"/>
              <w:rPr>
                <w:rFonts w:ascii="Times New Roman" w:hAnsi="Times New Roman" w:cs="Times New Roman"/>
                <w:sz w:val="24"/>
                <w:szCs w:val="24"/>
              </w:rPr>
            </w:pPr>
            <w:r w:rsidRPr="001355FE">
              <w:rPr>
                <w:rFonts w:ascii="Times New Roman" w:hAnsi="Times New Roman" w:cs="Times New Roman"/>
                <w:sz w:val="24"/>
                <w:szCs w:val="24"/>
              </w:rPr>
              <w:t>2005</w:t>
            </w:r>
          </w:p>
        </w:tc>
        <w:tc>
          <w:tcPr>
            <w:tcW w:w="6633" w:type="dxa"/>
          </w:tcPr>
          <w:p w14:paraId="1E49964F" w14:textId="77777777" w:rsidR="00CE6076" w:rsidRPr="001355FE" w:rsidRDefault="00CE6076" w:rsidP="007D14E0">
            <w:pPr>
              <w:jc w:val="both"/>
              <w:rPr>
                <w:rFonts w:ascii="Times New Roman" w:hAnsi="Times New Roman" w:cs="Times New Roman"/>
                <w:sz w:val="24"/>
                <w:szCs w:val="24"/>
              </w:rPr>
            </w:pPr>
            <w:r w:rsidRPr="001355FE">
              <w:rPr>
                <w:rFonts w:ascii="Times New Roman" w:eastAsia="Calibri" w:hAnsi="Times New Roman" w:cs="Times New Roman"/>
                <w:sz w:val="24"/>
                <w:szCs w:val="24"/>
                <w:lang w:eastAsia="nb-NO"/>
              </w:rPr>
              <w:t>ITS: insufficient number of observations</w:t>
            </w:r>
            <w:r>
              <w:rPr>
                <w:rFonts w:ascii="Times New Roman" w:eastAsia="Calibri" w:hAnsi="Times New Roman" w:cs="Times New Roman"/>
                <w:sz w:val="24"/>
                <w:szCs w:val="24"/>
                <w:lang w:eastAsia="nb-NO"/>
              </w:rPr>
              <w:t>.</w:t>
            </w:r>
          </w:p>
        </w:tc>
      </w:tr>
      <w:tr w:rsidR="00CE6076" w:rsidRPr="001355FE" w14:paraId="0F9BF744" w14:textId="77777777" w:rsidTr="007D14E0">
        <w:tc>
          <w:tcPr>
            <w:tcW w:w="2093" w:type="dxa"/>
          </w:tcPr>
          <w:p w14:paraId="20D2ABEC" w14:textId="77777777" w:rsidR="00CE6076" w:rsidRPr="001355FE" w:rsidRDefault="00CE6076" w:rsidP="006E5EBD">
            <w:pPr>
              <w:jc w:val="both"/>
              <w:rPr>
                <w:rFonts w:ascii="Times New Roman" w:hAnsi="Times New Roman" w:cs="Times New Roman"/>
                <w:sz w:val="24"/>
                <w:szCs w:val="24"/>
              </w:rPr>
            </w:pPr>
            <w:proofErr w:type="spellStart"/>
            <w:r w:rsidRPr="001355FE">
              <w:rPr>
                <w:rFonts w:ascii="Times New Roman" w:hAnsi="Times New Roman" w:cs="Times New Roman"/>
                <w:sz w:val="24"/>
                <w:szCs w:val="24"/>
              </w:rPr>
              <w:t>Cebotarenco</w:t>
            </w:r>
            <w:proofErr w:type="spellEnd"/>
            <w:r>
              <w:rPr>
                <w:rFonts w:ascii="Times New Roman" w:hAnsi="Times New Roman" w:cs="Times New Roman"/>
                <w:sz w:val="24"/>
                <w:szCs w:val="24"/>
              </w:rPr>
              <w:t xml:space="preserve"> et al. </w:t>
            </w:r>
            <w:r w:rsidR="006E5EBD">
              <w:rPr>
                <w:rFonts w:ascii="Times New Roman" w:hAnsi="Times New Roman" w:cs="Times New Roman"/>
                <w:sz w:val="24"/>
                <w:szCs w:val="24"/>
              </w:rPr>
              <w:t>[2]</w:t>
            </w:r>
          </w:p>
        </w:tc>
        <w:tc>
          <w:tcPr>
            <w:tcW w:w="850" w:type="dxa"/>
          </w:tcPr>
          <w:p w14:paraId="4D1A3DEC" w14:textId="77777777" w:rsidR="00CE6076" w:rsidRPr="001355FE" w:rsidRDefault="00CE6076" w:rsidP="007D14E0">
            <w:pPr>
              <w:jc w:val="both"/>
              <w:rPr>
                <w:rFonts w:ascii="Times New Roman" w:hAnsi="Times New Roman" w:cs="Times New Roman"/>
                <w:sz w:val="24"/>
                <w:szCs w:val="24"/>
              </w:rPr>
            </w:pPr>
            <w:r w:rsidRPr="001355FE">
              <w:rPr>
                <w:rFonts w:ascii="Times New Roman" w:hAnsi="Times New Roman" w:cs="Times New Roman"/>
                <w:sz w:val="24"/>
                <w:szCs w:val="24"/>
              </w:rPr>
              <w:t>2008</w:t>
            </w:r>
          </w:p>
        </w:tc>
        <w:tc>
          <w:tcPr>
            <w:tcW w:w="6633" w:type="dxa"/>
          </w:tcPr>
          <w:p w14:paraId="02C661A0" w14:textId="77777777" w:rsidR="00CE6076" w:rsidRPr="001355FE" w:rsidRDefault="00CE6076" w:rsidP="007D14E0">
            <w:pPr>
              <w:jc w:val="both"/>
              <w:rPr>
                <w:rFonts w:ascii="Times New Roman" w:hAnsi="Times New Roman" w:cs="Times New Roman"/>
                <w:sz w:val="24"/>
                <w:szCs w:val="24"/>
              </w:rPr>
            </w:pPr>
            <w:r w:rsidRPr="001355FE">
              <w:rPr>
                <w:rFonts w:ascii="Times New Roman" w:eastAsia="Calibri" w:hAnsi="Times New Roman" w:cs="Times New Roman"/>
                <w:sz w:val="24"/>
                <w:szCs w:val="24"/>
                <w:lang w:eastAsia="nb-NO"/>
              </w:rPr>
              <w:t>CBA: Only one site</w:t>
            </w:r>
            <w:r>
              <w:rPr>
                <w:rFonts w:ascii="Times New Roman" w:eastAsia="Calibri" w:hAnsi="Times New Roman" w:cs="Times New Roman"/>
                <w:sz w:val="24"/>
                <w:szCs w:val="24"/>
                <w:lang w:eastAsia="nb-NO"/>
              </w:rPr>
              <w:t>.</w:t>
            </w:r>
          </w:p>
        </w:tc>
      </w:tr>
      <w:tr w:rsidR="00CE6076" w:rsidRPr="001355FE" w14:paraId="48E4D617" w14:textId="77777777" w:rsidTr="007D14E0">
        <w:tc>
          <w:tcPr>
            <w:tcW w:w="2093" w:type="dxa"/>
          </w:tcPr>
          <w:p w14:paraId="6D69B1C3" w14:textId="77777777" w:rsidR="00CE6076" w:rsidRPr="001355FE" w:rsidRDefault="00CE6076" w:rsidP="006E5EBD">
            <w:pPr>
              <w:jc w:val="both"/>
              <w:rPr>
                <w:rFonts w:ascii="Times New Roman" w:hAnsi="Times New Roman" w:cs="Times New Roman"/>
                <w:sz w:val="24"/>
                <w:szCs w:val="24"/>
              </w:rPr>
            </w:pPr>
            <w:r w:rsidRPr="001355FE">
              <w:rPr>
                <w:rFonts w:ascii="Times New Roman" w:hAnsi="Times New Roman" w:cs="Times New Roman"/>
                <w:sz w:val="24"/>
                <w:szCs w:val="24"/>
              </w:rPr>
              <w:t>Dowel</w:t>
            </w:r>
            <w:r>
              <w:rPr>
                <w:rFonts w:ascii="Times New Roman" w:hAnsi="Times New Roman" w:cs="Times New Roman"/>
                <w:sz w:val="24"/>
                <w:szCs w:val="24"/>
              </w:rPr>
              <w:t xml:space="preserve"> et al.</w:t>
            </w:r>
            <w:r w:rsidR="00365791">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"ISBN" : "0960-1643", "ISSN" : "0960-1643", "abstract" : "Background: Despite evidence that uncomplicated lower respiratory tract infection (cough) does not respond appreciably to antibiotics and that bacterial resistance is increasing, general practitioners (GPs) still prescribe frequently. Aim: To assess delayed antibiotic prescribing as a strategy for reducing the unnecessary use of antibiotics for cough in primary care. Design of study: Open randomised controlled trial of delayed versus immediate prescribing of antibiotics. Setting: One hundred and ninety-one adult patients with uncomplicated cough in 22 Scottish practices who would have received antibiotics under the GP's usual practice were randomised to receive either and immediate prescription (92 patients) or a delayed prescription (99 patients). Method: Delayed subjects were asked to wait a week before deciding whether to collect their prescription. Outcome measures included symptom duration, prescription uptake, patient satisfaction, patient enablement, and subsequent consultation rates. The 48 GPs who recruited patients were surveyed six months after the trial to see whether they used delayed prescribing as a part of their normal practice. Results: Study and control groups were similar at baseline. Of the subjects in the delayed arm, 55% did not pick up their prescription. Although most patients were satisfied, more patients in the immediate arm were satisfied with the treatment (P = 0.001) and the consultation (P = 0.03). The patients in the immediate arm were also more enabled (3.3 versus 2.4; P = 0.04), although more of them intended to consult for similar complaints in the future (85% versus 69%, P = 0.02). We were unable to detect any difference in actual consulting behaviour in the follow-up period (mean = 15 months [SD = 5 months]). Subsequently, 68% of GPs used delayed prescribing at least monthly; all gave the prescription to the patient. Conclusion: Delayed prescribing is effective at reducing the use of antibiotics for self-limiting cough; however, patients are less satisfied and enabled as a result. Patients may be deterred from consulting rather than becoming enabled.", "author" : [ { "dropping-particle" : "", "family" : "J.", "given" : "Dowell", "non-dropping-particle" : "", "parse-names" : false, "suffix" : "" }, { "dropping-particle" : "", "family" : "M.", "given" : "Pitkethly", "non-dropping-particle" : "", "parse-names" : false, "suffix" : "" }, { "dropping-particle" : "", "family" : "J.", "given" : "Bain", "non-dropping-particle" : "", "parse-names" : false, "suffix" : "" }, { "dropping-particle" : "", "family" : "J", "given" : "Dowell", "non-dropping-particle" : "", "parse-names" : false, "suffix" : "" }, { "dropping-particle" : "", "family" : "M", "given" : "Pitkethly", "non-dropping-particle" : "", "parse-names" : false, "suffix" : "" }, { "dropping-particle" : "", "family" : "J", "given" : "Bain", "non-dropping-particle" : "", "parse-names" : false, "suffix" : "" }, { "dropping-particle" : "", "family" : "S", "given" : "Martin", "non-dropping-particle" : "", "parse-names" : false, "suffix" : "" }, { "dropping-particle" : "", "family" : "Dowell", "given" : "J", "non-dropping-particle" : "", "parse-names" : false, "suffix" : "" }, { "dropping-particle" : "", "family" : "Pitkethly", "given" : "M", "non-dropping-particle" : "", "parse-names" : false, "suffix" : "" }, { "dropping-particle" : "", "family" : "Bain", "given" : "J", "non-dropping-particle" : "", "parse-names" : false, "suffix" : "" }, { "dropping-particle" : "", "family" : "Martin", "given" : "S", "non-dropping-particle" : "", "parse-names" : false, "suffix" : "" } ], "container-title" : "British Journal of General Practice", "id" : "ITEM-1", "issue" : "464", "issued" : { "date-parts" : [ [ "2001" ] ] }, "page" : "200-205", "publisher" : "Royal College of General Practitioners", "publisher-place" : "M. Pitkethly, Tayside Centre for General Practice, Kirsty Semple Way, Dundee DD2 4AD, United Kingdom", "title" : "A randomised controlled trial of delayed antibiotic prescribing as a strategy for managing uncomplicated respiratory tract infection in primary care", "type" : "article-journal", "volume" : "51" }, "uris" : [ "http://www.mendeley.com/documents/?uuid=42dfcf7f-8397-4a8e-92e0-c0e96d64ea11" ] } ], "mendeley" : { "formattedCitation" : "(54)", "plainTextFormattedCitation" : "(54)", "previouslyFormattedCitation" : "(54)" }, "properties" : { "noteIndex" : 0 }, "schema" : "https://github.com/citation-style-language/schema/raw/master/csl-citation.json" }</w:instrText>
            </w:r>
            <w:r w:rsidR="00365791">
              <w:rPr>
                <w:rFonts w:ascii="Times New Roman" w:hAnsi="Times New Roman" w:cs="Times New Roman"/>
                <w:sz w:val="24"/>
                <w:szCs w:val="24"/>
              </w:rPr>
              <w:fldChar w:fldCharType="separate"/>
            </w:r>
            <w:r w:rsidR="006E5EBD">
              <w:rPr>
                <w:rFonts w:ascii="Times New Roman" w:hAnsi="Times New Roman" w:cs="Times New Roman"/>
                <w:noProof/>
                <w:sz w:val="24"/>
                <w:szCs w:val="24"/>
              </w:rPr>
              <w:t xml:space="preserve"> [3]</w:t>
            </w:r>
            <w:r w:rsidR="00365791">
              <w:rPr>
                <w:rFonts w:ascii="Times New Roman" w:hAnsi="Times New Roman" w:cs="Times New Roman"/>
                <w:sz w:val="24"/>
                <w:szCs w:val="24"/>
              </w:rPr>
              <w:fldChar w:fldCharType="end"/>
            </w:r>
            <w:r w:rsidR="006E5EBD" w:rsidRPr="001355FE">
              <w:rPr>
                <w:rFonts w:ascii="Times New Roman" w:hAnsi="Times New Roman" w:cs="Times New Roman"/>
                <w:sz w:val="24"/>
                <w:szCs w:val="24"/>
              </w:rPr>
              <w:t xml:space="preserve"> </w:t>
            </w:r>
          </w:p>
        </w:tc>
        <w:tc>
          <w:tcPr>
            <w:tcW w:w="850" w:type="dxa"/>
          </w:tcPr>
          <w:p w14:paraId="0AD57051" w14:textId="77777777" w:rsidR="00CE6076" w:rsidRPr="001355FE" w:rsidRDefault="00CE6076" w:rsidP="007D14E0">
            <w:pPr>
              <w:jc w:val="both"/>
              <w:rPr>
                <w:rFonts w:ascii="Times New Roman" w:hAnsi="Times New Roman" w:cs="Times New Roman"/>
                <w:sz w:val="24"/>
                <w:szCs w:val="24"/>
              </w:rPr>
            </w:pPr>
            <w:r w:rsidRPr="001355FE">
              <w:rPr>
                <w:rFonts w:ascii="Times New Roman" w:hAnsi="Times New Roman" w:cs="Times New Roman"/>
                <w:sz w:val="24"/>
                <w:szCs w:val="24"/>
              </w:rPr>
              <w:t>2001</w:t>
            </w:r>
          </w:p>
        </w:tc>
        <w:tc>
          <w:tcPr>
            <w:tcW w:w="6633" w:type="dxa"/>
          </w:tcPr>
          <w:p w14:paraId="39428B40" w14:textId="77777777" w:rsidR="00CE6076" w:rsidRPr="001355FE" w:rsidRDefault="00CE6076" w:rsidP="007D14E0">
            <w:pPr>
              <w:jc w:val="both"/>
              <w:rPr>
                <w:rFonts w:ascii="Times New Roman" w:hAnsi="Times New Roman" w:cs="Times New Roman"/>
                <w:sz w:val="24"/>
                <w:szCs w:val="24"/>
              </w:rPr>
            </w:pPr>
            <w:r w:rsidRPr="001355FE">
              <w:rPr>
                <w:rFonts w:ascii="Times New Roman" w:hAnsi="Times New Roman" w:cs="Times New Roman"/>
                <w:sz w:val="24"/>
                <w:szCs w:val="24"/>
              </w:rPr>
              <w:t>The primary outcome was reported only in the intervention group.</w:t>
            </w:r>
          </w:p>
        </w:tc>
      </w:tr>
      <w:tr w:rsidR="00CE6076" w:rsidRPr="001355FE" w14:paraId="7A31A56E" w14:textId="77777777" w:rsidTr="007D14E0">
        <w:tc>
          <w:tcPr>
            <w:tcW w:w="2093" w:type="dxa"/>
          </w:tcPr>
          <w:p w14:paraId="0DF600E8" w14:textId="77777777" w:rsidR="00CE6076" w:rsidRPr="001355FE" w:rsidRDefault="00CE6076" w:rsidP="006E5EBD">
            <w:pPr>
              <w:jc w:val="both"/>
              <w:rPr>
                <w:rFonts w:ascii="Times New Roman" w:hAnsi="Times New Roman" w:cs="Times New Roman"/>
                <w:sz w:val="24"/>
                <w:szCs w:val="24"/>
              </w:rPr>
            </w:pPr>
            <w:proofErr w:type="spellStart"/>
            <w:r w:rsidRPr="001355FE">
              <w:rPr>
                <w:rFonts w:ascii="Times New Roman" w:hAnsi="Times New Roman" w:cs="Times New Roman"/>
                <w:sz w:val="24"/>
                <w:szCs w:val="24"/>
              </w:rPr>
              <w:t>Flottorp</w:t>
            </w:r>
            <w:proofErr w:type="spellEnd"/>
            <w:r>
              <w:rPr>
                <w:rFonts w:ascii="Times New Roman" w:hAnsi="Times New Roman" w:cs="Times New Roman"/>
                <w:sz w:val="24"/>
                <w:szCs w:val="24"/>
              </w:rPr>
              <w:t xml:space="preserve"> et al.</w:t>
            </w:r>
            <w:r w:rsidR="006E5EBD">
              <w:rPr>
                <w:rFonts w:ascii="Times New Roman" w:hAnsi="Times New Roman" w:cs="Times New Roman"/>
                <w:sz w:val="24"/>
                <w:szCs w:val="24"/>
              </w:rPr>
              <w:t xml:space="preserve"> [4]</w:t>
            </w:r>
            <w:r w:rsidR="006E5EBD" w:rsidRPr="001355FE">
              <w:rPr>
                <w:rFonts w:ascii="Times New Roman" w:hAnsi="Times New Roman" w:cs="Times New Roman"/>
                <w:sz w:val="24"/>
                <w:szCs w:val="24"/>
              </w:rPr>
              <w:t xml:space="preserve"> </w:t>
            </w:r>
          </w:p>
        </w:tc>
        <w:tc>
          <w:tcPr>
            <w:tcW w:w="850" w:type="dxa"/>
          </w:tcPr>
          <w:p w14:paraId="318D81E0" w14:textId="77777777" w:rsidR="00CE6076" w:rsidRPr="001355FE" w:rsidRDefault="00CE6076" w:rsidP="007D14E0">
            <w:pPr>
              <w:jc w:val="both"/>
              <w:rPr>
                <w:rFonts w:ascii="Times New Roman" w:hAnsi="Times New Roman" w:cs="Times New Roman"/>
                <w:sz w:val="24"/>
                <w:szCs w:val="24"/>
              </w:rPr>
            </w:pPr>
            <w:r w:rsidRPr="001355FE">
              <w:rPr>
                <w:rFonts w:ascii="Times New Roman" w:hAnsi="Times New Roman" w:cs="Times New Roman"/>
                <w:sz w:val="24"/>
                <w:szCs w:val="24"/>
              </w:rPr>
              <w:t>2002</w:t>
            </w:r>
          </w:p>
        </w:tc>
        <w:tc>
          <w:tcPr>
            <w:tcW w:w="6633" w:type="dxa"/>
          </w:tcPr>
          <w:p w14:paraId="1CBC2DB1" w14:textId="77777777" w:rsidR="00CE6076" w:rsidRPr="001355FE" w:rsidRDefault="00CE6076" w:rsidP="007D14E0">
            <w:pPr>
              <w:jc w:val="both"/>
              <w:rPr>
                <w:rFonts w:ascii="Times New Roman" w:hAnsi="Times New Roman" w:cs="Times New Roman"/>
                <w:sz w:val="24"/>
                <w:szCs w:val="24"/>
              </w:rPr>
            </w:pPr>
            <w:r w:rsidRPr="001355FE">
              <w:rPr>
                <w:rFonts w:ascii="Times New Roman" w:eastAsia="Calibri" w:hAnsi="Times New Roman" w:cs="Times New Roman"/>
                <w:sz w:val="24"/>
                <w:szCs w:val="24"/>
                <w:lang w:eastAsia="nb-NO"/>
              </w:rPr>
              <w:t>Multifaceted intervention: not possible to disentangle the effects of patient-oriented interventions</w:t>
            </w:r>
            <w:r>
              <w:rPr>
                <w:rFonts w:ascii="Times New Roman" w:eastAsia="Calibri" w:hAnsi="Times New Roman" w:cs="Times New Roman"/>
                <w:sz w:val="24"/>
                <w:szCs w:val="24"/>
                <w:lang w:eastAsia="nb-NO"/>
              </w:rPr>
              <w:t>.</w:t>
            </w:r>
          </w:p>
        </w:tc>
      </w:tr>
      <w:tr w:rsidR="00CE6076" w:rsidRPr="001355FE" w14:paraId="19F318F0" w14:textId="77777777" w:rsidTr="007D14E0">
        <w:tc>
          <w:tcPr>
            <w:tcW w:w="2093" w:type="dxa"/>
          </w:tcPr>
          <w:p w14:paraId="5DA46DC3" w14:textId="77777777" w:rsidR="00CE6076" w:rsidRPr="001355FE" w:rsidRDefault="00CE6076" w:rsidP="006E5EBD">
            <w:pPr>
              <w:jc w:val="both"/>
              <w:rPr>
                <w:rFonts w:ascii="Times New Roman" w:hAnsi="Times New Roman" w:cs="Times New Roman"/>
                <w:sz w:val="24"/>
                <w:szCs w:val="24"/>
              </w:rPr>
            </w:pPr>
            <w:r w:rsidRPr="001355FE">
              <w:rPr>
                <w:rFonts w:ascii="Times New Roman" w:hAnsi="Times New Roman" w:cs="Times New Roman"/>
                <w:sz w:val="24"/>
                <w:szCs w:val="24"/>
              </w:rPr>
              <w:t>Grover</w:t>
            </w:r>
            <w:r>
              <w:rPr>
                <w:rFonts w:ascii="Times New Roman" w:hAnsi="Times New Roman" w:cs="Times New Roman"/>
                <w:sz w:val="24"/>
                <w:szCs w:val="24"/>
              </w:rPr>
              <w:t xml:space="preserve"> et al.</w:t>
            </w:r>
            <w:r w:rsidR="006E5EBD">
              <w:rPr>
                <w:rFonts w:ascii="Times New Roman" w:hAnsi="Times New Roman" w:cs="Times New Roman"/>
                <w:sz w:val="24"/>
                <w:szCs w:val="24"/>
              </w:rPr>
              <w:t xml:space="preserve"> [5]</w:t>
            </w:r>
            <w:r w:rsidR="006E5EBD" w:rsidRPr="001355FE">
              <w:rPr>
                <w:rFonts w:ascii="Times New Roman" w:hAnsi="Times New Roman" w:cs="Times New Roman"/>
                <w:sz w:val="24"/>
                <w:szCs w:val="24"/>
              </w:rPr>
              <w:t xml:space="preserve"> </w:t>
            </w:r>
          </w:p>
        </w:tc>
        <w:tc>
          <w:tcPr>
            <w:tcW w:w="850" w:type="dxa"/>
          </w:tcPr>
          <w:p w14:paraId="0813B4F9" w14:textId="77777777" w:rsidR="00CE6076" w:rsidRPr="001355FE" w:rsidRDefault="00CE6076" w:rsidP="007D14E0">
            <w:pPr>
              <w:jc w:val="both"/>
              <w:rPr>
                <w:rFonts w:ascii="Times New Roman" w:hAnsi="Times New Roman" w:cs="Times New Roman"/>
                <w:sz w:val="24"/>
                <w:szCs w:val="24"/>
              </w:rPr>
            </w:pPr>
            <w:r w:rsidRPr="001355FE">
              <w:rPr>
                <w:rFonts w:ascii="Times New Roman" w:hAnsi="Times New Roman" w:cs="Times New Roman"/>
                <w:sz w:val="24"/>
                <w:szCs w:val="24"/>
              </w:rPr>
              <w:t>2013</w:t>
            </w:r>
          </w:p>
        </w:tc>
        <w:tc>
          <w:tcPr>
            <w:tcW w:w="6633" w:type="dxa"/>
          </w:tcPr>
          <w:p w14:paraId="771273D8" w14:textId="77777777" w:rsidR="00CE6076" w:rsidRPr="001355FE" w:rsidRDefault="00CE6076" w:rsidP="007D14E0">
            <w:pPr>
              <w:jc w:val="both"/>
              <w:rPr>
                <w:rFonts w:ascii="Times New Roman" w:hAnsi="Times New Roman" w:cs="Times New Roman"/>
                <w:sz w:val="24"/>
                <w:szCs w:val="24"/>
              </w:rPr>
            </w:pPr>
            <w:r w:rsidRPr="001355FE">
              <w:rPr>
                <w:rFonts w:ascii="Times New Roman" w:hAnsi="Times New Roman" w:cs="Times New Roman"/>
                <w:sz w:val="24"/>
                <w:szCs w:val="24"/>
              </w:rPr>
              <w:t>Before after study without a control group</w:t>
            </w:r>
            <w:r>
              <w:rPr>
                <w:rFonts w:ascii="Times New Roman" w:hAnsi="Times New Roman" w:cs="Times New Roman"/>
                <w:sz w:val="24"/>
                <w:szCs w:val="24"/>
              </w:rPr>
              <w:t>.</w:t>
            </w:r>
          </w:p>
        </w:tc>
      </w:tr>
      <w:tr w:rsidR="00CE6076" w:rsidRPr="001355FE" w14:paraId="6BFB8FAA" w14:textId="77777777" w:rsidTr="007D14E0">
        <w:tc>
          <w:tcPr>
            <w:tcW w:w="2093" w:type="dxa"/>
          </w:tcPr>
          <w:p w14:paraId="1E105F38" w14:textId="77777777" w:rsidR="00CE6076" w:rsidRPr="001355FE" w:rsidRDefault="00CE6076" w:rsidP="006E5EBD">
            <w:pPr>
              <w:jc w:val="both"/>
              <w:rPr>
                <w:rFonts w:ascii="Times New Roman" w:hAnsi="Times New Roman" w:cs="Times New Roman"/>
                <w:sz w:val="24"/>
                <w:szCs w:val="24"/>
              </w:rPr>
            </w:pPr>
            <w:r w:rsidRPr="001355FE">
              <w:rPr>
                <w:rFonts w:ascii="Times New Roman" w:hAnsi="Times New Roman" w:cs="Times New Roman"/>
                <w:sz w:val="24"/>
                <w:szCs w:val="24"/>
              </w:rPr>
              <w:t>LeBlanc</w:t>
            </w:r>
            <w:r>
              <w:rPr>
                <w:rFonts w:ascii="Times New Roman" w:hAnsi="Times New Roman" w:cs="Times New Roman"/>
                <w:sz w:val="24"/>
                <w:szCs w:val="24"/>
              </w:rPr>
              <w:t xml:space="preserve"> et al.</w:t>
            </w:r>
            <w:r w:rsidR="006E5EBD">
              <w:rPr>
                <w:rFonts w:ascii="Times New Roman" w:hAnsi="Times New Roman" w:cs="Times New Roman"/>
                <w:sz w:val="24"/>
                <w:szCs w:val="24"/>
              </w:rPr>
              <w:t xml:space="preserve"> [6]</w:t>
            </w:r>
            <w:r w:rsidR="006E5EBD" w:rsidRPr="001355FE">
              <w:rPr>
                <w:rFonts w:ascii="Times New Roman" w:hAnsi="Times New Roman" w:cs="Times New Roman"/>
                <w:sz w:val="24"/>
                <w:szCs w:val="24"/>
              </w:rPr>
              <w:t xml:space="preserve"> </w:t>
            </w:r>
          </w:p>
        </w:tc>
        <w:tc>
          <w:tcPr>
            <w:tcW w:w="850" w:type="dxa"/>
          </w:tcPr>
          <w:p w14:paraId="7521AB60" w14:textId="77777777" w:rsidR="00CE6076" w:rsidRPr="001355FE" w:rsidRDefault="00CE6076" w:rsidP="007D14E0">
            <w:pPr>
              <w:jc w:val="both"/>
              <w:rPr>
                <w:rFonts w:ascii="Times New Roman" w:hAnsi="Times New Roman" w:cs="Times New Roman"/>
                <w:sz w:val="24"/>
                <w:szCs w:val="24"/>
              </w:rPr>
            </w:pPr>
            <w:r w:rsidRPr="001355FE">
              <w:rPr>
                <w:rFonts w:ascii="Times New Roman" w:hAnsi="Times New Roman" w:cs="Times New Roman"/>
                <w:sz w:val="24"/>
                <w:szCs w:val="24"/>
              </w:rPr>
              <w:t>2011</w:t>
            </w:r>
          </w:p>
        </w:tc>
        <w:tc>
          <w:tcPr>
            <w:tcW w:w="6633" w:type="dxa"/>
          </w:tcPr>
          <w:p w14:paraId="27B87F62" w14:textId="77777777" w:rsidR="00CE6076" w:rsidRPr="001355FE" w:rsidRDefault="00CE6076" w:rsidP="007D14E0">
            <w:pPr>
              <w:jc w:val="both"/>
              <w:rPr>
                <w:rFonts w:ascii="Times New Roman" w:hAnsi="Times New Roman" w:cs="Times New Roman"/>
                <w:sz w:val="24"/>
                <w:szCs w:val="24"/>
              </w:rPr>
            </w:pPr>
            <w:r w:rsidRPr="001355FE">
              <w:rPr>
                <w:rFonts w:ascii="Times New Roman" w:eastAsia="Calibri" w:hAnsi="Times New Roman" w:cs="Times New Roman"/>
                <w:sz w:val="24"/>
                <w:szCs w:val="24"/>
                <w:lang w:eastAsia="nb-NO"/>
              </w:rPr>
              <w:t>Multifaceted intervention: not possible to disentangle the effects of patient-oriented interventions</w:t>
            </w:r>
            <w:r>
              <w:rPr>
                <w:rFonts w:ascii="Times New Roman" w:eastAsia="Calibri" w:hAnsi="Times New Roman" w:cs="Times New Roman"/>
                <w:sz w:val="24"/>
                <w:szCs w:val="24"/>
                <w:lang w:eastAsia="nb-NO"/>
              </w:rPr>
              <w:t>.</w:t>
            </w:r>
          </w:p>
        </w:tc>
      </w:tr>
      <w:tr w:rsidR="00CE6076" w:rsidRPr="001355FE" w14:paraId="5517540A" w14:textId="77777777" w:rsidTr="007D14E0">
        <w:tc>
          <w:tcPr>
            <w:tcW w:w="2093" w:type="dxa"/>
          </w:tcPr>
          <w:p w14:paraId="2CC36E63" w14:textId="77777777" w:rsidR="00CE6076" w:rsidRPr="001355FE" w:rsidRDefault="00CE6076" w:rsidP="006E5EBD">
            <w:pPr>
              <w:jc w:val="both"/>
              <w:rPr>
                <w:rFonts w:ascii="Times New Roman" w:hAnsi="Times New Roman" w:cs="Times New Roman"/>
                <w:sz w:val="24"/>
                <w:szCs w:val="24"/>
              </w:rPr>
            </w:pPr>
            <w:proofErr w:type="spellStart"/>
            <w:r w:rsidRPr="001355FE">
              <w:rPr>
                <w:rFonts w:ascii="Times New Roman" w:hAnsi="Times New Roman" w:cs="Times New Roman"/>
                <w:sz w:val="24"/>
                <w:szCs w:val="24"/>
              </w:rPr>
              <w:t>Llor</w:t>
            </w:r>
            <w:proofErr w:type="spellEnd"/>
            <w:r>
              <w:rPr>
                <w:rFonts w:ascii="Times New Roman" w:hAnsi="Times New Roman" w:cs="Times New Roman"/>
                <w:sz w:val="24"/>
                <w:szCs w:val="24"/>
              </w:rPr>
              <w:t xml:space="preserve"> et al.</w:t>
            </w:r>
            <w:r w:rsidR="00365791">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"ISBN" : "0212-6567", "ISSN" : "1578-1275", "abstract" : "OBJECTIVE: To evaluate the effectiveness of two types of intervention in reducing antibiotic prescribing in respiratory tract infections (RTI)., DESIGN: Before-after audit-based study., SETTING: Primary Care centres in Spain., PARTICIPANTS: General practitioners (GPs) registered all patients with RTIs for 15 days in winter 2008 (pre-intervention), and again in winter 2009 (post-intervention)., INTERVENTIONS: Intervention activities included meetings, with the presentation and discussion of the results, and several training meetings on RTI guidelines, information brochures for patients, workshops on point-of-care tests - rapid antigen detection tests and C-reactive protein rapid test - and provision of these tests in the clinic. All GPs, with the exception of those in Catalonia, made up the full intervention group (FIG); conversely, Catalan doctors underwent the same intervention, except for the workshop on rapid tests (partial intervention group, PIG). Multilevel logistic regression was performed taking the prescription of antibiotics as the dependent variable., RESULTS: Out of a total of 309 GPs involved in the first register, 281 completed the intervention and the second register (90.9%), of which 210 were assigned to the FIG, and 71 to the PIG. The odds ratio of antibiotic prescribing after the intervention was 0.99 (95% CI: 0.89-1.10) among GPs assigned to PIG, and 0.50 (95% CI: 0.44-0.57, p&lt;0.001) among those who were allocated to FIG. The reduction in antibiotic prescribing in FIG was more marked in flu infection, common cold, acute pharyngitis, acute tonsillitis, and acute bronchitis., CONCLUSIONS: Active participation of GPs with the performance of point-of-care tests in the clinic is accompanied by a drastic reduction of antibiotic use in RTIs, primarily in infections considered as mainly viral.Copyright \u00a9 2013 Elsevier Espana, S.L.U. All rights reserved.", "author" : [ { "dropping-particle" : "", "family" : "C.", "given" : "Llor", "non-dropping-particle" : "", "parse-names" : false, "suffix" : "" }, { "dropping-particle" : "", "family" : "J.M.", "given" : "Cots", "non-dropping-particle" : "", "parse-names" : false, "suffix" : "" }, { "dropping-particle" : "", "family" : "S.", "given" : "Hernandez", "non-dropping-particle" : "", "parse-names" : false, "suffix" : "" }, { "dropping-particle" : "", "family" : "J.", "given" : "Ortega", "non-dropping-particle" : "", "parse-names" : false, "suffix" : "" }, { "dropping-particle" : "", "family" : "J.", "given" : "Arranz", "non-dropping-particle" : "", "parse-names" : false, "suffix" : "" }, { "dropping-particle" : "", "family" : "M.J.", "given" : "Monedero", "non-dropping-particle" : "", "parse-names" : false, "suffix" : "" }, { "dropping-particle" : "", "family" : "J.D.D.", "given" : "Alcantara", "non-dropping-particle" : "", "parse-names" : false, "suffix" : "" }, { "dropping-particle" : "", "family" : "C.", "given" : "Perez", "non-dropping-particle" : "", "parse-names" : false, "suffix" : "" }, { "dropping-particle" : "", "family" : "G.", "given" : "Guerra Garcia", "non-dropping-particle" : "", "parse-names" : false, "suffix" : "" }, { "dropping-particle" : "", "family" : "M.", "given" : "Gomez", "non-dropping-particle" : "", "parse-names" : false, "suffix" : "" }, { "dropping-particle" : "", "family" : "G.", "given" : "Guerra Garcia", "non-dropping-particle" : "", "parse-names" : false, "suffix" : "" }, { "dropping-particle" : "", "family" : "M.", "given" : "Cid", "non-dropping-particle" : "", "parse-names" : false, "suffix" : "" }, { "dropping-particle" : "", "family" : "M.L.", "given" : "Ciguenza", "non-dropping-particle" : "", "parse-names" : false, "suffix" : "" }, { "dropping-particle" : "", "family" : "V.", "given" : "Pineda", "non-dropping-particle" : "", "parse-names" : false, "suffix" : "" }, { "dropping-particle" : "", "family" : "J.", "given" : "Paredes", "non-dropping-particle" : "", "parse-names" : false, "suffix" : "" }, { "dropping-particle" : "", "family" : "J.L.", "given" : "Burgazzoli", "non-dropping-particle" : "", "parse-names" : false, "suffix" : "" }, { "dropping-particle" : "", "family" : "A.", "given" : "Munck", "non-dropping-particle" : "", "parse-names" : false, "suffix" : "" }, { "dropping-particle" : "", "family" : "G.", "given" : "Cordoba-Currea", "non-dropping-particle" : "", "parse-names" : false, "suffix" : "" }, { "dropping-particle" : "", "family" : "Llor", "given" : "Carles", "non-dropping-particle" : "", "parse-names" : false, "suffix" : "" }, { "dropping-particle" : "", "family" : "Cots", "given" : "Josep Maria", "non-dropping-particle" : "", "parse-names" : false, "suffix" : "" }, { "dropping-particle" : "", "family" : "Hernandez", "given" : "Silvia", "non-dropping-particle" : "", "parse-names" : false, "suffix" : "" }, { "dropping-particle" : "", "family" : "Ortega", "given" : "Jesus", "non-dropping-particle" : "", "parse-names" : false, "suffix" : "" }, { "dropping-particle" : "", "family" : "Arranz", "given" : "Javier", "non-dropping-particle" : "", "parse-names" : false, "suffix" : "" }, { "dropping-particle" : "", "family" : "Monedero", "given" : "Maria Jose", "non-dropping-particle" : "", "parse-names" : false, "suffix" : "" }, { "dropping-particle" : "", "family" : "Alcantara", "given" : "Juan de Dios", "non-dropping-particle" : "", "parse-names" : false, "suffix" : "" }, { "dropping-particle" : "", "family" : "Perez", "given" : "Carolina", "non-dropping-particle" : "", "parse-names" : false, "suffix" : "" }, { "dropping-particle" : "", "family" : "Garcia", "given" : "Guillermo", "non-dropping-particle" : "", "parse-names" : false, "suffix" : "" }, { "dropping-particle" : "", "family" : "Gomez", "given" : "Manuel", "non-dropping-particle" : "", "parse-names" : false, "suffix" : "" }, { "dropping-particle" : "", "family" : "Guerra", "given" : "Gloria", "non-dropping-particle" : "", "parse-names" : false, "suffix" : "" }, { "dropping-particle" : "", "family" : "Cid", "given" : "Marina", "non-dropping-particle" : "", "parse-names" : false, "suffix" : "" }, { "dropping-particle" : "", "family" : "Ciguenza", "given" : "Maria Luisa", "non-dropping-particle" : "", "parse-names" : false, "suffix" : "" }, { "dropping-particle" : "", "family" : "Pineda", "given" : "Vicenta", "non-dropping-particle" : "", "parse-names" : false, "suffix" : "" }, { "dropping-particle" : "", "family" : "Paredes", "given" : "Jose", "non-dropping-particle" : "", "parse-names" : false, "suffix" : "" }, { "dropping-particle" : "", "family" : "Burgazzoli", "given" : "Juan Luis", "non-dropping-particle" : "", "parse-names" : false, "suffix" : "" }, { "dropping-particle" : "", "family" : "Munck", "given" : "Anders", "non-dropping-particle" : "", "parse-names" : false, "suffix" : "" }, { "dropping-particle" : "", "family" : "Cordoba-Currea", "given" : "Gloria", "non-dropping-particle" : "", "parse-names" : false, "suffix" : "" }, { "dropping-particle" : "", "family" : "Bjerrum", "given" : "Lars", "non-dropping-particle" : "", "parse-names" : false, "suffix" : "" }, { "dropping-particle" : "", "family" : "Group", "given" : "Happy Audit Study", "non-dropping-particle" : "", "parse-names" : false, "suffix" : "" } ], "container-title" : "Atencion Primaria", "editor" : [ { "dropping-particle" : "", "family" : "Dios Alcantara J  Atienza F, Baeza M, Bellon J, Carrillo I, Costa CJ, Crespo P, Dastis C, Dominguez S, Galvez M, Gonzalez M, Gutierrez C, del Pilar Herrera R, Largaespada G, Lopez B, Lopez IM, Manzanares ML, Marin L, Marmesat F, Martinez M, Martinez R,", "given" : "Alvarez C", "non-dropping-particle" : "de", "parse-names" : false, "suffix" : "" } ], "id" : "ITEM-1", "issue" : "9", "issued" : { "date-parts" : [ [ "2014" ] ] }, "page" : "492-500", "publisher" : "Elsevier Doyma", "publisher-place" : "Spain", "title" : "Effectiveness of two types of intervention on antibiotic prescribing in respiratory tract infections in Primary Care in Spain. Happy Audit Study.", "type" : "article-journal", "volume" : "46" }, "uris" : [ "http://www.mendeley.com/documents/?uuid=8dab74ab-fba9-4571-9ab1-d6bfd2cb6a1d" ] } ], "mendeley" : { "formattedCitation" : "(57)", "plainTextFormattedCitation" : "(57)", "previouslyFormattedCitation" : "(57)" }, "properties" : { "noteIndex" : 0 }, "schema" : "https://github.com/citation-style-language/schema/raw/master/csl-citation.json" }</w:instrText>
            </w:r>
            <w:r w:rsidR="00365791">
              <w:rPr>
                <w:rFonts w:ascii="Times New Roman" w:hAnsi="Times New Roman" w:cs="Times New Roman"/>
                <w:sz w:val="24"/>
                <w:szCs w:val="24"/>
              </w:rPr>
              <w:fldChar w:fldCharType="separate"/>
            </w:r>
            <w:r w:rsidR="006E5EBD">
              <w:rPr>
                <w:rFonts w:ascii="Times New Roman" w:hAnsi="Times New Roman" w:cs="Times New Roman"/>
                <w:noProof/>
                <w:sz w:val="24"/>
                <w:szCs w:val="24"/>
              </w:rPr>
              <w:t xml:space="preserve"> [7]</w:t>
            </w:r>
            <w:r w:rsidR="00365791">
              <w:rPr>
                <w:rFonts w:ascii="Times New Roman" w:hAnsi="Times New Roman" w:cs="Times New Roman"/>
                <w:sz w:val="24"/>
                <w:szCs w:val="24"/>
              </w:rPr>
              <w:fldChar w:fldCharType="end"/>
            </w:r>
            <w:r w:rsidR="006E5EBD" w:rsidRPr="001355FE">
              <w:rPr>
                <w:rFonts w:ascii="Times New Roman" w:hAnsi="Times New Roman" w:cs="Times New Roman"/>
                <w:sz w:val="24"/>
                <w:szCs w:val="24"/>
              </w:rPr>
              <w:t xml:space="preserve"> </w:t>
            </w:r>
          </w:p>
        </w:tc>
        <w:tc>
          <w:tcPr>
            <w:tcW w:w="850" w:type="dxa"/>
          </w:tcPr>
          <w:p w14:paraId="606E88BB" w14:textId="77777777" w:rsidR="00CE6076" w:rsidRPr="001355FE" w:rsidRDefault="00CE6076" w:rsidP="007D14E0">
            <w:pPr>
              <w:jc w:val="both"/>
              <w:rPr>
                <w:rFonts w:ascii="Times New Roman" w:hAnsi="Times New Roman" w:cs="Times New Roman"/>
                <w:sz w:val="24"/>
                <w:szCs w:val="24"/>
              </w:rPr>
            </w:pPr>
            <w:r w:rsidRPr="001355FE">
              <w:rPr>
                <w:rFonts w:ascii="Times New Roman" w:hAnsi="Times New Roman" w:cs="Times New Roman"/>
                <w:sz w:val="24"/>
                <w:szCs w:val="24"/>
              </w:rPr>
              <w:t>2014</w:t>
            </w:r>
          </w:p>
        </w:tc>
        <w:tc>
          <w:tcPr>
            <w:tcW w:w="6633" w:type="dxa"/>
          </w:tcPr>
          <w:p w14:paraId="0B8053B1" w14:textId="77777777" w:rsidR="00CE6076" w:rsidRPr="001355FE" w:rsidRDefault="00CE6076" w:rsidP="007D14E0">
            <w:pPr>
              <w:jc w:val="both"/>
              <w:rPr>
                <w:rFonts w:ascii="Times New Roman" w:hAnsi="Times New Roman" w:cs="Times New Roman"/>
                <w:sz w:val="24"/>
                <w:szCs w:val="24"/>
              </w:rPr>
            </w:pPr>
            <w:r w:rsidRPr="001355FE">
              <w:rPr>
                <w:rFonts w:ascii="Times New Roman" w:eastAsia="Calibri" w:hAnsi="Times New Roman" w:cs="Times New Roman"/>
                <w:sz w:val="24"/>
                <w:szCs w:val="24"/>
                <w:lang w:eastAsia="nb-NO"/>
              </w:rPr>
              <w:t>Multifaceted intervention: not possible to disentangle the effects of patient-oriented interventions</w:t>
            </w:r>
            <w:r>
              <w:rPr>
                <w:rFonts w:ascii="Times New Roman" w:eastAsia="Calibri" w:hAnsi="Times New Roman" w:cs="Times New Roman"/>
                <w:sz w:val="24"/>
                <w:szCs w:val="24"/>
                <w:lang w:eastAsia="nb-NO"/>
              </w:rPr>
              <w:t>.</w:t>
            </w:r>
          </w:p>
        </w:tc>
      </w:tr>
      <w:tr w:rsidR="009B6E91" w:rsidRPr="001355FE" w14:paraId="1F074984" w14:textId="77777777" w:rsidTr="007D14E0">
        <w:tc>
          <w:tcPr>
            <w:tcW w:w="2093" w:type="dxa"/>
          </w:tcPr>
          <w:p w14:paraId="04EAAA0F" w14:textId="3357C43F" w:rsidR="009B6E91" w:rsidRPr="001355FE" w:rsidRDefault="009B6E91" w:rsidP="006E5EBD">
            <w:pPr>
              <w:jc w:val="both"/>
              <w:rPr>
                <w:rFonts w:ascii="Times New Roman" w:hAnsi="Times New Roman" w:cs="Times New Roman"/>
                <w:sz w:val="24"/>
                <w:szCs w:val="24"/>
              </w:rPr>
            </w:pPr>
            <w:proofErr w:type="spellStart"/>
            <w:r>
              <w:rPr>
                <w:rFonts w:ascii="Times New Roman" w:hAnsi="Times New Roman" w:cs="Times New Roman"/>
                <w:sz w:val="24"/>
                <w:szCs w:val="24"/>
              </w:rPr>
              <w:t>Mainous</w:t>
            </w:r>
            <w:proofErr w:type="spellEnd"/>
            <w:r>
              <w:rPr>
                <w:rFonts w:ascii="Times New Roman" w:hAnsi="Times New Roman" w:cs="Times New Roman"/>
                <w:sz w:val="24"/>
                <w:szCs w:val="24"/>
              </w:rPr>
              <w:t xml:space="preserve"> et al. </w:t>
            </w:r>
            <w:r w:rsidR="00DF6817">
              <w:rPr>
                <w:rFonts w:ascii="Times New Roman" w:hAnsi="Times New Roman" w:cs="Times New Roman"/>
                <w:sz w:val="24"/>
                <w:szCs w:val="24"/>
              </w:rPr>
              <w:t>[8]</w:t>
            </w:r>
          </w:p>
        </w:tc>
        <w:tc>
          <w:tcPr>
            <w:tcW w:w="850" w:type="dxa"/>
          </w:tcPr>
          <w:p w14:paraId="398AABA2" w14:textId="16F984EE" w:rsidR="009B6E91" w:rsidRPr="001355FE" w:rsidRDefault="009B6E91" w:rsidP="007D14E0">
            <w:pPr>
              <w:jc w:val="both"/>
              <w:rPr>
                <w:rFonts w:ascii="Times New Roman" w:hAnsi="Times New Roman" w:cs="Times New Roman"/>
                <w:sz w:val="24"/>
                <w:szCs w:val="24"/>
              </w:rPr>
            </w:pPr>
            <w:r>
              <w:rPr>
                <w:rFonts w:ascii="Times New Roman" w:hAnsi="Times New Roman" w:cs="Times New Roman"/>
                <w:sz w:val="24"/>
                <w:szCs w:val="24"/>
              </w:rPr>
              <w:t>2000</w:t>
            </w:r>
          </w:p>
        </w:tc>
        <w:tc>
          <w:tcPr>
            <w:tcW w:w="6633" w:type="dxa"/>
          </w:tcPr>
          <w:p w14:paraId="17E749CF" w14:textId="54ACA214" w:rsidR="009B6E91" w:rsidRPr="001355FE" w:rsidRDefault="00072838" w:rsidP="007D14E0">
            <w:pPr>
              <w:jc w:val="both"/>
              <w:rPr>
                <w:rFonts w:ascii="Times New Roman" w:eastAsia="Calibri" w:hAnsi="Times New Roman" w:cs="Times New Roman"/>
                <w:sz w:val="24"/>
                <w:szCs w:val="24"/>
                <w:lang w:eastAsia="nb-NO"/>
              </w:rPr>
            </w:pPr>
            <w:r w:rsidRPr="001355FE">
              <w:rPr>
                <w:rFonts w:ascii="Times New Roman" w:eastAsia="Calibri" w:hAnsi="Times New Roman" w:cs="Times New Roman"/>
                <w:sz w:val="24"/>
                <w:szCs w:val="24"/>
                <w:lang w:eastAsia="nb-NO"/>
              </w:rPr>
              <w:t>CBA: Only one site</w:t>
            </w:r>
            <w:r>
              <w:rPr>
                <w:rFonts w:ascii="Times New Roman" w:eastAsia="Calibri" w:hAnsi="Times New Roman" w:cs="Times New Roman"/>
                <w:sz w:val="24"/>
                <w:szCs w:val="24"/>
                <w:lang w:eastAsia="nb-NO"/>
              </w:rPr>
              <w:t>.</w:t>
            </w:r>
          </w:p>
        </w:tc>
      </w:tr>
      <w:tr w:rsidR="00CE6076" w:rsidRPr="001355FE" w14:paraId="3DEE3D4E" w14:textId="77777777" w:rsidTr="007D14E0">
        <w:tc>
          <w:tcPr>
            <w:tcW w:w="2093" w:type="dxa"/>
          </w:tcPr>
          <w:p w14:paraId="7AFFD9F2" w14:textId="19E00B7A" w:rsidR="00CE6076" w:rsidRPr="001355FE" w:rsidRDefault="00CE6076" w:rsidP="006E5EBD">
            <w:pPr>
              <w:jc w:val="both"/>
              <w:rPr>
                <w:rFonts w:ascii="Times New Roman" w:hAnsi="Times New Roman" w:cs="Times New Roman"/>
                <w:sz w:val="24"/>
                <w:szCs w:val="24"/>
              </w:rPr>
            </w:pPr>
            <w:proofErr w:type="spellStart"/>
            <w:r w:rsidRPr="001355FE">
              <w:rPr>
                <w:rFonts w:ascii="Times New Roman" w:hAnsi="Times New Roman" w:cs="Times New Roman"/>
                <w:sz w:val="24"/>
                <w:szCs w:val="24"/>
              </w:rPr>
              <w:t>Malmvall</w:t>
            </w:r>
            <w:proofErr w:type="spellEnd"/>
            <w:r>
              <w:rPr>
                <w:rFonts w:ascii="Times New Roman" w:hAnsi="Times New Roman" w:cs="Times New Roman"/>
                <w:i/>
                <w:iCs/>
                <w:sz w:val="24"/>
                <w:szCs w:val="24"/>
              </w:rPr>
              <w:t xml:space="preserve"> </w:t>
            </w:r>
            <w:r w:rsidR="006E5EBD">
              <w:rPr>
                <w:rFonts w:ascii="Times New Roman" w:hAnsi="Times New Roman" w:cs="Times New Roman"/>
                <w:sz w:val="24"/>
                <w:szCs w:val="24"/>
              </w:rPr>
              <w:t>et al. [</w:t>
            </w:r>
            <w:r w:rsidR="00DF6817">
              <w:rPr>
                <w:rFonts w:ascii="Times New Roman" w:hAnsi="Times New Roman" w:cs="Times New Roman"/>
                <w:sz w:val="24"/>
                <w:szCs w:val="24"/>
              </w:rPr>
              <w:t>9</w:t>
            </w:r>
            <w:r w:rsidR="006E5EBD">
              <w:rPr>
                <w:rFonts w:ascii="Times New Roman" w:hAnsi="Times New Roman" w:cs="Times New Roman"/>
                <w:sz w:val="24"/>
                <w:szCs w:val="24"/>
              </w:rPr>
              <w:t>]</w:t>
            </w:r>
            <w:r w:rsidR="006E5EBD" w:rsidRPr="001355FE">
              <w:rPr>
                <w:rFonts w:ascii="Times New Roman" w:hAnsi="Times New Roman" w:cs="Times New Roman"/>
                <w:sz w:val="24"/>
                <w:szCs w:val="24"/>
              </w:rPr>
              <w:t xml:space="preserve"> </w:t>
            </w:r>
          </w:p>
        </w:tc>
        <w:tc>
          <w:tcPr>
            <w:tcW w:w="850" w:type="dxa"/>
          </w:tcPr>
          <w:p w14:paraId="445922B5" w14:textId="77777777" w:rsidR="00CE6076" w:rsidRPr="001355FE" w:rsidRDefault="00CE6076" w:rsidP="007D14E0">
            <w:pPr>
              <w:jc w:val="both"/>
              <w:rPr>
                <w:rFonts w:ascii="Times New Roman" w:hAnsi="Times New Roman" w:cs="Times New Roman"/>
                <w:sz w:val="24"/>
                <w:szCs w:val="24"/>
              </w:rPr>
            </w:pPr>
            <w:r w:rsidRPr="001355FE">
              <w:rPr>
                <w:rFonts w:ascii="Times New Roman" w:hAnsi="Times New Roman" w:cs="Times New Roman"/>
                <w:sz w:val="24"/>
                <w:szCs w:val="24"/>
              </w:rPr>
              <w:t>2007</w:t>
            </w:r>
          </w:p>
        </w:tc>
        <w:tc>
          <w:tcPr>
            <w:tcW w:w="6633" w:type="dxa"/>
          </w:tcPr>
          <w:p w14:paraId="2A955518" w14:textId="77777777" w:rsidR="00CE6076" w:rsidRPr="001355FE" w:rsidRDefault="00CE6076" w:rsidP="007D14E0">
            <w:pPr>
              <w:jc w:val="both"/>
              <w:rPr>
                <w:rFonts w:ascii="Times New Roman" w:hAnsi="Times New Roman" w:cs="Times New Roman"/>
                <w:sz w:val="24"/>
                <w:szCs w:val="24"/>
              </w:rPr>
            </w:pPr>
            <w:r w:rsidRPr="001355FE">
              <w:rPr>
                <w:rFonts w:ascii="Times New Roman" w:eastAsia="Calibri" w:hAnsi="Times New Roman" w:cs="Times New Roman"/>
                <w:sz w:val="24"/>
                <w:szCs w:val="24"/>
                <w:lang w:eastAsia="nb-NO"/>
              </w:rPr>
              <w:t>Multifaceted intervention: not possible to disentangle the effects of patient-oriented interventions</w:t>
            </w:r>
            <w:r>
              <w:rPr>
                <w:rFonts w:ascii="Times New Roman" w:eastAsia="Calibri" w:hAnsi="Times New Roman" w:cs="Times New Roman"/>
                <w:sz w:val="24"/>
                <w:szCs w:val="24"/>
                <w:lang w:eastAsia="nb-NO"/>
              </w:rPr>
              <w:t>.</w:t>
            </w:r>
          </w:p>
        </w:tc>
      </w:tr>
      <w:tr w:rsidR="00CE6076" w:rsidRPr="001355FE" w14:paraId="044B32DB" w14:textId="77777777" w:rsidTr="007D14E0">
        <w:tc>
          <w:tcPr>
            <w:tcW w:w="2093" w:type="dxa"/>
          </w:tcPr>
          <w:p w14:paraId="77B2AD07" w14:textId="69352920" w:rsidR="00CE6076" w:rsidRPr="001355FE" w:rsidRDefault="00CE6076" w:rsidP="006E5EBD">
            <w:pPr>
              <w:jc w:val="both"/>
              <w:rPr>
                <w:rFonts w:ascii="Times New Roman" w:hAnsi="Times New Roman" w:cs="Times New Roman"/>
                <w:sz w:val="24"/>
                <w:szCs w:val="24"/>
              </w:rPr>
            </w:pPr>
            <w:r w:rsidRPr="001355FE">
              <w:rPr>
                <w:rFonts w:ascii="Times New Roman" w:hAnsi="Times New Roman" w:cs="Times New Roman"/>
                <w:sz w:val="24"/>
                <w:szCs w:val="24"/>
              </w:rPr>
              <w:t>McNulty</w:t>
            </w:r>
            <w:r>
              <w:rPr>
                <w:rFonts w:ascii="Times New Roman" w:hAnsi="Times New Roman" w:cs="Times New Roman"/>
                <w:sz w:val="24"/>
                <w:szCs w:val="24"/>
              </w:rPr>
              <w:t xml:space="preserve"> et al.</w:t>
            </w:r>
            <w:r w:rsidR="00365791">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"DOI" : "10.1093/jac/dkq126", "ISSN" : "1460-2091 (Electronic)", "PMID" : "20488985", "abstract" : "OBJECTIVES: To determine the effect of the 2008 English public antibiotic campaigns. METHODS: English and Scottish (acting as controls) adults aged &gt; or = 15 years were questioned face to face about their attitudes to and use of antibiotics, in January 2008 (1888) before and in January 2009 (1830) after the antibiotic campaigns. RESULTS: Among English respondents, there was a small increase in recollection of campaign posters (2009 23.7% versus 2008 19.2%; P = 0.03), but this increase was only 2.3% higher in England than in Scotland. We did not detect any improvement in either England or Scotland, or any differences between England and Scotland in the understanding of the lack of benefit of antibiotics for coughs and colds, and we found no improvement in antibiotic use. We detected a significant increase in respondents retaining leftover antibiotics. Over 20% reported discussing antibiotics with their general practitioner (GP) or nurse in the year to January 2009. The offer of a delayed antibiotic prescription was reported significantly more often by English respondents (19% versus 8% Scottish in 2009; P = 0.01), and English respondents were advised to use other remedies for coughs and colds significantly more often in the year to January 2009 (12.7% in 2009 versus 7.4% in 2008; P &lt; 0.001). CONCLUSIONS: There is little evidence that the 2008 public antibiotic campaigns were effective. The use and visibility of future campaign materials needs auditing. A carefully planned approach that targets the public in GP waiting rooms and through clinicians in consultations may be a more effective way of improving prudent antibiotic use.", "author" : [ { "dropping-particle" : "", "family" : "McNulty", "given" : "Cliodna A M", "non-dropping-particle" : "", "parse-names" : false, "suffix" : "" }, { "dropping-particle" : "", "family" : "Nichols", "given" : "Tom", "non-dropping-particle" : "", "parse-names" : false, "suffix" : "" }, { "dropping-particle" : "", "family" : "Boyle", "given" : "Paul J", "non-dropping-particle" : "", "parse-names" : false, "suffix" : "" }, { "dropping-particle" : "", "family" : "Woodhead", "given" : "Mark", "non-dropping-particle" : "", "parse-names" : false, "suffix" : "" }, { "dropping-particle" : "", "family" : "Davey", "given" : "Peter", "non-dropping-particle" : "", "parse-names" : false, "suffix" : "" } ], "container-title" : "The Journal of antimicrobial chemotherapy", "id" : "ITEM-1", "issue" : "7", "issued" : { "date-parts" : [ [ "2010", "7" ] ] }, "language" : "eng", "page" : "1526-1533", "publisher-place" : "England", "title" : "The English antibiotic awareness campaigns: did they change the public's knowledge of and attitudes to antibiotic use?", "type" : "article-journal", "volume" : "65" }, "uris" : [ "http://www.mendeley.com/documents/?uuid=2a0a0441-59c4-4279-85e3-6a37a914c861" ] } ], "mendeley" : { "formattedCitation" : "(59)", "plainTextFormattedCitation" : "(59)", "previouslyFormattedCitation" : "(59)" }, "properties" : { "noteIndex" : 0 }, "schema" : "https://github.com/citation-style-language/schema/raw/master/csl-citation.json" }</w:instrText>
            </w:r>
            <w:r w:rsidR="00365791">
              <w:rPr>
                <w:rFonts w:ascii="Times New Roman" w:hAnsi="Times New Roman" w:cs="Times New Roman"/>
                <w:sz w:val="24"/>
                <w:szCs w:val="24"/>
              </w:rPr>
              <w:fldChar w:fldCharType="separate"/>
            </w:r>
            <w:r w:rsidR="006E5EBD">
              <w:rPr>
                <w:rFonts w:ascii="Times New Roman" w:hAnsi="Times New Roman" w:cs="Times New Roman"/>
                <w:noProof/>
                <w:sz w:val="24"/>
                <w:szCs w:val="24"/>
              </w:rPr>
              <w:t xml:space="preserve"> [</w:t>
            </w:r>
            <w:r w:rsidR="00DF6817">
              <w:rPr>
                <w:rFonts w:ascii="Times New Roman" w:hAnsi="Times New Roman" w:cs="Times New Roman"/>
                <w:noProof/>
                <w:sz w:val="24"/>
                <w:szCs w:val="24"/>
              </w:rPr>
              <w:t>10</w:t>
            </w:r>
            <w:r w:rsidR="006E5EBD">
              <w:rPr>
                <w:rFonts w:ascii="Times New Roman" w:hAnsi="Times New Roman" w:cs="Times New Roman"/>
                <w:noProof/>
                <w:sz w:val="24"/>
                <w:szCs w:val="24"/>
              </w:rPr>
              <w:t>]</w:t>
            </w:r>
            <w:r w:rsidR="00365791">
              <w:rPr>
                <w:rFonts w:ascii="Times New Roman" w:hAnsi="Times New Roman" w:cs="Times New Roman"/>
                <w:sz w:val="24"/>
                <w:szCs w:val="24"/>
              </w:rPr>
              <w:fldChar w:fldCharType="end"/>
            </w:r>
            <w:r w:rsidR="006E5EBD" w:rsidRPr="001355FE">
              <w:rPr>
                <w:rFonts w:ascii="Times New Roman" w:hAnsi="Times New Roman" w:cs="Times New Roman"/>
                <w:sz w:val="24"/>
                <w:szCs w:val="24"/>
              </w:rPr>
              <w:t xml:space="preserve"> </w:t>
            </w:r>
          </w:p>
        </w:tc>
        <w:tc>
          <w:tcPr>
            <w:tcW w:w="850" w:type="dxa"/>
          </w:tcPr>
          <w:p w14:paraId="1CA4E1A0" w14:textId="77777777" w:rsidR="00CE6076" w:rsidRPr="001355FE" w:rsidRDefault="00CE6076" w:rsidP="007D14E0">
            <w:pPr>
              <w:jc w:val="both"/>
              <w:rPr>
                <w:rFonts w:ascii="Times New Roman" w:hAnsi="Times New Roman" w:cs="Times New Roman"/>
                <w:sz w:val="24"/>
                <w:szCs w:val="24"/>
              </w:rPr>
            </w:pPr>
            <w:r w:rsidRPr="001355FE">
              <w:rPr>
                <w:rFonts w:ascii="Times New Roman" w:hAnsi="Times New Roman" w:cs="Times New Roman"/>
                <w:sz w:val="24"/>
                <w:szCs w:val="24"/>
              </w:rPr>
              <w:t>2010</w:t>
            </w:r>
          </w:p>
        </w:tc>
        <w:tc>
          <w:tcPr>
            <w:tcW w:w="6633" w:type="dxa"/>
          </w:tcPr>
          <w:p w14:paraId="7C70892B" w14:textId="77777777" w:rsidR="00CE6076" w:rsidRPr="001355FE" w:rsidRDefault="00CE6076" w:rsidP="007D14E0">
            <w:pPr>
              <w:jc w:val="both"/>
              <w:rPr>
                <w:rFonts w:ascii="Times New Roman" w:hAnsi="Times New Roman" w:cs="Times New Roman"/>
                <w:sz w:val="24"/>
                <w:szCs w:val="24"/>
              </w:rPr>
            </w:pPr>
            <w:r w:rsidRPr="001355FE">
              <w:rPr>
                <w:rFonts w:ascii="Times New Roman" w:eastAsia="Calibri" w:hAnsi="Times New Roman" w:cs="Times New Roman"/>
                <w:sz w:val="24"/>
                <w:szCs w:val="24"/>
                <w:lang w:eastAsia="nb-NO"/>
              </w:rPr>
              <w:t>CBA: Only one site</w:t>
            </w:r>
            <w:r>
              <w:rPr>
                <w:rFonts w:ascii="Times New Roman" w:eastAsia="Calibri" w:hAnsi="Times New Roman" w:cs="Times New Roman"/>
                <w:sz w:val="24"/>
                <w:szCs w:val="24"/>
                <w:lang w:eastAsia="nb-NO"/>
              </w:rPr>
              <w:t>.</w:t>
            </w:r>
          </w:p>
        </w:tc>
      </w:tr>
      <w:tr w:rsidR="00CE6076" w:rsidRPr="001355FE" w14:paraId="17F6FFE3" w14:textId="77777777" w:rsidTr="007D14E0">
        <w:tc>
          <w:tcPr>
            <w:tcW w:w="2093" w:type="dxa"/>
          </w:tcPr>
          <w:p w14:paraId="53EAB554" w14:textId="046E9636" w:rsidR="00CE6076" w:rsidRPr="001355FE" w:rsidRDefault="00CE6076" w:rsidP="006E5EBD">
            <w:pPr>
              <w:jc w:val="both"/>
            </w:pPr>
            <w:r w:rsidRPr="001355FE">
              <w:rPr>
                <w:rFonts w:ascii="Times New Roman" w:hAnsi="Times New Roman" w:cs="Times New Roman"/>
                <w:color w:val="231F20"/>
                <w:sz w:val="24"/>
                <w:szCs w:val="24"/>
              </w:rPr>
              <w:t>Meeker</w:t>
            </w:r>
            <w:r>
              <w:t xml:space="preserve"> </w:t>
            </w:r>
            <w:r>
              <w:rPr>
                <w:rFonts w:ascii="Times New Roman" w:hAnsi="Times New Roman" w:cs="Times New Roman"/>
                <w:sz w:val="24"/>
                <w:szCs w:val="24"/>
              </w:rPr>
              <w:t>et al.</w:t>
            </w:r>
            <w:r w:rsidR="006E5EBD">
              <w:rPr>
                <w:rFonts w:ascii="Times New Roman" w:hAnsi="Times New Roman" w:cs="Times New Roman"/>
                <w:sz w:val="24"/>
                <w:szCs w:val="24"/>
              </w:rPr>
              <w:t xml:space="preserve"> [1</w:t>
            </w:r>
            <w:r w:rsidR="00DF6817">
              <w:rPr>
                <w:rFonts w:ascii="Times New Roman" w:hAnsi="Times New Roman" w:cs="Times New Roman"/>
                <w:sz w:val="24"/>
                <w:szCs w:val="24"/>
              </w:rPr>
              <w:t>1</w:t>
            </w:r>
            <w:r w:rsidR="006E5EBD">
              <w:rPr>
                <w:rFonts w:ascii="Times New Roman" w:hAnsi="Times New Roman" w:cs="Times New Roman"/>
                <w:sz w:val="24"/>
                <w:szCs w:val="24"/>
              </w:rPr>
              <w:t>]</w:t>
            </w:r>
            <w:r w:rsidR="006E5EBD" w:rsidRPr="001355FE">
              <w:t xml:space="preserve"> </w:t>
            </w:r>
          </w:p>
        </w:tc>
        <w:tc>
          <w:tcPr>
            <w:tcW w:w="850" w:type="dxa"/>
          </w:tcPr>
          <w:p w14:paraId="6E3B3313" w14:textId="77777777" w:rsidR="00CE6076" w:rsidRPr="001355FE" w:rsidRDefault="00CE6076" w:rsidP="007D14E0">
            <w:pPr>
              <w:jc w:val="both"/>
              <w:rPr>
                <w:rFonts w:ascii="Times New Roman" w:hAnsi="Times New Roman" w:cs="Times New Roman"/>
                <w:sz w:val="24"/>
                <w:szCs w:val="24"/>
              </w:rPr>
            </w:pPr>
            <w:r w:rsidRPr="001355FE">
              <w:rPr>
                <w:rFonts w:ascii="Times New Roman" w:hAnsi="Times New Roman" w:cs="Times New Roman"/>
                <w:sz w:val="24"/>
                <w:szCs w:val="24"/>
              </w:rPr>
              <w:t>2014</w:t>
            </w:r>
          </w:p>
        </w:tc>
        <w:tc>
          <w:tcPr>
            <w:tcW w:w="6633" w:type="dxa"/>
          </w:tcPr>
          <w:p w14:paraId="70235EC1" w14:textId="77777777" w:rsidR="00CE6076" w:rsidRPr="001355FE" w:rsidRDefault="00CE6076" w:rsidP="007D14E0">
            <w:pPr>
              <w:jc w:val="both"/>
              <w:rPr>
                <w:rFonts w:ascii="Times New Roman" w:hAnsi="Times New Roman" w:cs="Times New Roman"/>
                <w:sz w:val="24"/>
                <w:szCs w:val="24"/>
              </w:rPr>
            </w:pPr>
            <w:r w:rsidRPr="001355FE">
              <w:rPr>
                <w:rFonts w:ascii="Times New Roman" w:eastAsia="Calibri" w:hAnsi="Times New Roman" w:cs="Times New Roman"/>
                <w:sz w:val="24"/>
                <w:szCs w:val="24"/>
                <w:lang w:eastAsia="nb-NO"/>
              </w:rPr>
              <w:t>Multifaceted intervention: not possible to disentangle the effects of patient-oriented interventions</w:t>
            </w:r>
            <w:r>
              <w:rPr>
                <w:rFonts w:ascii="Times New Roman" w:eastAsia="Calibri" w:hAnsi="Times New Roman" w:cs="Times New Roman"/>
                <w:sz w:val="24"/>
                <w:szCs w:val="24"/>
                <w:lang w:eastAsia="nb-NO"/>
              </w:rPr>
              <w:t>.</w:t>
            </w:r>
          </w:p>
        </w:tc>
      </w:tr>
      <w:tr w:rsidR="00CE6076" w:rsidRPr="001355FE" w14:paraId="48C63542" w14:textId="77777777" w:rsidTr="007D14E0">
        <w:tc>
          <w:tcPr>
            <w:tcW w:w="2093" w:type="dxa"/>
          </w:tcPr>
          <w:p w14:paraId="79C35EFC" w14:textId="109FB769" w:rsidR="00CE6076" w:rsidRPr="001355FE" w:rsidRDefault="00CE6076" w:rsidP="006E5EBD">
            <w:pPr>
              <w:rPr>
                <w:rFonts w:ascii="Times New Roman" w:hAnsi="Times New Roman" w:cs="Times New Roman"/>
                <w:sz w:val="24"/>
                <w:szCs w:val="24"/>
              </w:rPr>
            </w:pPr>
            <w:proofErr w:type="spellStart"/>
            <w:r w:rsidRPr="001355FE">
              <w:rPr>
                <w:rFonts w:ascii="Times New Roman" w:hAnsi="Times New Roman" w:cs="Times New Roman"/>
                <w:sz w:val="24"/>
                <w:szCs w:val="24"/>
              </w:rPr>
              <w:t>Plachouras</w:t>
            </w:r>
            <w:proofErr w:type="spellEnd"/>
            <w:r>
              <w:rPr>
                <w:rFonts w:ascii="Times New Roman" w:hAnsi="Times New Roman" w:cs="Times New Roman"/>
                <w:sz w:val="24"/>
                <w:szCs w:val="24"/>
              </w:rPr>
              <w:t xml:space="preserve"> et al. </w:t>
            </w:r>
            <w:r w:rsidR="006E5EBD">
              <w:rPr>
                <w:rFonts w:ascii="Times New Roman" w:hAnsi="Times New Roman" w:cs="Times New Roman"/>
                <w:sz w:val="24"/>
                <w:szCs w:val="24"/>
              </w:rPr>
              <w:t>[1</w:t>
            </w:r>
            <w:r w:rsidR="00DF6817">
              <w:rPr>
                <w:rFonts w:ascii="Times New Roman" w:hAnsi="Times New Roman" w:cs="Times New Roman"/>
                <w:sz w:val="24"/>
                <w:szCs w:val="24"/>
              </w:rPr>
              <w:t>2</w:t>
            </w:r>
            <w:r w:rsidR="006E5EBD">
              <w:rPr>
                <w:rFonts w:ascii="Times New Roman" w:hAnsi="Times New Roman" w:cs="Times New Roman"/>
                <w:sz w:val="24"/>
                <w:szCs w:val="24"/>
              </w:rPr>
              <w:t>]</w:t>
            </w:r>
          </w:p>
        </w:tc>
        <w:tc>
          <w:tcPr>
            <w:tcW w:w="850" w:type="dxa"/>
          </w:tcPr>
          <w:p w14:paraId="571FDA3D" w14:textId="77777777" w:rsidR="00CE6076" w:rsidRPr="001355FE" w:rsidRDefault="00CE6076" w:rsidP="007D14E0">
            <w:pPr>
              <w:jc w:val="both"/>
              <w:rPr>
                <w:rFonts w:ascii="Times New Roman" w:hAnsi="Times New Roman" w:cs="Times New Roman"/>
                <w:sz w:val="24"/>
                <w:szCs w:val="24"/>
              </w:rPr>
            </w:pPr>
            <w:r w:rsidRPr="001355FE">
              <w:rPr>
                <w:rFonts w:ascii="Times New Roman" w:hAnsi="Times New Roman" w:cs="Times New Roman"/>
                <w:sz w:val="24"/>
                <w:szCs w:val="24"/>
              </w:rPr>
              <w:t>2014</w:t>
            </w:r>
          </w:p>
        </w:tc>
        <w:tc>
          <w:tcPr>
            <w:tcW w:w="6633" w:type="dxa"/>
          </w:tcPr>
          <w:p w14:paraId="7C043730" w14:textId="77777777" w:rsidR="00CE6076" w:rsidRPr="001355FE" w:rsidRDefault="00CE6076" w:rsidP="007D14E0">
            <w:pPr>
              <w:jc w:val="both"/>
              <w:rPr>
                <w:rFonts w:ascii="Times New Roman" w:eastAsia="Calibri" w:hAnsi="Times New Roman" w:cs="Times New Roman"/>
                <w:sz w:val="24"/>
                <w:szCs w:val="24"/>
                <w:lang w:eastAsia="nb-NO"/>
              </w:rPr>
            </w:pPr>
            <w:r w:rsidRPr="001355FE">
              <w:rPr>
                <w:rFonts w:ascii="Times New Roman" w:eastAsia="Calibri" w:hAnsi="Times New Roman" w:cs="Times New Roman"/>
                <w:sz w:val="24"/>
                <w:szCs w:val="24"/>
                <w:lang w:eastAsia="nb-NO"/>
              </w:rPr>
              <w:t>Multifaceted intervention: not possible to disentangle the effects of patient-oriented interventions</w:t>
            </w:r>
            <w:r>
              <w:rPr>
                <w:rFonts w:ascii="Times New Roman" w:eastAsia="Calibri" w:hAnsi="Times New Roman" w:cs="Times New Roman"/>
                <w:sz w:val="24"/>
                <w:szCs w:val="24"/>
                <w:lang w:eastAsia="nb-NO"/>
              </w:rPr>
              <w:t>.</w:t>
            </w:r>
          </w:p>
        </w:tc>
      </w:tr>
      <w:tr w:rsidR="00CE6076" w:rsidRPr="001355FE" w14:paraId="0D73DC2C" w14:textId="77777777" w:rsidTr="007D14E0">
        <w:tc>
          <w:tcPr>
            <w:tcW w:w="2093" w:type="dxa"/>
          </w:tcPr>
          <w:p w14:paraId="76F5F286" w14:textId="312EFC80" w:rsidR="00CE6076" w:rsidRPr="001355FE" w:rsidRDefault="00CE6076" w:rsidP="006E5EBD">
            <w:pPr>
              <w:jc w:val="both"/>
              <w:rPr>
                <w:rFonts w:ascii="Times New Roman" w:hAnsi="Times New Roman" w:cs="Times New Roman"/>
                <w:sz w:val="24"/>
                <w:szCs w:val="24"/>
              </w:rPr>
            </w:pPr>
            <w:r w:rsidRPr="001355FE">
              <w:rPr>
                <w:rFonts w:ascii="Times New Roman" w:hAnsi="Times New Roman" w:cs="Times New Roman"/>
                <w:sz w:val="24"/>
                <w:szCs w:val="24"/>
              </w:rPr>
              <w:t>Rubin</w:t>
            </w:r>
            <w:r>
              <w:rPr>
                <w:rFonts w:ascii="Times New Roman" w:hAnsi="Times New Roman" w:cs="Times New Roman"/>
                <w:sz w:val="24"/>
                <w:szCs w:val="24"/>
              </w:rPr>
              <w:t xml:space="preserve"> et al.</w:t>
            </w:r>
            <w:r w:rsidR="006E5EBD">
              <w:rPr>
                <w:rFonts w:ascii="Times New Roman" w:hAnsi="Times New Roman" w:cs="Times New Roman"/>
                <w:sz w:val="24"/>
                <w:szCs w:val="24"/>
              </w:rPr>
              <w:t xml:space="preserve"> [1</w:t>
            </w:r>
            <w:r w:rsidR="00DF6817">
              <w:rPr>
                <w:rFonts w:ascii="Times New Roman" w:hAnsi="Times New Roman" w:cs="Times New Roman"/>
                <w:sz w:val="24"/>
                <w:szCs w:val="24"/>
              </w:rPr>
              <w:t>3</w:t>
            </w:r>
            <w:r w:rsidR="006E5EBD">
              <w:rPr>
                <w:rFonts w:ascii="Times New Roman" w:hAnsi="Times New Roman" w:cs="Times New Roman"/>
                <w:sz w:val="24"/>
                <w:szCs w:val="24"/>
              </w:rPr>
              <w:t>]</w:t>
            </w:r>
            <w:r w:rsidR="006E5EBD" w:rsidRPr="001355FE">
              <w:rPr>
                <w:rFonts w:ascii="Times New Roman" w:hAnsi="Times New Roman" w:cs="Times New Roman"/>
                <w:sz w:val="24"/>
                <w:szCs w:val="24"/>
              </w:rPr>
              <w:t xml:space="preserve"> </w:t>
            </w:r>
          </w:p>
        </w:tc>
        <w:tc>
          <w:tcPr>
            <w:tcW w:w="850" w:type="dxa"/>
          </w:tcPr>
          <w:p w14:paraId="5465FECE" w14:textId="77777777" w:rsidR="00CE6076" w:rsidRPr="001355FE" w:rsidRDefault="00CE6076" w:rsidP="007D14E0">
            <w:pPr>
              <w:jc w:val="both"/>
              <w:rPr>
                <w:rFonts w:ascii="Times New Roman" w:hAnsi="Times New Roman" w:cs="Times New Roman"/>
                <w:sz w:val="24"/>
                <w:szCs w:val="24"/>
              </w:rPr>
            </w:pPr>
            <w:r w:rsidRPr="001355FE">
              <w:rPr>
                <w:rFonts w:ascii="Times New Roman" w:hAnsi="Times New Roman" w:cs="Times New Roman"/>
                <w:sz w:val="24"/>
                <w:szCs w:val="24"/>
              </w:rPr>
              <w:t>2005</w:t>
            </w:r>
          </w:p>
        </w:tc>
        <w:tc>
          <w:tcPr>
            <w:tcW w:w="6633" w:type="dxa"/>
          </w:tcPr>
          <w:p w14:paraId="67ED160D" w14:textId="77777777" w:rsidR="00CE6076" w:rsidRPr="001355FE" w:rsidRDefault="00CE6076" w:rsidP="007D14E0">
            <w:pPr>
              <w:jc w:val="both"/>
              <w:rPr>
                <w:rFonts w:ascii="Times New Roman" w:hAnsi="Times New Roman" w:cs="Times New Roman"/>
                <w:sz w:val="24"/>
                <w:szCs w:val="24"/>
              </w:rPr>
            </w:pPr>
            <w:r w:rsidRPr="001355FE">
              <w:rPr>
                <w:rFonts w:ascii="Times New Roman" w:eastAsia="Calibri" w:hAnsi="Times New Roman" w:cs="Times New Roman"/>
                <w:sz w:val="24"/>
                <w:szCs w:val="24"/>
                <w:lang w:eastAsia="nb-NO"/>
              </w:rPr>
              <w:t>CBA: Only one site</w:t>
            </w:r>
            <w:r>
              <w:rPr>
                <w:rFonts w:ascii="Times New Roman" w:eastAsia="Calibri" w:hAnsi="Times New Roman" w:cs="Times New Roman"/>
                <w:sz w:val="24"/>
                <w:szCs w:val="24"/>
                <w:lang w:eastAsia="nb-NO"/>
              </w:rPr>
              <w:t>.</w:t>
            </w:r>
          </w:p>
        </w:tc>
      </w:tr>
      <w:tr w:rsidR="00CE6076" w:rsidRPr="001355FE" w14:paraId="620251F9" w14:textId="77777777" w:rsidTr="007D14E0">
        <w:tc>
          <w:tcPr>
            <w:tcW w:w="2093" w:type="dxa"/>
          </w:tcPr>
          <w:p w14:paraId="30D24998" w14:textId="04FA0C07" w:rsidR="00CE6076" w:rsidRPr="001355FE" w:rsidRDefault="00CE6076" w:rsidP="006E5EBD">
            <w:pPr>
              <w:jc w:val="both"/>
              <w:rPr>
                <w:rFonts w:ascii="Times New Roman" w:hAnsi="Times New Roman" w:cs="Times New Roman"/>
                <w:sz w:val="24"/>
                <w:szCs w:val="24"/>
              </w:rPr>
            </w:pPr>
            <w:proofErr w:type="spellStart"/>
            <w:r w:rsidRPr="001355FE">
              <w:rPr>
                <w:rFonts w:ascii="Times New Roman" w:hAnsi="Times New Roman" w:cs="Times New Roman"/>
                <w:sz w:val="24"/>
                <w:szCs w:val="24"/>
              </w:rPr>
              <w:t>Sabuncu</w:t>
            </w:r>
            <w:proofErr w:type="spellEnd"/>
            <w:r>
              <w:rPr>
                <w:rFonts w:ascii="Times New Roman" w:hAnsi="Times New Roman" w:cs="Times New Roman"/>
                <w:sz w:val="24"/>
                <w:szCs w:val="24"/>
              </w:rPr>
              <w:t xml:space="preserve"> et al.</w:t>
            </w:r>
            <w:r w:rsidR="006E5EBD">
              <w:rPr>
                <w:rFonts w:ascii="Times New Roman" w:hAnsi="Times New Roman" w:cs="Times New Roman"/>
                <w:sz w:val="24"/>
                <w:szCs w:val="24"/>
              </w:rPr>
              <w:t xml:space="preserve"> [1</w:t>
            </w:r>
            <w:r w:rsidR="00DF6817">
              <w:rPr>
                <w:rFonts w:ascii="Times New Roman" w:hAnsi="Times New Roman" w:cs="Times New Roman"/>
                <w:sz w:val="24"/>
                <w:szCs w:val="24"/>
              </w:rPr>
              <w:t>4</w:t>
            </w:r>
            <w:r w:rsidR="006E5EBD">
              <w:rPr>
                <w:rFonts w:ascii="Times New Roman" w:hAnsi="Times New Roman" w:cs="Times New Roman"/>
                <w:sz w:val="24"/>
                <w:szCs w:val="24"/>
              </w:rPr>
              <w:t>]</w:t>
            </w:r>
            <w:r w:rsidR="006E5EBD" w:rsidRPr="001355FE">
              <w:rPr>
                <w:rFonts w:ascii="Times New Roman" w:hAnsi="Times New Roman" w:cs="Times New Roman"/>
                <w:sz w:val="24"/>
                <w:szCs w:val="24"/>
              </w:rPr>
              <w:t xml:space="preserve"> </w:t>
            </w:r>
          </w:p>
        </w:tc>
        <w:tc>
          <w:tcPr>
            <w:tcW w:w="850" w:type="dxa"/>
          </w:tcPr>
          <w:p w14:paraId="0E5E1C3F" w14:textId="77777777" w:rsidR="00CE6076" w:rsidRPr="001355FE" w:rsidRDefault="00CE6076" w:rsidP="007D14E0">
            <w:pPr>
              <w:jc w:val="both"/>
              <w:rPr>
                <w:rFonts w:ascii="Times New Roman" w:hAnsi="Times New Roman" w:cs="Times New Roman"/>
                <w:sz w:val="24"/>
                <w:szCs w:val="24"/>
              </w:rPr>
            </w:pPr>
            <w:r w:rsidRPr="001355FE">
              <w:rPr>
                <w:rFonts w:ascii="Times New Roman" w:hAnsi="Times New Roman" w:cs="Times New Roman"/>
                <w:sz w:val="24"/>
                <w:szCs w:val="24"/>
              </w:rPr>
              <w:t>2009</w:t>
            </w:r>
          </w:p>
        </w:tc>
        <w:tc>
          <w:tcPr>
            <w:tcW w:w="6633" w:type="dxa"/>
          </w:tcPr>
          <w:p w14:paraId="4B6E5010" w14:textId="77777777" w:rsidR="00CE6076" w:rsidRPr="001355FE" w:rsidRDefault="00CE6076" w:rsidP="007D14E0">
            <w:pPr>
              <w:jc w:val="both"/>
              <w:rPr>
                <w:rFonts w:ascii="Times New Roman" w:hAnsi="Times New Roman" w:cs="Times New Roman"/>
                <w:sz w:val="24"/>
                <w:szCs w:val="24"/>
              </w:rPr>
            </w:pPr>
            <w:r w:rsidRPr="001355FE">
              <w:rPr>
                <w:rFonts w:ascii="Times New Roman" w:eastAsia="Calibri" w:hAnsi="Times New Roman" w:cs="Times New Roman"/>
                <w:sz w:val="24"/>
                <w:szCs w:val="24"/>
                <w:lang w:eastAsia="nb-NO"/>
              </w:rPr>
              <w:t>ITS: insufficient number of observations</w:t>
            </w:r>
            <w:r>
              <w:rPr>
                <w:rFonts w:ascii="Times New Roman" w:eastAsia="Calibri" w:hAnsi="Times New Roman" w:cs="Times New Roman"/>
                <w:sz w:val="24"/>
                <w:szCs w:val="24"/>
                <w:lang w:eastAsia="nb-NO"/>
              </w:rPr>
              <w:t>.</w:t>
            </w:r>
          </w:p>
        </w:tc>
      </w:tr>
      <w:tr w:rsidR="00CE6076" w:rsidRPr="001355FE" w14:paraId="501D9B7A" w14:textId="77777777" w:rsidTr="007D14E0">
        <w:tc>
          <w:tcPr>
            <w:tcW w:w="2093" w:type="dxa"/>
          </w:tcPr>
          <w:p w14:paraId="0E0FA756" w14:textId="71A1B324" w:rsidR="00CE6076" w:rsidRPr="001355FE" w:rsidRDefault="00CE6076" w:rsidP="006E5EBD">
            <w:pPr>
              <w:jc w:val="both"/>
              <w:rPr>
                <w:rFonts w:ascii="Times New Roman" w:hAnsi="Times New Roman" w:cs="Times New Roman"/>
                <w:sz w:val="24"/>
                <w:szCs w:val="24"/>
              </w:rPr>
            </w:pPr>
            <w:proofErr w:type="spellStart"/>
            <w:r w:rsidRPr="001355FE">
              <w:rPr>
                <w:rFonts w:ascii="Times New Roman" w:hAnsi="Times New Roman" w:cs="Times New Roman"/>
                <w:color w:val="292526"/>
                <w:sz w:val="24"/>
                <w:szCs w:val="24"/>
              </w:rPr>
              <w:t>Welschen</w:t>
            </w:r>
            <w:proofErr w:type="spellEnd"/>
            <w:r>
              <w:rPr>
                <w:rFonts w:ascii="Times New Roman" w:hAnsi="Times New Roman" w:cs="Times New Roman"/>
                <w:color w:val="292526"/>
                <w:sz w:val="24"/>
                <w:szCs w:val="24"/>
              </w:rPr>
              <w:t xml:space="preserve"> </w:t>
            </w:r>
            <w:r>
              <w:rPr>
                <w:rFonts w:ascii="Times New Roman" w:hAnsi="Times New Roman" w:cs="Times New Roman"/>
                <w:sz w:val="24"/>
                <w:szCs w:val="24"/>
              </w:rPr>
              <w:t>et al.</w:t>
            </w:r>
            <w:r w:rsidR="006E5EBD">
              <w:rPr>
                <w:rFonts w:ascii="Times New Roman" w:hAnsi="Times New Roman" w:cs="Times New Roman"/>
                <w:sz w:val="24"/>
                <w:szCs w:val="24"/>
              </w:rPr>
              <w:t xml:space="preserve"> [1</w:t>
            </w:r>
            <w:r w:rsidR="00DF6817">
              <w:rPr>
                <w:rFonts w:ascii="Times New Roman" w:hAnsi="Times New Roman" w:cs="Times New Roman"/>
                <w:sz w:val="24"/>
                <w:szCs w:val="24"/>
              </w:rPr>
              <w:t>5</w:t>
            </w:r>
            <w:r w:rsidR="006E5EBD">
              <w:rPr>
                <w:rFonts w:ascii="Times New Roman" w:hAnsi="Times New Roman" w:cs="Times New Roman"/>
                <w:sz w:val="24"/>
                <w:szCs w:val="24"/>
              </w:rPr>
              <w:t>]</w:t>
            </w:r>
            <w:r w:rsidR="006E5EBD" w:rsidRPr="001355FE">
              <w:rPr>
                <w:rFonts w:ascii="Times New Roman" w:hAnsi="Times New Roman" w:cs="Times New Roman"/>
                <w:sz w:val="24"/>
                <w:szCs w:val="24"/>
              </w:rPr>
              <w:t xml:space="preserve"> </w:t>
            </w:r>
          </w:p>
        </w:tc>
        <w:tc>
          <w:tcPr>
            <w:tcW w:w="850" w:type="dxa"/>
          </w:tcPr>
          <w:p w14:paraId="0993349C" w14:textId="77777777" w:rsidR="00CE6076" w:rsidRPr="001355FE" w:rsidRDefault="00CE6076" w:rsidP="007D14E0">
            <w:pPr>
              <w:jc w:val="both"/>
              <w:rPr>
                <w:rFonts w:ascii="Times New Roman" w:hAnsi="Times New Roman" w:cs="Times New Roman"/>
                <w:sz w:val="24"/>
                <w:szCs w:val="24"/>
              </w:rPr>
            </w:pPr>
            <w:r w:rsidRPr="001355FE">
              <w:rPr>
                <w:rFonts w:ascii="Times New Roman" w:hAnsi="Times New Roman" w:cs="Times New Roman"/>
                <w:sz w:val="24"/>
                <w:szCs w:val="24"/>
              </w:rPr>
              <w:t>2004</w:t>
            </w:r>
          </w:p>
        </w:tc>
        <w:tc>
          <w:tcPr>
            <w:tcW w:w="6633" w:type="dxa"/>
          </w:tcPr>
          <w:p w14:paraId="6F55F825" w14:textId="77777777" w:rsidR="00CE6076" w:rsidRPr="001355FE" w:rsidRDefault="00CE6076" w:rsidP="007D14E0">
            <w:pPr>
              <w:jc w:val="both"/>
              <w:rPr>
                <w:rFonts w:ascii="Times New Roman" w:hAnsi="Times New Roman" w:cs="Times New Roman"/>
                <w:sz w:val="24"/>
                <w:szCs w:val="24"/>
              </w:rPr>
            </w:pPr>
            <w:r w:rsidRPr="001355FE">
              <w:rPr>
                <w:rFonts w:ascii="Times New Roman" w:eastAsia="Calibri" w:hAnsi="Times New Roman" w:cs="Times New Roman"/>
                <w:sz w:val="24"/>
                <w:szCs w:val="24"/>
                <w:lang w:eastAsia="nb-NO"/>
              </w:rPr>
              <w:t>Multifaceted intervention: not possible to disentangle the effects of patient-oriented interventions</w:t>
            </w:r>
            <w:r>
              <w:rPr>
                <w:rFonts w:ascii="Times New Roman" w:eastAsia="Calibri" w:hAnsi="Times New Roman" w:cs="Times New Roman"/>
                <w:sz w:val="24"/>
                <w:szCs w:val="24"/>
                <w:lang w:eastAsia="nb-NO"/>
              </w:rPr>
              <w:t>.</w:t>
            </w:r>
          </w:p>
        </w:tc>
      </w:tr>
    </w:tbl>
    <w:p w14:paraId="1AE270DD" w14:textId="77777777" w:rsidR="00CE6076" w:rsidRDefault="00CE6076" w:rsidP="00CE6076">
      <w:pPr>
        <w:rPr>
          <w:rFonts w:ascii="Times New Roman" w:hAnsi="Times New Roman" w:cs="Times New Roman"/>
          <w:b/>
          <w:bCs/>
          <w:sz w:val="36"/>
          <w:szCs w:val="36"/>
        </w:rPr>
      </w:pPr>
    </w:p>
    <w:p w14:paraId="7C108415" w14:textId="77777777" w:rsidR="00B2541A" w:rsidRPr="00691ACA" w:rsidRDefault="009C0EA0" w:rsidP="00691ACA">
      <w:pPr>
        <w:spacing w:line="480" w:lineRule="auto"/>
        <w:jc w:val="both"/>
        <w:rPr>
          <w:rFonts w:ascii="Times New Roman" w:hAnsi="Times New Roman" w:cs="Times New Roman"/>
          <w:b/>
          <w:bCs/>
          <w:sz w:val="36"/>
          <w:szCs w:val="36"/>
        </w:rPr>
      </w:pPr>
      <w:r w:rsidRPr="00691ACA">
        <w:rPr>
          <w:rFonts w:ascii="Times New Roman" w:hAnsi="Times New Roman" w:cs="Times New Roman"/>
          <w:b/>
          <w:bCs/>
          <w:sz w:val="36"/>
          <w:szCs w:val="36"/>
        </w:rPr>
        <w:t>References:</w:t>
      </w:r>
    </w:p>
    <w:p w14:paraId="20A80381" w14:textId="77777777" w:rsidR="009C0EA0" w:rsidRDefault="00691ACA" w:rsidP="00691ACA">
      <w:pPr>
        <w:widowControl w:val="0"/>
        <w:autoSpaceDE w:val="0"/>
        <w:autoSpaceDN w:val="0"/>
        <w:adjustRightInd w:val="0"/>
        <w:spacing w:line="48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1. </w:t>
      </w:r>
      <w:r w:rsidR="009C0EA0" w:rsidRPr="00B45509">
        <w:rPr>
          <w:rFonts w:ascii="Times New Roman" w:hAnsi="Times New Roman" w:cs="Times New Roman"/>
          <w:noProof/>
          <w:sz w:val="24"/>
          <w:szCs w:val="24"/>
        </w:rPr>
        <w:t xml:space="preserve">Belongia EA, Knobloch MJ, Kieke BA, Davis JP, Janette C, Besser RE. Impact of statewide program to promote appropriate antimicrobial drug use. Emerg Infect Dis. 2005 Jun;11(6):912–20. </w:t>
      </w:r>
    </w:p>
    <w:p w14:paraId="689B38AA" w14:textId="77777777" w:rsidR="009C0EA0" w:rsidRPr="004111D9" w:rsidRDefault="00691ACA" w:rsidP="00691ACA">
      <w:pPr>
        <w:widowControl w:val="0"/>
        <w:autoSpaceDE w:val="0"/>
        <w:autoSpaceDN w:val="0"/>
        <w:adjustRightInd w:val="0"/>
        <w:spacing w:line="48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2. </w:t>
      </w:r>
      <w:r w:rsidR="009C0EA0" w:rsidRPr="00B45509">
        <w:rPr>
          <w:rFonts w:ascii="Times New Roman" w:hAnsi="Times New Roman" w:cs="Times New Roman"/>
          <w:noProof/>
          <w:sz w:val="24"/>
          <w:szCs w:val="24"/>
        </w:rPr>
        <w:t xml:space="preserve">Cebotarenco N, Bush PJ. Reducing antibiotics for colds and flu: a student-taught program. </w:t>
      </w:r>
      <w:r w:rsidR="009C0EA0" w:rsidRPr="00B45509">
        <w:rPr>
          <w:rFonts w:ascii="Times New Roman" w:hAnsi="Times New Roman" w:cs="Times New Roman"/>
          <w:noProof/>
          <w:sz w:val="24"/>
          <w:szCs w:val="24"/>
        </w:rPr>
        <w:lastRenderedPageBreak/>
        <w:t>Health Educ Res. 2008 Feb;23(1):146–57.</w:t>
      </w:r>
    </w:p>
    <w:p w14:paraId="25D9B291" w14:textId="77777777" w:rsidR="009C0EA0" w:rsidRPr="004111D9" w:rsidRDefault="00691ACA" w:rsidP="00691ACA">
      <w:pPr>
        <w:widowControl w:val="0"/>
        <w:autoSpaceDE w:val="0"/>
        <w:autoSpaceDN w:val="0"/>
        <w:adjustRightInd w:val="0"/>
        <w:spacing w:line="48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3. </w:t>
      </w:r>
      <w:hyperlink r:id="rId6" w:history="1">
        <w:r w:rsidR="009C0EA0" w:rsidRPr="00B45509">
          <w:rPr>
            <w:rFonts w:ascii="Times New Roman" w:hAnsi="Times New Roman" w:cs="Times New Roman"/>
            <w:noProof/>
            <w:sz w:val="24"/>
            <w:szCs w:val="24"/>
          </w:rPr>
          <w:t>Dowell J</w:t>
        </w:r>
      </w:hyperlink>
      <w:r w:rsidR="009C0EA0" w:rsidRPr="00B45509">
        <w:rPr>
          <w:rFonts w:ascii="Times New Roman" w:hAnsi="Times New Roman" w:cs="Times New Roman"/>
          <w:noProof/>
          <w:sz w:val="24"/>
          <w:szCs w:val="24"/>
        </w:rPr>
        <w:t xml:space="preserve">, </w:t>
      </w:r>
      <w:hyperlink r:id="rId7" w:history="1">
        <w:r w:rsidR="009C0EA0" w:rsidRPr="00B45509">
          <w:rPr>
            <w:rFonts w:ascii="Times New Roman" w:hAnsi="Times New Roman" w:cs="Times New Roman"/>
            <w:noProof/>
            <w:sz w:val="24"/>
            <w:szCs w:val="24"/>
          </w:rPr>
          <w:t>Pitkethly M</w:t>
        </w:r>
      </w:hyperlink>
      <w:r w:rsidR="009C0EA0" w:rsidRPr="00B45509">
        <w:rPr>
          <w:rFonts w:ascii="Times New Roman" w:hAnsi="Times New Roman" w:cs="Times New Roman"/>
          <w:noProof/>
          <w:sz w:val="24"/>
          <w:szCs w:val="24"/>
        </w:rPr>
        <w:t xml:space="preserve">, </w:t>
      </w:r>
      <w:hyperlink r:id="rId8" w:history="1">
        <w:r w:rsidR="009C0EA0" w:rsidRPr="00B45509">
          <w:rPr>
            <w:rFonts w:ascii="Times New Roman" w:hAnsi="Times New Roman" w:cs="Times New Roman"/>
            <w:noProof/>
            <w:sz w:val="24"/>
            <w:szCs w:val="24"/>
          </w:rPr>
          <w:t>Bain J</w:t>
        </w:r>
      </w:hyperlink>
      <w:r w:rsidR="009C0EA0" w:rsidRPr="00B45509">
        <w:rPr>
          <w:rFonts w:ascii="Times New Roman" w:hAnsi="Times New Roman" w:cs="Times New Roman"/>
          <w:noProof/>
          <w:sz w:val="24"/>
          <w:szCs w:val="24"/>
        </w:rPr>
        <w:t xml:space="preserve">, </w:t>
      </w:r>
      <w:hyperlink r:id="rId9" w:history="1">
        <w:r w:rsidR="009C0EA0" w:rsidRPr="00B45509">
          <w:rPr>
            <w:rFonts w:ascii="Times New Roman" w:hAnsi="Times New Roman" w:cs="Times New Roman"/>
            <w:noProof/>
            <w:sz w:val="24"/>
            <w:szCs w:val="24"/>
          </w:rPr>
          <w:t>Martin S</w:t>
        </w:r>
      </w:hyperlink>
      <w:r w:rsidR="009C0EA0" w:rsidRPr="00B45509">
        <w:rPr>
          <w:rFonts w:ascii="Times New Roman" w:hAnsi="Times New Roman" w:cs="Times New Roman"/>
          <w:noProof/>
          <w:sz w:val="24"/>
          <w:szCs w:val="24"/>
        </w:rPr>
        <w:t>. A randomised controlled trial of delayed antibiotic prescribing as a strategy for managing uncomplicated respiratory tract infection in primary care. Br J Gen Pract. 2001;51(464):200–5.</w:t>
      </w:r>
    </w:p>
    <w:p w14:paraId="2BA4323A" w14:textId="77777777" w:rsidR="009C0EA0" w:rsidRDefault="00691ACA" w:rsidP="00691ACA">
      <w:pPr>
        <w:widowControl w:val="0"/>
        <w:autoSpaceDE w:val="0"/>
        <w:autoSpaceDN w:val="0"/>
        <w:adjustRightInd w:val="0"/>
        <w:spacing w:line="48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4. </w:t>
      </w:r>
      <w:hyperlink r:id="rId10" w:history="1">
        <w:r w:rsidR="009C0EA0" w:rsidRPr="00B45509">
          <w:rPr>
            <w:rFonts w:ascii="Times New Roman" w:hAnsi="Times New Roman" w:cs="Times New Roman"/>
            <w:noProof/>
            <w:sz w:val="24"/>
            <w:szCs w:val="24"/>
          </w:rPr>
          <w:t>Flottorp S</w:t>
        </w:r>
      </w:hyperlink>
      <w:r w:rsidR="009C0EA0" w:rsidRPr="00B45509">
        <w:rPr>
          <w:rFonts w:ascii="Times New Roman" w:hAnsi="Times New Roman" w:cs="Times New Roman"/>
          <w:noProof/>
          <w:sz w:val="24"/>
          <w:szCs w:val="24"/>
        </w:rPr>
        <w:t xml:space="preserve">, </w:t>
      </w:r>
      <w:hyperlink r:id="rId11" w:history="1">
        <w:r w:rsidR="009C0EA0" w:rsidRPr="00B45509">
          <w:rPr>
            <w:rFonts w:ascii="Times New Roman" w:hAnsi="Times New Roman" w:cs="Times New Roman"/>
            <w:noProof/>
            <w:sz w:val="24"/>
            <w:szCs w:val="24"/>
          </w:rPr>
          <w:t>Oxman AD</w:t>
        </w:r>
      </w:hyperlink>
      <w:r w:rsidR="009C0EA0" w:rsidRPr="00B45509">
        <w:rPr>
          <w:rFonts w:ascii="Times New Roman" w:hAnsi="Times New Roman" w:cs="Times New Roman"/>
          <w:noProof/>
          <w:sz w:val="24"/>
          <w:szCs w:val="24"/>
        </w:rPr>
        <w:t xml:space="preserve">, </w:t>
      </w:r>
      <w:hyperlink r:id="rId12" w:history="1">
        <w:r w:rsidR="009C0EA0" w:rsidRPr="00B45509">
          <w:rPr>
            <w:rFonts w:ascii="Times New Roman" w:hAnsi="Times New Roman" w:cs="Times New Roman"/>
            <w:noProof/>
            <w:sz w:val="24"/>
            <w:szCs w:val="24"/>
          </w:rPr>
          <w:t>Håvelsrud K</w:t>
        </w:r>
      </w:hyperlink>
      <w:r w:rsidR="009C0EA0" w:rsidRPr="00B45509">
        <w:rPr>
          <w:rFonts w:ascii="Times New Roman" w:hAnsi="Times New Roman" w:cs="Times New Roman"/>
          <w:noProof/>
          <w:sz w:val="24"/>
          <w:szCs w:val="24"/>
        </w:rPr>
        <w:t xml:space="preserve">, </w:t>
      </w:r>
      <w:hyperlink r:id="rId13" w:history="1">
        <w:r w:rsidR="009C0EA0" w:rsidRPr="00B45509">
          <w:rPr>
            <w:rFonts w:ascii="Times New Roman" w:hAnsi="Times New Roman" w:cs="Times New Roman"/>
            <w:noProof/>
            <w:sz w:val="24"/>
            <w:szCs w:val="24"/>
          </w:rPr>
          <w:t>Treweek S</w:t>
        </w:r>
      </w:hyperlink>
      <w:r w:rsidR="009C0EA0" w:rsidRPr="00B45509">
        <w:rPr>
          <w:rFonts w:ascii="Times New Roman" w:hAnsi="Times New Roman" w:cs="Times New Roman"/>
          <w:noProof/>
          <w:sz w:val="24"/>
          <w:szCs w:val="24"/>
        </w:rPr>
        <w:t xml:space="preserve">, </w:t>
      </w:r>
      <w:hyperlink r:id="rId14" w:history="1">
        <w:r w:rsidR="009C0EA0" w:rsidRPr="00B45509">
          <w:rPr>
            <w:rFonts w:ascii="Times New Roman" w:hAnsi="Times New Roman" w:cs="Times New Roman"/>
            <w:noProof/>
            <w:sz w:val="24"/>
            <w:szCs w:val="24"/>
          </w:rPr>
          <w:t>Herrin J</w:t>
        </w:r>
      </w:hyperlink>
      <w:r w:rsidR="009C0EA0" w:rsidRPr="00B45509">
        <w:rPr>
          <w:rFonts w:ascii="Times New Roman" w:hAnsi="Times New Roman" w:cs="Times New Roman"/>
          <w:noProof/>
          <w:sz w:val="24"/>
          <w:szCs w:val="24"/>
        </w:rPr>
        <w:t>. Cluster randomised controlled trial of tailored interventions to improve the management of urinary tract infections in women and sore throat. Br Med J. 2002;325(7360):367–70.</w:t>
      </w:r>
    </w:p>
    <w:p w14:paraId="5527B4D5" w14:textId="77777777" w:rsidR="008F3856" w:rsidRPr="004111D9" w:rsidRDefault="008F3856" w:rsidP="00691ACA">
      <w:pPr>
        <w:widowControl w:val="0"/>
        <w:autoSpaceDE w:val="0"/>
        <w:autoSpaceDN w:val="0"/>
        <w:adjustRightInd w:val="0"/>
        <w:spacing w:line="48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5. </w:t>
      </w:r>
      <w:r w:rsidRPr="00B45509">
        <w:rPr>
          <w:rFonts w:ascii="Times New Roman" w:hAnsi="Times New Roman" w:cs="Times New Roman"/>
          <w:noProof/>
          <w:sz w:val="24"/>
          <w:szCs w:val="24"/>
        </w:rPr>
        <w:t>Grover ML, Nordrum JT, Mookadam M, Engle RL, Moats CC, Noble BN. Addressing antibiotic use for acute respiratory tract infections in an academic family medicine practice. Am J Med Qual. 2013;28(6):485–91.</w:t>
      </w:r>
    </w:p>
    <w:p w14:paraId="6F514071" w14:textId="77777777" w:rsidR="009C0EA0" w:rsidRDefault="008F3856" w:rsidP="00691ACA">
      <w:pPr>
        <w:widowControl w:val="0"/>
        <w:autoSpaceDE w:val="0"/>
        <w:autoSpaceDN w:val="0"/>
        <w:adjustRightInd w:val="0"/>
        <w:spacing w:line="480" w:lineRule="auto"/>
        <w:jc w:val="both"/>
        <w:rPr>
          <w:rFonts w:ascii="Times New Roman" w:hAnsi="Times New Roman" w:cs="Times New Roman"/>
          <w:noProof/>
          <w:sz w:val="24"/>
          <w:szCs w:val="24"/>
        </w:rPr>
      </w:pPr>
      <w:r>
        <w:rPr>
          <w:rFonts w:ascii="Times New Roman" w:hAnsi="Times New Roman" w:cs="Times New Roman"/>
          <w:noProof/>
          <w:sz w:val="24"/>
          <w:szCs w:val="24"/>
        </w:rPr>
        <w:t>6</w:t>
      </w:r>
      <w:r w:rsidR="00691ACA">
        <w:rPr>
          <w:rFonts w:ascii="Times New Roman" w:hAnsi="Times New Roman" w:cs="Times New Roman"/>
          <w:noProof/>
          <w:sz w:val="24"/>
          <w:szCs w:val="24"/>
        </w:rPr>
        <w:t xml:space="preserve">. </w:t>
      </w:r>
      <w:r w:rsidR="009C0EA0" w:rsidRPr="00B45509">
        <w:rPr>
          <w:rFonts w:ascii="Times New Roman" w:hAnsi="Times New Roman" w:cs="Times New Roman"/>
          <w:noProof/>
          <w:sz w:val="24"/>
          <w:szCs w:val="24"/>
        </w:rPr>
        <w:t xml:space="preserve">Leblanc A, Legare F, Labrecque M, Godin G, Thivierge R, Laurier C, et al. Feasibility of a randomised trial of a continuing medical education program in shared decision-making on the use of antibiotics for acute respiratory infections in primary care: the DECISION+ pilot trial. Implement Sci. 2011;6:5. </w:t>
      </w:r>
    </w:p>
    <w:p w14:paraId="1B2232ED" w14:textId="24BC831C" w:rsidR="009C0EA0" w:rsidRDefault="008F3856" w:rsidP="00691ACA">
      <w:pPr>
        <w:widowControl w:val="0"/>
        <w:autoSpaceDE w:val="0"/>
        <w:autoSpaceDN w:val="0"/>
        <w:adjustRightInd w:val="0"/>
        <w:spacing w:line="480" w:lineRule="auto"/>
        <w:jc w:val="both"/>
        <w:rPr>
          <w:rFonts w:ascii="Times New Roman" w:hAnsi="Times New Roman" w:cs="Times New Roman"/>
          <w:noProof/>
          <w:sz w:val="24"/>
          <w:szCs w:val="24"/>
        </w:rPr>
      </w:pPr>
      <w:r>
        <w:rPr>
          <w:rFonts w:ascii="Times New Roman" w:hAnsi="Times New Roman" w:cs="Times New Roman"/>
          <w:sz w:val="24"/>
          <w:szCs w:val="24"/>
        </w:rPr>
        <w:t>7</w:t>
      </w:r>
      <w:r w:rsidR="00691ACA">
        <w:t xml:space="preserve">. </w:t>
      </w:r>
      <w:hyperlink r:id="rId15" w:history="1">
        <w:r w:rsidR="009C0EA0" w:rsidRPr="00B45509">
          <w:rPr>
            <w:rFonts w:ascii="Times New Roman" w:hAnsi="Times New Roman" w:cs="Times New Roman"/>
            <w:noProof/>
            <w:sz w:val="24"/>
            <w:szCs w:val="24"/>
          </w:rPr>
          <w:t>Llor C</w:t>
        </w:r>
      </w:hyperlink>
      <w:r w:rsidR="009C0EA0" w:rsidRPr="00B45509">
        <w:rPr>
          <w:rFonts w:ascii="Times New Roman" w:hAnsi="Times New Roman" w:cs="Times New Roman"/>
          <w:noProof/>
          <w:sz w:val="24"/>
          <w:szCs w:val="24"/>
        </w:rPr>
        <w:t xml:space="preserve">, </w:t>
      </w:r>
      <w:hyperlink r:id="rId16" w:history="1">
        <w:r w:rsidR="009C0EA0" w:rsidRPr="00B45509">
          <w:rPr>
            <w:rFonts w:ascii="Times New Roman" w:hAnsi="Times New Roman" w:cs="Times New Roman"/>
            <w:noProof/>
            <w:sz w:val="24"/>
            <w:szCs w:val="24"/>
          </w:rPr>
          <w:t>Cots JM</w:t>
        </w:r>
      </w:hyperlink>
      <w:r w:rsidR="009C0EA0" w:rsidRPr="00B45509">
        <w:rPr>
          <w:rFonts w:ascii="Times New Roman" w:hAnsi="Times New Roman" w:cs="Times New Roman"/>
          <w:noProof/>
          <w:sz w:val="24"/>
          <w:szCs w:val="24"/>
        </w:rPr>
        <w:t xml:space="preserve">, </w:t>
      </w:r>
      <w:hyperlink r:id="rId17" w:history="1">
        <w:r w:rsidR="009C0EA0" w:rsidRPr="00B45509">
          <w:rPr>
            <w:rFonts w:ascii="Times New Roman" w:hAnsi="Times New Roman" w:cs="Times New Roman"/>
            <w:noProof/>
            <w:sz w:val="24"/>
            <w:szCs w:val="24"/>
          </w:rPr>
          <w:t>Hernández S</w:t>
        </w:r>
      </w:hyperlink>
      <w:r w:rsidR="009C0EA0" w:rsidRPr="00B45509">
        <w:rPr>
          <w:rFonts w:ascii="Times New Roman" w:hAnsi="Times New Roman" w:cs="Times New Roman"/>
          <w:noProof/>
          <w:sz w:val="24"/>
          <w:szCs w:val="24"/>
        </w:rPr>
        <w:t xml:space="preserve">, </w:t>
      </w:r>
      <w:hyperlink r:id="rId18" w:history="1">
        <w:r w:rsidR="009C0EA0" w:rsidRPr="00B45509">
          <w:rPr>
            <w:rFonts w:ascii="Times New Roman" w:hAnsi="Times New Roman" w:cs="Times New Roman"/>
            <w:noProof/>
            <w:sz w:val="24"/>
            <w:szCs w:val="24"/>
          </w:rPr>
          <w:t>Ortega J</w:t>
        </w:r>
      </w:hyperlink>
      <w:r w:rsidR="009C0EA0" w:rsidRPr="00B45509">
        <w:rPr>
          <w:rFonts w:ascii="Times New Roman" w:hAnsi="Times New Roman" w:cs="Times New Roman"/>
          <w:noProof/>
          <w:sz w:val="24"/>
          <w:szCs w:val="24"/>
        </w:rPr>
        <w:t xml:space="preserve">, </w:t>
      </w:r>
      <w:hyperlink r:id="rId19" w:history="1">
        <w:r w:rsidR="009C0EA0" w:rsidRPr="00B45509">
          <w:rPr>
            <w:rFonts w:ascii="Times New Roman" w:hAnsi="Times New Roman" w:cs="Times New Roman"/>
            <w:noProof/>
            <w:sz w:val="24"/>
            <w:szCs w:val="24"/>
          </w:rPr>
          <w:t>Arranz J</w:t>
        </w:r>
      </w:hyperlink>
      <w:r w:rsidR="009C0EA0" w:rsidRPr="00B45509">
        <w:rPr>
          <w:rFonts w:ascii="Times New Roman" w:hAnsi="Times New Roman" w:cs="Times New Roman"/>
          <w:noProof/>
          <w:sz w:val="24"/>
          <w:szCs w:val="24"/>
        </w:rPr>
        <w:t xml:space="preserve">, </w:t>
      </w:r>
      <w:hyperlink r:id="rId20" w:history="1">
        <w:r w:rsidR="009C0EA0" w:rsidRPr="00B45509">
          <w:rPr>
            <w:rFonts w:ascii="Times New Roman" w:hAnsi="Times New Roman" w:cs="Times New Roman"/>
            <w:noProof/>
            <w:sz w:val="24"/>
            <w:szCs w:val="24"/>
          </w:rPr>
          <w:t>Monedero MJ</w:t>
        </w:r>
      </w:hyperlink>
      <w:r w:rsidR="009C0EA0" w:rsidRPr="00B45509">
        <w:rPr>
          <w:rFonts w:ascii="Times New Roman" w:hAnsi="Times New Roman" w:cs="Times New Roman"/>
          <w:noProof/>
          <w:sz w:val="24"/>
          <w:szCs w:val="24"/>
        </w:rPr>
        <w:t xml:space="preserve"> et al. Effectiveness of two types of intervention on antibiotic prescribing in respiratory tract infections in Primary Care in Spain. Happy Audit Study. </w:t>
      </w:r>
      <w:hyperlink r:id="rId21" w:tooltip="Atencion primaria." w:history="1">
        <w:r w:rsidR="009C0EA0" w:rsidRPr="00B45509">
          <w:rPr>
            <w:rFonts w:ascii="Times New Roman" w:hAnsi="Times New Roman" w:cs="Times New Roman"/>
            <w:noProof/>
            <w:sz w:val="24"/>
            <w:szCs w:val="24"/>
          </w:rPr>
          <w:t>Aten Primaria.</w:t>
        </w:r>
      </w:hyperlink>
      <w:r w:rsidR="009C0EA0" w:rsidRPr="00B45509">
        <w:rPr>
          <w:rFonts w:ascii="Times New Roman" w:hAnsi="Times New Roman" w:cs="Times New Roman"/>
          <w:noProof/>
          <w:sz w:val="24"/>
          <w:szCs w:val="24"/>
        </w:rPr>
        <w:t xml:space="preserve"> 2014 Nov;46(9):492-500.</w:t>
      </w:r>
    </w:p>
    <w:p w14:paraId="6EFE8A6F" w14:textId="65CDD8AB" w:rsidR="00737A00" w:rsidRDefault="001E30D7" w:rsidP="00691ACA">
      <w:pPr>
        <w:widowControl w:val="0"/>
        <w:autoSpaceDE w:val="0"/>
        <w:autoSpaceDN w:val="0"/>
        <w:adjustRightInd w:val="0"/>
        <w:spacing w:line="48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8. </w:t>
      </w:r>
      <w:hyperlink r:id="rId22" w:history="1">
        <w:r w:rsidR="00A76F31" w:rsidRPr="00B45509">
          <w:rPr>
            <w:rFonts w:ascii="Times New Roman" w:hAnsi="Times New Roman" w:cs="Times New Roman"/>
            <w:noProof/>
            <w:sz w:val="24"/>
            <w:szCs w:val="24"/>
          </w:rPr>
          <w:t>Mainous AG 3rd</w:t>
        </w:r>
      </w:hyperlink>
      <w:r w:rsidR="00A76F31" w:rsidRPr="00B45509">
        <w:rPr>
          <w:rFonts w:ascii="Times New Roman" w:hAnsi="Times New Roman" w:cs="Times New Roman"/>
          <w:noProof/>
          <w:sz w:val="24"/>
          <w:szCs w:val="24"/>
        </w:rPr>
        <w:t xml:space="preserve">, </w:t>
      </w:r>
      <w:hyperlink r:id="rId23" w:history="1">
        <w:r w:rsidR="00A76F31" w:rsidRPr="00B45509">
          <w:rPr>
            <w:rFonts w:ascii="Times New Roman" w:hAnsi="Times New Roman" w:cs="Times New Roman"/>
            <w:noProof/>
            <w:sz w:val="24"/>
            <w:szCs w:val="24"/>
          </w:rPr>
          <w:t>Hueston WJ</w:t>
        </w:r>
      </w:hyperlink>
      <w:r w:rsidR="00A76F31" w:rsidRPr="00B45509">
        <w:rPr>
          <w:rFonts w:ascii="Times New Roman" w:hAnsi="Times New Roman" w:cs="Times New Roman"/>
          <w:noProof/>
          <w:sz w:val="24"/>
          <w:szCs w:val="24"/>
        </w:rPr>
        <w:t xml:space="preserve">, </w:t>
      </w:r>
      <w:hyperlink r:id="rId24" w:history="1">
        <w:r w:rsidR="00A76F31" w:rsidRPr="00B45509">
          <w:rPr>
            <w:rFonts w:ascii="Times New Roman" w:hAnsi="Times New Roman" w:cs="Times New Roman"/>
            <w:noProof/>
            <w:sz w:val="24"/>
            <w:szCs w:val="24"/>
          </w:rPr>
          <w:t>Love MM</w:t>
        </w:r>
      </w:hyperlink>
      <w:r w:rsidR="00A76F31" w:rsidRPr="00B45509">
        <w:rPr>
          <w:rFonts w:ascii="Times New Roman" w:hAnsi="Times New Roman" w:cs="Times New Roman"/>
          <w:noProof/>
          <w:sz w:val="24"/>
          <w:szCs w:val="24"/>
        </w:rPr>
        <w:t xml:space="preserve">, </w:t>
      </w:r>
      <w:hyperlink r:id="rId25" w:history="1">
        <w:r w:rsidR="00A76F31" w:rsidRPr="00B45509">
          <w:rPr>
            <w:rFonts w:ascii="Times New Roman" w:hAnsi="Times New Roman" w:cs="Times New Roman"/>
            <w:noProof/>
            <w:sz w:val="24"/>
            <w:szCs w:val="24"/>
          </w:rPr>
          <w:t>Evans ME</w:t>
        </w:r>
      </w:hyperlink>
      <w:r w:rsidR="00A76F31" w:rsidRPr="00B45509">
        <w:rPr>
          <w:rFonts w:ascii="Times New Roman" w:hAnsi="Times New Roman" w:cs="Times New Roman"/>
          <w:noProof/>
          <w:sz w:val="24"/>
          <w:szCs w:val="24"/>
        </w:rPr>
        <w:t xml:space="preserve">, </w:t>
      </w:r>
      <w:hyperlink r:id="rId26" w:history="1">
        <w:r w:rsidR="00A76F31" w:rsidRPr="00B45509">
          <w:rPr>
            <w:rFonts w:ascii="Times New Roman" w:hAnsi="Times New Roman" w:cs="Times New Roman"/>
            <w:noProof/>
            <w:sz w:val="24"/>
            <w:szCs w:val="24"/>
          </w:rPr>
          <w:t>Finger R</w:t>
        </w:r>
      </w:hyperlink>
      <w:r w:rsidR="00A76F31" w:rsidRPr="00B45509">
        <w:rPr>
          <w:rFonts w:ascii="Times New Roman" w:hAnsi="Times New Roman" w:cs="Times New Roman"/>
          <w:noProof/>
          <w:sz w:val="24"/>
          <w:szCs w:val="24"/>
        </w:rPr>
        <w:t xml:space="preserve">. An evaluation of statewide strategies to reduce antibiotic overuse. </w:t>
      </w:r>
      <w:hyperlink r:id="rId27" w:tooltip="Family medicine." w:history="1">
        <w:r w:rsidR="00A76F31" w:rsidRPr="00B45509">
          <w:rPr>
            <w:rFonts w:ascii="Times New Roman" w:hAnsi="Times New Roman" w:cs="Times New Roman"/>
            <w:noProof/>
            <w:sz w:val="24"/>
            <w:szCs w:val="24"/>
          </w:rPr>
          <w:t>Fam Med.</w:t>
        </w:r>
      </w:hyperlink>
      <w:r w:rsidR="00A76F31" w:rsidRPr="00B45509">
        <w:rPr>
          <w:rFonts w:ascii="Times New Roman" w:hAnsi="Times New Roman" w:cs="Times New Roman"/>
          <w:noProof/>
          <w:sz w:val="24"/>
          <w:szCs w:val="24"/>
        </w:rPr>
        <w:t xml:space="preserve"> 2000 Jan;32(1):22-9.</w:t>
      </w:r>
    </w:p>
    <w:p w14:paraId="0A087BF4" w14:textId="3FAADFD9" w:rsidR="009C0EA0" w:rsidRDefault="001E30D7" w:rsidP="00691ACA">
      <w:pPr>
        <w:widowControl w:val="0"/>
        <w:autoSpaceDE w:val="0"/>
        <w:autoSpaceDN w:val="0"/>
        <w:adjustRightInd w:val="0"/>
        <w:spacing w:line="480" w:lineRule="auto"/>
        <w:jc w:val="both"/>
        <w:rPr>
          <w:rFonts w:ascii="Times New Roman" w:hAnsi="Times New Roman" w:cs="Times New Roman"/>
          <w:noProof/>
          <w:sz w:val="24"/>
          <w:szCs w:val="24"/>
        </w:rPr>
      </w:pPr>
      <w:r>
        <w:rPr>
          <w:rFonts w:ascii="Times New Roman" w:hAnsi="Times New Roman" w:cs="Times New Roman"/>
          <w:noProof/>
          <w:sz w:val="24"/>
          <w:szCs w:val="24"/>
        </w:rPr>
        <w:t>9</w:t>
      </w:r>
      <w:r w:rsidR="00691ACA">
        <w:rPr>
          <w:rFonts w:ascii="Times New Roman" w:hAnsi="Times New Roman" w:cs="Times New Roman"/>
          <w:noProof/>
          <w:sz w:val="24"/>
          <w:szCs w:val="24"/>
        </w:rPr>
        <w:t xml:space="preserve">. </w:t>
      </w:r>
      <w:hyperlink r:id="rId28" w:history="1">
        <w:r w:rsidR="009C0EA0" w:rsidRPr="00691ACA">
          <w:rPr>
            <w:rStyle w:val="Hyperlink"/>
            <w:rFonts w:ascii="Times New Roman" w:hAnsi="Times New Roman" w:cs="Times New Roman"/>
            <w:noProof/>
            <w:color w:val="auto"/>
            <w:sz w:val="24"/>
            <w:szCs w:val="24"/>
            <w:u w:val="none"/>
          </w:rPr>
          <w:t>Malmvall BE</w:t>
        </w:r>
      </w:hyperlink>
      <w:r w:rsidR="009C0EA0" w:rsidRPr="00691ACA">
        <w:rPr>
          <w:rFonts w:ascii="Times New Roman" w:hAnsi="Times New Roman" w:cs="Times New Roman"/>
          <w:noProof/>
          <w:sz w:val="24"/>
          <w:szCs w:val="24"/>
        </w:rPr>
        <w:t xml:space="preserve">, </w:t>
      </w:r>
      <w:hyperlink r:id="rId29" w:history="1">
        <w:r w:rsidR="009C0EA0" w:rsidRPr="00691ACA">
          <w:rPr>
            <w:rStyle w:val="Hyperlink"/>
            <w:rFonts w:ascii="Times New Roman" w:hAnsi="Times New Roman" w:cs="Times New Roman"/>
            <w:noProof/>
            <w:color w:val="auto"/>
            <w:sz w:val="24"/>
            <w:szCs w:val="24"/>
            <w:u w:val="none"/>
          </w:rPr>
          <w:t>Mölstad S</w:t>
        </w:r>
      </w:hyperlink>
      <w:r w:rsidR="009C0EA0" w:rsidRPr="00691ACA">
        <w:rPr>
          <w:rFonts w:ascii="Times New Roman" w:hAnsi="Times New Roman" w:cs="Times New Roman"/>
          <w:noProof/>
          <w:sz w:val="24"/>
          <w:szCs w:val="24"/>
        </w:rPr>
        <w:t xml:space="preserve">, </w:t>
      </w:r>
      <w:hyperlink r:id="rId30" w:history="1">
        <w:r w:rsidR="009C0EA0" w:rsidRPr="00691ACA">
          <w:rPr>
            <w:rStyle w:val="Hyperlink"/>
            <w:rFonts w:ascii="Times New Roman" w:hAnsi="Times New Roman" w:cs="Times New Roman"/>
            <w:noProof/>
            <w:color w:val="auto"/>
            <w:sz w:val="24"/>
            <w:szCs w:val="24"/>
            <w:u w:val="none"/>
          </w:rPr>
          <w:t>Darelid J</w:t>
        </w:r>
      </w:hyperlink>
      <w:r w:rsidR="009C0EA0" w:rsidRPr="00691ACA">
        <w:rPr>
          <w:rFonts w:ascii="Times New Roman" w:hAnsi="Times New Roman" w:cs="Times New Roman"/>
          <w:noProof/>
          <w:sz w:val="24"/>
          <w:szCs w:val="24"/>
        </w:rPr>
        <w:t xml:space="preserve">, </w:t>
      </w:r>
      <w:hyperlink r:id="rId31" w:history="1">
        <w:r w:rsidR="009C0EA0" w:rsidRPr="00691ACA">
          <w:rPr>
            <w:rStyle w:val="Hyperlink"/>
            <w:rFonts w:ascii="Times New Roman" w:hAnsi="Times New Roman" w:cs="Times New Roman"/>
            <w:noProof/>
            <w:color w:val="auto"/>
            <w:sz w:val="24"/>
            <w:szCs w:val="24"/>
            <w:u w:val="none"/>
          </w:rPr>
          <w:t>Hiselius A</w:t>
        </w:r>
      </w:hyperlink>
      <w:r w:rsidR="009C0EA0" w:rsidRPr="00691ACA">
        <w:rPr>
          <w:rFonts w:ascii="Times New Roman" w:hAnsi="Times New Roman" w:cs="Times New Roman"/>
          <w:noProof/>
          <w:sz w:val="24"/>
          <w:szCs w:val="24"/>
        </w:rPr>
        <w:t xml:space="preserve">, </w:t>
      </w:r>
      <w:hyperlink r:id="rId32" w:history="1">
        <w:r w:rsidR="009C0EA0" w:rsidRPr="00691ACA">
          <w:rPr>
            <w:rStyle w:val="Hyperlink"/>
            <w:rFonts w:ascii="Times New Roman" w:hAnsi="Times New Roman" w:cs="Times New Roman"/>
            <w:noProof/>
            <w:color w:val="auto"/>
            <w:sz w:val="24"/>
            <w:szCs w:val="24"/>
            <w:u w:val="none"/>
          </w:rPr>
          <w:t>Larsson L</w:t>
        </w:r>
      </w:hyperlink>
      <w:r w:rsidR="009C0EA0" w:rsidRPr="00691ACA">
        <w:rPr>
          <w:rFonts w:ascii="Times New Roman" w:hAnsi="Times New Roman" w:cs="Times New Roman"/>
          <w:noProof/>
          <w:sz w:val="24"/>
          <w:szCs w:val="24"/>
        </w:rPr>
        <w:t xml:space="preserve">, </w:t>
      </w:r>
      <w:hyperlink r:id="rId33" w:history="1">
        <w:r w:rsidR="009C0EA0" w:rsidRPr="00691ACA">
          <w:rPr>
            <w:rStyle w:val="Hyperlink"/>
            <w:rFonts w:ascii="Times New Roman" w:hAnsi="Times New Roman" w:cs="Times New Roman"/>
            <w:noProof/>
            <w:color w:val="auto"/>
            <w:sz w:val="24"/>
            <w:szCs w:val="24"/>
            <w:u w:val="none"/>
          </w:rPr>
          <w:t>Swanberg J</w:t>
        </w:r>
      </w:hyperlink>
      <w:r w:rsidR="009C0EA0" w:rsidRPr="00B45509">
        <w:rPr>
          <w:rFonts w:ascii="Times New Roman" w:hAnsi="Times New Roman" w:cs="Times New Roman"/>
          <w:noProof/>
          <w:sz w:val="24"/>
          <w:szCs w:val="24"/>
        </w:rPr>
        <w:t xml:space="preserve">, et al. Reduction of antibiotic sales and sustained low incidence of bacterial resistance: report on a broad approach </w:t>
      </w:r>
      <w:r w:rsidR="009C0EA0" w:rsidRPr="00B45509">
        <w:rPr>
          <w:rFonts w:ascii="Times New Roman" w:hAnsi="Times New Roman" w:cs="Times New Roman"/>
          <w:noProof/>
          <w:sz w:val="24"/>
          <w:szCs w:val="24"/>
        </w:rPr>
        <w:lastRenderedPageBreak/>
        <w:t xml:space="preserve">during 10 years to implement evidence-based indications for antibiotic prescribing in Jonkoping County, Sweden. Qual Manag Health Care. 2007 Jan;16(1):60–7. </w:t>
      </w:r>
    </w:p>
    <w:p w14:paraId="0287E88E" w14:textId="6EB838F9" w:rsidR="009C0EA0" w:rsidRPr="004111D9" w:rsidRDefault="001E30D7" w:rsidP="00691ACA">
      <w:pPr>
        <w:widowControl w:val="0"/>
        <w:autoSpaceDE w:val="0"/>
        <w:autoSpaceDN w:val="0"/>
        <w:adjustRightInd w:val="0"/>
        <w:spacing w:line="480" w:lineRule="auto"/>
        <w:jc w:val="both"/>
        <w:rPr>
          <w:rFonts w:ascii="Times New Roman" w:hAnsi="Times New Roman" w:cs="Times New Roman"/>
          <w:noProof/>
          <w:sz w:val="24"/>
          <w:szCs w:val="24"/>
        </w:rPr>
      </w:pPr>
      <w:r>
        <w:rPr>
          <w:rFonts w:ascii="Times New Roman" w:hAnsi="Times New Roman" w:cs="Times New Roman"/>
          <w:noProof/>
          <w:sz w:val="24"/>
          <w:szCs w:val="24"/>
        </w:rPr>
        <w:t>10</w:t>
      </w:r>
      <w:r w:rsidR="00691ACA">
        <w:rPr>
          <w:rFonts w:ascii="Times New Roman" w:hAnsi="Times New Roman" w:cs="Times New Roman"/>
          <w:noProof/>
          <w:sz w:val="24"/>
          <w:szCs w:val="24"/>
        </w:rPr>
        <w:t xml:space="preserve">. </w:t>
      </w:r>
      <w:r w:rsidR="009C0EA0" w:rsidRPr="00B45509">
        <w:rPr>
          <w:rFonts w:ascii="Times New Roman" w:hAnsi="Times New Roman" w:cs="Times New Roman"/>
          <w:noProof/>
          <w:sz w:val="24"/>
          <w:szCs w:val="24"/>
        </w:rPr>
        <w:t>McNulty CAM, Nichols T, Boyle PJ, Woodhead M, Davey P. The English antibiotic awareness campaigns: did they change the public’s knowledge of and attitudes to antibiotic use? J Antimicrob Chemother. 2010 Jul;65(7):1526–33.</w:t>
      </w:r>
    </w:p>
    <w:p w14:paraId="32F149CE" w14:textId="29B12AF1" w:rsidR="009C0EA0" w:rsidRPr="004111D9" w:rsidRDefault="008F3856" w:rsidP="00691ACA">
      <w:pPr>
        <w:widowControl w:val="0"/>
        <w:autoSpaceDE w:val="0"/>
        <w:autoSpaceDN w:val="0"/>
        <w:adjustRightInd w:val="0"/>
        <w:spacing w:line="480" w:lineRule="auto"/>
        <w:jc w:val="both"/>
        <w:rPr>
          <w:rFonts w:ascii="Times New Roman" w:hAnsi="Times New Roman" w:cs="Times New Roman"/>
          <w:noProof/>
          <w:sz w:val="24"/>
          <w:szCs w:val="24"/>
        </w:rPr>
      </w:pPr>
      <w:r>
        <w:rPr>
          <w:rFonts w:ascii="Times New Roman" w:hAnsi="Times New Roman" w:cs="Times New Roman"/>
          <w:noProof/>
          <w:sz w:val="24"/>
          <w:szCs w:val="24"/>
        </w:rPr>
        <w:t>1</w:t>
      </w:r>
      <w:r w:rsidR="001E30D7">
        <w:rPr>
          <w:rFonts w:ascii="Times New Roman" w:hAnsi="Times New Roman" w:cs="Times New Roman"/>
          <w:noProof/>
          <w:sz w:val="24"/>
          <w:szCs w:val="24"/>
        </w:rPr>
        <w:t>1</w:t>
      </w:r>
      <w:r w:rsidR="00691ACA">
        <w:rPr>
          <w:rFonts w:ascii="Times New Roman" w:hAnsi="Times New Roman" w:cs="Times New Roman"/>
          <w:noProof/>
          <w:sz w:val="24"/>
          <w:szCs w:val="24"/>
        </w:rPr>
        <w:t xml:space="preserve">. </w:t>
      </w:r>
      <w:hyperlink r:id="rId34" w:history="1">
        <w:r w:rsidR="009C0EA0" w:rsidRPr="00691ACA">
          <w:rPr>
            <w:rStyle w:val="Hyperlink"/>
            <w:rFonts w:ascii="Times New Roman" w:hAnsi="Times New Roman" w:cs="Times New Roman"/>
            <w:noProof/>
            <w:color w:val="auto"/>
            <w:sz w:val="24"/>
            <w:szCs w:val="24"/>
            <w:u w:val="none"/>
          </w:rPr>
          <w:t>Meeker D</w:t>
        </w:r>
      </w:hyperlink>
      <w:r w:rsidR="009C0EA0" w:rsidRPr="00691ACA">
        <w:rPr>
          <w:rFonts w:ascii="Times New Roman" w:hAnsi="Times New Roman" w:cs="Times New Roman"/>
          <w:noProof/>
          <w:sz w:val="24"/>
          <w:szCs w:val="24"/>
        </w:rPr>
        <w:t xml:space="preserve">, </w:t>
      </w:r>
      <w:hyperlink r:id="rId35" w:history="1">
        <w:r w:rsidR="009C0EA0" w:rsidRPr="00691ACA">
          <w:rPr>
            <w:rStyle w:val="Hyperlink"/>
            <w:rFonts w:ascii="Times New Roman" w:hAnsi="Times New Roman" w:cs="Times New Roman"/>
            <w:noProof/>
            <w:color w:val="auto"/>
            <w:sz w:val="24"/>
            <w:szCs w:val="24"/>
            <w:u w:val="none"/>
          </w:rPr>
          <w:t>Knight TK</w:t>
        </w:r>
      </w:hyperlink>
      <w:r w:rsidR="009C0EA0" w:rsidRPr="00691ACA">
        <w:rPr>
          <w:rFonts w:ascii="Times New Roman" w:hAnsi="Times New Roman" w:cs="Times New Roman"/>
          <w:noProof/>
          <w:sz w:val="24"/>
          <w:szCs w:val="24"/>
        </w:rPr>
        <w:t xml:space="preserve">, </w:t>
      </w:r>
      <w:hyperlink r:id="rId36" w:history="1">
        <w:r w:rsidR="009C0EA0" w:rsidRPr="00691ACA">
          <w:rPr>
            <w:rStyle w:val="Hyperlink"/>
            <w:rFonts w:ascii="Times New Roman" w:hAnsi="Times New Roman" w:cs="Times New Roman"/>
            <w:noProof/>
            <w:color w:val="auto"/>
            <w:sz w:val="24"/>
            <w:szCs w:val="24"/>
            <w:u w:val="none"/>
          </w:rPr>
          <w:t>Friedberg MW</w:t>
        </w:r>
      </w:hyperlink>
      <w:r w:rsidR="009C0EA0" w:rsidRPr="00691ACA">
        <w:rPr>
          <w:rFonts w:ascii="Times New Roman" w:hAnsi="Times New Roman" w:cs="Times New Roman"/>
          <w:noProof/>
          <w:sz w:val="24"/>
          <w:szCs w:val="24"/>
        </w:rPr>
        <w:t xml:space="preserve">, </w:t>
      </w:r>
      <w:hyperlink r:id="rId37" w:history="1">
        <w:r w:rsidR="009C0EA0" w:rsidRPr="00691ACA">
          <w:rPr>
            <w:rStyle w:val="Hyperlink"/>
            <w:rFonts w:ascii="Times New Roman" w:hAnsi="Times New Roman" w:cs="Times New Roman"/>
            <w:noProof/>
            <w:color w:val="auto"/>
            <w:sz w:val="24"/>
            <w:szCs w:val="24"/>
            <w:u w:val="none"/>
          </w:rPr>
          <w:t>Linder JA</w:t>
        </w:r>
      </w:hyperlink>
      <w:r w:rsidR="009C0EA0" w:rsidRPr="00691ACA">
        <w:rPr>
          <w:rFonts w:ascii="Times New Roman" w:hAnsi="Times New Roman" w:cs="Times New Roman"/>
          <w:noProof/>
          <w:sz w:val="24"/>
          <w:szCs w:val="24"/>
        </w:rPr>
        <w:t xml:space="preserve">, </w:t>
      </w:r>
      <w:hyperlink r:id="rId38" w:history="1">
        <w:r w:rsidR="009C0EA0" w:rsidRPr="00691ACA">
          <w:rPr>
            <w:rStyle w:val="Hyperlink"/>
            <w:rFonts w:ascii="Times New Roman" w:hAnsi="Times New Roman" w:cs="Times New Roman"/>
            <w:noProof/>
            <w:color w:val="auto"/>
            <w:sz w:val="24"/>
            <w:szCs w:val="24"/>
            <w:u w:val="none"/>
          </w:rPr>
          <w:t>Goldstein NJ</w:t>
        </w:r>
      </w:hyperlink>
      <w:r w:rsidR="009C0EA0" w:rsidRPr="00691ACA">
        <w:rPr>
          <w:rFonts w:ascii="Times New Roman" w:hAnsi="Times New Roman" w:cs="Times New Roman"/>
          <w:noProof/>
          <w:sz w:val="24"/>
          <w:szCs w:val="24"/>
        </w:rPr>
        <w:t xml:space="preserve">, </w:t>
      </w:r>
      <w:hyperlink r:id="rId39" w:history="1">
        <w:r w:rsidR="009C0EA0" w:rsidRPr="00691ACA">
          <w:rPr>
            <w:rStyle w:val="Hyperlink"/>
            <w:rFonts w:ascii="Times New Roman" w:hAnsi="Times New Roman" w:cs="Times New Roman"/>
            <w:noProof/>
            <w:color w:val="auto"/>
            <w:sz w:val="24"/>
            <w:szCs w:val="24"/>
            <w:u w:val="none"/>
          </w:rPr>
          <w:t>Fox CR</w:t>
        </w:r>
      </w:hyperlink>
      <w:r w:rsidR="009C0EA0" w:rsidRPr="00691ACA">
        <w:rPr>
          <w:rFonts w:ascii="Times New Roman" w:hAnsi="Times New Roman" w:cs="Times New Roman"/>
          <w:noProof/>
          <w:sz w:val="24"/>
          <w:szCs w:val="24"/>
        </w:rPr>
        <w:t xml:space="preserve"> et al. Nudging guideline-concordant antibiotic prescribing: A randomized clinical trial. </w:t>
      </w:r>
      <w:hyperlink r:id="rId40" w:tooltip="JAMA internal medicine." w:history="1">
        <w:r w:rsidR="009C0EA0" w:rsidRPr="00691ACA">
          <w:rPr>
            <w:rStyle w:val="Hyperlink"/>
            <w:rFonts w:ascii="Times New Roman" w:hAnsi="Times New Roman" w:cs="Times New Roman"/>
            <w:noProof/>
            <w:color w:val="auto"/>
            <w:sz w:val="24"/>
            <w:szCs w:val="24"/>
            <w:u w:val="none"/>
          </w:rPr>
          <w:t>JAMA Intern Med.</w:t>
        </w:r>
      </w:hyperlink>
      <w:r w:rsidR="009C0EA0" w:rsidRPr="00691ACA">
        <w:rPr>
          <w:rFonts w:ascii="Times New Roman" w:hAnsi="Times New Roman" w:cs="Times New Roman"/>
          <w:noProof/>
          <w:sz w:val="24"/>
          <w:szCs w:val="24"/>
        </w:rPr>
        <w:t xml:space="preserve"> 2014 Mar;174(3):425-31.</w:t>
      </w:r>
    </w:p>
    <w:p w14:paraId="6DA942D8" w14:textId="1D893010" w:rsidR="009C0EA0" w:rsidRDefault="00691ACA" w:rsidP="008F3856">
      <w:pPr>
        <w:widowControl w:val="0"/>
        <w:autoSpaceDE w:val="0"/>
        <w:autoSpaceDN w:val="0"/>
        <w:adjustRightInd w:val="0"/>
        <w:spacing w:line="480" w:lineRule="auto"/>
        <w:jc w:val="both"/>
        <w:rPr>
          <w:rFonts w:ascii="Times New Roman" w:hAnsi="Times New Roman" w:cs="Times New Roman"/>
          <w:noProof/>
          <w:sz w:val="24"/>
          <w:szCs w:val="24"/>
        </w:rPr>
      </w:pPr>
      <w:r>
        <w:rPr>
          <w:rFonts w:ascii="Times New Roman" w:hAnsi="Times New Roman" w:cs="Times New Roman"/>
          <w:noProof/>
          <w:sz w:val="24"/>
          <w:szCs w:val="24"/>
        </w:rPr>
        <w:t>1</w:t>
      </w:r>
      <w:r w:rsidR="001E30D7">
        <w:rPr>
          <w:rFonts w:ascii="Times New Roman" w:hAnsi="Times New Roman" w:cs="Times New Roman"/>
          <w:noProof/>
          <w:sz w:val="24"/>
          <w:szCs w:val="24"/>
        </w:rPr>
        <w:t>2</w:t>
      </w:r>
      <w:r>
        <w:rPr>
          <w:rFonts w:ascii="Times New Roman" w:hAnsi="Times New Roman" w:cs="Times New Roman"/>
          <w:noProof/>
          <w:sz w:val="24"/>
          <w:szCs w:val="24"/>
        </w:rPr>
        <w:t xml:space="preserve">. </w:t>
      </w:r>
      <w:hyperlink r:id="rId41" w:history="1">
        <w:r w:rsidR="009C0EA0" w:rsidRPr="00B45509">
          <w:rPr>
            <w:rFonts w:ascii="Times New Roman" w:hAnsi="Times New Roman" w:cs="Times New Roman"/>
            <w:noProof/>
            <w:sz w:val="24"/>
            <w:szCs w:val="24"/>
          </w:rPr>
          <w:t>Plachouras D</w:t>
        </w:r>
      </w:hyperlink>
      <w:r w:rsidR="009C0EA0" w:rsidRPr="00B45509">
        <w:rPr>
          <w:rFonts w:ascii="Times New Roman" w:hAnsi="Times New Roman" w:cs="Times New Roman"/>
          <w:noProof/>
          <w:sz w:val="24"/>
          <w:szCs w:val="24"/>
        </w:rPr>
        <w:t xml:space="preserve">, </w:t>
      </w:r>
      <w:hyperlink r:id="rId42" w:history="1">
        <w:r w:rsidR="009C0EA0" w:rsidRPr="00B45509">
          <w:rPr>
            <w:rFonts w:ascii="Times New Roman" w:hAnsi="Times New Roman" w:cs="Times New Roman"/>
            <w:noProof/>
            <w:sz w:val="24"/>
            <w:szCs w:val="24"/>
          </w:rPr>
          <w:t>Antoniadou A</w:t>
        </w:r>
      </w:hyperlink>
      <w:r w:rsidR="009C0EA0" w:rsidRPr="00B45509">
        <w:rPr>
          <w:rFonts w:ascii="Times New Roman" w:hAnsi="Times New Roman" w:cs="Times New Roman"/>
          <w:noProof/>
          <w:sz w:val="24"/>
          <w:szCs w:val="24"/>
        </w:rPr>
        <w:t xml:space="preserve">, </w:t>
      </w:r>
      <w:hyperlink r:id="rId43" w:history="1">
        <w:r w:rsidR="009C0EA0" w:rsidRPr="00B45509">
          <w:rPr>
            <w:rFonts w:ascii="Times New Roman" w:hAnsi="Times New Roman" w:cs="Times New Roman"/>
            <w:noProof/>
            <w:sz w:val="24"/>
            <w:szCs w:val="24"/>
          </w:rPr>
          <w:t>Giannitsioti E</w:t>
        </w:r>
      </w:hyperlink>
      <w:r w:rsidR="009C0EA0" w:rsidRPr="00B45509">
        <w:rPr>
          <w:rFonts w:ascii="Times New Roman" w:hAnsi="Times New Roman" w:cs="Times New Roman"/>
          <w:noProof/>
          <w:sz w:val="24"/>
          <w:szCs w:val="24"/>
        </w:rPr>
        <w:t xml:space="preserve">, </w:t>
      </w:r>
      <w:hyperlink r:id="rId44" w:history="1">
        <w:r w:rsidR="009C0EA0" w:rsidRPr="00B45509">
          <w:rPr>
            <w:rFonts w:ascii="Times New Roman" w:hAnsi="Times New Roman" w:cs="Times New Roman"/>
            <w:noProof/>
            <w:sz w:val="24"/>
            <w:szCs w:val="24"/>
          </w:rPr>
          <w:t>Galani L</w:t>
        </w:r>
      </w:hyperlink>
      <w:r w:rsidR="009C0EA0" w:rsidRPr="00B45509">
        <w:rPr>
          <w:rFonts w:ascii="Times New Roman" w:hAnsi="Times New Roman" w:cs="Times New Roman"/>
          <w:noProof/>
          <w:sz w:val="24"/>
          <w:szCs w:val="24"/>
        </w:rPr>
        <w:t xml:space="preserve">, </w:t>
      </w:r>
      <w:hyperlink r:id="rId45" w:history="1">
        <w:r w:rsidR="009C0EA0" w:rsidRPr="00B45509">
          <w:rPr>
            <w:rFonts w:ascii="Times New Roman" w:hAnsi="Times New Roman" w:cs="Times New Roman"/>
            <w:noProof/>
            <w:sz w:val="24"/>
            <w:szCs w:val="24"/>
          </w:rPr>
          <w:t>Katsarolis I</w:t>
        </w:r>
      </w:hyperlink>
      <w:r w:rsidR="009C0EA0" w:rsidRPr="00B45509">
        <w:rPr>
          <w:rFonts w:ascii="Times New Roman" w:hAnsi="Times New Roman" w:cs="Times New Roman"/>
          <w:noProof/>
          <w:sz w:val="24"/>
          <w:szCs w:val="24"/>
        </w:rPr>
        <w:t xml:space="preserve">, </w:t>
      </w:r>
      <w:hyperlink r:id="rId46" w:history="1">
        <w:r w:rsidR="009C0EA0" w:rsidRPr="00B45509">
          <w:rPr>
            <w:rFonts w:ascii="Times New Roman" w:hAnsi="Times New Roman" w:cs="Times New Roman"/>
            <w:noProof/>
            <w:sz w:val="24"/>
            <w:szCs w:val="24"/>
          </w:rPr>
          <w:t>Kavatha D</w:t>
        </w:r>
      </w:hyperlink>
      <w:r w:rsidR="009C0EA0" w:rsidRPr="00B45509">
        <w:rPr>
          <w:rFonts w:ascii="Times New Roman" w:hAnsi="Times New Roman" w:cs="Times New Roman"/>
          <w:sz w:val="24"/>
          <w:szCs w:val="24"/>
        </w:rPr>
        <w:t xml:space="preserve"> </w:t>
      </w:r>
      <w:r w:rsidR="009C0EA0" w:rsidRPr="00B45509">
        <w:rPr>
          <w:rFonts w:ascii="Times New Roman" w:hAnsi="Times New Roman" w:cs="Times New Roman"/>
          <w:noProof/>
          <w:sz w:val="24"/>
          <w:szCs w:val="24"/>
        </w:rPr>
        <w:t xml:space="preserve">et al. Promoting prudent use of antibiotics: the experience from a multifaceted regional campaign in Greece. BMC Public Health. 2014;14:866. </w:t>
      </w:r>
    </w:p>
    <w:p w14:paraId="1176559A" w14:textId="7B41D612" w:rsidR="009C0EA0" w:rsidRPr="004111D9" w:rsidRDefault="00691ACA" w:rsidP="008F3856">
      <w:pPr>
        <w:widowControl w:val="0"/>
        <w:autoSpaceDE w:val="0"/>
        <w:autoSpaceDN w:val="0"/>
        <w:adjustRightInd w:val="0"/>
        <w:spacing w:line="480" w:lineRule="auto"/>
        <w:jc w:val="both"/>
        <w:rPr>
          <w:rFonts w:ascii="Times New Roman" w:hAnsi="Times New Roman" w:cs="Times New Roman"/>
          <w:noProof/>
          <w:sz w:val="24"/>
          <w:szCs w:val="24"/>
        </w:rPr>
      </w:pPr>
      <w:r>
        <w:rPr>
          <w:rFonts w:ascii="Times New Roman" w:hAnsi="Times New Roman" w:cs="Times New Roman"/>
          <w:noProof/>
          <w:sz w:val="24"/>
          <w:szCs w:val="24"/>
        </w:rPr>
        <w:t>1</w:t>
      </w:r>
      <w:r w:rsidR="001E30D7">
        <w:rPr>
          <w:rFonts w:ascii="Times New Roman" w:hAnsi="Times New Roman" w:cs="Times New Roman"/>
          <w:noProof/>
          <w:sz w:val="24"/>
          <w:szCs w:val="24"/>
        </w:rPr>
        <w:t>3</w:t>
      </w:r>
      <w:r>
        <w:rPr>
          <w:rFonts w:ascii="Times New Roman" w:hAnsi="Times New Roman" w:cs="Times New Roman"/>
          <w:noProof/>
          <w:sz w:val="24"/>
          <w:szCs w:val="24"/>
        </w:rPr>
        <w:t xml:space="preserve">. </w:t>
      </w:r>
      <w:r w:rsidR="009C0EA0" w:rsidRPr="00B45509">
        <w:rPr>
          <w:rFonts w:ascii="Times New Roman" w:hAnsi="Times New Roman" w:cs="Times New Roman"/>
          <w:noProof/>
          <w:sz w:val="24"/>
          <w:szCs w:val="24"/>
        </w:rPr>
        <w:t xml:space="preserve">Rubin MA, Bateman K, Alder S, Donnelly S, Stoddard GJ, Samore MH. A Multifaceted Intervention to Improve Antimicrobial Prescribing for Upper Respiratory Tract Infections in a Small Rural Community. </w:t>
      </w:r>
      <w:hyperlink r:id="rId47" w:tooltip="Clinical infectious diseases : an official publication of the Infectious Diseases Society of America." w:history="1">
        <w:r w:rsidR="009C0EA0" w:rsidRPr="00691ACA">
          <w:rPr>
            <w:rStyle w:val="Hyperlink"/>
            <w:rFonts w:ascii="Times New Roman" w:hAnsi="Times New Roman" w:cs="Times New Roman"/>
            <w:noProof/>
            <w:color w:val="auto"/>
            <w:sz w:val="24"/>
            <w:szCs w:val="24"/>
            <w:u w:val="none"/>
          </w:rPr>
          <w:t>Clin Infect Dis</w:t>
        </w:r>
      </w:hyperlink>
      <w:r w:rsidR="009C0EA0" w:rsidRPr="00691ACA">
        <w:rPr>
          <w:rFonts w:ascii="Times New Roman" w:hAnsi="Times New Roman" w:cs="Times New Roman"/>
          <w:noProof/>
          <w:sz w:val="24"/>
          <w:szCs w:val="24"/>
        </w:rPr>
        <w:t>.</w:t>
      </w:r>
      <w:r w:rsidR="009C0EA0" w:rsidRPr="00B45509">
        <w:rPr>
          <w:rFonts w:ascii="Times New Roman" w:hAnsi="Times New Roman" w:cs="Times New Roman"/>
          <w:noProof/>
          <w:sz w:val="24"/>
          <w:szCs w:val="24"/>
        </w:rPr>
        <w:t xml:space="preserve"> 2005 Feb 15;40(4):546-53.</w:t>
      </w:r>
    </w:p>
    <w:p w14:paraId="03BEB59D" w14:textId="74855927" w:rsidR="009C0EA0" w:rsidRPr="004111D9" w:rsidRDefault="00691ACA" w:rsidP="008F3856">
      <w:pPr>
        <w:widowControl w:val="0"/>
        <w:autoSpaceDE w:val="0"/>
        <w:autoSpaceDN w:val="0"/>
        <w:adjustRightInd w:val="0"/>
        <w:spacing w:line="480" w:lineRule="auto"/>
        <w:jc w:val="both"/>
        <w:rPr>
          <w:rFonts w:ascii="Times New Roman" w:hAnsi="Times New Roman" w:cs="Times New Roman"/>
          <w:noProof/>
          <w:sz w:val="24"/>
          <w:szCs w:val="24"/>
        </w:rPr>
      </w:pPr>
      <w:r>
        <w:rPr>
          <w:rFonts w:ascii="Times New Roman" w:hAnsi="Times New Roman" w:cs="Times New Roman"/>
          <w:noProof/>
          <w:sz w:val="24"/>
          <w:szCs w:val="24"/>
        </w:rPr>
        <w:t>1</w:t>
      </w:r>
      <w:r w:rsidR="001E30D7">
        <w:rPr>
          <w:rFonts w:ascii="Times New Roman" w:hAnsi="Times New Roman" w:cs="Times New Roman"/>
          <w:noProof/>
          <w:sz w:val="24"/>
          <w:szCs w:val="24"/>
        </w:rPr>
        <w:t>4</w:t>
      </w:r>
      <w:r>
        <w:rPr>
          <w:rFonts w:ascii="Times New Roman" w:hAnsi="Times New Roman" w:cs="Times New Roman"/>
          <w:noProof/>
          <w:sz w:val="24"/>
          <w:szCs w:val="24"/>
        </w:rPr>
        <w:t xml:space="preserve">. </w:t>
      </w:r>
      <w:r w:rsidR="009C0EA0" w:rsidRPr="00B45509">
        <w:rPr>
          <w:rFonts w:ascii="Times New Roman" w:hAnsi="Times New Roman" w:cs="Times New Roman"/>
          <w:noProof/>
          <w:sz w:val="24"/>
          <w:szCs w:val="24"/>
        </w:rPr>
        <w:t>Sabuncu E, David J, Bernede-Bauduin C, Pepin S, Leroy M, Boelle PY, et al. Significant reduction of antibiotic use in the community after a nationwide campaign in France, 2002-2007. PLoS Med. 2009 Jun;6(6):e1000084.</w:t>
      </w:r>
    </w:p>
    <w:p w14:paraId="4649F225" w14:textId="1448BD3A" w:rsidR="009C0EA0" w:rsidRDefault="00691ACA" w:rsidP="008F3856">
      <w:pPr>
        <w:spacing w:line="480" w:lineRule="auto"/>
        <w:jc w:val="both"/>
      </w:pPr>
      <w:r>
        <w:rPr>
          <w:rFonts w:ascii="Times New Roman" w:hAnsi="Times New Roman" w:cs="Times New Roman"/>
          <w:noProof/>
          <w:sz w:val="24"/>
          <w:szCs w:val="24"/>
        </w:rPr>
        <w:t>1</w:t>
      </w:r>
      <w:r w:rsidR="001E30D7">
        <w:rPr>
          <w:rFonts w:ascii="Times New Roman" w:hAnsi="Times New Roman" w:cs="Times New Roman"/>
          <w:noProof/>
          <w:sz w:val="24"/>
          <w:szCs w:val="24"/>
        </w:rPr>
        <w:t>5</w:t>
      </w:r>
      <w:r>
        <w:rPr>
          <w:rFonts w:ascii="Times New Roman" w:hAnsi="Times New Roman" w:cs="Times New Roman"/>
          <w:noProof/>
          <w:sz w:val="24"/>
          <w:szCs w:val="24"/>
        </w:rPr>
        <w:t xml:space="preserve">. </w:t>
      </w:r>
      <w:r w:rsidR="009C0EA0" w:rsidRPr="00B45509">
        <w:rPr>
          <w:rFonts w:ascii="Times New Roman" w:hAnsi="Times New Roman" w:cs="Times New Roman"/>
          <w:noProof/>
          <w:sz w:val="24"/>
          <w:szCs w:val="24"/>
        </w:rPr>
        <w:t>Welschen I, Kuyvenhoven MM, Hoes AW, Verheij TJ. Effectiveness of a multiple intervention to reduce antibiotic prescribing for respiratory tract symptoms in primary care: randomised controlled trial. Br Med J. 2004 Aug;329(7463):431</w:t>
      </w:r>
    </w:p>
    <w:sectPr w:rsidR="009C0EA0" w:rsidSect="00B31A4F">
      <w:footerReference w:type="default" r:id="rId4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A96CFB" w14:textId="77777777" w:rsidR="005218E4" w:rsidRDefault="005218E4" w:rsidP="00365791">
      <w:pPr>
        <w:spacing w:after="0" w:line="240" w:lineRule="auto"/>
      </w:pPr>
      <w:r>
        <w:separator/>
      </w:r>
    </w:p>
  </w:endnote>
  <w:endnote w:type="continuationSeparator" w:id="0">
    <w:p w14:paraId="46E8C933" w14:textId="77777777" w:rsidR="005218E4" w:rsidRDefault="005218E4" w:rsidP="003657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6824364"/>
      <w:docPartObj>
        <w:docPartGallery w:val="Page Numbers (Bottom of Page)"/>
        <w:docPartUnique/>
      </w:docPartObj>
    </w:sdtPr>
    <w:sdtEndPr/>
    <w:sdtContent>
      <w:p w14:paraId="7A045A7E" w14:textId="77777777" w:rsidR="00086D9A" w:rsidRDefault="00365791">
        <w:pPr>
          <w:pStyle w:val="Footer"/>
          <w:jc w:val="center"/>
        </w:pPr>
        <w:r>
          <w:rPr>
            <w:noProof/>
          </w:rPr>
          <w:fldChar w:fldCharType="begin"/>
        </w:r>
        <w:r w:rsidR="00CE6076">
          <w:rPr>
            <w:noProof/>
          </w:rPr>
          <w:instrText xml:space="preserve"> PAGE   \* MERGEFORMAT </w:instrText>
        </w:r>
        <w:r>
          <w:rPr>
            <w:noProof/>
          </w:rPr>
          <w:fldChar w:fldCharType="separate"/>
        </w:r>
        <w:r w:rsidR="008F3856">
          <w:rPr>
            <w:noProof/>
          </w:rPr>
          <w:t>3</w:t>
        </w:r>
        <w:r>
          <w:rPr>
            <w:noProof/>
          </w:rPr>
          <w:fldChar w:fldCharType="end"/>
        </w:r>
      </w:p>
    </w:sdtContent>
  </w:sdt>
  <w:p w14:paraId="14109314" w14:textId="77777777" w:rsidR="00086D9A" w:rsidRDefault="006977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DB526E" w14:textId="77777777" w:rsidR="005218E4" w:rsidRDefault="005218E4" w:rsidP="00365791">
      <w:pPr>
        <w:spacing w:after="0" w:line="240" w:lineRule="auto"/>
      </w:pPr>
      <w:r>
        <w:separator/>
      </w:r>
    </w:p>
  </w:footnote>
  <w:footnote w:type="continuationSeparator" w:id="0">
    <w:p w14:paraId="56D353D0" w14:textId="77777777" w:rsidR="005218E4" w:rsidRDefault="005218E4" w:rsidP="0036579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076"/>
    <w:rsid w:val="00072838"/>
    <w:rsid w:val="001E30D7"/>
    <w:rsid w:val="00365791"/>
    <w:rsid w:val="00371648"/>
    <w:rsid w:val="005218E4"/>
    <w:rsid w:val="006665C2"/>
    <w:rsid w:val="00691ACA"/>
    <w:rsid w:val="0069770B"/>
    <w:rsid w:val="006E5EBD"/>
    <w:rsid w:val="00737A00"/>
    <w:rsid w:val="008F3856"/>
    <w:rsid w:val="009B6E91"/>
    <w:rsid w:val="009C0EA0"/>
    <w:rsid w:val="00A76F31"/>
    <w:rsid w:val="00AA2A13"/>
    <w:rsid w:val="00CE6076"/>
    <w:rsid w:val="00DF6817"/>
    <w:rsid w:val="00DF7690"/>
    <w:rsid w:val="00E3284D"/>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8EBA6"/>
  <w15:docId w15:val="{EDDC98BE-550D-4E48-B239-42EDD86A1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607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E607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er">
    <w:name w:val="footer"/>
    <w:basedOn w:val="Normal"/>
    <w:link w:val="FooterChar"/>
    <w:uiPriority w:val="99"/>
    <w:unhideWhenUsed/>
    <w:rsid w:val="00CE60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6076"/>
  </w:style>
  <w:style w:type="character" w:styleId="Hyperlink">
    <w:name w:val="Hyperlink"/>
    <w:basedOn w:val="DefaultParagraphFont"/>
    <w:uiPriority w:val="99"/>
    <w:unhideWhenUsed/>
    <w:rsid w:val="009C0EA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ncbi.nlm.nih.gov/pubmed/?term=Treweek%20S%5BAuthor%5D&amp;cauthor=true&amp;cauthor_uid=12183309" TargetMode="External"/><Relationship Id="rId18" Type="http://schemas.openxmlformats.org/officeDocument/2006/relationships/hyperlink" Target="https://www.ncbi.nlm.nih.gov/pubmed/?term=Ortega%20J%5BAuthor%5D&amp;cauthor=true&amp;cauthor_uid=24768657" TargetMode="External"/><Relationship Id="rId26" Type="http://schemas.openxmlformats.org/officeDocument/2006/relationships/hyperlink" Target="https://www.ncbi.nlm.nih.gov/pubmed/?term=Finger%20R%5BAuthor%5D&amp;cauthor=true&amp;cauthor_uid=10645510" TargetMode="External"/><Relationship Id="rId39" Type="http://schemas.openxmlformats.org/officeDocument/2006/relationships/hyperlink" Target="https://www.ncbi.nlm.nih.gov/pubmed/?term=Fox%20CR%5BAuthor%5D&amp;cauthor=true&amp;cauthor_uid=24474434" TargetMode="External"/><Relationship Id="rId21" Type="http://schemas.openxmlformats.org/officeDocument/2006/relationships/hyperlink" Target="https://www.ncbi.nlm.nih.gov/pubmed/24768657" TargetMode="External"/><Relationship Id="rId34" Type="http://schemas.openxmlformats.org/officeDocument/2006/relationships/hyperlink" Target="https://www.ncbi.nlm.nih.gov/pubmed/?term=Meeker%20D%5BAuthor%5D&amp;cauthor=true&amp;cauthor_uid=24474434" TargetMode="External"/><Relationship Id="rId42" Type="http://schemas.openxmlformats.org/officeDocument/2006/relationships/hyperlink" Target="https://www.ncbi.nlm.nih.gov/pubmed/?term=Antoniadou%20A%5BAuthor%5D&amp;cauthor=true&amp;cauthor_uid=25149626" TargetMode="External"/><Relationship Id="rId47" Type="http://schemas.openxmlformats.org/officeDocument/2006/relationships/hyperlink" Target="https://www.ncbi.nlm.nih.gov/pubmed/15712077" TargetMode="External"/><Relationship Id="rId50" Type="http://schemas.openxmlformats.org/officeDocument/2006/relationships/theme" Target="theme/theme1.xml"/><Relationship Id="rId7" Type="http://schemas.openxmlformats.org/officeDocument/2006/relationships/hyperlink" Target="https://www.ncbi.nlm.nih.gov/pubmed/?term=Pitkethly%20M%5BAuthor%5D&amp;cauthor=true&amp;cauthor_uid=11255901" TargetMode="External"/><Relationship Id="rId2" Type="http://schemas.openxmlformats.org/officeDocument/2006/relationships/settings" Target="settings.xml"/><Relationship Id="rId16" Type="http://schemas.openxmlformats.org/officeDocument/2006/relationships/hyperlink" Target="https://www.ncbi.nlm.nih.gov/pubmed/?term=Cots%20JM%5BAuthor%5D&amp;cauthor=true&amp;cauthor_uid=24768657" TargetMode="External"/><Relationship Id="rId29" Type="http://schemas.openxmlformats.org/officeDocument/2006/relationships/hyperlink" Target="https://www.ncbi.nlm.nih.gov/pubmed/?term=M%C3%B6lstad%20S%5BAuthor%5D&amp;cauthor=true&amp;cauthor_uid=17235252" TargetMode="External"/><Relationship Id="rId11" Type="http://schemas.openxmlformats.org/officeDocument/2006/relationships/hyperlink" Target="https://www.ncbi.nlm.nih.gov/pubmed/?term=Oxman%20AD%5BAuthor%5D&amp;cauthor=true&amp;cauthor_uid=12183309" TargetMode="External"/><Relationship Id="rId24" Type="http://schemas.openxmlformats.org/officeDocument/2006/relationships/hyperlink" Target="https://www.ncbi.nlm.nih.gov/pubmed/?term=Love%20MM%5BAuthor%5D&amp;cauthor=true&amp;cauthor_uid=10645510" TargetMode="External"/><Relationship Id="rId32" Type="http://schemas.openxmlformats.org/officeDocument/2006/relationships/hyperlink" Target="https://www.ncbi.nlm.nih.gov/pubmed/?term=Larsson%20L%5BAuthor%5D&amp;cauthor=true&amp;cauthor_uid=17235252" TargetMode="External"/><Relationship Id="rId37" Type="http://schemas.openxmlformats.org/officeDocument/2006/relationships/hyperlink" Target="https://www.ncbi.nlm.nih.gov/pubmed/?term=Linder%20JA%5BAuthor%5D&amp;cauthor=true&amp;cauthor_uid=24474434" TargetMode="External"/><Relationship Id="rId40" Type="http://schemas.openxmlformats.org/officeDocument/2006/relationships/hyperlink" Target="https://www.ncbi.nlm.nih.gov/pubmed/24474434" TargetMode="External"/><Relationship Id="rId45" Type="http://schemas.openxmlformats.org/officeDocument/2006/relationships/hyperlink" Target="https://www.ncbi.nlm.nih.gov/pubmed/?term=Katsarolis%20I%5BAuthor%5D&amp;cauthor=true&amp;cauthor_uid=25149626" TargetMode="External"/><Relationship Id="rId5" Type="http://schemas.openxmlformats.org/officeDocument/2006/relationships/endnotes" Target="endnotes.xml"/><Relationship Id="rId15" Type="http://schemas.openxmlformats.org/officeDocument/2006/relationships/hyperlink" Target="https://www.ncbi.nlm.nih.gov/pubmed/?term=Llor%20C%5BAuthor%5D&amp;cauthor=true&amp;cauthor_uid=24768657" TargetMode="External"/><Relationship Id="rId23" Type="http://schemas.openxmlformats.org/officeDocument/2006/relationships/hyperlink" Target="https://www.ncbi.nlm.nih.gov/pubmed/?term=Hueston%20WJ%5BAuthor%5D&amp;cauthor=true&amp;cauthor_uid=10645510" TargetMode="External"/><Relationship Id="rId28" Type="http://schemas.openxmlformats.org/officeDocument/2006/relationships/hyperlink" Target="https://www.ncbi.nlm.nih.gov/pubmed/?term=Malmvall%20BE%5BAuthor%5D&amp;cauthor=true&amp;cauthor_uid=17235252" TargetMode="External"/><Relationship Id="rId36" Type="http://schemas.openxmlformats.org/officeDocument/2006/relationships/hyperlink" Target="https://www.ncbi.nlm.nih.gov/pubmed/?term=Friedberg%20MW%5BAuthor%5D&amp;cauthor=true&amp;cauthor_uid=24474434" TargetMode="External"/><Relationship Id="rId49" Type="http://schemas.openxmlformats.org/officeDocument/2006/relationships/fontTable" Target="fontTable.xml"/><Relationship Id="rId10" Type="http://schemas.openxmlformats.org/officeDocument/2006/relationships/hyperlink" Target="https://www.ncbi.nlm.nih.gov/pubmed/?term=Flottorp%20S%5BAuthor%5D&amp;cauthor=true&amp;cauthor_uid=12183309" TargetMode="External"/><Relationship Id="rId19" Type="http://schemas.openxmlformats.org/officeDocument/2006/relationships/hyperlink" Target="https://www.ncbi.nlm.nih.gov/pubmed/?term=Arranz%20J%5BAuthor%5D&amp;cauthor=true&amp;cauthor_uid=24768657" TargetMode="External"/><Relationship Id="rId31" Type="http://schemas.openxmlformats.org/officeDocument/2006/relationships/hyperlink" Target="https://www.ncbi.nlm.nih.gov/pubmed/?term=Hiselius%20A%5BAuthor%5D&amp;cauthor=true&amp;cauthor_uid=17235252" TargetMode="External"/><Relationship Id="rId44" Type="http://schemas.openxmlformats.org/officeDocument/2006/relationships/hyperlink" Target="https://www.ncbi.nlm.nih.gov/pubmed/?term=Galani%20L%5BAuthor%5D&amp;cauthor=true&amp;cauthor_uid=25149626" TargetMode="External"/><Relationship Id="rId4" Type="http://schemas.openxmlformats.org/officeDocument/2006/relationships/footnotes" Target="footnotes.xml"/><Relationship Id="rId9" Type="http://schemas.openxmlformats.org/officeDocument/2006/relationships/hyperlink" Target="https://www.ncbi.nlm.nih.gov/pubmed/?term=Martin%20S%5BAuthor%5D&amp;cauthor=true&amp;cauthor_uid=11255901" TargetMode="External"/><Relationship Id="rId14" Type="http://schemas.openxmlformats.org/officeDocument/2006/relationships/hyperlink" Target="https://www.ncbi.nlm.nih.gov/pubmed/?term=Herrin%20J%5BAuthor%5D&amp;cauthor=true&amp;cauthor_uid=12183309" TargetMode="External"/><Relationship Id="rId22" Type="http://schemas.openxmlformats.org/officeDocument/2006/relationships/hyperlink" Target="https://www.ncbi.nlm.nih.gov/pubmed/?term=Mainous%20AG%203rd%5BAuthor%5D&amp;cauthor=true&amp;cauthor_uid=10645510" TargetMode="External"/><Relationship Id="rId27" Type="http://schemas.openxmlformats.org/officeDocument/2006/relationships/hyperlink" Target="https://www.ncbi.nlm.nih.gov/pubmed/?term=An+Evaluation+of+Statewide+Strategies+to+Reduce+Antibiotic+Overuse" TargetMode="External"/><Relationship Id="rId30" Type="http://schemas.openxmlformats.org/officeDocument/2006/relationships/hyperlink" Target="https://www.ncbi.nlm.nih.gov/pubmed/?term=Darelid%20J%5BAuthor%5D&amp;cauthor=true&amp;cauthor_uid=17235252" TargetMode="External"/><Relationship Id="rId35" Type="http://schemas.openxmlformats.org/officeDocument/2006/relationships/hyperlink" Target="https://www.ncbi.nlm.nih.gov/pubmed/?term=Knight%20TK%5BAuthor%5D&amp;cauthor=true&amp;cauthor_uid=24474434" TargetMode="External"/><Relationship Id="rId43" Type="http://schemas.openxmlformats.org/officeDocument/2006/relationships/hyperlink" Target="https://www.ncbi.nlm.nih.gov/pubmed/?term=Giannitsioti%20E%5BAuthor%5D&amp;cauthor=true&amp;cauthor_uid=25149626" TargetMode="External"/><Relationship Id="rId48" Type="http://schemas.openxmlformats.org/officeDocument/2006/relationships/footer" Target="footer1.xml"/><Relationship Id="rId8" Type="http://schemas.openxmlformats.org/officeDocument/2006/relationships/hyperlink" Target="https://www.ncbi.nlm.nih.gov/pubmed/?term=Bain%20J%5BAuthor%5D&amp;cauthor=true&amp;cauthor_uid=11255901" TargetMode="External"/><Relationship Id="rId3" Type="http://schemas.openxmlformats.org/officeDocument/2006/relationships/webSettings" Target="webSettings.xml"/><Relationship Id="rId12" Type="http://schemas.openxmlformats.org/officeDocument/2006/relationships/hyperlink" Target="https://www.ncbi.nlm.nih.gov/pubmed/?term=H%C3%A5velsrud%20K%5BAuthor%5D&amp;cauthor=true&amp;cauthor_uid=12183309" TargetMode="External"/><Relationship Id="rId17" Type="http://schemas.openxmlformats.org/officeDocument/2006/relationships/hyperlink" Target="https://www.ncbi.nlm.nih.gov/pubmed/?term=Hern%C3%A1ndez%20S%5BAuthor%5D&amp;cauthor=true&amp;cauthor_uid=24768657" TargetMode="External"/><Relationship Id="rId25" Type="http://schemas.openxmlformats.org/officeDocument/2006/relationships/hyperlink" Target="https://www.ncbi.nlm.nih.gov/pubmed/?term=Evans%20ME%5BAuthor%5D&amp;cauthor=true&amp;cauthor_uid=10645510" TargetMode="External"/><Relationship Id="rId33" Type="http://schemas.openxmlformats.org/officeDocument/2006/relationships/hyperlink" Target="https://www.ncbi.nlm.nih.gov/pubmed/?term=Swanberg%20J%5BAuthor%5D&amp;cauthor=true&amp;cauthor_uid=17235252" TargetMode="External"/><Relationship Id="rId38" Type="http://schemas.openxmlformats.org/officeDocument/2006/relationships/hyperlink" Target="https://www.ncbi.nlm.nih.gov/pubmed/?term=Goldstein%20NJ%5BAuthor%5D&amp;cauthor=true&amp;cauthor_uid=24474434" TargetMode="External"/><Relationship Id="rId46" Type="http://schemas.openxmlformats.org/officeDocument/2006/relationships/hyperlink" Target="https://www.ncbi.nlm.nih.gov/pubmed/?term=Kavatha%20D%5BAuthor%5D&amp;cauthor=true&amp;cauthor_uid=25149626" TargetMode="External"/><Relationship Id="rId20" Type="http://schemas.openxmlformats.org/officeDocument/2006/relationships/hyperlink" Target="https://www.ncbi.nlm.nih.gov/pubmed/?term=Monedero%20MJ%5BAuthor%5D&amp;cauthor=true&amp;cauthor_uid=24768657" TargetMode="External"/><Relationship Id="rId41" Type="http://schemas.openxmlformats.org/officeDocument/2006/relationships/hyperlink" Target="https://www.ncbi.nlm.nih.gov/pubmed/?term=Plachouras%20D%5BAuthor%5D&amp;cauthor=true&amp;cauthor_uid=25149626" TargetMode="External"/><Relationship Id="rId1" Type="http://schemas.openxmlformats.org/officeDocument/2006/relationships/styles" Target="styles.xml"/><Relationship Id="rId6" Type="http://schemas.openxmlformats.org/officeDocument/2006/relationships/hyperlink" Target="https://www.ncbi.nlm.nih.gov/pubmed/?term=Dowell%20J%5BAuthor%5D&amp;cauthor=true&amp;cauthor_uid=112559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3926</Words>
  <Characters>22379</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Sameh</dc:creator>
  <cp:lastModifiedBy>Mortazhejri, Sameh</cp:lastModifiedBy>
  <cp:revision>2</cp:revision>
  <dcterms:created xsi:type="dcterms:W3CDTF">2020-01-21T16:49:00Z</dcterms:created>
  <dcterms:modified xsi:type="dcterms:W3CDTF">2020-01-21T16:49:00Z</dcterms:modified>
</cp:coreProperties>
</file>