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default" w:hAnsi="Times New Roman" w:cs="Times New Roman" w:asciiTheme="minorAscii"/>
          <w:sz w:val="36"/>
          <w:szCs w:val="36"/>
          <w:lang w:val="en-US" w:eastAsia="zh-CN"/>
        </w:rPr>
      </w:pPr>
      <w:r>
        <w:rPr>
          <w:rFonts w:hint="default" w:hAnsi="Times New Roman" w:cs="Times New Roman" w:asciiTheme="minorAscii"/>
          <w:sz w:val="36"/>
          <w:szCs w:val="36"/>
          <w:lang w:val="en-US" w:eastAsia="zh-CN"/>
        </w:rPr>
        <w:t>Additional file 2 search strategy</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2"/>
        <w:gridCol w:w="2612"/>
        <w:gridCol w:w="2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612"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Databases</w:t>
            </w:r>
          </w:p>
        </w:tc>
        <w:tc>
          <w:tcPr>
            <w:tcW w:w="2612"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 xml:space="preserve">Date searched </w:t>
            </w:r>
          </w:p>
        </w:tc>
        <w:tc>
          <w:tcPr>
            <w:tcW w:w="2614"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No. retrieved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612"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PubMed</w:t>
            </w:r>
          </w:p>
        </w:tc>
        <w:tc>
          <w:tcPr>
            <w:tcW w:w="2612"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04/02/2020</w:t>
            </w:r>
          </w:p>
        </w:tc>
        <w:tc>
          <w:tcPr>
            <w:tcW w:w="2614"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395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612"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Cochrane</w:t>
            </w:r>
          </w:p>
        </w:tc>
        <w:tc>
          <w:tcPr>
            <w:tcW w:w="2612"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04/02/2020</w:t>
            </w:r>
          </w:p>
        </w:tc>
        <w:tc>
          <w:tcPr>
            <w:tcW w:w="2614"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12"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EMBASE</w:t>
            </w:r>
          </w:p>
        </w:tc>
        <w:tc>
          <w:tcPr>
            <w:tcW w:w="2612"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04/02/2020</w:t>
            </w:r>
          </w:p>
        </w:tc>
        <w:tc>
          <w:tcPr>
            <w:tcW w:w="2614" w:type="dxa"/>
          </w:tcPr>
          <w:p>
            <w:pPr>
              <w:rPr>
                <w:rFonts w:hint="default" w:asciiTheme="minorAscii"/>
                <w:sz w:val="24"/>
                <w:szCs w:val="24"/>
                <w:vertAlign w:val="baseline"/>
                <w:lang w:val="en-US" w:eastAsia="zh-CN"/>
              </w:rPr>
            </w:pPr>
            <w:r>
              <w:rPr>
                <w:rFonts w:hint="eastAsia" w:asciiTheme="minorAscii"/>
                <w:sz w:val="24"/>
                <w:szCs w:val="24"/>
                <w:vertAlign w:val="baseline"/>
                <w:lang w:val="en-US" w:eastAsia="zh-CN"/>
              </w:rPr>
              <w:t>1343</w:t>
            </w:r>
          </w:p>
        </w:tc>
      </w:tr>
    </w:tbl>
    <w:p>
      <w:pPr>
        <w:rPr>
          <w:rFonts w:hint="default"/>
          <w:lang w:val="en-US" w:eastAsia="zh-CN"/>
        </w:rPr>
      </w:pPr>
    </w:p>
    <w:p>
      <w:pPr>
        <w:numPr>
          <w:ilvl w:val="0"/>
          <w:numId w:val="1"/>
        </w:numPr>
        <w:rPr>
          <w:rFonts w:hint="default"/>
          <w:sz w:val="24"/>
          <w:szCs w:val="24"/>
          <w:highlight w:val="none"/>
          <w:lang w:val="en-US" w:eastAsia="zh-CN"/>
        </w:rPr>
      </w:pPr>
      <w:r>
        <w:rPr>
          <w:rFonts w:hint="eastAsia"/>
          <w:sz w:val="24"/>
          <w:szCs w:val="24"/>
          <w:highlight w:val="none"/>
          <w:lang w:val="en-US" w:eastAsia="zh-CN"/>
        </w:rPr>
        <w:t>PubMed- MESH</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2"/>
              </w:numPr>
              <w:rPr>
                <w:rFonts w:hint="default"/>
                <w:sz w:val="24"/>
                <w:szCs w:val="24"/>
                <w:highlight w:val="none"/>
                <w:vertAlign w:val="baseline"/>
                <w:lang w:val="en-US" w:eastAsia="zh-CN"/>
              </w:rPr>
            </w:pPr>
            <w:r>
              <w:rPr>
                <w:rFonts w:hint="eastAsia"/>
                <w:sz w:val="24"/>
                <w:szCs w:val="24"/>
                <w:highlight w:val="none"/>
                <w:vertAlign w:val="baseline"/>
                <w:lang w:val="en-US" w:eastAsia="zh-CN"/>
              </w:rPr>
              <w:t xml:space="preserve">MESH: Vascular Endothelial </w:t>
            </w:r>
            <w:r>
              <w:rPr>
                <w:rFonts w:hint="eastAsia"/>
                <w:sz w:val="24"/>
                <w:szCs w:val="24"/>
                <w:highlight w:val="none"/>
                <w:lang w:val="en-US" w:eastAsia="zh-CN"/>
              </w:rPr>
              <w:t>Growth Factor A</w:t>
            </w:r>
          </w:p>
        </w:tc>
        <w:tc>
          <w:tcPr>
            <w:tcW w:w="4261" w:type="dxa"/>
          </w:tcPr>
          <w:p>
            <w:pPr>
              <w:numPr>
                <w:ilvl w:val="0"/>
                <w:numId w:val="2"/>
              </w:numPr>
              <w:ind w:left="0" w:leftChars="0" w:firstLine="0" w:firstLineChars="0"/>
              <w:rPr>
                <w:rFonts w:hint="default"/>
                <w:sz w:val="24"/>
                <w:szCs w:val="24"/>
                <w:highlight w:val="none"/>
                <w:vertAlign w:val="baseline"/>
                <w:lang w:val="en-US" w:eastAsia="zh-CN"/>
              </w:rPr>
            </w:pPr>
            <w:r>
              <w:rPr>
                <w:rFonts w:hint="eastAsia"/>
                <w:sz w:val="24"/>
                <w:szCs w:val="24"/>
                <w:highlight w:val="none"/>
                <w:lang w:val="en-US" w:eastAsia="zh-CN"/>
              </w:rPr>
              <w:t>MESH: acute myeloid leukemia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8" w:hRule="atLeast"/>
        </w:trPr>
        <w:tc>
          <w:tcPr>
            <w:tcW w:w="4261" w:type="dxa"/>
          </w:tcPr>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Entry Terms:</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•Vascular Endothelial Growth Factor-A</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•VEGF-A</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•Vasculotropin</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•VEGF</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•Vascular Endothelial Growth Factor</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•Vascular Permeability Factor</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•Permeability Factor, Vascular</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•Glioma-Derived Vascular Endothelial Cell Growth Factor</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•Glioma Derived Vascular Endothelial Cell Growth Factor</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•GD-VEGF</w:t>
            </w:r>
          </w:p>
          <w:p>
            <w:pPr>
              <w:numPr>
                <w:ilvl w:val="0"/>
                <w:numId w:val="0"/>
              </w:numPr>
              <w:rPr>
                <w:rFonts w:hint="default"/>
                <w:sz w:val="24"/>
                <w:szCs w:val="24"/>
                <w:highlight w:val="none"/>
                <w:vertAlign w:val="baseline"/>
                <w:lang w:val="en-US" w:eastAsia="zh-CN"/>
              </w:rPr>
            </w:pPr>
          </w:p>
        </w:tc>
        <w:tc>
          <w:tcPr>
            <w:tcW w:w="4261" w:type="dxa"/>
          </w:tcPr>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Entry Terms:</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•Acute Myeloid Leukemia</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•Acute Myeloid Leukemias</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•Leukemias, Acute Myeloid</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•Myeloid Leukemias, Acute</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•ANLL</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 Acute Myelogenous</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 Acute Myeloid</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 Myeloblastic, Acute</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 Myelocytic, Acute</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 Myelogenous, Acute</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 Nonlymphoblastic, Acute</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 Nonlymphocytic, Acute</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•Myeloblastic Leukemia, Acute</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•Acute Myeloblastic Leukemia</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•Acute Myeloblastic Leukemias</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 Acute Myeloblastic</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•Leukemias, Acute Myeloblastic</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•Myeloblastic Leukemias, Acute</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•Myelocytic Leukemia, Acute</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•Acute Myelocytic Leukemia</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•Acute Myelocytic Leukemias</w:t>
            </w:r>
          </w:p>
          <w:p>
            <w:pPr>
              <w:numPr>
                <w:ilvl w:val="0"/>
                <w:numId w:val="0"/>
              </w:numPr>
              <w:ind w:firstLine="240" w:firstLineChars="100"/>
              <w:rPr>
                <w:rFonts w:hint="default"/>
                <w:sz w:val="24"/>
                <w:szCs w:val="24"/>
                <w:highlight w:val="none"/>
                <w:lang w:val="en-US" w:eastAsia="zh-CN"/>
              </w:rPr>
            </w:pPr>
            <w:r>
              <w:rPr>
                <w:rFonts w:hint="default"/>
                <w:sz w:val="24"/>
                <w:szCs w:val="24"/>
                <w:highlight w:val="none"/>
                <w:lang w:val="en-US" w:eastAsia="zh-CN"/>
              </w:rPr>
              <w:t>•Leukemia, Acute Myelocytic</w:t>
            </w:r>
          </w:p>
          <w:p>
            <w:pPr>
              <w:numPr>
                <w:ilvl w:val="0"/>
                <w:numId w:val="0"/>
              </w:numPr>
              <w:ind w:firstLine="240" w:firstLineChars="100"/>
              <w:rPr>
                <w:rFonts w:hint="default"/>
                <w:sz w:val="24"/>
                <w:szCs w:val="24"/>
                <w:highlight w:val="none"/>
                <w:lang w:val="en-US" w:eastAsia="zh-CN"/>
              </w:rPr>
            </w:pPr>
            <w:r>
              <w:rPr>
                <w:rFonts w:hint="eastAsia"/>
                <w:sz w:val="24"/>
                <w:szCs w:val="24"/>
                <w:highlight w:val="none"/>
                <w:lang w:val="en-US" w:eastAsia="zh-CN"/>
              </w:rPr>
              <w:t>......(et al)</w:t>
            </w:r>
          </w:p>
        </w:tc>
      </w:tr>
    </w:tbl>
    <w:p>
      <w:pPr>
        <w:numPr>
          <w:ilvl w:val="0"/>
          <w:numId w:val="0"/>
        </w:numPr>
        <w:ind w:leftChars="0"/>
        <w:rPr>
          <w:rFonts w:hint="default"/>
          <w:sz w:val="24"/>
          <w:szCs w:val="24"/>
          <w:highlight w:val="none"/>
          <w:lang w:val="en-US" w:eastAsia="zh-CN"/>
        </w:rPr>
      </w:pPr>
    </w:p>
    <w:p>
      <w:pPr>
        <w:numPr>
          <w:ilvl w:val="0"/>
          <w:numId w:val="1"/>
        </w:numPr>
        <w:ind w:left="0" w:leftChars="0" w:firstLine="0" w:firstLineChars="0"/>
        <w:rPr>
          <w:rFonts w:hint="default"/>
          <w:sz w:val="24"/>
          <w:szCs w:val="24"/>
          <w:highlight w:val="none"/>
          <w:lang w:val="en-US" w:eastAsia="zh-CN"/>
        </w:rPr>
      </w:pPr>
      <w:r>
        <w:rPr>
          <w:rFonts w:hint="eastAsia"/>
          <w:sz w:val="24"/>
          <w:szCs w:val="24"/>
          <w:highlight w:val="none"/>
          <w:lang w:val="en-US" w:eastAsia="zh-CN"/>
        </w:rPr>
        <w:t>Search strategies: No method or language restrictions were applied, and studies from all countries were eligible. No pubication years restricted, and the search deadline was February 2020.</w:t>
      </w:r>
      <w:bookmarkStart w:id="3" w:name="_GoBack"/>
      <w:bookmarkEnd w:id="3"/>
    </w:p>
    <w:p>
      <w:pPr>
        <w:numPr>
          <w:ilvl w:val="0"/>
          <w:numId w:val="3"/>
        </w:numPr>
        <w:ind w:leftChars="0"/>
        <w:rPr>
          <w:rFonts w:hint="default"/>
          <w:sz w:val="24"/>
          <w:szCs w:val="24"/>
          <w:highlight w:val="none"/>
          <w:lang w:val="en-US" w:eastAsia="zh-CN"/>
        </w:rPr>
      </w:pPr>
      <w:r>
        <w:rPr>
          <w:rFonts w:hint="eastAsia"/>
          <w:sz w:val="24"/>
          <w:szCs w:val="24"/>
          <w:highlight w:val="none"/>
          <w:lang w:val="en-US" w:eastAsia="zh-CN"/>
        </w:rPr>
        <w:t>PubMed</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4892"/>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w:t>
            </w:r>
          </w:p>
        </w:tc>
        <w:tc>
          <w:tcPr>
            <w:tcW w:w="4892" w:type="dxa"/>
          </w:tcPr>
          <w:p>
            <w:pPr>
              <w:numPr>
                <w:ilvl w:val="0"/>
                <w:numId w:val="0"/>
              </w:numPr>
              <w:rPr>
                <w:rFonts w:hint="default"/>
                <w:sz w:val="24"/>
                <w:szCs w:val="24"/>
                <w:highlight w:val="none"/>
                <w:vertAlign w:val="baseline"/>
                <w:lang w:val="en-US" w:eastAsia="zh-CN"/>
              </w:rPr>
            </w:pPr>
            <w:bookmarkStart w:id="0" w:name="OLE_LINK1"/>
            <w:r>
              <w:rPr>
                <w:rFonts w:hint="eastAsia"/>
                <w:sz w:val="24"/>
                <w:szCs w:val="24"/>
                <w:highlight w:val="none"/>
                <w:vertAlign w:val="baseline"/>
                <w:lang w:val="en-US" w:eastAsia="zh-CN"/>
              </w:rPr>
              <w:t>Search (all fields)</w:t>
            </w:r>
            <w:bookmarkEnd w:id="0"/>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w:t>
            </w:r>
          </w:p>
        </w:tc>
        <w:tc>
          <w:tcPr>
            <w:tcW w:w="4892" w:type="dxa"/>
          </w:tcPr>
          <w:p>
            <w:pPr>
              <w:numPr>
                <w:ilvl w:val="0"/>
                <w:numId w:val="0"/>
              </w:numPr>
              <w:rPr>
                <w:rFonts w:hint="default"/>
                <w:sz w:val="24"/>
                <w:szCs w:val="24"/>
                <w:highlight w:val="none"/>
                <w:vertAlign w:val="baseline"/>
                <w:lang w:val="en-US" w:eastAsia="zh-CN"/>
              </w:rPr>
            </w:pPr>
            <w:r>
              <w:rPr>
                <w:rFonts w:hint="default"/>
                <w:sz w:val="24"/>
                <w:szCs w:val="24"/>
                <w:highlight w:val="none"/>
                <w:vertAlign w:val="baseline"/>
                <w:lang w:val="en-US" w:eastAsia="zh-CN"/>
              </w:rPr>
              <w:t>Vascular Endothelial Growth Factor</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93262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2</w:t>
            </w:r>
          </w:p>
        </w:tc>
        <w:tc>
          <w:tcPr>
            <w:tcW w:w="4892" w:type="dxa"/>
          </w:tcPr>
          <w:p>
            <w:pPr>
              <w:numPr>
                <w:ilvl w:val="0"/>
                <w:numId w:val="0"/>
              </w:numPr>
              <w:rPr>
                <w:rFonts w:hint="default"/>
                <w:sz w:val="24"/>
                <w:szCs w:val="24"/>
                <w:highlight w:val="none"/>
                <w:vertAlign w:val="baseline"/>
                <w:lang w:val="en-US" w:eastAsia="zh-CN"/>
              </w:rPr>
            </w:pPr>
            <w:r>
              <w:rPr>
                <w:rFonts w:hint="default"/>
                <w:sz w:val="24"/>
                <w:szCs w:val="24"/>
                <w:highlight w:val="none"/>
                <w:vertAlign w:val="baseline"/>
                <w:lang w:val="en-US" w:eastAsia="zh-CN"/>
              </w:rPr>
              <w:t>Vasculotropin</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50539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3</w:t>
            </w:r>
          </w:p>
        </w:tc>
        <w:tc>
          <w:tcPr>
            <w:tcW w:w="4892"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VEGF</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77637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4</w:t>
            </w:r>
          </w:p>
        </w:tc>
        <w:tc>
          <w:tcPr>
            <w:tcW w:w="4892"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VEGF-A</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52138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5</w:t>
            </w:r>
          </w:p>
        </w:tc>
        <w:tc>
          <w:tcPr>
            <w:tcW w:w="4892"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 OR #2 OR #3 OR #4</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104418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6</w:t>
            </w:r>
          </w:p>
        </w:tc>
        <w:tc>
          <w:tcPr>
            <w:tcW w:w="4892"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acute myeloid leukemia</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77201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7</w:t>
            </w:r>
          </w:p>
        </w:tc>
        <w:tc>
          <w:tcPr>
            <w:tcW w:w="4892"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AML</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31513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8</w:t>
            </w:r>
          </w:p>
        </w:tc>
        <w:tc>
          <w:tcPr>
            <w:tcW w:w="4892"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acute nonlymphocytic leukemia</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77931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9</w:t>
            </w:r>
          </w:p>
        </w:tc>
        <w:tc>
          <w:tcPr>
            <w:tcW w:w="4892"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ANLL</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77836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10</w:t>
            </w:r>
          </w:p>
        </w:tc>
        <w:tc>
          <w:tcPr>
            <w:tcW w:w="4892"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#6 OR #7 OR #8 OR #9</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83309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11</w:t>
            </w:r>
          </w:p>
        </w:tc>
        <w:tc>
          <w:tcPr>
            <w:tcW w:w="4892"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#5 AND #10</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395</w:t>
            </w:r>
          </w:p>
        </w:tc>
      </w:tr>
    </w:tbl>
    <w:p>
      <w:pPr>
        <w:numPr>
          <w:ilvl w:val="0"/>
          <w:numId w:val="0"/>
        </w:numPr>
        <w:ind w:leftChars="0"/>
        <w:rPr>
          <w:rFonts w:hint="default"/>
          <w:sz w:val="24"/>
          <w:szCs w:val="24"/>
          <w:highlight w:val="none"/>
          <w:lang w:val="en-US" w:eastAsia="zh-CN"/>
        </w:rPr>
      </w:pPr>
    </w:p>
    <w:p>
      <w:pPr>
        <w:numPr>
          <w:ilvl w:val="0"/>
          <w:numId w:val="3"/>
        </w:numPr>
        <w:ind w:left="0" w:leftChars="0" w:firstLine="0" w:firstLineChars="0"/>
        <w:rPr>
          <w:rFonts w:hint="default"/>
          <w:sz w:val="24"/>
          <w:szCs w:val="24"/>
          <w:highlight w:val="none"/>
          <w:lang w:val="en-US" w:eastAsia="zh-CN"/>
        </w:rPr>
      </w:pPr>
      <w:r>
        <w:rPr>
          <w:rFonts w:hint="eastAsia"/>
          <w:sz w:val="24"/>
          <w:szCs w:val="24"/>
          <w:highlight w:val="none"/>
          <w:lang w:val="en-US" w:eastAsia="zh-CN"/>
        </w:rPr>
        <w:t>Cochrane</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4904"/>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rPr>
                <w:vertAlign w:val="baseline"/>
              </w:rPr>
            </w:pPr>
            <w:r>
              <w:rPr>
                <w:rFonts w:hint="eastAsia"/>
                <w:sz w:val="24"/>
                <w:szCs w:val="24"/>
                <w:highlight w:val="none"/>
                <w:vertAlign w:val="baseline"/>
                <w:lang w:val="en-US" w:eastAsia="zh-CN"/>
              </w:rPr>
              <w:t>#</w:t>
            </w:r>
          </w:p>
        </w:tc>
        <w:tc>
          <w:tcPr>
            <w:tcW w:w="4904" w:type="dxa"/>
          </w:tcPr>
          <w:p>
            <w:pPr>
              <w:rPr>
                <w:vertAlign w:val="baseline"/>
              </w:rPr>
            </w:pPr>
            <w:r>
              <w:rPr>
                <w:rFonts w:hint="eastAsia"/>
                <w:sz w:val="24"/>
                <w:szCs w:val="24"/>
                <w:highlight w:val="none"/>
                <w:vertAlign w:val="baseline"/>
                <w:lang w:val="en-US" w:eastAsia="zh-CN"/>
              </w:rPr>
              <w:t>Search (all text)</w:t>
            </w:r>
          </w:p>
        </w:tc>
        <w:tc>
          <w:tcPr>
            <w:tcW w:w="2841" w:type="dxa"/>
          </w:tcPr>
          <w:p>
            <w:pPr>
              <w:rPr>
                <w:rFonts w:hint="eastAsia" w:eastAsiaTheme="minorEastAsia"/>
                <w:vertAlign w:val="baseline"/>
                <w:lang w:val="en-US" w:eastAsia="zh-CN"/>
              </w:rPr>
            </w:pPr>
            <w:r>
              <w:rPr>
                <w:rFonts w:hint="eastAsia"/>
                <w:sz w:val="24"/>
                <w:szCs w:val="24"/>
                <w:highlight w:val="none"/>
                <w:vertAlign w:val="baseline"/>
                <w:lang w:val="en-US" w:eastAsia="zh-CN"/>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1</w:t>
            </w:r>
          </w:p>
        </w:tc>
        <w:tc>
          <w:tcPr>
            <w:tcW w:w="4904" w:type="dxa"/>
          </w:tcPr>
          <w:p>
            <w:pPr>
              <w:numPr>
                <w:ilvl w:val="0"/>
                <w:numId w:val="0"/>
              </w:numPr>
              <w:rPr>
                <w:rFonts w:hint="eastAsia"/>
                <w:sz w:val="24"/>
                <w:szCs w:val="24"/>
                <w:highlight w:val="none"/>
                <w:vertAlign w:val="baseline"/>
                <w:lang w:val="en-US" w:eastAsia="zh-CN"/>
              </w:rPr>
            </w:pPr>
            <w:r>
              <w:rPr>
                <w:rFonts w:hint="default"/>
                <w:sz w:val="24"/>
                <w:szCs w:val="24"/>
                <w:highlight w:val="none"/>
                <w:vertAlign w:val="baseline"/>
                <w:lang w:val="en-US" w:eastAsia="zh-CN"/>
              </w:rPr>
              <w:t>Vascular Endothelial Growth Factor</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3900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2</w:t>
            </w:r>
          </w:p>
        </w:tc>
        <w:tc>
          <w:tcPr>
            <w:tcW w:w="4904" w:type="dxa"/>
          </w:tcPr>
          <w:p>
            <w:pPr>
              <w:numPr>
                <w:ilvl w:val="0"/>
                <w:numId w:val="0"/>
              </w:numPr>
              <w:rPr>
                <w:rFonts w:hint="eastAsia"/>
                <w:sz w:val="24"/>
                <w:szCs w:val="24"/>
                <w:highlight w:val="none"/>
                <w:vertAlign w:val="baseline"/>
                <w:lang w:val="en-US" w:eastAsia="zh-CN"/>
              </w:rPr>
            </w:pPr>
            <w:r>
              <w:rPr>
                <w:rFonts w:hint="default"/>
                <w:sz w:val="24"/>
                <w:szCs w:val="24"/>
                <w:highlight w:val="none"/>
                <w:vertAlign w:val="baseline"/>
                <w:lang w:val="en-US" w:eastAsia="zh-CN"/>
              </w:rPr>
              <w:t>Vasculotropin</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1253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3</w:t>
            </w:r>
          </w:p>
        </w:tc>
        <w:tc>
          <w:tcPr>
            <w:tcW w:w="4904"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VEGF</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4281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4</w:t>
            </w:r>
          </w:p>
        </w:tc>
        <w:tc>
          <w:tcPr>
            <w:tcW w:w="4904"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VEGF-A</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5</w:t>
            </w:r>
          </w:p>
        </w:tc>
        <w:tc>
          <w:tcPr>
            <w:tcW w:w="4904"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#1 OR #2 OR #3 OR #4</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6174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6</w:t>
            </w:r>
          </w:p>
        </w:tc>
        <w:tc>
          <w:tcPr>
            <w:tcW w:w="4904"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acute myeloid leukemia</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4357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7</w:t>
            </w:r>
          </w:p>
        </w:tc>
        <w:tc>
          <w:tcPr>
            <w:tcW w:w="4904"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AML</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3947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8</w:t>
            </w:r>
          </w:p>
        </w:tc>
        <w:tc>
          <w:tcPr>
            <w:tcW w:w="4904"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acute nonlymphocytic leukemia</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9</w:t>
            </w:r>
          </w:p>
        </w:tc>
        <w:tc>
          <w:tcPr>
            <w:tcW w:w="4904"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ANLL</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10</w:t>
            </w:r>
          </w:p>
        </w:tc>
        <w:tc>
          <w:tcPr>
            <w:tcW w:w="0" w:type="auto"/>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#6 OR #7 OR #8 OR #9</w:t>
            </w:r>
          </w:p>
        </w:tc>
        <w:tc>
          <w:tcPr>
            <w:tcW w:w="0" w:type="auto"/>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5709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11</w:t>
            </w:r>
          </w:p>
        </w:tc>
        <w:tc>
          <w:tcPr>
            <w:tcW w:w="0" w:type="auto"/>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#5 AND #10</w:t>
            </w:r>
          </w:p>
        </w:tc>
        <w:tc>
          <w:tcPr>
            <w:tcW w:w="0" w:type="auto"/>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16</w:t>
            </w:r>
          </w:p>
        </w:tc>
      </w:tr>
    </w:tbl>
    <w:p/>
    <w:p>
      <w:pPr>
        <w:numPr>
          <w:ilvl w:val="0"/>
          <w:numId w:val="3"/>
        </w:numPr>
        <w:ind w:left="0" w:leftChars="0" w:firstLine="0" w:firstLineChars="0"/>
        <w:rPr>
          <w:rFonts w:hint="eastAsia"/>
          <w:sz w:val="24"/>
          <w:szCs w:val="24"/>
          <w:highlight w:val="none"/>
          <w:lang w:val="en-US" w:eastAsia="zh-CN"/>
        </w:rPr>
      </w:pPr>
      <w:r>
        <w:rPr>
          <w:rFonts w:hint="eastAsia"/>
          <w:sz w:val="24"/>
          <w:szCs w:val="24"/>
          <w:highlight w:val="none"/>
          <w:lang w:val="en-US" w:eastAsia="zh-CN"/>
        </w:rPr>
        <w:t>EMBASE</w:t>
      </w:r>
    </w:p>
    <w:p>
      <w:pPr>
        <w:numPr>
          <w:ilvl w:val="0"/>
          <w:numId w:val="0"/>
        </w:numPr>
        <w:ind w:leftChars="0"/>
        <w:rPr>
          <w:rFonts w:hint="default"/>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4904"/>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rPr>
                <w:vertAlign w:val="baseline"/>
              </w:rPr>
            </w:pPr>
            <w:r>
              <w:rPr>
                <w:rFonts w:hint="eastAsia"/>
                <w:sz w:val="24"/>
                <w:szCs w:val="24"/>
                <w:highlight w:val="none"/>
                <w:vertAlign w:val="baseline"/>
                <w:lang w:val="en-US" w:eastAsia="zh-CN"/>
              </w:rPr>
              <w:t>#</w:t>
            </w:r>
          </w:p>
        </w:tc>
        <w:tc>
          <w:tcPr>
            <w:tcW w:w="4904"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Search (all fields)</w:t>
            </w:r>
          </w:p>
        </w:tc>
        <w:tc>
          <w:tcPr>
            <w:tcW w:w="2841"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1</w:t>
            </w:r>
          </w:p>
        </w:tc>
        <w:tc>
          <w:tcPr>
            <w:tcW w:w="4904" w:type="dxa"/>
          </w:tcPr>
          <w:p>
            <w:pPr>
              <w:numPr>
                <w:ilvl w:val="0"/>
                <w:numId w:val="0"/>
              </w:numPr>
              <w:rPr>
                <w:rFonts w:hint="default"/>
                <w:sz w:val="24"/>
                <w:szCs w:val="24"/>
                <w:highlight w:val="none"/>
                <w:vertAlign w:val="baseline"/>
                <w:lang w:val="en-US" w:eastAsia="zh-CN"/>
              </w:rPr>
            </w:pPr>
            <w:bookmarkStart w:id="1" w:name="OLE_LINK2"/>
            <w:r>
              <w:rPr>
                <w:rFonts w:hint="default"/>
                <w:sz w:val="24"/>
                <w:szCs w:val="24"/>
                <w:highlight w:val="none"/>
                <w:vertAlign w:val="baseline"/>
                <w:lang w:val="en-US" w:eastAsia="zh-CN"/>
              </w:rPr>
              <w:t>‘Vascular Endothelial Growth Factor</w:t>
            </w:r>
            <w:bookmarkEnd w:id="1"/>
            <w:r>
              <w:rPr>
                <w:rFonts w:hint="default"/>
                <w:sz w:val="24"/>
                <w:szCs w:val="24"/>
                <w:highlight w:val="none"/>
                <w:vertAlign w:val="baseline"/>
                <w:lang w:val="en-US" w:eastAsia="zh-CN"/>
              </w:rPr>
              <w:t>’</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75456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2</w:t>
            </w:r>
          </w:p>
        </w:tc>
        <w:tc>
          <w:tcPr>
            <w:tcW w:w="4904" w:type="dxa"/>
          </w:tcPr>
          <w:p>
            <w:pPr>
              <w:numPr>
                <w:ilvl w:val="0"/>
                <w:numId w:val="0"/>
              </w:numPr>
              <w:rPr>
                <w:rFonts w:hint="eastAsia"/>
                <w:sz w:val="24"/>
                <w:szCs w:val="24"/>
                <w:highlight w:val="none"/>
                <w:vertAlign w:val="baseline"/>
                <w:lang w:val="en-US" w:eastAsia="zh-CN"/>
              </w:rPr>
            </w:pPr>
            <w:r>
              <w:rPr>
                <w:rFonts w:hint="default"/>
                <w:sz w:val="24"/>
                <w:szCs w:val="24"/>
                <w:highlight w:val="none"/>
                <w:vertAlign w:val="baseline"/>
                <w:lang w:val="en-US" w:eastAsia="zh-CN"/>
              </w:rPr>
              <w:t>Vasculotropin</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149073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3</w:t>
            </w:r>
          </w:p>
        </w:tc>
        <w:tc>
          <w:tcPr>
            <w:tcW w:w="4904"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VEGF</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98203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4</w:t>
            </w:r>
          </w:p>
        </w:tc>
        <w:tc>
          <w:tcPr>
            <w:tcW w:w="4904" w:type="dxa"/>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VEGF-A</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9603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5</w:t>
            </w:r>
          </w:p>
        </w:tc>
        <w:tc>
          <w:tcPr>
            <w:tcW w:w="4904" w:type="dxa"/>
            <w:vAlign w:val="top"/>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#1 OR #2 OR #3 OR #4</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165045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6</w:t>
            </w:r>
          </w:p>
        </w:tc>
        <w:tc>
          <w:tcPr>
            <w:tcW w:w="4904" w:type="dxa"/>
            <w:vAlign w:val="top"/>
          </w:tcPr>
          <w:p>
            <w:pPr>
              <w:numPr>
                <w:ilvl w:val="0"/>
                <w:numId w:val="0"/>
              </w:numPr>
              <w:rPr>
                <w:rFonts w:hint="default"/>
                <w:sz w:val="24"/>
                <w:szCs w:val="24"/>
                <w:highlight w:val="none"/>
                <w:vertAlign w:val="baseline"/>
                <w:lang w:val="en-US" w:eastAsia="zh-CN"/>
              </w:rPr>
            </w:pPr>
            <w:r>
              <w:rPr>
                <w:rFonts w:hint="default"/>
                <w:sz w:val="24"/>
                <w:szCs w:val="24"/>
                <w:highlight w:val="none"/>
                <w:vertAlign w:val="baseline"/>
                <w:lang w:val="en-US" w:eastAsia="zh-CN"/>
              </w:rPr>
              <w:t>‘</w:t>
            </w:r>
            <w:r>
              <w:rPr>
                <w:rFonts w:hint="eastAsia"/>
                <w:sz w:val="24"/>
                <w:szCs w:val="24"/>
                <w:highlight w:val="none"/>
                <w:vertAlign w:val="baseline"/>
                <w:lang w:val="en-US" w:eastAsia="zh-CN"/>
              </w:rPr>
              <w:t>acute myeloid leukemia</w:t>
            </w:r>
            <w:r>
              <w:rPr>
                <w:rFonts w:hint="default"/>
                <w:sz w:val="24"/>
                <w:szCs w:val="24"/>
                <w:highlight w:val="none"/>
                <w:vertAlign w:val="baseline"/>
                <w:lang w:val="en-US" w:eastAsia="zh-CN"/>
              </w:rPr>
              <w:t>’</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95287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7</w:t>
            </w:r>
          </w:p>
        </w:tc>
        <w:tc>
          <w:tcPr>
            <w:tcW w:w="4904" w:type="dxa"/>
            <w:vAlign w:val="top"/>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AML</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62485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8</w:t>
            </w:r>
          </w:p>
        </w:tc>
        <w:tc>
          <w:tcPr>
            <w:tcW w:w="4904" w:type="dxa"/>
            <w:vAlign w:val="top"/>
          </w:tcPr>
          <w:p>
            <w:pPr>
              <w:numPr>
                <w:ilvl w:val="0"/>
                <w:numId w:val="0"/>
              </w:numPr>
              <w:rPr>
                <w:rFonts w:hint="default"/>
                <w:sz w:val="24"/>
                <w:szCs w:val="24"/>
                <w:highlight w:val="none"/>
                <w:vertAlign w:val="baseline"/>
                <w:lang w:val="en-US" w:eastAsia="zh-CN"/>
              </w:rPr>
            </w:pPr>
            <w:bookmarkStart w:id="2" w:name="OLE_LINK3"/>
            <w:r>
              <w:rPr>
                <w:rFonts w:hint="default"/>
                <w:sz w:val="24"/>
                <w:szCs w:val="24"/>
                <w:highlight w:val="none"/>
                <w:vertAlign w:val="baseline"/>
                <w:lang w:val="en-US" w:eastAsia="zh-CN"/>
              </w:rPr>
              <w:t>‘</w:t>
            </w:r>
            <w:r>
              <w:rPr>
                <w:rFonts w:hint="eastAsia"/>
                <w:sz w:val="24"/>
                <w:szCs w:val="24"/>
                <w:highlight w:val="none"/>
                <w:vertAlign w:val="baseline"/>
                <w:lang w:val="en-US" w:eastAsia="zh-CN"/>
              </w:rPr>
              <w:t>acute nonlymphocytic leukemia</w:t>
            </w:r>
            <w:bookmarkEnd w:id="2"/>
            <w:r>
              <w:rPr>
                <w:rFonts w:hint="default"/>
                <w:sz w:val="24"/>
                <w:szCs w:val="24"/>
                <w:highlight w:val="none"/>
                <w:vertAlign w:val="baseline"/>
                <w:lang w:val="en-US" w:eastAsia="zh-CN"/>
              </w:rPr>
              <w:t>’</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1547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9</w:t>
            </w:r>
          </w:p>
        </w:tc>
        <w:tc>
          <w:tcPr>
            <w:tcW w:w="4904" w:type="dxa"/>
            <w:vAlign w:val="top"/>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ANLL</w:t>
            </w:r>
          </w:p>
        </w:tc>
        <w:tc>
          <w:tcPr>
            <w:tcW w:w="2841" w:type="dxa"/>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10</w:t>
            </w:r>
          </w:p>
        </w:tc>
        <w:tc>
          <w:tcPr>
            <w:tcW w:w="0" w:type="auto"/>
            <w:vAlign w:val="top"/>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#6 OR #7 OR #8 OR #9</w:t>
            </w:r>
          </w:p>
        </w:tc>
        <w:tc>
          <w:tcPr>
            <w:tcW w:w="0" w:type="auto"/>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113489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top"/>
          </w:tcPr>
          <w:p>
            <w:pPr>
              <w:numPr>
                <w:ilvl w:val="0"/>
                <w:numId w:val="0"/>
              </w:numPr>
              <w:ind w:left="0" w:leftChars="0" w:firstLine="0" w:firstLineChars="0"/>
              <w:rPr>
                <w:rFonts w:hint="eastAsia" w:asciiTheme="minorHAnsi" w:hAnsiTheme="minorHAnsi" w:eastAsiaTheme="minorEastAsia" w:cstheme="minorBidi"/>
                <w:kern w:val="2"/>
                <w:sz w:val="24"/>
                <w:szCs w:val="24"/>
                <w:highlight w:val="none"/>
                <w:vertAlign w:val="baseline"/>
                <w:lang w:val="en-US" w:eastAsia="zh-CN" w:bidi="ar-SA"/>
              </w:rPr>
            </w:pPr>
            <w:r>
              <w:rPr>
                <w:rFonts w:hint="eastAsia"/>
                <w:sz w:val="24"/>
                <w:szCs w:val="24"/>
                <w:highlight w:val="none"/>
                <w:vertAlign w:val="baseline"/>
                <w:lang w:val="en-US" w:eastAsia="zh-CN"/>
              </w:rPr>
              <w:t>11</w:t>
            </w:r>
          </w:p>
        </w:tc>
        <w:tc>
          <w:tcPr>
            <w:tcW w:w="0" w:type="auto"/>
            <w:vAlign w:val="top"/>
          </w:tcPr>
          <w:p>
            <w:pPr>
              <w:numPr>
                <w:ilvl w:val="0"/>
                <w:numId w:val="0"/>
              </w:numPr>
              <w:rPr>
                <w:rFonts w:hint="eastAsia"/>
                <w:sz w:val="24"/>
                <w:szCs w:val="24"/>
                <w:highlight w:val="none"/>
                <w:vertAlign w:val="baseline"/>
                <w:lang w:val="en-US" w:eastAsia="zh-CN"/>
              </w:rPr>
            </w:pPr>
            <w:r>
              <w:rPr>
                <w:rFonts w:hint="eastAsia"/>
                <w:sz w:val="24"/>
                <w:szCs w:val="24"/>
                <w:highlight w:val="none"/>
                <w:vertAlign w:val="baseline"/>
                <w:lang w:val="en-US" w:eastAsia="zh-CN"/>
              </w:rPr>
              <w:t>#5 AND #10</w:t>
            </w:r>
          </w:p>
        </w:tc>
        <w:tc>
          <w:tcPr>
            <w:tcW w:w="0" w:type="auto"/>
          </w:tcPr>
          <w:p>
            <w:pPr>
              <w:numPr>
                <w:ilvl w:val="0"/>
                <w:numId w:val="0"/>
              </w:numPr>
              <w:rPr>
                <w:rFonts w:hint="default"/>
                <w:sz w:val="24"/>
                <w:szCs w:val="24"/>
                <w:highlight w:val="none"/>
                <w:vertAlign w:val="baseline"/>
                <w:lang w:val="en-US" w:eastAsia="zh-CN"/>
              </w:rPr>
            </w:pPr>
            <w:r>
              <w:rPr>
                <w:rFonts w:hint="eastAsia"/>
                <w:sz w:val="24"/>
                <w:szCs w:val="24"/>
                <w:highlight w:val="none"/>
                <w:vertAlign w:val="baseline"/>
                <w:lang w:val="en-US" w:eastAsia="zh-CN"/>
              </w:rPr>
              <w:t>1343</w:t>
            </w:r>
          </w:p>
        </w:tc>
      </w:tr>
    </w:tbl>
    <w:p/>
    <w:p/>
    <w:p/>
    <w:p>
      <w:pPr>
        <w:rPr>
          <w:rFonts w:hint="eastAsia"/>
          <w:b w:val="0"/>
          <w:bCs w:val="0"/>
          <w:color w:val="auto"/>
          <w:highlight w:val="yellow"/>
          <w:lang w:val="en-US" w:eastAsia="zh-CN"/>
        </w:rPr>
      </w:pPr>
    </w:p>
    <w:p>
      <w:pPr>
        <w:rPr>
          <w:rFonts w:hint="default"/>
          <w:b w:val="0"/>
          <w:bCs w:val="0"/>
          <w:color w:val="auto"/>
          <w:highlight w:val="yellow"/>
          <w:lang w:val="en-US" w:eastAsia="zh-CN"/>
        </w:rPr>
      </w:pPr>
    </w:p>
    <w:p>
      <w:pPr>
        <w:numPr>
          <w:ilvl w:val="0"/>
          <w:numId w:val="1"/>
        </w:numPr>
        <w:ind w:left="0" w:leftChars="0" w:firstLine="0" w:firstLineChars="0"/>
        <w:rPr>
          <w:rFonts w:hint="default"/>
          <w:sz w:val="24"/>
          <w:szCs w:val="24"/>
          <w:highlight w:val="none"/>
          <w:lang w:val="en-US" w:eastAsia="zh-CN"/>
        </w:rPr>
      </w:pPr>
      <w:r>
        <w:rPr>
          <w:rFonts w:hint="eastAsia"/>
          <w:sz w:val="24"/>
          <w:szCs w:val="24"/>
          <w:highlight w:val="none"/>
          <w:lang w:val="en-US" w:eastAsia="zh-CN"/>
        </w:rPr>
        <w:t>Included studies (14 articles)</w:t>
      </w: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 xml:space="preserve">[16].  </w:t>
      </w:r>
      <w:r>
        <w:rPr>
          <w:rFonts w:hint="default"/>
          <w:sz w:val="24"/>
          <w:szCs w:val="24"/>
          <w:highlight w:val="none"/>
          <w:lang w:val="en-US" w:eastAsia="zh-CN"/>
        </w:rPr>
        <w:t>Aguayo A, Kantarjian H, Manshouri T, Gidel C, Estey E, Thomas D, et al. Angiogenesis in acute and chronic leukemias and myelodysplastic syndromes. Blood 2000;96(6):2240-5. https://doi.org/ 10.1182/blood.V96.6.2240</w:t>
      </w:r>
    </w:p>
    <w:p>
      <w:pPr>
        <w:numPr>
          <w:ilvl w:val="0"/>
          <w:numId w:val="0"/>
        </w:numPr>
        <w:rPr>
          <w:rFonts w:hint="default"/>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17</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Kim JG, Sohn SK, Kim DH, Baek JH, Lee NY, Suh JS, et al. Clinical implications of angiogenic factors in patients with acute or chronic leukemia: hepatocyte growth factor levels have prognostic impact, especially in patients with acute myeloid leukemia. Leuk Lymphoma 2005;46(6):885-91. https://doi.org/ 10.1080/10428190500054491</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20</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Yang XW, Ma LM, Zhao XQ, Ruan LH. [Clinical Curative Efficacy of Lenalidomide Combined with Chemotherapy for Acute  Leukemia and Its Impact on VEGF]. Zhongguo Shi Yan Xue Ye Xue Za Zhi 2016;24(3):702-6. https://www.ncbi.nlm.nih.gov/pubmed/27342494?dopt=Abstract</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21</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Song Y, Tan Y, Liu L, Wang Q, Zhu J, Liu M. Levels of bone marrow microvessel density are crucial for evaluating the status of acute myeloid leukemia. Oncol Lett 2015;10(1):211-215. https://doi.org/ 10.3892/ol.2015.3209</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22</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Zhao MQ, Zhao HG. [Serum level of angiogenesis-related cytokins in patients with myelodysplastic syndrome]. Zhongguo Shi Yan Xue Ye Xue Za Zhi 2007;15(3):519-22. https://www.ncbi.nlm.nih.gov/pubmed/17605857?dopt=Abstract</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23</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Erdem F, Gündogdu M, Kiziltunç A. Serum vascular endothelial growth factor level in patients with hematological malignancies. European Journal of General Medicine 2006;3(3):116-120. http://www.bioline.org.br/abstract?gm06024</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24</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Xie JM, Qi ZH. [Clinical significance and expression of vascular endothelial growth factor in serum of patients with acute leukemia]. Hunan Yi Ke Da Xue Xue Bao 2003;28(2):183-5. https://www.ncbi.nlm.nih.gov/pubmed/12934374?dopt=Abstract</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default"/>
          <w:sz w:val="24"/>
          <w:szCs w:val="24"/>
          <w:highlight w:val="none"/>
          <w:lang w:val="en-US" w:eastAsia="zh-CN"/>
        </w:rPr>
        <w:t>[25]Aref S, Mabed M, Sakrana M, Goda T, El-Sherbiny M. Soluble hepatocyte growth factor (sHGF) and vascular endothelial growth factor (sVEGF) in adult acute myeloid leukemia: relationship to disease characteristics. Hematology 2002;7(5):273-9. https://doi.org/ 10.1080/1024533021000037207</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default"/>
          <w:sz w:val="24"/>
          <w:szCs w:val="24"/>
          <w:highlight w:val="none"/>
          <w:lang w:val="en-US" w:eastAsia="zh-CN"/>
        </w:rPr>
        <w:t>[26]</w:t>
      </w:r>
      <w:r>
        <w:rPr>
          <w:rFonts w:hint="eastAsia"/>
          <w:sz w:val="24"/>
          <w:szCs w:val="24"/>
          <w:highlight w:val="none"/>
          <w:lang w:val="en-US" w:eastAsia="zh-CN"/>
        </w:rPr>
        <w:t xml:space="preserve">.   </w:t>
      </w:r>
      <w:r>
        <w:rPr>
          <w:rFonts w:hint="default"/>
          <w:sz w:val="24"/>
          <w:szCs w:val="24"/>
          <w:highlight w:val="none"/>
          <w:lang w:val="en-US" w:eastAsia="zh-CN"/>
        </w:rPr>
        <w:t>Aref S, El SM, Goda T, Fouda M, Al AH, Abdalla D. Soluble VEGF/sFLt1 ratio is an independent predictor of AML patient out come. Hematology 2005;10(2):131-4. https://doi.org/ 10.1080/10245330500065797</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default"/>
          <w:sz w:val="24"/>
          <w:szCs w:val="24"/>
          <w:highlight w:val="none"/>
          <w:lang w:val="en-US" w:eastAsia="zh-CN"/>
        </w:rPr>
        <w:t>[27]</w:t>
      </w:r>
      <w:r>
        <w:rPr>
          <w:rFonts w:hint="eastAsia"/>
          <w:sz w:val="24"/>
          <w:szCs w:val="24"/>
          <w:highlight w:val="none"/>
          <w:lang w:val="en-US" w:eastAsia="zh-CN"/>
        </w:rPr>
        <w:t xml:space="preserve">.   </w:t>
      </w:r>
      <w:r>
        <w:rPr>
          <w:rFonts w:hint="default"/>
          <w:sz w:val="24"/>
          <w:szCs w:val="24"/>
          <w:highlight w:val="none"/>
          <w:lang w:val="en-US" w:eastAsia="zh-CN"/>
        </w:rPr>
        <w:t>Aguayo A, Kantarjian HM, Estey EH, Giles FJ, Verstovsek S, Manshouri T, et al. Plasma vascular endothelial growth factor levels have prognostic significance in patients with acute myeloid leukemia but not in patients with myelodysplastic syndromes. Cancer 2002;95(9):1923-1930. https://doi.org/ 10.1002/cncr.10900</w:t>
      </w:r>
    </w:p>
    <w:p>
      <w:pPr>
        <w:widowControl w:val="0"/>
        <w:numPr>
          <w:ilvl w:val="0"/>
          <w:numId w:val="0"/>
        </w:numPr>
        <w:jc w:val="both"/>
        <w:rPr>
          <w:rFonts w:hint="eastAsia"/>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28</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Wang Y, Xiao ZJ, Liu P, Yang C, Yang RC, Cai YL, et al. [Expression of vascular endothelial growth factor and its receptors KDR and Flt1  in acute myeloid leukemia]. Zhonghua Xue Ye Xue Za Zhi 2003;24(5):249-52. https://www.ncbi.nlm.nih.gov/pubmed/12859876?dopt=Abstract</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29</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Wang Y, Xiao ZJ, Liu P, Peng Z, Han ZC. [Expression of angiogenic factors and their clinical significances in acute myeloid leukemia]. Ai Zheng 2004;23(11 Suppl):1423-7. https://www.ncbi.nlm.nih.gov/pubmed/15566649?dopt=Abstract</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30</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Wierzbowska A, Robak T, Wrzesien-Kus A, Krawczynska A, Lech-Maranda E, Urbanska-Rys H. Circulating VEGF and its soluble receptors sVEGFR-1 and sVEGFR-2 in patients with acute leukemia. Eur Cytokine Netw 2003;14(3):149-53.</w:t>
      </w:r>
    </w:p>
    <w:p>
      <w:pPr>
        <w:widowControl w:val="0"/>
        <w:numPr>
          <w:ilvl w:val="0"/>
          <w:numId w:val="0"/>
        </w:numPr>
        <w:jc w:val="both"/>
        <w:rPr>
          <w:rFonts w:hint="default"/>
          <w:sz w:val="24"/>
          <w:szCs w:val="24"/>
          <w:highlight w:val="none"/>
          <w:lang w:val="en-US" w:eastAsia="zh-CN"/>
        </w:rPr>
      </w:pPr>
      <w:r>
        <w:rPr>
          <w:rFonts w:hint="default"/>
          <w:sz w:val="24"/>
          <w:szCs w:val="24"/>
          <w:highlight w:val="none"/>
          <w:lang w:val="en-US" w:eastAsia="zh-CN"/>
        </w:rPr>
        <w:t>https://www.ncbi.nlm.nih.gov/pubmed/14656688?dopt=Abstract</w:t>
      </w:r>
    </w:p>
    <w:p>
      <w:pPr>
        <w:widowControl w:val="0"/>
        <w:numPr>
          <w:ilvl w:val="0"/>
          <w:numId w:val="0"/>
        </w:numPr>
        <w:jc w:val="both"/>
        <w:rPr>
          <w:rFonts w:hint="default"/>
          <w:sz w:val="24"/>
          <w:szCs w:val="24"/>
          <w:highlight w:val="none"/>
          <w:lang w:val="en-US" w:eastAsia="zh-CN"/>
        </w:rPr>
      </w:pPr>
    </w:p>
    <w:p>
      <w:pPr>
        <w:widowControl w:val="0"/>
        <w:numPr>
          <w:ilvl w:val="0"/>
          <w:numId w:val="0"/>
        </w:numPr>
        <w:jc w:val="both"/>
        <w:rPr>
          <w:rFonts w:hint="default"/>
          <w:sz w:val="24"/>
          <w:szCs w:val="24"/>
          <w:highlight w:val="none"/>
          <w:lang w:val="en-US" w:eastAsia="zh-CN"/>
        </w:rPr>
      </w:pPr>
      <w:r>
        <w:rPr>
          <w:rFonts w:hint="eastAsia"/>
          <w:sz w:val="24"/>
          <w:szCs w:val="24"/>
          <w:highlight w:val="none"/>
          <w:lang w:val="en-US" w:eastAsia="zh-CN"/>
        </w:rPr>
        <w:t>[</w:t>
      </w:r>
      <w:r>
        <w:rPr>
          <w:rFonts w:hint="default"/>
          <w:sz w:val="24"/>
          <w:szCs w:val="24"/>
          <w:highlight w:val="none"/>
          <w:lang w:val="en-US" w:eastAsia="zh-CN"/>
        </w:rPr>
        <w:t>31</w:t>
      </w:r>
      <w:r>
        <w:rPr>
          <w:rFonts w:hint="eastAsia"/>
          <w:sz w:val="24"/>
          <w:szCs w:val="24"/>
          <w:highlight w:val="none"/>
          <w:lang w:val="en-US" w:eastAsia="zh-CN"/>
        </w:rPr>
        <w:t>]</w:t>
      </w:r>
      <w:r>
        <w:rPr>
          <w:rFonts w:hint="default"/>
          <w:sz w:val="24"/>
          <w:szCs w:val="24"/>
          <w:highlight w:val="none"/>
          <w:lang w:val="en-US" w:eastAsia="zh-CN"/>
        </w:rPr>
        <w:t>.</w:t>
      </w:r>
      <w:r>
        <w:rPr>
          <w:rFonts w:hint="default"/>
          <w:sz w:val="24"/>
          <w:szCs w:val="24"/>
          <w:highlight w:val="none"/>
          <w:lang w:val="en-US" w:eastAsia="zh-CN"/>
        </w:rPr>
        <w:tab/>
      </w:r>
      <w:r>
        <w:rPr>
          <w:rFonts w:hint="default"/>
          <w:sz w:val="24"/>
          <w:szCs w:val="24"/>
          <w:highlight w:val="none"/>
          <w:lang w:val="en-US" w:eastAsia="zh-CN"/>
        </w:rPr>
        <w:t>Dincaslan HU, Yavuz G, Unal E, Tacyildiz N, Ikinciogullari A, Dogu F, et al. Does serum soluble vascular endothelial growth factor levels have different importance in pediatric acute leukemia and malignant lymphoma patients? Pediatr Hematol Oncol 2010;27(7):503-16. https://doi.org/ 10.3109/08880018.2010.493574</w:t>
      </w:r>
    </w:p>
    <w:p>
      <w:pPr>
        <w:numPr>
          <w:ilvl w:val="0"/>
          <w:numId w:val="0"/>
        </w:numPr>
        <w:ind w:leftChars="0"/>
        <w:rPr>
          <w:rFonts w:hint="default"/>
          <w:b w:val="0"/>
          <w:bCs w:val="0"/>
          <w:color w:val="auto"/>
          <w:highlight w:val="yellow"/>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50C0EF"/>
    <w:multiLevelType w:val="singleLevel"/>
    <w:tmpl w:val="AD50C0EF"/>
    <w:lvl w:ilvl="0" w:tentative="0">
      <w:start w:val="1"/>
      <w:numFmt w:val="decimal"/>
      <w:suff w:val="space"/>
      <w:lvlText w:val="%1."/>
      <w:lvlJc w:val="left"/>
    </w:lvl>
  </w:abstractNum>
  <w:abstractNum w:abstractNumId="1">
    <w:nsid w:val="E2EB8340"/>
    <w:multiLevelType w:val="singleLevel"/>
    <w:tmpl w:val="E2EB8340"/>
    <w:lvl w:ilvl="0" w:tentative="0">
      <w:start w:val="1"/>
      <w:numFmt w:val="decimal"/>
      <w:suff w:val="space"/>
      <w:lvlText w:val="(%1)"/>
      <w:lvlJc w:val="left"/>
    </w:lvl>
  </w:abstractNum>
  <w:abstractNum w:abstractNumId="2">
    <w:nsid w:val="FEB6FDA8"/>
    <w:multiLevelType w:val="singleLevel"/>
    <w:tmpl w:val="FEB6FDA8"/>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E1ADA"/>
    <w:rsid w:val="01324B81"/>
    <w:rsid w:val="01752CB4"/>
    <w:rsid w:val="01C31B02"/>
    <w:rsid w:val="01D97EA4"/>
    <w:rsid w:val="02411339"/>
    <w:rsid w:val="027C27D8"/>
    <w:rsid w:val="02860FDB"/>
    <w:rsid w:val="02C86839"/>
    <w:rsid w:val="02FB2A88"/>
    <w:rsid w:val="03283513"/>
    <w:rsid w:val="036C0F11"/>
    <w:rsid w:val="037269C7"/>
    <w:rsid w:val="03765305"/>
    <w:rsid w:val="03AC3DA8"/>
    <w:rsid w:val="03C571D8"/>
    <w:rsid w:val="03E64248"/>
    <w:rsid w:val="04083535"/>
    <w:rsid w:val="040A56E6"/>
    <w:rsid w:val="041F7793"/>
    <w:rsid w:val="0476661B"/>
    <w:rsid w:val="04BA329E"/>
    <w:rsid w:val="05181F4C"/>
    <w:rsid w:val="051E6812"/>
    <w:rsid w:val="052807B9"/>
    <w:rsid w:val="05830FFC"/>
    <w:rsid w:val="05AE5DD5"/>
    <w:rsid w:val="06492E0B"/>
    <w:rsid w:val="065125AF"/>
    <w:rsid w:val="06890C97"/>
    <w:rsid w:val="06AD0BD7"/>
    <w:rsid w:val="06D042C7"/>
    <w:rsid w:val="0761028F"/>
    <w:rsid w:val="076A32FE"/>
    <w:rsid w:val="076D71B0"/>
    <w:rsid w:val="0783421D"/>
    <w:rsid w:val="07843223"/>
    <w:rsid w:val="079742E7"/>
    <w:rsid w:val="079B4E7B"/>
    <w:rsid w:val="07F42E8C"/>
    <w:rsid w:val="082972D6"/>
    <w:rsid w:val="08872CB2"/>
    <w:rsid w:val="089C4543"/>
    <w:rsid w:val="08DC4331"/>
    <w:rsid w:val="08EA5645"/>
    <w:rsid w:val="09006133"/>
    <w:rsid w:val="090C6D8B"/>
    <w:rsid w:val="09133E36"/>
    <w:rsid w:val="09344E59"/>
    <w:rsid w:val="09501D43"/>
    <w:rsid w:val="09531297"/>
    <w:rsid w:val="09B06B91"/>
    <w:rsid w:val="09DF15A0"/>
    <w:rsid w:val="0A0F307B"/>
    <w:rsid w:val="0A7836FB"/>
    <w:rsid w:val="0A850880"/>
    <w:rsid w:val="0B082E23"/>
    <w:rsid w:val="0B504A56"/>
    <w:rsid w:val="0B685444"/>
    <w:rsid w:val="0B7B5A2B"/>
    <w:rsid w:val="0BAF51BB"/>
    <w:rsid w:val="0BB40775"/>
    <w:rsid w:val="0BDC5E3C"/>
    <w:rsid w:val="0C4D775F"/>
    <w:rsid w:val="0C923C41"/>
    <w:rsid w:val="0CCE7F78"/>
    <w:rsid w:val="0CE21F34"/>
    <w:rsid w:val="0DE655B6"/>
    <w:rsid w:val="0E655FD1"/>
    <w:rsid w:val="0E6B19AE"/>
    <w:rsid w:val="0E705A2E"/>
    <w:rsid w:val="0F073DF4"/>
    <w:rsid w:val="0F144A4A"/>
    <w:rsid w:val="0F360721"/>
    <w:rsid w:val="0F5876D3"/>
    <w:rsid w:val="0F9F1FE3"/>
    <w:rsid w:val="0FE32B5F"/>
    <w:rsid w:val="0FFC0088"/>
    <w:rsid w:val="10560F8A"/>
    <w:rsid w:val="10831DE1"/>
    <w:rsid w:val="109711E1"/>
    <w:rsid w:val="11075259"/>
    <w:rsid w:val="110E1DE9"/>
    <w:rsid w:val="1145677E"/>
    <w:rsid w:val="11643D0E"/>
    <w:rsid w:val="117D57AA"/>
    <w:rsid w:val="1193414C"/>
    <w:rsid w:val="11973D88"/>
    <w:rsid w:val="11A25F0E"/>
    <w:rsid w:val="11AC50C4"/>
    <w:rsid w:val="11AF5C09"/>
    <w:rsid w:val="11EB31D6"/>
    <w:rsid w:val="11FC07B9"/>
    <w:rsid w:val="11FC1405"/>
    <w:rsid w:val="11FC719C"/>
    <w:rsid w:val="12115D2B"/>
    <w:rsid w:val="12A95753"/>
    <w:rsid w:val="12D44C7F"/>
    <w:rsid w:val="12EF281B"/>
    <w:rsid w:val="13136ADE"/>
    <w:rsid w:val="136F20BC"/>
    <w:rsid w:val="13C8538A"/>
    <w:rsid w:val="14236AE8"/>
    <w:rsid w:val="143276AC"/>
    <w:rsid w:val="143A4A9C"/>
    <w:rsid w:val="1445583F"/>
    <w:rsid w:val="14A11CFD"/>
    <w:rsid w:val="14F17138"/>
    <w:rsid w:val="1565252E"/>
    <w:rsid w:val="158617FB"/>
    <w:rsid w:val="159E7D1C"/>
    <w:rsid w:val="15AE4345"/>
    <w:rsid w:val="15B01880"/>
    <w:rsid w:val="15FC5526"/>
    <w:rsid w:val="160C59CD"/>
    <w:rsid w:val="163147ED"/>
    <w:rsid w:val="163B3DC5"/>
    <w:rsid w:val="16670306"/>
    <w:rsid w:val="1671160C"/>
    <w:rsid w:val="167E2CA4"/>
    <w:rsid w:val="169D6B64"/>
    <w:rsid w:val="16A37160"/>
    <w:rsid w:val="16A47257"/>
    <w:rsid w:val="16AF19C1"/>
    <w:rsid w:val="16B674BB"/>
    <w:rsid w:val="16EC2DF0"/>
    <w:rsid w:val="170B5E3D"/>
    <w:rsid w:val="172305D5"/>
    <w:rsid w:val="17C304D9"/>
    <w:rsid w:val="17CE7EB0"/>
    <w:rsid w:val="17DE13F4"/>
    <w:rsid w:val="18176D2D"/>
    <w:rsid w:val="189662E6"/>
    <w:rsid w:val="18A25B54"/>
    <w:rsid w:val="18E959D0"/>
    <w:rsid w:val="190F17CB"/>
    <w:rsid w:val="191A7B0C"/>
    <w:rsid w:val="19396D4B"/>
    <w:rsid w:val="197417E8"/>
    <w:rsid w:val="19804D75"/>
    <w:rsid w:val="19C7551E"/>
    <w:rsid w:val="19D02A3A"/>
    <w:rsid w:val="1A0E0E6B"/>
    <w:rsid w:val="1A2D763B"/>
    <w:rsid w:val="1A342E4F"/>
    <w:rsid w:val="1A457417"/>
    <w:rsid w:val="1ABF232D"/>
    <w:rsid w:val="1ADF2991"/>
    <w:rsid w:val="1B301353"/>
    <w:rsid w:val="1B336ABD"/>
    <w:rsid w:val="1B627EAB"/>
    <w:rsid w:val="1BA266C6"/>
    <w:rsid w:val="1BC27A74"/>
    <w:rsid w:val="1BDA5C47"/>
    <w:rsid w:val="1C0D5D75"/>
    <w:rsid w:val="1C3D73D9"/>
    <w:rsid w:val="1CA1401D"/>
    <w:rsid w:val="1CA162BC"/>
    <w:rsid w:val="1CA207ED"/>
    <w:rsid w:val="1D6D255B"/>
    <w:rsid w:val="1D8A5EF1"/>
    <w:rsid w:val="1E8279C7"/>
    <w:rsid w:val="1E840E32"/>
    <w:rsid w:val="1EA169F6"/>
    <w:rsid w:val="1EA800F5"/>
    <w:rsid w:val="1ECB7F0A"/>
    <w:rsid w:val="1EF24B11"/>
    <w:rsid w:val="1F1B75A1"/>
    <w:rsid w:val="1F376342"/>
    <w:rsid w:val="1F394BC9"/>
    <w:rsid w:val="1F544DC9"/>
    <w:rsid w:val="1F565D16"/>
    <w:rsid w:val="1F5A1271"/>
    <w:rsid w:val="1F6A084C"/>
    <w:rsid w:val="1F891037"/>
    <w:rsid w:val="1FB1466E"/>
    <w:rsid w:val="1FC51CD2"/>
    <w:rsid w:val="1FCC4289"/>
    <w:rsid w:val="1FE15BC0"/>
    <w:rsid w:val="203626F6"/>
    <w:rsid w:val="2042331F"/>
    <w:rsid w:val="207750BB"/>
    <w:rsid w:val="20A47CF7"/>
    <w:rsid w:val="20A93758"/>
    <w:rsid w:val="20C137E1"/>
    <w:rsid w:val="215A649B"/>
    <w:rsid w:val="21796144"/>
    <w:rsid w:val="21B900A8"/>
    <w:rsid w:val="21B944B5"/>
    <w:rsid w:val="21D66A92"/>
    <w:rsid w:val="21DD7BE9"/>
    <w:rsid w:val="21F13B04"/>
    <w:rsid w:val="223F061C"/>
    <w:rsid w:val="22665E53"/>
    <w:rsid w:val="22B732DD"/>
    <w:rsid w:val="22F12463"/>
    <w:rsid w:val="236F2920"/>
    <w:rsid w:val="23B92A39"/>
    <w:rsid w:val="23C001CD"/>
    <w:rsid w:val="23CC670F"/>
    <w:rsid w:val="23CE639E"/>
    <w:rsid w:val="23E662BB"/>
    <w:rsid w:val="2417236C"/>
    <w:rsid w:val="24274376"/>
    <w:rsid w:val="24C2543A"/>
    <w:rsid w:val="24D96C3F"/>
    <w:rsid w:val="25032902"/>
    <w:rsid w:val="25044E11"/>
    <w:rsid w:val="25146EF4"/>
    <w:rsid w:val="25286A51"/>
    <w:rsid w:val="25410DBC"/>
    <w:rsid w:val="2557061E"/>
    <w:rsid w:val="25635659"/>
    <w:rsid w:val="259E4B9B"/>
    <w:rsid w:val="25B01242"/>
    <w:rsid w:val="25BA0599"/>
    <w:rsid w:val="25ED21CF"/>
    <w:rsid w:val="261F0EE8"/>
    <w:rsid w:val="263A6702"/>
    <w:rsid w:val="26B475E2"/>
    <w:rsid w:val="26BE39D8"/>
    <w:rsid w:val="26F440F6"/>
    <w:rsid w:val="272660C9"/>
    <w:rsid w:val="27DC08B4"/>
    <w:rsid w:val="280463AF"/>
    <w:rsid w:val="2838332C"/>
    <w:rsid w:val="28505D96"/>
    <w:rsid w:val="28986C09"/>
    <w:rsid w:val="28AD6870"/>
    <w:rsid w:val="28DB3ABC"/>
    <w:rsid w:val="28EF4970"/>
    <w:rsid w:val="295F05DC"/>
    <w:rsid w:val="296B201F"/>
    <w:rsid w:val="29EA0A41"/>
    <w:rsid w:val="2A350F06"/>
    <w:rsid w:val="2A6D1C62"/>
    <w:rsid w:val="2A773246"/>
    <w:rsid w:val="2A7D0057"/>
    <w:rsid w:val="2A82619A"/>
    <w:rsid w:val="2AAB1DC5"/>
    <w:rsid w:val="2AC96759"/>
    <w:rsid w:val="2AF1308C"/>
    <w:rsid w:val="2AFF3EF8"/>
    <w:rsid w:val="2B9016D8"/>
    <w:rsid w:val="2C1C5EFB"/>
    <w:rsid w:val="2C3C030F"/>
    <w:rsid w:val="2C4F42AB"/>
    <w:rsid w:val="2C5F0C6B"/>
    <w:rsid w:val="2C7B645E"/>
    <w:rsid w:val="2C7D2660"/>
    <w:rsid w:val="2C8469C2"/>
    <w:rsid w:val="2C85090E"/>
    <w:rsid w:val="2C883986"/>
    <w:rsid w:val="2CE02C1A"/>
    <w:rsid w:val="2D2C59C0"/>
    <w:rsid w:val="2D454596"/>
    <w:rsid w:val="2D5B0B09"/>
    <w:rsid w:val="2DB01458"/>
    <w:rsid w:val="2E9A1EBE"/>
    <w:rsid w:val="2F804DD2"/>
    <w:rsid w:val="2FFB1C0F"/>
    <w:rsid w:val="30130A06"/>
    <w:rsid w:val="30610AC3"/>
    <w:rsid w:val="308B5C5E"/>
    <w:rsid w:val="30AC0F09"/>
    <w:rsid w:val="30E22908"/>
    <w:rsid w:val="30EF78F6"/>
    <w:rsid w:val="310A26BE"/>
    <w:rsid w:val="31377822"/>
    <w:rsid w:val="31626E17"/>
    <w:rsid w:val="316C60B2"/>
    <w:rsid w:val="31995709"/>
    <w:rsid w:val="31D719D4"/>
    <w:rsid w:val="31E454FA"/>
    <w:rsid w:val="32095D14"/>
    <w:rsid w:val="324D67AA"/>
    <w:rsid w:val="327338AC"/>
    <w:rsid w:val="32B25AC2"/>
    <w:rsid w:val="32E21505"/>
    <w:rsid w:val="32ED3D02"/>
    <w:rsid w:val="330860A1"/>
    <w:rsid w:val="331C7301"/>
    <w:rsid w:val="33262780"/>
    <w:rsid w:val="333D5F7E"/>
    <w:rsid w:val="333E6515"/>
    <w:rsid w:val="34176BF7"/>
    <w:rsid w:val="34357822"/>
    <w:rsid w:val="34552D88"/>
    <w:rsid w:val="345532FA"/>
    <w:rsid w:val="34B159C8"/>
    <w:rsid w:val="34E856AD"/>
    <w:rsid w:val="353207D3"/>
    <w:rsid w:val="35370DAE"/>
    <w:rsid w:val="3555022F"/>
    <w:rsid w:val="359678F5"/>
    <w:rsid w:val="35E75C30"/>
    <w:rsid w:val="363F0B7B"/>
    <w:rsid w:val="36A07F99"/>
    <w:rsid w:val="36B54476"/>
    <w:rsid w:val="36D61989"/>
    <w:rsid w:val="36FD5377"/>
    <w:rsid w:val="37512E70"/>
    <w:rsid w:val="376A140D"/>
    <w:rsid w:val="37CA60B3"/>
    <w:rsid w:val="38551CA5"/>
    <w:rsid w:val="38A721BA"/>
    <w:rsid w:val="38D74295"/>
    <w:rsid w:val="39174441"/>
    <w:rsid w:val="392D2E08"/>
    <w:rsid w:val="39664718"/>
    <w:rsid w:val="39A06E88"/>
    <w:rsid w:val="39BC7384"/>
    <w:rsid w:val="3A072D4D"/>
    <w:rsid w:val="3A1F674F"/>
    <w:rsid w:val="3A505CAE"/>
    <w:rsid w:val="3A5C4AAC"/>
    <w:rsid w:val="3AA4653F"/>
    <w:rsid w:val="3AF159C8"/>
    <w:rsid w:val="3B134130"/>
    <w:rsid w:val="3B413401"/>
    <w:rsid w:val="3B451323"/>
    <w:rsid w:val="3BA321C5"/>
    <w:rsid w:val="3BAA4921"/>
    <w:rsid w:val="3BF6765C"/>
    <w:rsid w:val="3C2B2C16"/>
    <w:rsid w:val="3C53213F"/>
    <w:rsid w:val="3C9E05AE"/>
    <w:rsid w:val="3D194FA8"/>
    <w:rsid w:val="3D3545B8"/>
    <w:rsid w:val="3D4060DA"/>
    <w:rsid w:val="3D6177DB"/>
    <w:rsid w:val="3D6A0E60"/>
    <w:rsid w:val="3D793905"/>
    <w:rsid w:val="3D7E0C37"/>
    <w:rsid w:val="3E0728E6"/>
    <w:rsid w:val="3E581D78"/>
    <w:rsid w:val="3E892A33"/>
    <w:rsid w:val="3EAB10BC"/>
    <w:rsid w:val="3ED4326D"/>
    <w:rsid w:val="3F29402C"/>
    <w:rsid w:val="3F5A5039"/>
    <w:rsid w:val="3F6421BA"/>
    <w:rsid w:val="3F7B2DC1"/>
    <w:rsid w:val="3F8B0BCE"/>
    <w:rsid w:val="3FCE72FF"/>
    <w:rsid w:val="3FD4245F"/>
    <w:rsid w:val="3FEF1971"/>
    <w:rsid w:val="40086664"/>
    <w:rsid w:val="40242041"/>
    <w:rsid w:val="406443A4"/>
    <w:rsid w:val="406F4CCE"/>
    <w:rsid w:val="409A1E05"/>
    <w:rsid w:val="40BF5C57"/>
    <w:rsid w:val="40C63CF0"/>
    <w:rsid w:val="40E76EF2"/>
    <w:rsid w:val="40F02222"/>
    <w:rsid w:val="41370745"/>
    <w:rsid w:val="4166711F"/>
    <w:rsid w:val="41F52871"/>
    <w:rsid w:val="424A1320"/>
    <w:rsid w:val="42625E9D"/>
    <w:rsid w:val="428570D4"/>
    <w:rsid w:val="42C060D9"/>
    <w:rsid w:val="42C544E2"/>
    <w:rsid w:val="42C653A5"/>
    <w:rsid w:val="42E93C64"/>
    <w:rsid w:val="43114485"/>
    <w:rsid w:val="43294005"/>
    <w:rsid w:val="4370460A"/>
    <w:rsid w:val="43804EB4"/>
    <w:rsid w:val="43AA041B"/>
    <w:rsid w:val="44C4144E"/>
    <w:rsid w:val="450E35ED"/>
    <w:rsid w:val="452F715E"/>
    <w:rsid w:val="458A512D"/>
    <w:rsid w:val="45CD1338"/>
    <w:rsid w:val="45E44394"/>
    <w:rsid w:val="4622157A"/>
    <w:rsid w:val="462E10C8"/>
    <w:rsid w:val="466A7589"/>
    <w:rsid w:val="467657E8"/>
    <w:rsid w:val="468A4786"/>
    <w:rsid w:val="46AF7FCD"/>
    <w:rsid w:val="46B16A10"/>
    <w:rsid w:val="46FF4558"/>
    <w:rsid w:val="47341587"/>
    <w:rsid w:val="477B577F"/>
    <w:rsid w:val="48171412"/>
    <w:rsid w:val="487217E0"/>
    <w:rsid w:val="49070D5E"/>
    <w:rsid w:val="49140046"/>
    <w:rsid w:val="4930399F"/>
    <w:rsid w:val="496E07C6"/>
    <w:rsid w:val="49AA779E"/>
    <w:rsid w:val="49B6414F"/>
    <w:rsid w:val="49EC3AE6"/>
    <w:rsid w:val="4A3E7637"/>
    <w:rsid w:val="4A3F0146"/>
    <w:rsid w:val="4AAD2C70"/>
    <w:rsid w:val="4AFA4921"/>
    <w:rsid w:val="4AFE45EC"/>
    <w:rsid w:val="4B1A65D2"/>
    <w:rsid w:val="4B327EBB"/>
    <w:rsid w:val="4B4E125C"/>
    <w:rsid w:val="4B6D15E0"/>
    <w:rsid w:val="4B8059A1"/>
    <w:rsid w:val="4C0C52D9"/>
    <w:rsid w:val="4C200956"/>
    <w:rsid w:val="4C2109B0"/>
    <w:rsid w:val="4C5E5B43"/>
    <w:rsid w:val="4C612B3F"/>
    <w:rsid w:val="4CC554AC"/>
    <w:rsid w:val="4CD937E3"/>
    <w:rsid w:val="4D231510"/>
    <w:rsid w:val="4D6A2561"/>
    <w:rsid w:val="4D8D73B9"/>
    <w:rsid w:val="4D9D4704"/>
    <w:rsid w:val="4DA2161A"/>
    <w:rsid w:val="4DC77C34"/>
    <w:rsid w:val="4DCB68CF"/>
    <w:rsid w:val="4DD51772"/>
    <w:rsid w:val="4DF7401A"/>
    <w:rsid w:val="4DF86ACF"/>
    <w:rsid w:val="4E3A6DCB"/>
    <w:rsid w:val="4F84608C"/>
    <w:rsid w:val="4F9B6DC3"/>
    <w:rsid w:val="4FCC6BAA"/>
    <w:rsid w:val="50235A88"/>
    <w:rsid w:val="503C09E2"/>
    <w:rsid w:val="50973EA7"/>
    <w:rsid w:val="50DC1A91"/>
    <w:rsid w:val="50DF1D27"/>
    <w:rsid w:val="50EB40AE"/>
    <w:rsid w:val="515414B6"/>
    <w:rsid w:val="516142C2"/>
    <w:rsid w:val="516356F3"/>
    <w:rsid w:val="5176307F"/>
    <w:rsid w:val="52836D9E"/>
    <w:rsid w:val="52B03756"/>
    <w:rsid w:val="52FE3963"/>
    <w:rsid w:val="53072DFC"/>
    <w:rsid w:val="53264C0C"/>
    <w:rsid w:val="53356561"/>
    <w:rsid w:val="53BC3ED3"/>
    <w:rsid w:val="53E9551A"/>
    <w:rsid w:val="54684731"/>
    <w:rsid w:val="55045CA9"/>
    <w:rsid w:val="55183AA2"/>
    <w:rsid w:val="557C1CED"/>
    <w:rsid w:val="55A92F58"/>
    <w:rsid w:val="564257EF"/>
    <w:rsid w:val="566473E6"/>
    <w:rsid w:val="569B2AD3"/>
    <w:rsid w:val="56C93987"/>
    <w:rsid w:val="572D6B2B"/>
    <w:rsid w:val="57BA357F"/>
    <w:rsid w:val="57D53D73"/>
    <w:rsid w:val="58357D6D"/>
    <w:rsid w:val="5837618F"/>
    <w:rsid w:val="584761AC"/>
    <w:rsid w:val="585B5235"/>
    <w:rsid w:val="58756FB9"/>
    <w:rsid w:val="587C4E2D"/>
    <w:rsid w:val="58B85BD6"/>
    <w:rsid w:val="58DF100A"/>
    <w:rsid w:val="58EB63B1"/>
    <w:rsid w:val="58F63385"/>
    <w:rsid w:val="58FA5D70"/>
    <w:rsid w:val="59184F03"/>
    <w:rsid w:val="592370C7"/>
    <w:rsid w:val="594E5D4E"/>
    <w:rsid w:val="595C1B53"/>
    <w:rsid w:val="59941C9F"/>
    <w:rsid w:val="59A7653A"/>
    <w:rsid w:val="59B64B72"/>
    <w:rsid w:val="59FE13BE"/>
    <w:rsid w:val="5A251655"/>
    <w:rsid w:val="5A4A7DED"/>
    <w:rsid w:val="5AF539E8"/>
    <w:rsid w:val="5AF802D9"/>
    <w:rsid w:val="5B2B1B80"/>
    <w:rsid w:val="5B736AC5"/>
    <w:rsid w:val="5BC8155A"/>
    <w:rsid w:val="5C277A9A"/>
    <w:rsid w:val="5C453332"/>
    <w:rsid w:val="5D12520D"/>
    <w:rsid w:val="5D164D67"/>
    <w:rsid w:val="5D3B704F"/>
    <w:rsid w:val="5D6332BB"/>
    <w:rsid w:val="5D7742AD"/>
    <w:rsid w:val="5D962001"/>
    <w:rsid w:val="5DA608D0"/>
    <w:rsid w:val="5DD06AB6"/>
    <w:rsid w:val="5DFA00D0"/>
    <w:rsid w:val="5E1C1938"/>
    <w:rsid w:val="5EFF2F44"/>
    <w:rsid w:val="5F164F50"/>
    <w:rsid w:val="5F2A16FC"/>
    <w:rsid w:val="5F2C78FA"/>
    <w:rsid w:val="5F752351"/>
    <w:rsid w:val="5F7C4A81"/>
    <w:rsid w:val="5F9567A9"/>
    <w:rsid w:val="5FAC7061"/>
    <w:rsid w:val="5FC4058D"/>
    <w:rsid w:val="5FCD28DE"/>
    <w:rsid w:val="5FE861B8"/>
    <w:rsid w:val="6039383A"/>
    <w:rsid w:val="605D63B5"/>
    <w:rsid w:val="61062C73"/>
    <w:rsid w:val="6114595B"/>
    <w:rsid w:val="612753F1"/>
    <w:rsid w:val="614245D1"/>
    <w:rsid w:val="61636804"/>
    <w:rsid w:val="61656E0A"/>
    <w:rsid w:val="61804FA3"/>
    <w:rsid w:val="62063625"/>
    <w:rsid w:val="62273AB0"/>
    <w:rsid w:val="62503A95"/>
    <w:rsid w:val="6290015A"/>
    <w:rsid w:val="62E35281"/>
    <w:rsid w:val="62F0069F"/>
    <w:rsid w:val="62F420DF"/>
    <w:rsid w:val="63140C1E"/>
    <w:rsid w:val="63446404"/>
    <w:rsid w:val="63691B18"/>
    <w:rsid w:val="63881C1C"/>
    <w:rsid w:val="63F344F7"/>
    <w:rsid w:val="64031000"/>
    <w:rsid w:val="64190509"/>
    <w:rsid w:val="644746D1"/>
    <w:rsid w:val="64CA1C87"/>
    <w:rsid w:val="64D00DBA"/>
    <w:rsid w:val="65104638"/>
    <w:rsid w:val="65412D9E"/>
    <w:rsid w:val="654728A1"/>
    <w:rsid w:val="654F3316"/>
    <w:rsid w:val="65630160"/>
    <w:rsid w:val="656F4770"/>
    <w:rsid w:val="65781C30"/>
    <w:rsid w:val="65840195"/>
    <w:rsid w:val="65930C78"/>
    <w:rsid w:val="659501DA"/>
    <w:rsid w:val="65B61B11"/>
    <w:rsid w:val="65CF03B2"/>
    <w:rsid w:val="65E82A4C"/>
    <w:rsid w:val="66305C9E"/>
    <w:rsid w:val="66871A02"/>
    <w:rsid w:val="680D6AB5"/>
    <w:rsid w:val="68181074"/>
    <w:rsid w:val="681B7DAE"/>
    <w:rsid w:val="685E3543"/>
    <w:rsid w:val="6883394D"/>
    <w:rsid w:val="688A6AD8"/>
    <w:rsid w:val="68AB0FEF"/>
    <w:rsid w:val="68CF1AF1"/>
    <w:rsid w:val="68F80B89"/>
    <w:rsid w:val="69053855"/>
    <w:rsid w:val="69121095"/>
    <w:rsid w:val="692834FD"/>
    <w:rsid w:val="69BB5EB1"/>
    <w:rsid w:val="69D16F37"/>
    <w:rsid w:val="69EB3334"/>
    <w:rsid w:val="6A0D36F1"/>
    <w:rsid w:val="6A201264"/>
    <w:rsid w:val="6A3D7D79"/>
    <w:rsid w:val="6AAA0349"/>
    <w:rsid w:val="6B064EFC"/>
    <w:rsid w:val="6B154257"/>
    <w:rsid w:val="6B805608"/>
    <w:rsid w:val="6BA92620"/>
    <w:rsid w:val="6BAB1017"/>
    <w:rsid w:val="6BEE315C"/>
    <w:rsid w:val="6CBF607C"/>
    <w:rsid w:val="6CD557EF"/>
    <w:rsid w:val="6CE411B8"/>
    <w:rsid w:val="6D2E5F36"/>
    <w:rsid w:val="6D3C1142"/>
    <w:rsid w:val="6D4758C7"/>
    <w:rsid w:val="6D4E70AC"/>
    <w:rsid w:val="6D6C22A4"/>
    <w:rsid w:val="6D7F28EB"/>
    <w:rsid w:val="6DA84BD4"/>
    <w:rsid w:val="6DA91C94"/>
    <w:rsid w:val="6DE56D37"/>
    <w:rsid w:val="6DF56CF8"/>
    <w:rsid w:val="6E3B08C0"/>
    <w:rsid w:val="6E60655D"/>
    <w:rsid w:val="6E8A7CEE"/>
    <w:rsid w:val="6E9153AF"/>
    <w:rsid w:val="6E9543DF"/>
    <w:rsid w:val="6EF815C9"/>
    <w:rsid w:val="6F005998"/>
    <w:rsid w:val="6FCD53AB"/>
    <w:rsid w:val="6FF7202A"/>
    <w:rsid w:val="7081053E"/>
    <w:rsid w:val="709010CE"/>
    <w:rsid w:val="70C65D4A"/>
    <w:rsid w:val="70E50241"/>
    <w:rsid w:val="71007CF3"/>
    <w:rsid w:val="71DF1847"/>
    <w:rsid w:val="71EF09F1"/>
    <w:rsid w:val="71F710BB"/>
    <w:rsid w:val="72231442"/>
    <w:rsid w:val="722C7039"/>
    <w:rsid w:val="725C6AFB"/>
    <w:rsid w:val="72B02250"/>
    <w:rsid w:val="72D47A8F"/>
    <w:rsid w:val="72EE7028"/>
    <w:rsid w:val="73060D2A"/>
    <w:rsid w:val="730B7797"/>
    <w:rsid w:val="730B7840"/>
    <w:rsid w:val="732F6AB0"/>
    <w:rsid w:val="73335BDF"/>
    <w:rsid w:val="733B376B"/>
    <w:rsid w:val="739A262C"/>
    <w:rsid w:val="73B04054"/>
    <w:rsid w:val="73C440E1"/>
    <w:rsid w:val="73F43C5C"/>
    <w:rsid w:val="74381802"/>
    <w:rsid w:val="74635C84"/>
    <w:rsid w:val="74871EEB"/>
    <w:rsid w:val="748C7308"/>
    <w:rsid w:val="748F029F"/>
    <w:rsid w:val="751D6B30"/>
    <w:rsid w:val="755F4C5F"/>
    <w:rsid w:val="75761422"/>
    <w:rsid w:val="757B6AEF"/>
    <w:rsid w:val="75914E22"/>
    <w:rsid w:val="759B6FC5"/>
    <w:rsid w:val="75BB3C76"/>
    <w:rsid w:val="75FE68B5"/>
    <w:rsid w:val="7604296D"/>
    <w:rsid w:val="760C2C6C"/>
    <w:rsid w:val="76122E72"/>
    <w:rsid w:val="765703FA"/>
    <w:rsid w:val="76665342"/>
    <w:rsid w:val="766C7727"/>
    <w:rsid w:val="76D14DBF"/>
    <w:rsid w:val="76EE287B"/>
    <w:rsid w:val="771727EA"/>
    <w:rsid w:val="772C243A"/>
    <w:rsid w:val="77CD0B86"/>
    <w:rsid w:val="77FF7FAE"/>
    <w:rsid w:val="781D22D1"/>
    <w:rsid w:val="78351D1A"/>
    <w:rsid w:val="7888336E"/>
    <w:rsid w:val="78DA1F28"/>
    <w:rsid w:val="792A15F4"/>
    <w:rsid w:val="79470180"/>
    <w:rsid w:val="795F4C53"/>
    <w:rsid w:val="79E85AC6"/>
    <w:rsid w:val="7A01635E"/>
    <w:rsid w:val="7A1D292C"/>
    <w:rsid w:val="7A4D5FD8"/>
    <w:rsid w:val="7A761149"/>
    <w:rsid w:val="7AEA2FC2"/>
    <w:rsid w:val="7B2649AE"/>
    <w:rsid w:val="7B6B772D"/>
    <w:rsid w:val="7BDD3FC2"/>
    <w:rsid w:val="7BE50BFC"/>
    <w:rsid w:val="7C932FD0"/>
    <w:rsid w:val="7CA66552"/>
    <w:rsid w:val="7CC11159"/>
    <w:rsid w:val="7CCB6AD9"/>
    <w:rsid w:val="7D0A5635"/>
    <w:rsid w:val="7D1641C0"/>
    <w:rsid w:val="7DBD24D2"/>
    <w:rsid w:val="7DC162A0"/>
    <w:rsid w:val="7DDB7BA7"/>
    <w:rsid w:val="7E313043"/>
    <w:rsid w:val="7E340266"/>
    <w:rsid w:val="7E486780"/>
    <w:rsid w:val="7E721FB2"/>
    <w:rsid w:val="7FB51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34</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2020-03-28T03:10:00Z</dcterms:created>
  <dc:creator>Administrator</dc:creator>
  <cp:lastModifiedBy>Administrator</cp:lastModifiedBy>
  <dcterms:modified xsi:type="dcterms:W3CDTF">2020-04-02T15:42:35Z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