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left"/>
        <w:rPr>
          <w:rFonts w:hint="eastAsia" w:asciiTheme="minorAscii"/>
          <w:b/>
          <w:bCs w:val="0"/>
          <w:sz w:val="32"/>
          <w:szCs w:val="32"/>
        </w:rPr>
      </w:pPr>
      <w:r>
        <w:rPr>
          <w:rFonts w:hint="eastAsia" w:asciiTheme="minorAscii"/>
          <w:b/>
          <w:bCs w:val="0"/>
          <w:sz w:val="32"/>
          <w:szCs w:val="32"/>
        </w:rPr>
        <w:t>Additional file 4: The Risk Of Bias In Non-randomized Studies of Interventions (ROBINS-I) assessment tool.</w:t>
      </w:r>
    </w:p>
    <w:p>
      <w:pPr>
        <w:pStyle w:val="12"/>
      </w:pPr>
    </w:p>
    <w:p>
      <w:pPr>
        <w:pStyle w:val="12"/>
      </w:pPr>
    </w:p>
    <w:p>
      <w:pPr>
        <w:pStyle w:val="12"/>
      </w:pPr>
    </w:p>
    <w:tbl>
      <w:tblPr>
        <w:tblStyle w:val="15"/>
        <w:tblpPr w:leftFromText="180" w:rightFromText="180" w:vertAnchor="page" w:horzAnchor="page" w:tblpX="1828" w:tblpY="2955"/>
        <w:tblOverlap w:val="never"/>
        <w:tblW w:w="12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1293"/>
        <w:gridCol w:w="1413"/>
        <w:gridCol w:w="1388"/>
        <w:gridCol w:w="1377"/>
        <w:gridCol w:w="1391"/>
        <w:gridCol w:w="1322"/>
        <w:gridCol w:w="1300"/>
        <w:gridCol w:w="1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1633" w:type="dxa"/>
          </w:tcPr>
          <w:p>
            <w:pPr>
              <w:keepNext/>
              <w:jc w:val="center"/>
              <w:rPr>
                <w:rFonts w:hint="eastAsia" w:asciiTheme="minorAscii"/>
                <w:b w:val="0"/>
                <w:bCs w:val="0"/>
                <w:sz w:val="18"/>
                <w:szCs w:val="18"/>
                <w:vertAlign w:val="baseline"/>
                <w:lang w:val="en-US" w:eastAsia="zh-CN"/>
              </w:rPr>
            </w:pPr>
          </w:p>
          <w:p>
            <w:pPr>
              <w:keepNext/>
              <w:jc w:val="center"/>
              <w:rPr>
                <w:rFonts w:hint="eastAsia" w:asciiTheme="minorAscii"/>
                <w:b w:val="0"/>
                <w:bCs w:val="0"/>
                <w:sz w:val="18"/>
                <w:szCs w:val="18"/>
                <w:vertAlign w:val="baseline"/>
                <w:lang w:val="en-US" w:eastAsia="zh-CN"/>
              </w:rPr>
            </w:pPr>
          </w:p>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Author (year)</w:t>
            </w:r>
          </w:p>
        </w:tc>
        <w:tc>
          <w:tcPr>
            <w:tcW w:w="1293" w:type="dxa"/>
          </w:tcPr>
          <w:p>
            <w:pPr>
              <w:keepNext/>
              <w:jc w:val="center"/>
              <w:rPr>
                <w:rFonts w:hint="eastAsia" w:asciiTheme="minorAscii"/>
                <w:b w:val="0"/>
                <w:bCs w:val="0"/>
                <w:sz w:val="18"/>
                <w:szCs w:val="18"/>
                <w:vertAlign w:val="baseline"/>
                <w:lang w:val="en-US" w:eastAsia="zh-CN"/>
              </w:rPr>
            </w:pPr>
          </w:p>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Bias due to confounding</w:t>
            </w:r>
          </w:p>
        </w:tc>
        <w:tc>
          <w:tcPr>
            <w:tcW w:w="1413"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Bias in selection of participants into the study</w:t>
            </w:r>
          </w:p>
        </w:tc>
        <w:tc>
          <w:tcPr>
            <w:tcW w:w="1388"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Bias in classification of interventions</w:t>
            </w:r>
          </w:p>
        </w:tc>
        <w:tc>
          <w:tcPr>
            <w:tcW w:w="1377"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Bias due to deviations from intended interventions</w:t>
            </w:r>
          </w:p>
        </w:tc>
        <w:tc>
          <w:tcPr>
            <w:tcW w:w="1391" w:type="dxa"/>
          </w:tcPr>
          <w:p>
            <w:pPr>
              <w:keepNext/>
              <w:jc w:val="center"/>
              <w:rPr>
                <w:rFonts w:hint="eastAsia" w:asciiTheme="minorAscii"/>
                <w:b w:val="0"/>
                <w:bCs w:val="0"/>
                <w:sz w:val="18"/>
                <w:szCs w:val="18"/>
                <w:vertAlign w:val="baseline"/>
                <w:lang w:val="en-US" w:eastAsia="zh-CN"/>
              </w:rPr>
            </w:pPr>
          </w:p>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Bias due to missing data</w:t>
            </w:r>
          </w:p>
        </w:tc>
        <w:tc>
          <w:tcPr>
            <w:tcW w:w="1322"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Bias in measurement of outcomes</w:t>
            </w:r>
          </w:p>
        </w:tc>
        <w:tc>
          <w:tcPr>
            <w:tcW w:w="1300"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Bias in selection of the reported result</w:t>
            </w:r>
          </w:p>
        </w:tc>
        <w:tc>
          <w:tcPr>
            <w:tcW w:w="1300" w:type="dxa"/>
          </w:tcPr>
          <w:p>
            <w:pPr>
              <w:keepNext/>
              <w:jc w:val="center"/>
              <w:rPr>
                <w:rFonts w:hint="eastAsia" w:asciiTheme="minorAscii"/>
                <w:b w:val="0"/>
                <w:bCs w:val="0"/>
                <w:sz w:val="18"/>
                <w:szCs w:val="18"/>
                <w:vertAlign w:val="baseline"/>
                <w:lang w:val="en-US" w:eastAsia="zh-CN"/>
              </w:rPr>
            </w:pPr>
          </w:p>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Overall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Aguayo A (2000)</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41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Aguayo A (2002)</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Aref S (2002)</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WANG Y (2003)</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41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Xie JM (2003)</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Wierzbowska A (2003)</w:t>
            </w:r>
          </w:p>
        </w:tc>
        <w:tc>
          <w:tcPr>
            <w:tcW w:w="129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WANG Y (2004)</w:t>
            </w:r>
          </w:p>
        </w:tc>
        <w:tc>
          <w:tcPr>
            <w:tcW w:w="129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Kim JG (2005)</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41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No information</w:t>
            </w:r>
          </w:p>
        </w:tc>
        <w:tc>
          <w:tcPr>
            <w:tcW w:w="1388"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Aref S (2005)</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Erdem, F (2006)</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Zhao MQ (2007)</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Dincaslan HU (2010)</w:t>
            </w:r>
          </w:p>
        </w:tc>
        <w:tc>
          <w:tcPr>
            <w:tcW w:w="1293" w:type="dxa"/>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Song Y (2015)</w:t>
            </w:r>
          </w:p>
        </w:tc>
        <w:tc>
          <w:tcPr>
            <w:tcW w:w="129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633" w:type="dxa"/>
            <w:vAlign w:val="center"/>
          </w:tcPr>
          <w:p>
            <w:pPr>
              <w:keepNext/>
              <w:jc w:val="center"/>
              <w:rPr>
                <w:rFonts w:hint="default" w:asciiTheme="minorAscii"/>
                <w:b w:val="0"/>
                <w:bCs w:val="0"/>
                <w:sz w:val="18"/>
                <w:szCs w:val="18"/>
                <w:vertAlign w:val="baseline"/>
                <w:lang w:val="en-US" w:eastAsia="zh-CN"/>
              </w:rPr>
            </w:pPr>
            <w:r>
              <w:rPr>
                <w:rFonts w:hint="default" w:asciiTheme="minorAscii"/>
                <w:b w:val="0"/>
                <w:bCs w:val="0"/>
                <w:sz w:val="18"/>
                <w:szCs w:val="18"/>
                <w:vertAlign w:val="baseline"/>
                <w:lang w:val="en-US" w:eastAsia="zh-CN"/>
              </w:rPr>
              <w:t>Yang XW (2016)</w:t>
            </w:r>
          </w:p>
        </w:tc>
        <w:tc>
          <w:tcPr>
            <w:tcW w:w="129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413"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88"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77"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91"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22" w:type="dxa"/>
            <w:vAlign w:val="top"/>
          </w:tcPr>
          <w:p>
            <w:pPr>
              <w:keepNext/>
              <w:jc w:val="center"/>
              <w:rPr>
                <w:rFonts w:hint="default"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low</w:t>
            </w:r>
          </w:p>
        </w:tc>
        <w:tc>
          <w:tcPr>
            <w:tcW w:w="1300" w:type="dxa"/>
            <w:vAlign w:val="top"/>
          </w:tcPr>
          <w:p>
            <w:pPr>
              <w:keepNext/>
              <w:jc w:val="center"/>
              <w:rPr>
                <w:rFonts w:hint="eastAsia" w:asciiTheme="minorAscii"/>
                <w:b w:val="0"/>
                <w:bCs w:val="0"/>
                <w:sz w:val="18"/>
                <w:szCs w:val="18"/>
                <w:vertAlign w:val="baseline"/>
                <w:lang w:val="en-US" w:eastAsia="zh-CN"/>
              </w:rPr>
            </w:pPr>
            <w:r>
              <w:rPr>
                <w:rFonts w:hint="eastAsia" w:asciiTheme="minorAscii"/>
                <w:b w:val="0"/>
                <w:bCs w:val="0"/>
                <w:sz w:val="18"/>
                <w:szCs w:val="18"/>
                <w:vertAlign w:val="baseline"/>
                <w:lang w:val="en-US" w:eastAsia="zh-CN"/>
              </w:rPr>
              <w:t>Moderate</w:t>
            </w:r>
          </w:p>
        </w:tc>
      </w:tr>
    </w:tbl>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r>
        <w:t xml:space="preserve">The Risk Of Bias In Non-randomized Studies – of Interventions (ROBINS-I) assessment tool </w:t>
      </w:r>
    </w:p>
    <w:p>
      <w:pPr>
        <w:jc w:val="left"/>
        <w:rPr>
          <w:b/>
        </w:rPr>
      </w:pPr>
      <w:r>
        <w:rPr>
          <w:b/>
        </w:rPr>
        <w:t>Version 19 September 2016</w:t>
      </w:r>
    </w:p>
    <w:p>
      <w:r>
        <w:t>Article title:</w:t>
      </w:r>
      <w:r>
        <w:rPr>
          <w:rFonts w:hint="eastAsia" w:eastAsia="宋体"/>
          <w:lang w:eastAsia="zh-CN"/>
        </w:rPr>
        <w:t xml:space="preserve"> </w:t>
      </w:r>
      <w:r>
        <w:rPr>
          <w:rFonts w:hint="eastAsia"/>
        </w:rPr>
        <w:t>Angiogenesis in acute and chronic leukemias and myelodysplastic syndromes</w:t>
      </w:r>
    </w:p>
    <w:p>
      <w:pPr>
        <w:rPr>
          <w:rFonts w:eastAsia="宋体"/>
          <w:lang w:eastAsia="zh-CN"/>
        </w:rPr>
      </w:pPr>
      <w:r>
        <w:rPr>
          <w:rFonts w:hint="eastAsia" w:eastAsia="宋体"/>
          <w:lang w:eastAsia="zh-CN"/>
        </w:rPr>
        <w:t>Authors: Alvaro Aguayo, Hagop Kantarjian, Taghi Manshouri, Cristi Gidel, Elihu Estey, Deborah Thomas, Charles Koller, Zeev Estrov, Susan O’Brien,</w:t>
      </w:r>
    </w:p>
    <w:p>
      <w:pPr>
        <w:rPr>
          <w:rFonts w:eastAsia="宋体"/>
          <w:lang w:eastAsia="zh-CN"/>
        </w:rPr>
      </w:pPr>
      <w:r>
        <w:rPr>
          <w:rFonts w:hint="eastAsia" w:eastAsia="宋体"/>
          <w:lang w:eastAsia="zh-CN"/>
        </w:rPr>
        <w:t>Michael Keating, Emil Freireich, and Maher Albitar</w:t>
      </w:r>
    </w:p>
    <w:sdt>
      <w:sdtPr>
        <w:alias w:val="Creative Commons License"/>
        <w:tag w:val="Creative Commons License"/>
        <w:id w:val="-862132694"/>
        <w:lock w:val="contentLocked"/>
        <w:placeholder>
          <w:docPart w:val="2D86164008BA4FE793B280259799F623"/>
        </w:placeholder>
      </w:sdtPr>
      <w:sdtContent>
        <w:p>
          <w:r>
            <w:rPr>
              <w:lang w:eastAsia="zh-CN"/>
            </w:rPr>
            <w:drawing>
              <wp:inline distT="0" distB="0" distL="0" distR="0">
                <wp:extent cx="838200" cy="29527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bookmarkStart w:id="0" w:name="_Ref396935741"/>
      <w:bookmarkStart w:id="1" w:name="_Toc399091983"/>
      <w:bookmarkStart w:id="2" w:name="_Ref396935721"/>
      <w:r>
        <w:t>ROBINS-I tool (Stage I): At protocol stage</w:t>
      </w:r>
      <w:bookmarkEnd w:id="0"/>
      <w:bookmarkEnd w:id="1"/>
      <w:bookmarkEnd w:id="2"/>
      <w:r>
        <w:t xml:space="preserve"> </w:t>
      </w:r>
    </w:p>
    <w:p>
      <w:pPr>
        <w:pStyle w:val="3"/>
      </w:pPr>
      <w:bookmarkStart w:id="3" w:name="_Toc399091984"/>
      <w:r>
        <w:t xml:space="preserve">Specify the review question </w:t>
      </w:r>
      <w:bookmarkEnd w:id="3"/>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rFonts w:eastAsia="宋体"/>
                <w:lang w:val="en-CA" w:eastAsia="zh-CN"/>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rFonts w:eastAsia="宋体"/>
                <w:lang w:val="en-CA" w:eastAsia="zh-CN"/>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rFonts w:eastAsia="宋体"/>
                <w:lang w:val="en-CA" w:eastAsia="zh-CN"/>
              </w:rPr>
            </w:pPr>
            <w:r>
              <w:rPr>
                <w:rFonts w:hint="eastAsia" w:eastAsia="宋体"/>
                <w:lang w:val="en-CA" w:eastAsia="zh-CN"/>
              </w:rPr>
              <w:t>Healthy control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rFonts w:eastAsia="宋体"/>
                <w:lang w:val="en-CA" w:eastAsia="zh-CN"/>
              </w:rPr>
            </w:pPr>
            <w:r>
              <w:rPr>
                <w:rFonts w:hint="eastAsia" w:eastAsia="宋体"/>
                <w:lang w:val="en-CA" w:eastAsia="zh-CN"/>
              </w:rPr>
              <w:t>Level of vascular endothelial growth factor (VEGF)</w:t>
            </w:r>
          </w:p>
        </w:tc>
      </w:tr>
    </w:tbl>
    <w:p/>
    <w:p>
      <w:pPr>
        <w:pStyle w:val="3"/>
      </w:pPr>
      <w:bookmarkStart w:id="4" w:name="_Toc399091986"/>
      <w:r>
        <w:t>List the confounding domains relevant to all or most studies</w:t>
      </w:r>
      <w:bookmarkEnd w:id="4"/>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bookmarkStart w:id="5" w:name="OLE_LINK2"/>
            <w:r>
              <w:rPr>
                <w:rFonts w:hint="eastAsia" w:eastAsia="宋体"/>
                <w:lang w:val="en-CA" w:eastAsia="zh-CN"/>
              </w:rPr>
              <w:t>Tumor burden, platelet and leukocyte counts</w:t>
            </w:r>
            <w:bookmarkEnd w:id="5"/>
          </w:p>
        </w:tc>
      </w:tr>
    </w:tbl>
    <w:p>
      <w:pPr>
        <w:pStyle w:val="3"/>
      </w:pPr>
      <w:bookmarkStart w:id="6" w:name="_Toc399091987"/>
      <w:r>
        <w:t>List co-interventions that could be different between intervention groups and that could impact on outcomes</w:t>
      </w:r>
      <w:bookmarkEnd w:id="6"/>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bookmarkStart w:id="7" w:name="_Toc399091988"/>
      <w:bookmarkStart w:id="8" w:name="_Ref396935816"/>
      <w:bookmarkStart w:id="9" w:name="_Ref396935732"/>
      <w:r>
        <w:br w:type="page"/>
      </w:r>
    </w:p>
    <w:p>
      <w:pPr>
        <w:pStyle w:val="2"/>
      </w:pPr>
      <w:r>
        <w:t>ROBINS-I tool (Stage II): For each study</w:t>
      </w:r>
      <w:bookmarkEnd w:id="7"/>
      <w:bookmarkEnd w:id="8"/>
      <w:bookmarkEnd w:id="9"/>
    </w:p>
    <w:p>
      <w:pPr>
        <w:pStyle w:val="3"/>
      </w:pPr>
      <w:bookmarkStart w:id="10" w:name="_Ref396935920"/>
      <w:bookmarkStart w:id="11" w:name="_Toc399091989"/>
      <w:r>
        <w:t>Specify a target randomized trial specific to the study</w:t>
      </w:r>
      <w:bookmarkEnd w:id="10"/>
      <w:bookmarkEnd w:id="11"/>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bookmarkStart w:id="12" w:name="OLE_LINK3"/>
            <w:r>
              <w:rPr>
                <w:lang w:val="en-CA"/>
              </w:rPr>
              <w:t>Matched</w:t>
            </w:r>
            <w:bookmarkEnd w:id="12"/>
            <w:r>
              <w:rPr>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xml:space="preserve"> </w:t>
            </w:r>
            <w:r>
              <w:rPr>
                <w:rFonts w:hint="eastAsia"/>
                <w:lang w:val="en-CA"/>
              </w:rPr>
              <w:t xml:space="preserve">or relapsed </w:t>
            </w:r>
            <w:r>
              <w:rPr>
                <w:rFonts w:hint="eastAsia" w:eastAsia="宋体"/>
                <w:lang w:val="en-CA" w:eastAsia="zh-CN"/>
              </w:rPr>
              <w:t>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rFonts w:eastAsia="宋体"/>
                <w:lang w:val="en-CA" w:eastAsia="zh-CN"/>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bookmarkStart w:id="13" w:name="OLE_LINK1"/>
            <w:r>
              <w:rPr>
                <w:lang w:val="en-CA"/>
              </w:rPr>
              <w:t>Comparator</w:t>
            </w:r>
            <w:bookmarkEnd w:id="13"/>
          </w:p>
        </w:tc>
        <w:tc>
          <w:tcPr>
            <w:tcW w:w="12616" w:type="dxa"/>
            <w:tcBorders>
              <w:left w:val="single" w:color="auto" w:sz="4" w:space="0"/>
            </w:tcBorders>
          </w:tcPr>
          <w:p>
            <w:pPr>
              <w:keepNext/>
              <w:rPr>
                <w:rFonts w:eastAsia="宋体"/>
                <w:lang w:val="en-CA" w:eastAsia="zh-CN"/>
              </w:rPr>
            </w:pPr>
            <w:bookmarkStart w:id="14" w:name="OLE_LINK4"/>
            <w:r>
              <w:rPr>
                <w:rFonts w:hint="eastAsia" w:eastAsia="宋体"/>
                <w:lang w:val="en-CA" w:eastAsia="zh-CN"/>
              </w:rPr>
              <w:t>Healthy control</w:t>
            </w:r>
            <w:bookmarkEnd w:id="14"/>
          </w:p>
        </w:tc>
      </w:tr>
    </w:tbl>
    <w:p/>
    <w:p>
      <w:pPr>
        <w:pStyle w:val="3"/>
      </w:pPr>
      <w:bookmarkStart w:id="15" w:name="_Toc399091991"/>
      <w:bookmarkStart w:id="16" w:name="_Toc399091990"/>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bookmarkEnd w:id="15"/>
    </w:tbl>
    <w:p/>
    <w:p>
      <w:pPr>
        <w:pStyle w:val="3"/>
      </w:pPr>
      <w:r>
        <w:t>Specify the outcome</w:t>
      </w:r>
      <w:bookmarkEnd w:id="16"/>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p>
        </w:tc>
      </w:tr>
    </w:tbl>
    <w:p/>
    <w:p>
      <w:pPr>
        <w:pStyle w:val="3"/>
      </w:pPr>
      <w:bookmarkStart w:id="17" w:name="_Ref396935925"/>
      <w:bookmarkStart w:id="18" w:name="_Toc399091992"/>
      <w:r>
        <w:t>Specify the numerical result being assessed</w:t>
      </w:r>
      <w:bookmarkEnd w:id="17"/>
      <w:bookmarkEnd w:id="18"/>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rFonts w:eastAsia="宋体"/>
                <w:lang w:val="en-CA" w:eastAsia="zh-CN"/>
              </w:rPr>
            </w:pPr>
            <w:r>
              <w:rPr>
                <w:rFonts w:hint="eastAsia" w:eastAsia="宋体"/>
                <w:lang w:val="en-CA" w:eastAsia="zh-CN"/>
              </w:rPr>
              <w:t>Table2</w:t>
            </w:r>
          </w:p>
        </w:tc>
      </w:tr>
    </w:tbl>
    <w:p/>
    <w:p>
      <w:pPr>
        <w:spacing w:after="160" w:line="259" w:lineRule="auto"/>
        <w:jc w:val="left"/>
        <w:rPr>
          <w:rFonts w:asciiTheme="majorHAnsi" w:hAnsiTheme="majorHAnsi" w:eastAsiaTheme="majorEastAsia" w:cstheme="majorBidi"/>
          <w:b/>
          <w:sz w:val="24"/>
          <w:szCs w:val="26"/>
        </w:rPr>
      </w:pPr>
      <w:bookmarkStart w:id="19" w:name="_Ref396935948"/>
      <w:bookmarkStart w:id="20" w:name="_Toc399091993"/>
      <w:r>
        <w:br w:type="page"/>
      </w:r>
    </w:p>
    <w:p>
      <w:pPr>
        <w:pStyle w:val="3"/>
      </w:pPr>
      <w:r>
        <w:t>Preliminary consideration of confounders</w:t>
      </w:r>
      <w:bookmarkEnd w:id="19"/>
      <w:bookmarkEnd w:id="20"/>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eastAsia="宋体" w:cs="Arial"/>
                <w:szCs w:val="20"/>
                <w:lang w:eastAsia="zh-CN"/>
              </w:rPr>
            </w:pPr>
            <w:r>
              <w:rPr>
                <w:rFonts w:hint="eastAsia" w:eastAsia="宋体" w:cs="Arial"/>
                <w:szCs w:val="20"/>
                <w:lang w:eastAsia="zh-CN"/>
              </w:rPr>
              <w:t>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bookmarkStart w:id="21" w:name="_Ref396935962"/>
      <w:r>
        <w:br w:type="page"/>
      </w:r>
    </w:p>
    <w:p>
      <w:pPr>
        <w:pStyle w:val="3"/>
      </w:pPr>
      <w:bookmarkStart w:id="22" w:name="_Ref399084971"/>
      <w:bookmarkStart w:id="23" w:name="_Toc399091994"/>
      <w:r>
        <w:t>Preliminary consideration of co-interventions</w:t>
      </w:r>
      <w:bookmarkEnd w:id="21"/>
      <w:bookmarkEnd w:id="22"/>
      <w:bookmarkEnd w:id="23"/>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eastAsia="宋体" w:cs="Arial"/>
                <w:szCs w:val="20"/>
                <w:lang w:eastAsia="zh-CN"/>
              </w:rPr>
            </w:pPr>
            <w:r>
              <w:rPr>
                <w:rFonts w:hint="eastAsia" w:eastAsia="宋体" w:cs="Arial"/>
                <w:szCs w:val="20"/>
                <w:lang w:eastAsia="zh-CN"/>
              </w:rPr>
              <w:t>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eastAsia="宋体" w:cs="Arial"/>
                <w:szCs w:val="20"/>
                <w:lang w:eastAsia="zh-CN"/>
              </w:rPr>
            </w:pPr>
            <w:r>
              <w:rPr>
                <w:rFonts w:hint="eastAsia" w:eastAsia="宋体" w:cs="Arial"/>
                <w:szCs w:val="20"/>
                <w:lang w:eastAsia="zh-CN"/>
              </w:rPr>
              <w:t>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bookmarkStart w:id="24" w:name="_Toc399091995"/>
      <w:bookmarkStart w:id="25" w:name="_Ref396935992"/>
      <w:r>
        <w:t xml:space="preserve">Risk of bias assessment </w:t>
      </w:r>
      <w:bookmarkEnd w:id="24"/>
      <w:bookmarkEnd w:id="25"/>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eastAsia="宋体"/>
                <w:szCs w:val="20"/>
                <w:lang w:val="en-CA" w:eastAsia="zh-CN"/>
              </w:rPr>
              <w:t>In addition to newly diagnosed AML patients, patients with r</w:t>
            </w:r>
            <w:r>
              <w:rPr>
                <w:rFonts w:hint="eastAsia" w:eastAsia="宋体"/>
                <w:szCs w:val="20"/>
                <w:lang w:val="en-CA" w:eastAsia="zh-CN"/>
              </w:rPr>
              <w:t xml:space="preserve">elapsed </w:t>
            </w:r>
            <w:r>
              <w:rPr>
                <w:rFonts w:eastAsia="宋体"/>
                <w:szCs w:val="20"/>
                <w:lang w:val="en-CA" w:eastAsia="zh-CN"/>
              </w:rPr>
              <w:t xml:space="preserve"> AML do not know what treatment they have received</w:t>
            </w:r>
            <w:r>
              <w:rPr>
                <w:rFonts w:hint="eastAsia" w:eastAsia="宋体"/>
                <w:szCs w:val="20"/>
                <w:lang w:val="en-CA" w:eastAsia="zh-CN"/>
              </w:rPr>
              <w:t xml:space="preserve"> before, and the treatment may affect the level of VEGF. the criteria for the classification of AML was not clear</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b/>
                <w:bCs/>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rFonts w:eastAsia="宋体"/>
                <w:szCs w:val="20"/>
                <w:lang w:val="en-CA" w:eastAsia="zh-CN"/>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NA</w:t>
            </w: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rFonts w:eastAsia="宋体"/>
                <w:szCs w:val="20"/>
                <w:lang w:val="en-CA" w:eastAsia="zh-CN"/>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 xml:space="preserve"> 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rFonts w:eastAsia="宋体"/>
                <w:szCs w:val="20"/>
                <w:lang w:val="en-CA" w:eastAsia="zh-CN"/>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szCs w:val="20"/>
                <w:lang w:val="en-CA"/>
              </w:rPr>
              <w:t xml:space="preserve"> </w:t>
            </w: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color w:val="00B050"/>
                <w:szCs w:val="20"/>
                <w:u w:val="single"/>
                <w:lang w:val="en-CA" w:eastAsia="zh-CN"/>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No dropout or withdraw. 100% full participants</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color w:val="00B050"/>
                <w:szCs w:val="20"/>
                <w:u w:val="single"/>
                <w:lang w:val="en-CA" w:eastAsia="zh-CN"/>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detect the level of VEGF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color w:val="00B050"/>
                <w:szCs w:val="20"/>
                <w:u w:val="single"/>
                <w:lang w:val="en-CA" w:eastAsia="zh-CN"/>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szCs w:val="20"/>
                <w:lang w:val="en-CA"/>
              </w:rPr>
              <w:t xml:space="preserve"> </w:t>
            </w:r>
            <w:r>
              <w:rPr>
                <w:rFonts w:hint="eastAsia" w:eastAsia="宋体"/>
                <w:color w:val="00B050"/>
                <w:szCs w:val="20"/>
                <w:u w:val="single"/>
                <w:lang w:val="en-CA" w:eastAsia="zh-CN"/>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szCs w:val="20"/>
                <w:lang w:val="en-CA"/>
              </w:rPr>
              <w:t xml:space="preserve"> </w:t>
            </w:r>
            <w:r>
              <w:rPr>
                <w:rFonts w:hint="eastAsia" w:eastAsia="宋体"/>
                <w:color w:val="00B050"/>
                <w:szCs w:val="20"/>
                <w:u w:val="single"/>
                <w:lang w:val="en-CA" w:eastAsia="zh-CN"/>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hint="default" w:eastAsia="宋体"/>
                <w:szCs w:val="20"/>
                <w:lang w:val="en-US" w:eastAsia="zh-CN"/>
              </w:rPr>
            </w:pPr>
            <w:r>
              <w:rPr>
                <w:rFonts w:hint="eastAsia" w:eastAsia="宋体"/>
                <w:szCs w:val="20"/>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rFonts w:eastAsia="宋体"/>
                <w:szCs w:val="20"/>
                <w:lang w:val="en-CA" w:eastAsia="zh-CN"/>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 xml:space="preserve">Plasma or serum </w:t>
            </w:r>
            <w:r>
              <w:rPr>
                <w:rFonts w:hint="eastAsia"/>
                <w:lang w:val="en-CA"/>
              </w:rPr>
              <w:t>were collected and stored according to approved protocols</w:t>
            </w:r>
            <w:r>
              <w:rPr>
                <w:rFonts w:hint="eastAsia" w:eastAsia="宋体"/>
                <w:lang w:val="en-CA" w:eastAsia="zh-CN"/>
              </w:rPr>
              <w:t>.</w:t>
            </w:r>
            <w:r>
              <w:rPr>
                <w:rFonts w:hint="eastAsia"/>
                <w:lang w:val="en-CA"/>
              </w:rPr>
              <w:t xml:space="preserve"> Consent forms</w:t>
            </w:r>
            <w:r>
              <w:rPr>
                <w:rFonts w:hint="eastAsia" w:eastAsia="宋体"/>
                <w:lang w:val="en-CA" w:eastAsia="zh-CN"/>
              </w:rPr>
              <w:t xml:space="preserve"> </w:t>
            </w:r>
            <w:r>
              <w:rPr>
                <w:rFonts w:hint="eastAsia"/>
                <w:lang w:val="en-CA"/>
              </w:rPr>
              <w:t>were obtained according to institutional guidelines</w:t>
            </w:r>
            <w:r>
              <w:rPr>
                <w:rFonts w:hint="eastAsia" w:eastAsia="宋体"/>
                <w:lang w:val="en-CA" w:eastAsia="zh-CN"/>
              </w:rPr>
              <w:t>.</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rFonts w:hint="eastAsia" w:hAnsiTheme="minorEastAsia" w:cstheme="minorEastAsia"/>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 xml:space="preserve"> 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hint="default" w:eastAsia="宋体"/>
                <w:szCs w:val="20"/>
                <w:lang w:val="en-US" w:eastAsia="zh-CN"/>
              </w:rPr>
            </w:pPr>
            <w:r>
              <w:rPr>
                <w:rFonts w:hint="eastAsia" w:eastAsia="宋体"/>
                <w:szCs w:val="20"/>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116333600"/>
        <w:lock w:val="contentLocked"/>
        <w:placeholder>
          <w:docPart w:val="5C52BBB401B04E9CAE48BF18260CBA43"/>
        </w:placeholder>
      </w:sdtPr>
      <w:sdtContent>
        <w:p>
          <w:r>
            <w:rPr>
              <w:lang w:eastAsia="zh-CN"/>
            </w:rPr>
            <w:drawing>
              <wp:inline distT="0" distB="0" distL="0" distR="0">
                <wp:extent cx="843280" cy="29718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pPr>
            <w:rPr>
              <w:rFonts w:hint="eastAsia" w:eastAsiaTheme="minorEastAsia"/>
              <w:lang w:eastAsia="zh-CN"/>
            </w:rPr>
          </w:pPr>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title：Plasma Vascular Endothelial Growth Factor Levels Have Prognostic Significance in Patients with Acute Myeloid Leukemia but Not in Patients with</w:t>
      </w:r>
    </w:p>
    <w:p>
      <w:pPr>
        <w:rPr>
          <w:rFonts w:eastAsia="宋体"/>
          <w:lang w:eastAsia="zh-CN"/>
        </w:rPr>
      </w:pPr>
      <w:r>
        <w:rPr>
          <w:rFonts w:hint="eastAsia" w:eastAsia="宋体"/>
          <w:lang w:eastAsia="zh-CN"/>
        </w:rPr>
        <w:t>Myelodysplastic Syndromes(2002)</w:t>
      </w:r>
    </w:p>
    <w:p>
      <w:pPr>
        <w:rPr>
          <w:rFonts w:eastAsia="宋体"/>
          <w:lang w:eastAsia="zh-CN"/>
        </w:rPr>
      </w:pPr>
      <w:r>
        <w:rPr>
          <w:rFonts w:hint="eastAsia" w:eastAsia="宋体"/>
          <w:lang w:eastAsia="zh-CN"/>
        </w:rPr>
        <w:t>Author: Alvaro Aguayo, Hagop M. Kantarjian, Elihu H. Estey, Francis J. Giles, Srdan Verstovsek, Taghi Manshouri, Christy Gidel, Susan O’Brien, Michael J. Keating, Maher Albitar</w:t>
      </w:r>
    </w:p>
    <w:sdt>
      <w:sdtPr>
        <w:alias w:val="Creative Commons License"/>
        <w:tag w:val="Creative Commons License"/>
        <w:id w:val="166057582"/>
        <w:lock w:val="contentLocked"/>
        <w:placeholder>
          <w:docPart w:val="24B1061E131E4DEAA7BEAFD7508F6160"/>
        </w:placeholder>
      </w:sdtPr>
      <w:sdtContent>
        <w:p>
          <w:r>
            <w:rPr>
              <w:lang w:eastAsia="zh-CN"/>
            </w:rPr>
            <w:drawing>
              <wp:inline distT="0" distB="0" distL="0" distR="0">
                <wp:extent cx="838200" cy="295275"/>
                <wp:effectExtent l="0" t="0" r="0" b="0"/>
                <wp:docPr id="2" name="Picture 1"/>
                <wp:cNvGraphicFramePr/>
                <a:graphic xmlns:a="http://schemas.openxmlformats.org/drawingml/2006/main">
                  <a:graphicData uri="http://schemas.openxmlformats.org/drawingml/2006/picture">
                    <pic:pic xmlns:pic="http://schemas.openxmlformats.org/drawingml/2006/picture">
                      <pic:nvPicPr>
                        <pic:cNvPr id="2"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Table1,2</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All patients are newly diagnosed untreated AML patients, all patients were followed regularly in the Leukemia Department outpatient clinic.</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rFonts w:hint="eastAsia"/>
                <w:szCs w:val="20"/>
                <w:lang w:val="en-CA"/>
              </w:rPr>
              <w:t>In the normal control</w:t>
            </w:r>
            <w:r>
              <w:rPr>
                <w:rFonts w:hint="eastAsia" w:eastAsia="宋体"/>
                <w:szCs w:val="20"/>
                <w:lang w:val="en-CA" w:eastAsia="zh-CN"/>
              </w:rPr>
              <w:t xml:space="preserve"> </w:t>
            </w:r>
            <w:r>
              <w:rPr>
                <w:rFonts w:hint="eastAsia"/>
                <w:szCs w:val="20"/>
                <w:lang w:val="en-CA"/>
              </w:rPr>
              <w:t>group, the median VEGF concentration was 27.30</w:t>
            </w:r>
          </w:p>
          <w:p>
            <w:pPr>
              <w:keepNext/>
              <w:spacing w:after="0"/>
              <w:jc w:val="left"/>
              <w:rPr>
                <w:szCs w:val="20"/>
                <w:lang w:val="en-CA"/>
              </w:rPr>
            </w:pPr>
            <w:r>
              <w:rPr>
                <w:rFonts w:hint="eastAsia"/>
                <w:szCs w:val="20"/>
                <w:lang w:val="en-CA"/>
              </w:rPr>
              <w:t>pg/mL (range, 23.17–91.50 pg/mL). The median VEGF</w:t>
            </w:r>
            <w:r>
              <w:rPr>
                <w:rFonts w:hint="eastAsia" w:eastAsia="宋体"/>
                <w:szCs w:val="20"/>
                <w:lang w:val="en-CA" w:eastAsia="zh-CN"/>
              </w:rPr>
              <w:t xml:space="preserve"> </w:t>
            </w:r>
            <w:r>
              <w:rPr>
                <w:rFonts w:hint="eastAsia"/>
                <w:szCs w:val="20"/>
                <w:lang w:val="en-CA"/>
              </w:rPr>
              <w:t>concentration in plasma from patients with AML was</w:t>
            </w:r>
            <w:r>
              <w:rPr>
                <w:rFonts w:hint="eastAsia" w:eastAsia="宋体"/>
                <w:szCs w:val="20"/>
                <w:lang w:val="en-CA" w:eastAsia="zh-CN"/>
              </w:rPr>
              <w:t xml:space="preserve"> </w:t>
            </w:r>
            <w:r>
              <w:rPr>
                <w:rFonts w:hint="eastAsia"/>
                <w:szCs w:val="20"/>
                <w:lang w:val="en-CA"/>
              </w:rPr>
              <w:t xml:space="preserve">30.63 pg/mL (range, 21.47–389.82 pg/mL), </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lang w:val="en-CA"/>
              </w:rPr>
              <w:t>Commercially available kits (R&amp;D Systems, Minneapolis, MN) were used to measure VEGF levels</w:t>
            </w:r>
            <w:r>
              <w:rPr>
                <w:rFonts w:hint="eastAsia" w:eastAsia="宋体"/>
                <w:lang w:val="en-CA" w:eastAsia="zh-CN"/>
              </w:rPr>
              <w:t xml:space="preserve"> </w:t>
            </w:r>
            <w:r>
              <w:rPr>
                <w:rFonts w:hint="eastAsia"/>
                <w:lang w:val="en-CA"/>
              </w:rPr>
              <w:t>following the protocols recommended by the manufacturer</w:t>
            </w:r>
            <w:r>
              <w:rPr>
                <w:rFonts w:hint="eastAsia" w:eastAsia="宋体"/>
                <w:lang w:val="en-CA" w:eastAsia="zh-CN"/>
              </w:rPr>
              <w:t xml:space="preserve">.  </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hint="default" w:eastAsia="宋体"/>
                <w:szCs w:val="20"/>
                <w:lang w:val="en-US" w:eastAsia="zh-CN"/>
              </w:rPr>
            </w:pPr>
            <w:r>
              <w:rPr>
                <w:rFonts w:hint="eastAsia" w:eastAsia="宋体"/>
                <w:szCs w:val="20"/>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639257564"/>
        <w:lock w:val="contentLocked"/>
        <w:placeholder>
          <w:docPart w:val="383FEC37DF244F62B88A7D6457311C0C"/>
        </w:placeholder>
      </w:sdtPr>
      <w:sdtContent>
        <w:p>
          <w:r>
            <w:rPr>
              <w:lang w:eastAsia="zh-CN"/>
            </w:rPr>
            <w:drawing>
              <wp:inline distT="0" distB="0" distL="0" distR="0">
                <wp:extent cx="843280" cy="297180"/>
                <wp:effectExtent l="0" t="0" r="0" b="0"/>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title: Soluble Hepatocyte Growth Factor (sHGF) and Vascular Endothelial Growth Factor (sVEGF) in Adult Acute Myeloid Leukemia: Relationship to Disease Characteristics</w:t>
      </w:r>
    </w:p>
    <w:p>
      <w:pPr>
        <w:rPr>
          <w:rFonts w:eastAsia="宋体"/>
          <w:lang w:eastAsia="zh-CN"/>
        </w:rPr>
      </w:pPr>
      <w:r>
        <w:rPr>
          <w:rFonts w:hint="eastAsia" w:eastAsia="宋体"/>
          <w:lang w:eastAsia="zh-CN"/>
        </w:rPr>
        <w:t>Authors: S. AREF, M. MABED, M. SAKRANA, T. GODA, and M. EL-SHERBINY.</w:t>
      </w:r>
    </w:p>
    <w:sdt>
      <w:sdtPr>
        <w:alias w:val="Creative Commons License"/>
        <w:tag w:val="Creative Commons License"/>
        <w:id w:val="-801460182"/>
        <w:lock w:val="contentLocked"/>
        <w:placeholder>
          <w:docPart w:val="664093AC763C4C2DA26492B2E80B423F"/>
        </w:placeholder>
      </w:sdtPr>
      <w:sdtContent>
        <w:p>
          <w:r>
            <w:rPr>
              <w:lang w:eastAsia="zh-CN"/>
            </w:rPr>
            <w:drawing>
              <wp:inline distT="0" distB="0" distL="0" distR="0">
                <wp:extent cx="838200" cy="295275"/>
                <wp:effectExtent l="0" t="0" r="0" b="0"/>
                <wp:docPr id="5" name="Picture 1"/>
                <wp:cNvGraphicFramePr/>
                <a:graphic xmlns:a="http://schemas.openxmlformats.org/drawingml/2006/main">
                  <a:graphicData uri="http://schemas.openxmlformats.org/drawingml/2006/picture">
                    <pic:pic xmlns:pic="http://schemas.openxmlformats.org/drawingml/2006/picture">
                      <pic:nvPicPr>
                        <pic:cNvPr id="5"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 and the diagnosis of AML was based on morphological, cytochemical and immunophenotypic analysis.</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PN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 </w:t>
            </w:r>
            <w:r>
              <w:rPr>
                <w:color w:val="00B050"/>
                <w:szCs w:val="20"/>
                <w:u w:val="single"/>
                <w:lang w:val="en-CA"/>
              </w:rPr>
              <w:t>PN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PY</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rFonts w:hint="eastAsia"/>
                <w:szCs w:val="20"/>
                <w:lang w:val="en-CA"/>
              </w:rPr>
              <w:t>Plasma VEGF levels ranged from 32 to 221 ng/ml</w:t>
            </w:r>
            <w:r>
              <w:rPr>
                <w:rFonts w:hint="eastAsia" w:eastAsia="宋体"/>
                <w:szCs w:val="20"/>
                <w:lang w:val="en-CA" w:eastAsia="zh-CN"/>
              </w:rPr>
              <w:t xml:space="preserve"> </w:t>
            </w:r>
            <w:r>
              <w:rPr>
                <w:rFonts w:hint="eastAsia"/>
                <w:szCs w:val="20"/>
                <w:lang w:val="en-CA"/>
              </w:rPr>
              <w:t>(median 78 ng/ml) at diagnosis; 12–130 ng/ml</w:t>
            </w:r>
            <w:r>
              <w:rPr>
                <w:rFonts w:hint="eastAsia" w:eastAsia="宋体"/>
                <w:szCs w:val="20"/>
                <w:lang w:val="en-CA" w:eastAsia="zh-CN"/>
              </w:rPr>
              <w:t xml:space="preserve">, </w:t>
            </w:r>
            <w:r>
              <w:rPr>
                <w:rFonts w:hint="eastAsia"/>
                <w:szCs w:val="20"/>
                <w:lang w:val="en-CA"/>
              </w:rPr>
              <w:t>(median 31 ng/ml) at remission and 16–</w:t>
            </w:r>
          </w:p>
          <w:p>
            <w:pPr>
              <w:keepNext/>
              <w:spacing w:after="0"/>
              <w:jc w:val="left"/>
              <w:rPr>
                <w:szCs w:val="20"/>
                <w:lang w:val="en-CA"/>
              </w:rPr>
            </w:pPr>
            <w:r>
              <w:rPr>
                <w:rFonts w:hint="eastAsia"/>
                <w:szCs w:val="20"/>
                <w:lang w:val="en-CA"/>
              </w:rPr>
              <w:t>62.1 ng/ml (median 27 ng/ml) in controls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lang w:val="en-CA"/>
              </w:rPr>
            </w:pPr>
            <w:r>
              <w:rPr>
                <w:rFonts w:hint="eastAsia"/>
                <w:lang w:val="en-CA"/>
              </w:rPr>
              <w:t>Enzyme linked immunosorbent assay (ELISA): the</w:t>
            </w:r>
            <w:r>
              <w:rPr>
                <w:rFonts w:hint="eastAsia" w:eastAsia="宋体"/>
                <w:lang w:val="en-CA" w:eastAsia="zh-CN"/>
              </w:rPr>
              <w:t xml:space="preserve"> </w:t>
            </w:r>
            <w:r>
              <w:rPr>
                <w:rFonts w:hint="eastAsia"/>
                <w:lang w:val="en-CA"/>
              </w:rPr>
              <w:t>ELISA for sVEGF were commercially</w:t>
            </w:r>
            <w:r>
              <w:rPr>
                <w:rFonts w:hint="eastAsia" w:eastAsia="宋体"/>
                <w:lang w:val="en-CA" w:eastAsia="zh-CN"/>
              </w:rPr>
              <w:t xml:space="preserve"> </w:t>
            </w:r>
            <w:r>
              <w:rPr>
                <w:rFonts w:hint="eastAsia"/>
                <w:lang w:val="en-CA"/>
              </w:rPr>
              <w:t>available kits from R and D systems (Minneapolis,</w:t>
            </w:r>
            <w:r>
              <w:rPr>
                <w:rFonts w:hint="eastAsia" w:eastAsia="宋体"/>
                <w:lang w:val="en-CA" w:eastAsia="zh-CN"/>
              </w:rPr>
              <w:t xml:space="preserve"> </w:t>
            </w:r>
            <w:r>
              <w:rPr>
                <w:rFonts w:hint="eastAsia"/>
                <w:lang w:val="en-CA"/>
              </w:rPr>
              <w:t>MN). The protocols recommended by the manufacturer were followed.</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PN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932276658"/>
        <w:lock w:val="contentLocked"/>
        <w:placeholder>
          <w:docPart w:val="966C697A9D2D4BEA80600BC62E76440F"/>
        </w:placeholder>
      </w:sdtPr>
      <w:sdtContent>
        <w:p>
          <w:r>
            <w:rPr>
              <w:lang w:eastAsia="zh-CN"/>
            </w:rPr>
            <w:drawing>
              <wp:inline distT="0" distB="0" distL="0" distR="0">
                <wp:extent cx="843280" cy="297180"/>
                <wp:effectExtent l="0" t="0" r="0" b="0"/>
                <wp:docPr id="6" name="Picture 3"/>
                <wp:cNvGraphicFramePr/>
                <a:graphic xmlns:a="http://schemas.openxmlformats.org/drawingml/2006/main">
                  <a:graphicData uri="http://schemas.openxmlformats.org/drawingml/2006/picture">
                    <pic:pic xmlns:pic="http://schemas.openxmlformats.org/drawingml/2006/picture">
                      <pic:nvPicPr>
                        <pic:cNvPr id="6"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 Expression of vascular endothelial growth factor and its receptors KDR and Flt 1 in acute myeloid leukemia</w:t>
      </w:r>
    </w:p>
    <w:p>
      <w:pPr>
        <w:rPr>
          <w:rFonts w:eastAsia="宋体"/>
          <w:lang w:eastAsia="zh-CN"/>
        </w:rPr>
      </w:pPr>
      <w:r>
        <w:rPr>
          <w:rFonts w:hint="eastAsia" w:eastAsia="宋体"/>
          <w:lang w:eastAsia="zh-CN"/>
        </w:rPr>
        <w:t>Authors: WANG Yi, XIAO Zhi-jian, LIU Peng, YANG Chen, YANG Ren-chi, CAI Ying-lin, HAN Zhong-chao</w:t>
      </w:r>
    </w:p>
    <w:sdt>
      <w:sdtPr>
        <w:alias w:val="Creative Commons License"/>
        <w:tag w:val="Creative Commons License"/>
        <w:id w:val="1814745573"/>
        <w:lock w:val="contentLocked"/>
        <w:placeholder>
          <w:docPart w:val="367A305CDCCF43FD83D354612D3974C7"/>
        </w:placeholder>
      </w:sdtPr>
      <w:sdtContent>
        <w:p>
          <w:r>
            <w:rPr>
              <w:lang w:eastAsia="zh-CN"/>
            </w:rPr>
            <w:drawing>
              <wp:inline distT="0" distB="0" distL="0" distR="0">
                <wp:extent cx="838200" cy="295275"/>
                <wp:effectExtent l="0" t="0" r="0" b="0"/>
                <wp:docPr id="7" name="Picture 1"/>
                <wp:cNvGraphicFramePr/>
                <a:graphic xmlns:a="http://schemas.openxmlformats.org/drawingml/2006/main">
                  <a:graphicData uri="http://schemas.openxmlformats.org/drawingml/2006/picture">
                    <pic:pic xmlns:pic="http://schemas.openxmlformats.org/drawingml/2006/picture">
                      <pic:nvPicPr>
                        <pic:cNvPr id="7"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Tumor burden, platelet and leukocyte counts</w:t>
            </w:r>
          </w:p>
          <w:p>
            <w:pPr>
              <w:keepNext/>
              <w:rPr>
                <w:lang w:val="en-CA"/>
              </w:rPr>
            </w:pP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 Matched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All patients are newly diagnosed untreated AML patients, all patients were followed regularly in the Leukemia Department outpatient clinic. But  the criteria for the classification of AML was not clear</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b/>
                <w:bCs/>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NA</w:t>
            </w: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788344599"/>
        <w:lock w:val="contentLocked"/>
        <w:placeholder>
          <w:docPart w:val="BDF1E66CF73845CA8ECB45CC2FDC7CD1"/>
        </w:placeholder>
      </w:sdtPr>
      <w:sdtContent>
        <w:p>
          <w:r>
            <w:rPr>
              <w:lang w:eastAsia="zh-CN"/>
            </w:rPr>
            <w:drawing>
              <wp:inline distT="0" distB="0" distL="0" distR="0">
                <wp:extent cx="843280" cy="297180"/>
                <wp:effectExtent l="0" t="0" r="0" b="0"/>
                <wp:docPr id="8" name="Picture 3"/>
                <wp:cNvGraphicFramePr/>
                <a:graphic xmlns:a="http://schemas.openxmlformats.org/drawingml/2006/main">
                  <a:graphicData uri="http://schemas.openxmlformats.org/drawingml/2006/picture">
                    <pic:pic xmlns:pic="http://schemas.openxmlformats.org/drawingml/2006/picture">
                      <pic:nvPicPr>
                        <pic:cNvPr id="8"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rFonts w:eastAsia="宋体"/>
          <w:b/>
          <w:lang w:eastAsia="zh-CN"/>
        </w:rPr>
      </w:pPr>
      <w:r>
        <w:rPr>
          <w:b/>
        </w:rPr>
        <w:t>Version 19 September 2016</w:t>
      </w:r>
    </w:p>
    <w:p>
      <w:pPr>
        <w:rPr>
          <w:rFonts w:eastAsia="宋体"/>
          <w:lang w:eastAsia="zh-CN"/>
        </w:rPr>
      </w:pPr>
      <w:r>
        <w:rPr>
          <w:rFonts w:hint="eastAsia" w:eastAsia="宋体"/>
          <w:lang w:eastAsia="zh-CN"/>
        </w:rPr>
        <w:t>Article: Clinical significance and expression of vascular endothelial growth factor in serum of patients with acute leukemia</w:t>
      </w:r>
    </w:p>
    <w:p>
      <w:pPr>
        <w:rPr>
          <w:rFonts w:eastAsia="宋体"/>
          <w:lang w:eastAsia="zh-CN"/>
        </w:rPr>
      </w:pPr>
      <w:r>
        <w:rPr>
          <w:rFonts w:hint="eastAsia" w:eastAsia="宋体"/>
          <w:lang w:eastAsia="zh-CN"/>
        </w:rPr>
        <w:t>Authors: XIE Jian-min, QI Zhen-hua</w:t>
      </w:r>
    </w:p>
    <w:sdt>
      <w:sdtPr>
        <w:alias w:val="Creative Commons License"/>
        <w:tag w:val="Creative Commons License"/>
        <w:id w:val="1264656176"/>
        <w:lock w:val="contentLocked"/>
        <w:placeholder>
          <w:docPart w:val="E25F32EE6A5E4C32906260E56C420207"/>
        </w:placeholder>
      </w:sdtPr>
      <w:sdtContent>
        <w:p>
          <w:r>
            <w:rPr>
              <w:lang w:eastAsia="zh-CN"/>
            </w:rPr>
            <w:drawing>
              <wp:inline distT="0" distB="0" distL="0" distR="0">
                <wp:extent cx="838200" cy="295275"/>
                <wp:effectExtent l="0" t="0" r="0" b="0"/>
                <wp:docPr id="9" name="Picture 1"/>
                <wp:cNvGraphicFramePr/>
                <a:graphic xmlns:a="http://schemas.openxmlformats.org/drawingml/2006/main">
                  <a:graphicData uri="http://schemas.openxmlformats.org/drawingml/2006/picture">
                    <pic:pic xmlns:pic="http://schemas.openxmlformats.org/drawingml/2006/picture">
                      <pic:nvPicPr>
                        <pic:cNvPr id="9"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Matched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Table1,2</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All patients are newly diagnosed untreated AML patients, all patients were followed regularly in the Leukemia Department outpatient clinic.</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ELISA(BD, America), 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 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718201990"/>
        <w:lock w:val="contentLocked"/>
        <w:placeholder>
          <w:docPart w:val="EBAAECC5B12947C1BF38E3AD4B8B9B1B"/>
        </w:placeholder>
      </w:sdtPr>
      <w:sdtContent>
        <w:p>
          <w:r>
            <w:rPr>
              <w:lang w:eastAsia="zh-CN"/>
            </w:rPr>
            <w:drawing>
              <wp:inline distT="0" distB="0" distL="0" distR="0">
                <wp:extent cx="843280" cy="297180"/>
                <wp:effectExtent l="0" t="0" r="0" b="0"/>
                <wp:docPr id="10" name="Picture 3"/>
                <wp:cNvGraphicFramePr/>
                <a:graphic xmlns:a="http://schemas.openxmlformats.org/drawingml/2006/main">
                  <a:graphicData uri="http://schemas.openxmlformats.org/drawingml/2006/picture">
                    <pic:pic xmlns:pic="http://schemas.openxmlformats.org/drawingml/2006/picture">
                      <pic:nvPicPr>
                        <pic:cNvPr id="10"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Circulating VEGF and its soluble receptors sVEGFR-1 and sVEGFR-2 in patients with acute leukemia</w:t>
      </w:r>
    </w:p>
    <w:p>
      <w:pPr>
        <w:rPr>
          <w:rFonts w:eastAsia="宋体"/>
          <w:lang w:eastAsia="zh-CN"/>
        </w:rPr>
      </w:pPr>
      <w:r>
        <w:rPr>
          <w:rFonts w:hint="eastAsia" w:eastAsia="宋体"/>
          <w:lang w:eastAsia="zh-CN"/>
        </w:rPr>
        <w:t>Authors: Agnieszka Wierzbowska, Tadeusz Robak, Agata Wrzesien´-Kus´, Anna Krawczyn´ska, Ewa Lech-Maran´da, Halina Urban´ska-Rys</w:t>
      </w:r>
    </w:p>
    <w:sdt>
      <w:sdtPr>
        <w:alias w:val="Creative Commons License"/>
        <w:tag w:val="Creative Commons License"/>
        <w:id w:val="-1879001178"/>
        <w:lock w:val="contentLocked"/>
        <w:placeholder>
          <w:docPart w:val="B0B635272DB5431283EA852243F14E29"/>
        </w:placeholder>
      </w:sdtPr>
      <w:sdtContent>
        <w:p>
          <w:r>
            <w:rPr>
              <w:lang w:eastAsia="zh-CN"/>
            </w:rPr>
            <w:drawing>
              <wp:inline distT="0" distB="0" distL="0" distR="0">
                <wp:extent cx="838200" cy="295275"/>
                <wp:effectExtent l="0" t="0" r="0" b="0"/>
                <wp:docPr id="11" name="Picture 1"/>
                <wp:cNvGraphicFramePr/>
                <a:graphic xmlns:a="http://schemas.openxmlformats.org/drawingml/2006/main">
                  <a:graphicData uri="http://schemas.openxmlformats.org/drawingml/2006/picture">
                    <pic:pic xmlns:pic="http://schemas.openxmlformats.org/drawingml/2006/picture">
                      <pic:nvPicPr>
                        <pic:cNvPr id="11"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 xml:space="preserve">All patients are newly diagnosed untreated AML patients, and </w:t>
            </w:r>
            <w:r>
              <w:rPr>
                <w:rFonts w:hint="eastAsia"/>
                <w:szCs w:val="20"/>
                <w:lang w:val="en-CA"/>
              </w:rPr>
              <w:t>were monitored regularly in the Hematological Department’s outpatient clinic.</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 xml:space="preserve">Outcomes based on </w:t>
            </w:r>
            <w:r>
              <w:rPr>
                <w:rFonts w:hint="eastAsia" w:eastAsia="宋体"/>
                <w:szCs w:val="20"/>
                <w:lang w:val="en-CA" w:eastAsia="zh-CN"/>
              </w:rPr>
              <w:t xml:space="preserve">nearly </w:t>
            </w:r>
            <w:r>
              <w:rPr>
                <w:szCs w:val="20"/>
                <w:lang w:val="en-CA"/>
              </w:rPr>
              <w:t>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rFonts w:eastAsia="宋体"/>
                <w:szCs w:val="20"/>
                <w:lang w:val="en-CA" w:eastAsia="zh-CN"/>
              </w:rPr>
            </w:pPr>
            <w:r>
              <w:rPr>
                <w:rFonts w:hint="eastAsia" w:eastAsia="宋体"/>
                <w:szCs w:val="20"/>
                <w:lang w:val="en-CA" w:eastAsia="zh-CN"/>
              </w:rPr>
              <w:t>one</w:t>
            </w:r>
            <w:r>
              <w:rPr>
                <w:szCs w:val="20"/>
                <w:lang w:val="en-CA"/>
              </w:rPr>
              <w:t xml:space="preserve"> participants were excluded </w:t>
            </w:r>
            <w:r>
              <w:rPr>
                <w:rFonts w:hint="eastAsia" w:eastAsia="宋体"/>
                <w:szCs w:val="20"/>
                <w:lang w:val="en-CA" w:eastAsia="zh-CN"/>
              </w:rPr>
              <w:t>for not detecting VEGF levels</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rFonts w:eastAsia="宋体"/>
                <w:szCs w:val="20"/>
                <w:lang w:val="en-CA" w:eastAsia="zh-CN"/>
              </w:rPr>
            </w:pPr>
            <w:r>
              <w:rPr>
                <w:szCs w:val="20"/>
                <w:lang w:val="en-CA"/>
              </w:rPr>
              <w:t>No participants were excluded</w:t>
            </w:r>
            <w:r>
              <w:rPr>
                <w:rFonts w:hint="eastAsia" w:eastAsia="宋体"/>
                <w:szCs w:val="20"/>
                <w:lang w:val="en-CA" w:eastAsia="zh-CN"/>
              </w:rPr>
              <w:t xml:space="preserve"> </w:t>
            </w:r>
            <w:r>
              <w:rPr>
                <w:szCs w:val="20"/>
                <w:lang w:val="en-CA"/>
              </w:rPr>
              <w:t>due to missing data on other variables needed for the analysis</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 ELISA assay kits (Quantikine, R &amp; D Systems Inc., Minneapolis, MN USA), in accordance with the manufacturers instructions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094771915"/>
        <w:lock w:val="contentLocked"/>
        <w:placeholder>
          <w:docPart w:val="00BBD2FAD2AE43E383D68A5921D7FD50"/>
        </w:placeholder>
      </w:sdtPr>
      <w:sdtContent>
        <w:p>
          <w:r>
            <w:rPr>
              <w:lang w:eastAsia="zh-CN"/>
            </w:rPr>
            <w:drawing>
              <wp:inline distT="0" distB="0" distL="0" distR="0">
                <wp:extent cx="843280" cy="297180"/>
                <wp:effectExtent l="0" t="0" r="0" b="0"/>
                <wp:docPr id="12" name="Picture 3"/>
                <wp:cNvGraphicFramePr/>
                <a:graphic xmlns:a="http://schemas.openxmlformats.org/drawingml/2006/main">
                  <a:graphicData uri="http://schemas.openxmlformats.org/drawingml/2006/picture">
                    <pic:pic xmlns:pic="http://schemas.openxmlformats.org/drawingml/2006/picture">
                      <pic:nvPicPr>
                        <pic:cNvPr id="12"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Expression of Angiogenic Factors and Their Clinical Significances in Acute Myeloid Leukemia</w:t>
      </w:r>
    </w:p>
    <w:p>
      <w:pPr>
        <w:rPr>
          <w:rFonts w:eastAsia="宋体"/>
          <w:lang w:eastAsia="zh-CN"/>
        </w:rPr>
      </w:pPr>
      <w:r>
        <w:rPr>
          <w:rFonts w:hint="eastAsia" w:eastAsia="宋体"/>
          <w:lang w:eastAsia="zh-CN"/>
        </w:rPr>
        <w:t>Authors: WANG Yi, XIAO Zhi-Jian, LIU Peng, Peng Zhi, HAN Zhong-Chao</w:t>
      </w:r>
    </w:p>
    <w:sdt>
      <w:sdtPr>
        <w:alias w:val="Creative Commons License"/>
        <w:tag w:val="Creative Commons License"/>
        <w:id w:val="-992865151"/>
        <w:lock w:val="contentLocked"/>
        <w:placeholder>
          <w:docPart w:val="0EAB16D974EB455BB8A3A4DB44213869"/>
        </w:placeholder>
      </w:sdtPr>
      <w:sdtContent>
        <w:p>
          <w:r>
            <w:rPr>
              <w:lang w:eastAsia="zh-CN"/>
            </w:rPr>
            <w:drawing>
              <wp:inline distT="0" distB="0" distL="0" distR="0">
                <wp:extent cx="838200" cy="295275"/>
                <wp:effectExtent l="0" t="0" r="0" b="0"/>
                <wp:docPr id="13" name="Picture 1"/>
                <wp:cNvGraphicFramePr/>
                <a:graphic xmlns:a="http://schemas.openxmlformats.org/drawingml/2006/main">
                  <a:graphicData uri="http://schemas.openxmlformats.org/drawingml/2006/picture">
                    <pic:pic xmlns:pic="http://schemas.openxmlformats.org/drawingml/2006/picture">
                      <pic:nvPicPr>
                        <pic:cNvPr id="13"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 xml:space="preserve">ELIASA was used for both groups. </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591859483"/>
        <w:lock w:val="contentLocked"/>
        <w:placeholder>
          <w:docPart w:val="4592E1320FBB417CBB2C18F029629F7E"/>
        </w:placeholder>
      </w:sdtPr>
      <w:sdtContent>
        <w:p>
          <w:r>
            <w:rPr>
              <w:lang w:eastAsia="zh-CN"/>
            </w:rPr>
            <w:drawing>
              <wp:inline distT="0" distB="0" distL="0" distR="0">
                <wp:extent cx="843280" cy="297180"/>
                <wp:effectExtent l="0" t="0" r="0" b="0"/>
                <wp:docPr id="14" name="Picture 3"/>
                <wp:cNvGraphicFramePr/>
                <a:graphic xmlns:a="http://schemas.openxmlformats.org/drawingml/2006/main">
                  <a:graphicData uri="http://schemas.openxmlformats.org/drawingml/2006/picture">
                    <pic:pic xmlns:pic="http://schemas.openxmlformats.org/drawingml/2006/picture">
                      <pic:nvPicPr>
                        <pic:cNvPr id="14"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Clinical implications of angiogenic factors in patients with acute or chronic leukemia: Hepatocyte growth factor levels have prognostic impact, especially in patients with acute myeloid leukemia</w:t>
      </w:r>
    </w:p>
    <w:p>
      <w:pPr>
        <w:rPr>
          <w:rFonts w:eastAsia="宋体"/>
          <w:lang w:eastAsia="zh-CN"/>
        </w:rPr>
      </w:pPr>
      <w:r>
        <w:rPr>
          <w:rFonts w:hint="eastAsia" w:eastAsia="宋体"/>
          <w:lang w:eastAsia="zh-CN"/>
        </w:rPr>
        <w:t>Authors: JONG GWANG KIM, SANG KYUN SOHN, DONG HWAN KIM, JIN HO BAEK, NAN YOUNG LEE, JANG SOO SUH, SHUNG-CHULL CHAE, KUN SOO LEE</w:t>
      </w:r>
    </w:p>
    <w:sdt>
      <w:sdtPr>
        <w:alias w:val="Creative Commons License"/>
        <w:tag w:val="Creative Commons License"/>
        <w:id w:val="1254633413"/>
        <w:lock w:val="contentLocked"/>
        <w:placeholder>
          <w:docPart w:val="FC835C27FBAE4F839001CF0E0C312C58"/>
        </w:placeholder>
      </w:sdtPr>
      <w:sdtContent>
        <w:p>
          <w:r>
            <w:rPr>
              <w:lang w:eastAsia="zh-CN"/>
            </w:rPr>
            <w:drawing>
              <wp:inline distT="0" distB="0" distL="0" distR="0">
                <wp:extent cx="838200" cy="295275"/>
                <wp:effectExtent l="0" t="0" r="0" b="0"/>
                <wp:docPr id="15" name="Picture 1"/>
                <wp:cNvGraphicFramePr/>
                <a:graphic xmlns:a="http://schemas.openxmlformats.org/drawingml/2006/main">
                  <a:graphicData uri="http://schemas.openxmlformats.org/drawingml/2006/picture">
                    <pic:pic xmlns:pic="http://schemas.openxmlformats.org/drawingml/2006/picture">
                      <pic:nvPicPr>
                        <pic:cNvPr id="15"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 but the Criteria for the classification of AML was not available.</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w:t>
            </w:r>
            <w:r>
              <w:rPr>
                <w:color w:val="FF0000"/>
                <w:szCs w:val="20"/>
                <w:lang w:val="en-CA"/>
              </w:rPr>
              <w:t>PY</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r>
              <w:rPr>
                <w:szCs w:val="20"/>
                <w:lang w:val="es-ES"/>
              </w:rPr>
              <w:t xml:space="preserve">NA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rFonts w:hint="eastAsia" w:eastAsia="宋体"/>
                <w:szCs w:val="20"/>
                <w:lang w:val="en-CA" w:eastAsia="zh-CN"/>
              </w:rPr>
              <w:t>Although t</w:t>
            </w:r>
            <w:r>
              <w:rPr>
                <w:rFonts w:hint="eastAsia"/>
                <w:szCs w:val="20"/>
                <w:lang w:val="en-CA"/>
              </w:rPr>
              <w:t>he study was a retrospective study that collected outcome data for all subjects who met the criteria</w:t>
            </w:r>
            <w:r>
              <w:rPr>
                <w:rFonts w:hint="eastAsia" w:eastAsia="宋体"/>
                <w:szCs w:val="20"/>
                <w:lang w:val="en-CA" w:eastAsia="zh-CN"/>
              </w:rPr>
              <w:t>. 30 AML patients were included, but the two AML patients did not receive testing for some reasons.</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rFonts w:eastAsia="宋体"/>
                <w:szCs w:val="20"/>
                <w:lang w:val="en-CA" w:eastAsia="zh-CN"/>
              </w:rPr>
            </w:pPr>
            <w:r>
              <w:rPr>
                <w:color w:val="00B050"/>
                <w:szCs w:val="20"/>
                <w:u w:val="single"/>
                <w:lang w:val="en-CA"/>
              </w:rPr>
              <w:t xml:space="preserve"> N</w:t>
            </w:r>
            <w:r>
              <w:rPr>
                <w:rFonts w:hint="eastAsia" w:eastAsia="宋体"/>
                <w:color w:val="00B050"/>
                <w:szCs w:val="20"/>
                <w:u w:val="single"/>
                <w:lang w:val="en-CA"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szCs w:val="20"/>
                <w:lang w:val="en-CA" w:eastAsia="zh-CN"/>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 xml:space="preserve">Outcomes based on </w:t>
            </w:r>
            <w:r>
              <w:rPr>
                <w:rFonts w:hint="eastAsia" w:eastAsia="宋体"/>
                <w:szCs w:val="20"/>
                <w:lang w:val="en-CA" w:eastAsia="zh-CN"/>
              </w:rPr>
              <w:t xml:space="preserve">nearly </w:t>
            </w:r>
            <w:r>
              <w:rPr>
                <w:szCs w:val="20"/>
                <w:lang w:val="en-CA"/>
              </w:rPr>
              <w:t>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rFonts w:eastAsia="宋体"/>
                <w:szCs w:val="20"/>
                <w:lang w:val="en-CA" w:eastAsia="zh-CN"/>
              </w:rPr>
            </w:pPr>
            <w:r>
              <w:rPr>
                <w:rFonts w:hint="eastAsia" w:eastAsia="宋体"/>
                <w:szCs w:val="20"/>
                <w:lang w:val="en-CA" w:eastAsia="zh-CN"/>
              </w:rPr>
              <w:t>two</w:t>
            </w:r>
            <w:r>
              <w:rPr>
                <w:szCs w:val="20"/>
                <w:lang w:val="en-CA"/>
              </w:rPr>
              <w:t xml:space="preserve"> participants were excluded </w:t>
            </w:r>
            <w:r>
              <w:rPr>
                <w:rFonts w:hint="eastAsia" w:eastAsia="宋体"/>
                <w:szCs w:val="20"/>
                <w:lang w:val="en-CA" w:eastAsia="zh-CN"/>
              </w:rPr>
              <w:t>for not detecting VEGF levels.</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rFonts w:eastAsia="宋体"/>
                <w:szCs w:val="20"/>
                <w:lang w:val="en-CA" w:eastAsia="zh-CN"/>
              </w:rPr>
            </w:pPr>
            <w:r>
              <w:rPr>
                <w:szCs w:val="20"/>
                <w:lang w:val="en-CA"/>
              </w:rPr>
              <w:t>No participants were excluded</w:t>
            </w:r>
            <w:r>
              <w:rPr>
                <w:rFonts w:hint="eastAsia" w:eastAsia="宋体"/>
                <w:szCs w:val="20"/>
                <w:lang w:val="en-CA" w:eastAsia="zh-CN"/>
              </w:rPr>
              <w:t xml:space="preserve"> </w:t>
            </w:r>
            <w:r>
              <w:rPr>
                <w:szCs w:val="20"/>
                <w:lang w:val="en-CA"/>
              </w:rPr>
              <w:t>due to missing data on other variables needed for the analysis</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p>
            <w:pPr>
              <w:keepNext/>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p>
            <w:pPr>
              <w:keepNext/>
              <w:spacing w:after="0"/>
              <w:jc w:val="center"/>
              <w:rPr>
                <w:rFonts w:eastAsia="宋体"/>
                <w:szCs w:val="20"/>
                <w:lang w:val="en-CA" w:eastAsia="zh-CN"/>
              </w:rPr>
            </w:pPr>
            <w:r>
              <w:rPr>
                <w:rFonts w:hint="eastAsia" w:eastAsia="宋体"/>
                <w:szCs w:val="20"/>
                <w:lang w:val="en-CA"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ind w:firstLine="660" w:firstLineChars="300"/>
              <w:jc w:val="both"/>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73807312"/>
        <w:lock w:val="contentLocked"/>
        <w:placeholder>
          <w:docPart w:val="68458D4A1FAC45C4A4095ED61BEB4961"/>
        </w:placeholder>
      </w:sdtPr>
      <w:sdtContent>
        <w:p>
          <w:r>
            <w:rPr>
              <w:lang w:eastAsia="zh-CN"/>
            </w:rPr>
            <w:drawing>
              <wp:inline distT="0" distB="0" distL="0" distR="0">
                <wp:extent cx="843280" cy="297180"/>
                <wp:effectExtent l="0" t="0" r="0" b="0"/>
                <wp:docPr id="16" name="Picture 3"/>
                <wp:cNvGraphicFramePr/>
                <a:graphic xmlns:a="http://schemas.openxmlformats.org/drawingml/2006/main">
                  <a:graphicData uri="http://schemas.openxmlformats.org/drawingml/2006/picture">
                    <pic:pic xmlns:pic="http://schemas.openxmlformats.org/drawingml/2006/picture">
                      <pic:nvPicPr>
                        <pic:cNvPr id="16"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Article:Soluble VEGF/sFLtl ratio is an independent predictor of AML patient out come</w:t>
      </w:r>
    </w:p>
    <w:p>
      <w:r>
        <w:rPr>
          <w:rFonts w:hint="eastAsia" w:eastAsia="宋体"/>
          <w:lang w:eastAsia="zh-CN"/>
        </w:rPr>
        <w:t>Authors: SALAH AREF , MAMDOUH EL SHERBINY, TAREK GODA,  MANAL FOUDA ,HASSAN AL ASKALANY,  DOAA ABDALLA</w:t>
      </w:r>
    </w:p>
    <w:sdt>
      <w:sdtPr>
        <w:alias w:val="Creative Commons License"/>
        <w:tag w:val="Creative Commons License"/>
        <w:id w:val="-1857498530"/>
        <w:lock w:val="contentLocked"/>
        <w:placeholder>
          <w:docPart w:val="25D9E74C85EB45828EA9AEBE758A4B3D"/>
        </w:placeholder>
      </w:sdtPr>
      <w:sdtContent>
        <w:p>
          <w:r>
            <w:rPr>
              <w:lang w:eastAsia="zh-CN"/>
            </w:rPr>
            <w:drawing>
              <wp:inline distT="0" distB="0" distL="0" distR="0">
                <wp:extent cx="838200" cy="295275"/>
                <wp:effectExtent l="0" t="0" r="0" b="0"/>
                <wp:docPr id="17" name="Picture 1"/>
                <wp:cNvGraphicFramePr/>
                <a:graphic xmlns:a="http://schemas.openxmlformats.org/drawingml/2006/main">
                  <a:graphicData uri="http://schemas.openxmlformats.org/drawingml/2006/picture">
                    <pic:pic xmlns:pic="http://schemas.openxmlformats.org/drawingml/2006/picture">
                      <pic:nvPicPr>
                        <pic:cNvPr id="17"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 xml:space="preserve">Healthy control </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 The Criteria for the classification of AML was FAB classification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660923983"/>
        <w:lock w:val="contentLocked"/>
        <w:placeholder>
          <w:docPart w:val="148EA94EC0D84EB1B83292994DA7FD95"/>
        </w:placeholder>
      </w:sdtPr>
      <w:sdtContent>
        <w:p>
          <w:r>
            <w:rPr>
              <w:lang w:eastAsia="zh-CN"/>
            </w:rPr>
            <w:drawing>
              <wp:inline distT="0" distB="0" distL="0" distR="0">
                <wp:extent cx="843280" cy="297180"/>
                <wp:effectExtent l="0" t="0" r="0" b="0"/>
                <wp:docPr id="18" name="Picture 3"/>
                <wp:cNvGraphicFramePr/>
                <a:graphic xmlns:a="http://schemas.openxmlformats.org/drawingml/2006/main">
                  <a:graphicData uri="http://schemas.openxmlformats.org/drawingml/2006/picture">
                    <pic:pic xmlns:pic="http://schemas.openxmlformats.org/drawingml/2006/picture">
                      <pic:nvPicPr>
                        <pic:cNvPr id="18"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SERUM VASCULAR ENDOTHELIAL GROWTH FACTOR LEVEL IN PATIENTS WITH HEMATOLOGICAL MALIGNANCIES</w:t>
      </w:r>
    </w:p>
    <w:p>
      <w:r>
        <w:rPr>
          <w:rFonts w:hint="eastAsia" w:eastAsia="宋体"/>
          <w:lang w:eastAsia="zh-CN"/>
        </w:rPr>
        <w:t>Authors: Fuat Erdem , Mehmet Gündogdu , Ahmet Kiziltunç</w:t>
      </w:r>
    </w:p>
    <w:sdt>
      <w:sdtPr>
        <w:alias w:val="Creative Commons License"/>
        <w:tag w:val="Creative Commons License"/>
        <w:id w:val="9729105"/>
        <w:lock w:val="contentLocked"/>
        <w:placeholder>
          <w:docPart w:val="8DAD9AA8556C4B1A97665712488C4755"/>
        </w:placeholder>
      </w:sdtPr>
      <w:sdtContent>
        <w:p>
          <w:r>
            <w:rPr>
              <w:lang w:eastAsia="zh-CN"/>
            </w:rPr>
            <w:drawing>
              <wp:inline distT="0" distB="0" distL="0" distR="0">
                <wp:extent cx="838200" cy="295275"/>
                <wp:effectExtent l="0" t="0" r="0" b="0"/>
                <wp:docPr id="19" name="Picture 1"/>
                <wp:cNvGraphicFramePr/>
                <a:graphic xmlns:a="http://schemas.openxmlformats.org/drawingml/2006/main">
                  <a:graphicData uri="http://schemas.openxmlformats.org/drawingml/2006/picture">
                    <pic:pic xmlns:pic="http://schemas.openxmlformats.org/drawingml/2006/picture">
                      <pic:nvPicPr>
                        <pic:cNvPr id="19"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 but the Criteria for the classification of AML was not available.</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w:t>
            </w:r>
            <w:r>
              <w:rPr>
                <w:color w:val="FF0000"/>
                <w:szCs w:val="20"/>
                <w:lang w:val="en-CA"/>
              </w:rPr>
              <w:t>PY</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r>
              <w:rPr>
                <w:szCs w:val="20"/>
                <w:lang w:val="es-ES"/>
              </w:rPr>
              <w:t xml:space="preserve">NA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 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842920532"/>
        <w:lock w:val="contentLocked"/>
        <w:placeholder>
          <w:docPart w:val="D2FAAAEA4F4746D3B63FEB39EA00F145"/>
        </w:placeholder>
      </w:sdtPr>
      <w:sdtContent>
        <w:p>
          <w:r>
            <w:rPr>
              <w:lang w:eastAsia="zh-CN"/>
            </w:rPr>
            <w:drawing>
              <wp:inline distT="0" distB="0" distL="0" distR="0">
                <wp:extent cx="843280" cy="297180"/>
                <wp:effectExtent l="0" t="0" r="0" b="0"/>
                <wp:docPr id="20" name="Picture 3"/>
                <wp:cNvGraphicFramePr/>
                <a:graphic xmlns:a="http://schemas.openxmlformats.org/drawingml/2006/main">
                  <a:graphicData uri="http://schemas.openxmlformats.org/drawingml/2006/picture">
                    <pic:pic xmlns:pic="http://schemas.openxmlformats.org/drawingml/2006/picture">
                      <pic:nvPicPr>
                        <pic:cNvPr id="20"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Serum Level of Angiogenesis-related Cytokins in Patients with Myelodysplastic Syndrome</w:t>
      </w:r>
    </w:p>
    <w:p>
      <w:r>
        <w:rPr>
          <w:rFonts w:hint="eastAsia" w:eastAsia="宋体"/>
          <w:lang w:eastAsia="zh-CN"/>
        </w:rPr>
        <w:t>Authors: ZHAO Mei-Qing, ZHAO Hong-Guo</w:t>
      </w:r>
    </w:p>
    <w:sdt>
      <w:sdtPr>
        <w:alias w:val="Creative Commons License"/>
        <w:tag w:val="Creative Commons License"/>
        <w:id w:val="1496388472"/>
        <w:lock w:val="contentLocked"/>
        <w:placeholder>
          <w:docPart w:val="0D5084DA3BC543ECA3DD34528AD06A63"/>
        </w:placeholder>
      </w:sdtPr>
      <w:sdtContent>
        <w:p>
          <w:r>
            <w:rPr>
              <w:lang w:eastAsia="zh-CN"/>
            </w:rPr>
            <w:drawing>
              <wp:inline distT="0" distB="0" distL="0" distR="0">
                <wp:extent cx="838200" cy="295275"/>
                <wp:effectExtent l="0" t="0" r="0" b="0"/>
                <wp:docPr id="21" name="Picture 1"/>
                <wp:cNvGraphicFramePr/>
                <a:graphic xmlns:a="http://schemas.openxmlformats.org/drawingml/2006/main">
                  <a:graphicData uri="http://schemas.openxmlformats.org/drawingml/2006/picture">
                    <pic:pic xmlns:pic="http://schemas.openxmlformats.org/drawingml/2006/picture">
                      <pic:nvPicPr>
                        <pic:cNvPr id="21"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 but the Criteria for the classification of AML was not available.</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w:t>
            </w:r>
            <w:r>
              <w:rPr>
                <w:color w:val="FF0000"/>
                <w:szCs w:val="20"/>
                <w:lang w:val="en-CA"/>
              </w:rPr>
              <w:t>PY</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r>
              <w:rPr>
                <w:szCs w:val="20"/>
                <w:lang w:val="es-ES"/>
              </w:rPr>
              <w:t xml:space="preserve">NA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 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655270321"/>
        <w:lock w:val="contentLocked"/>
        <w:placeholder>
          <w:docPart w:val="EBE6C264FE0747F3BD84CDA77C3C045B"/>
        </w:placeholder>
      </w:sdtPr>
      <w:sdtContent>
        <w:p>
          <w:r>
            <w:rPr>
              <w:lang w:eastAsia="zh-CN"/>
            </w:rPr>
            <w:drawing>
              <wp:inline distT="0" distB="0" distL="0" distR="0">
                <wp:extent cx="843280" cy="297180"/>
                <wp:effectExtent l="0" t="0" r="0" b="0"/>
                <wp:docPr id="22" name="Picture 3"/>
                <wp:cNvGraphicFramePr/>
                <a:graphic xmlns:a="http://schemas.openxmlformats.org/drawingml/2006/main">
                  <a:graphicData uri="http://schemas.openxmlformats.org/drawingml/2006/picture">
                    <pic:pic xmlns:pic="http://schemas.openxmlformats.org/drawingml/2006/picture">
                      <pic:nvPicPr>
                        <pic:cNvPr id="22"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Article:DOES SERUM SOLUBLE VASCULAR ENDOTHELIAL GROWTH FACTOR LEVELS HAVE DIFFERENT IMPORTANCE IN PEDIATRIC ACUTE LEUKEMIA AND MALIGNANT LYMPHOMA PATIENTS?</w:t>
      </w:r>
    </w:p>
    <w:p>
      <w:r>
        <w:rPr>
          <w:rFonts w:hint="eastAsia" w:eastAsia="宋体"/>
          <w:lang w:eastAsia="zh-CN"/>
        </w:rPr>
        <w:t>Authors: Handan Ugur Dincaslan, MD, Gulsan Yavuz, MD, Emel Unal, MD, and Nurdan Tacyildiz, MD, Aydan Ikinciogullari, MD, Figen Dogu, MD, and Deniz Guloglu, Nazmiye Yuksek, MD and Ulya Ertem, MD</w:t>
      </w:r>
    </w:p>
    <w:sdt>
      <w:sdtPr>
        <w:alias w:val="Creative Commons License"/>
        <w:tag w:val="Creative Commons License"/>
        <w:id w:val="-149064185"/>
        <w:lock w:val="contentLocked"/>
        <w:placeholder>
          <w:docPart w:val="BCDC181AE3F843899D46E881BCD6F67F"/>
        </w:placeholder>
      </w:sdtPr>
      <w:sdtContent>
        <w:p>
          <w:r>
            <w:rPr>
              <w:lang w:eastAsia="zh-CN"/>
            </w:rPr>
            <w:drawing>
              <wp:inline distT="0" distB="0" distL="0" distR="0">
                <wp:extent cx="838200" cy="295275"/>
                <wp:effectExtent l="0" t="0" r="0" b="0"/>
                <wp:docPr id="23" name="Picture 1"/>
                <wp:cNvGraphicFramePr/>
                <a:graphic xmlns:a="http://schemas.openxmlformats.org/drawingml/2006/main">
                  <a:graphicData uri="http://schemas.openxmlformats.org/drawingml/2006/picture">
                    <pic:pic xmlns:pic="http://schemas.openxmlformats.org/drawingml/2006/picture">
                      <pic:nvPicPr>
                        <pic:cNvPr id="23"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eastAsia="宋体"/>
                <w:lang w:val="en-CA" w:eastAsia="zh-CN"/>
              </w:rPr>
              <w:t>6</w:t>
            </w: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patients ,1 relapsed AML patients, 1secondary AML patients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 xml:space="preserve">Healthy control </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The Criteria for the classification of AML was FAB classification, but we have no acknowledge of the treatment of the relapsed patients and the secondary AML patients</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w:t>
            </w: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NA</w:t>
            </w: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 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1429851627"/>
        <w:lock w:val="contentLocked"/>
        <w:placeholder>
          <w:docPart w:val="1BEA1FED70C44686AC7DD0A47E015B11"/>
        </w:placeholder>
      </w:sdtPr>
      <w:sdtContent>
        <w:p>
          <w:r>
            <w:rPr>
              <w:lang w:eastAsia="zh-CN"/>
            </w:rPr>
            <w:drawing>
              <wp:inline distT="0" distB="0" distL="0" distR="0">
                <wp:extent cx="843280" cy="297180"/>
                <wp:effectExtent l="0" t="0" r="0" b="0"/>
                <wp:docPr id="24" name="Picture 3"/>
                <wp:cNvGraphicFramePr/>
                <a:graphic xmlns:a="http://schemas.openxmlformats.org/drawingml/2006/main">
                  <a:graphicData uri="http://schemas.openxmlformats.org/drawingml/2006/picture">
                    <pic:pic xmlns:pic="http://schemas.openxmlformats.org/drawingml/2006/picture">
                      <pic:nvPicPr>
                        <pic:cNvPr id="24"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Levels of bone marrow microvessel density are crucial for evaluating the status of acute myeloid leukemia</w:t>
      </w:r>
    </w:p>
    <w:p>
      <w:r>
        <w:rPr>
          <w:rFonts w:hint="eastAsia" w:eastAsia="宋体"/>
          <w:lang w:eastAsia="zh-CN"/>
        </w:rPr>
        <w:t>Authors: YANQIU SONG, YAN TAN, LIBO LIU, QIAN WANG, JING ZHU and MIN LIU</w:t>
      </w:r>
    </w:p>
    <w:sdt>
      <w:sdtPr>
        <w:alias w:val="Creative Commons License"/>
        <w:tag w:val="Creative Commons License"/>
        <w:id w:val="-383251514"/>
        <w:lock w:val="contentLocked"/>
        <w:placeholder>
          <w:docPart w:val="3CB22EB05D2C45F895EC1E3AA7CE9428"/>
        </w:placeholder>
      </w:sdtPr>
      <w:sdtContent>
        <w:p>
          <w:r>
            <w:rPr>
              <w:lang w:eastAsia="zh-CN"/>
            </w:rPr>
            <w:drawing>
              <wp:inline distT="0" distB="0" distL="0" distR="0">
                <wp:extent cx="838200" cy="295275"/>
                <wp:effectExtent l="0" t="0" r="0" b="0"/>
                <wp:docPr id="25" name="Picture 1"/>
                <wp:cNvGraphicFramePr/>
                <a:graphic xmlns:a="http://schemas.openxmlformats.org/drawingml/2006/main">
                  <a:graphicData uri="http://schemas.openxmlformats.org/drawingml/2006/picture">
                    <pic:pic xmlns:pic="http://schemas.openxmlformats.org/drawingml/2006/picture">
                      <pic:nvPicPr>
                        <pic:cNvPr id="25"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 xml:space="preserve">Healthy control </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 The Criteria for the classification of AML was FAB/WHO classification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sdt>
      <w:sdtPr>
        <w:alias w:val="Creative Commons License"/>
        <w:tag w:val="Creative Commons License"/>
        <w:id w:val="-448166892"/>
        <w:lock w:val="contentLocked"/>
        <w:placeholder>
          <w:docPart w:val="B30E79FEAD1942B0A91C816B66AE2ECA"/>
        </w:placeholder>
      </w:sdtPr>
      <w:sdtContent>
        <w:p>
          <w:r>
            <w:rPr>
              <w:lang w:eastAsia="zh-CN"/>
            </w:rPr>
            <w:drawing>
              <wp:inline distT="0" distB="0" distL="0" distR="0">
                <wp:extent cx="843280" cy="297180"/>
                <wp:effectExtent l="0" t="0" r="0" b="0"/>
                <wp:docPr id="26" name="Picture 3"/>
                <wp:cNvGraphicFramePr/>
                <a:graphic xmlns:a="http://schemas.openxmlformats.org/drawingml/2006/main">
                  <a:graphicData uri="http://schemas.openxmlformats.org/drawingml/2006/picture">
                    <pic:pic xmlns:pic="http://schemas.openxmlformats.org/drawingml/2006/picture">
                      <pic:nvPicPr>
                        <pic:cNvPr id="26"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rPr>
          <w:rFonts w:hint="eastAsia"/>
          <w:lang w:eastAsia="zh-CN"/>
        </w:rPr>
      </w:pPr>
    </w:p>
    <w:p>
      <w:pPr>
        <w:pStyle w:val="12"/>
      </w:pPr>
      <w:r>
        <w:t xml:space="preserve">The Risk Of Bias In Non-randomized Studies – of Interventions (ROBINS-I) assessment tool </w:t>
      </w:r>
    </w:p>
    <w:p>
      <w:pPr>
        <w:jc w:val="left"/>
        <w:rPr>
          <w:b/>
        </w:rPr>
      </w:pPr>
      <w:r>
        <w:rPr>
          <w:b/>
        </w:rPr>
        <w:t>Version 19 September 2016</w:t>
      </w:r>
    </w:p>
    <w:p>
      <w:pPr>
        <w:rPr>
          <w:rFonts w:eastAsia="宋体"/>
          <w:lang w:eastAsia="zh-CN"/>
        </w:rPr>
      </w:pPr>
      <w:r>
        <w:rPr>
          <w:rFonts w:hint="eastAsia" w:eastAsia="宋体"/>
          <w:lang w:eastAsia="zh-CN"/>
        </w:rPr>
        <w:t>Article: Clinical Curative Efficacy of Lenalidomide Combined with Chemo- therapy for Acute Leukemia and Its Impact on VEGF</w:t>
      </w:r>
    </w:p>
    <w:p>
      <w:r>
        <w:rPr>
          <w:rFonts w:hint="eastAsia" w:eastAsia="宋体"/>
          <w:lang w:eastAsia="zh-CN"/>
        </w:rPr>
        <w:t>Authors: YANG Xue-Wen，MA Li-Min，ZHAO Xiao-Qiang，RUAN Lin-Hai</w:t>
      </w:r>
    </w:p>
    <w:sdt>
      <w:sdtPr>
        <w:alias w:val="Creative Commons License"/>
        <w:tag w:val="Creative Commons License"/>
        <w:id w:val="-1293902229"/>
        <w:lock w:val="contentLocked"/>
        <w:placeholder>
          <w:docPart w:val="74E8F8EC15B04B1487E34721FD5EC9BB"/>
        </w:placeholder>
      </w:sdtPr>
      <w:sdtContent>
        <w:p>
          <w:r>
            <w:rPr>
              <w:lang w:eastAsia="zh-CN"/>
            </w:rPr>
            <w:drawing>
              <wp:inline distT="0" distB="0" distL="0" distR="0">
                <wp:extent cx="838200" cy="295275"/>
                <wp:effectExtent l="0" t="0" r="0" b="0"/>
                <wp:docPr id="27" name="Picture 1"/>
                <wp:cNvGraphicFramePr/>
                <a:graphic xmlns:a="http://schemas.openxmlformats.org/drawingml/2006/main">
                  <a:graphicData uri="http://schemas.openxmlformats.org/drawingml/2006/picture">
                    <pic:pic xmlns:pic="http://schemas.openxmlformats.org/drawingml/2006/picture">
                      <pic:nvPicPr>
                        <pic:cNvPr id="27" name="Picture 1"/>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38200" cy="295275"/>
                        </a:xfrm>
                        <a:prstGeom prst="rect">
                          <a:avLst/>
                        </a:prstGeom>
                        <a:solidFill>
                          <a:srgbClr val="FFFFFF"/>
                        </a:solidFill>
                        <a:ln>
                          <a:noFill/>
                        </a:ln>
                      </pic:spPr>
                    </pic:pic>
                  </a:graphicData>
                </a:graphic>
              </wp:inline>
            </w:drawing>
          </w:r>
        </w:p>
        <w:p>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p/>
    <w:p>
      <w:pPr>
        <w:pStyle w:val="2"/>
      </w:pPr>
      <w:r>
        <w:t xml:space="preserve">ROBINS-I tool (Stage I): At protocol stage </w:t>
      </w:r>
    </w:p>
    <w:p>
      <w:pPr>
        <w:pStyle w:val="3"/>
      </w:pPr>
      <w:r>
        <w:t xml:space="preserve">Specify the review question </w:t>
      </w:r>
    </w:p>
    <w:tbl>
      <w:tblPr>
        <w:tblStyle w:val="15"/>
        <w:tblW w:w="2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w:t>
            </w:r>
            <w:r>
              <w:rPr>
                <w:rFonts w:hint="eastAsia"/>
                <w:lang w:val="en-CA"/>
              </w:rPr>
              <w:t xml:space="preserve"> relapsed </w:t>
            </w:r>
            <w:r>
              <w:rPr>
                <w:rFonts w:hint="eastAsia" w:eastAsia="宋体"/>
                <w:lang w:val="en-CA" w:eastAsia="zh-CN"/>
              </w:rPr>
              <w:t>or secondary acute myeloid leukemia (</w:t>
            </w:r>
            <w:r>
              <w:rPr>
                <w:rFonts w:hint="eastAsia"/>
                <w:lang w:val="en-CA"/>
              </w:rPr>
              <w:t>AML</w:t>
            </w:r>
            <w:r>
              <w:rPr>
                <w:rFonts w:hint="eastAsia" w:eastAsia="宋体"/>
                <w:lang w:val="en-CA" w:eastAsia="zh-CN"/>
              </w:rPr>
              <w:t>) patients</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Healthy control</w:t>
            </w:r>
          </w:p>
        </w:tc>
        <w:tc>
          <w:tcPr>
            <w:tcW w:w="12616" w:type="dxa"/>
            <w:tcBorders>
              <w:left w:val="single" w:color="auto" w:sz="4" w:space="0"/>
            </w:tcBorders>
          </w:tcPr>
          <w:p>
            <w:pPr>
              <w:keepNext/>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Outcomes</w:t>
            </w:r>
          </w:p>
        </w:tc>
        <w:tc>
          <w:tcPr>
            <w:tcW w:w="12616" w:type="dxa"/>
            <w:tcBorders>
              <w:left w:val="single" w:color="auto" w:sz="4" w:space="0"/>
            </w:tcBorders>
          </w:tcPr>
          <w:p>
            <w:pPr>
              <w:keepNext/>
              <w:rPr>
                <w:lang w:val="en-CA"/>
              </w:rPr>
            </w:pPr>
            <w:r>
              <w:rPr>
                <w:rFonts w:hint="eastAsia" w:eastAsia="宋体"/>
                <w:lang w:val="en-CA" w:eastAsia="zh-CN"/>
              </w:rPr>
              <w:t>Level of vascular endothelial growth factor (VEGF)</w:t>
            </w:r>
          </w:p>
        </w:tc>
        <w:tc>
          <w:tcPr>
            <w:tcW w:w="12616" w:type="dxa"/>
            <w:tcBorders>
              <w:left w:val="single" w:color="auto" w:sz="4" w:space="0"/>
            </w:tcBorders>
          </w:tcPr>
          <w:p>
            <w:pPr>
              <w:keepNext/>
              <w:rPr>
                <w:lang w:val="en-CA"/>
              </w:rPr>
            </w:pPr>
          </w:p>
        </w:tc>
      </w:tr>
    </w:tbl>
    <w:p/>
    <w:p>
      <w:pPr>
        <w:pStyle w:val="3"/>
      </w:pPr>
      <w:r>
        <w:t>List the confounding domains relevant to all or most studies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9" w:type="dxa"/>
          </w:tcPr>
          <w:p>
            <w:pPr>
              <w:keepNext/>
              <w:rPr>
                <w:lang w:val="en-CA"/>
              </w:rPr>
            </w:pPr>
            <w:r>
              <w:rPr>
                <w:rFonts w:hint="eastAsia" w:eastAsia="宋体"/>
                <w:lang w:val="en-CA" w:eastAsia="zh-CN"/>
              </w:rPr>
              <w:t>Tumor burden, platelet and leukocyte counts</w:t>
            </w:r>
          </w:p>
        </w:tc>
      </w:tr>
    </w:tbl>
    <w:p>
      <w:pPr>
        <w:pStyle w:val="3"/>
      </w:pPr>
      <w:r>
        <w:t>List co-interventions that could be different between intervention groups and that could impact on outcomes</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r>
              <w:rPr>
                <w:rFonts w:hint="eastAsia" w:eastAsia="宋体"/>
                <w:lang w:val="en-CA" w:eastAsia="zh-CN"/>
              </w:rPr>
              <w:t>None</w:t>
            </w:r>
          </w:p>
        </w:tc>
      </w:tr>
    </w:tbl>
    <w:p>
      <w:pPr>
        <w:spacing w:after="160" w:line="259" w:lineRule="auto"/>
        <w:jc w:val="left"/>
        <w:rPr>
          <w:rFonts w:asciiTheme="majorHAnsi" w:hAnsiTheme="majorHAnsi" w:eastAsiaTheme="majorEastAsia" w:cstheme="majorBidi"/>
          <w:b/>
          <w:sz w:val="28"/>
          <w:szCs w:val="32"/>
        </w:rPr>
      </w:pPr>
      <w:r>
        <w:br w:type="page"/>
      </w:r>
    </w:p>
    <w:p>
      <w:pPr>
        <w:pStyle w:val="2"/>
      </w:pPr>
      <w:r>
        <w:t>ROBINS-I tool (Stage II): For each study</w:t>
      </w:r>
    </w:p>
    <w:p>
      <w:pPr>
        <w:pStyle w:val="3"/>
      </w:pPr>
      <w:r>
        <w:t>Specify a target randomized trial specific to the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1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nil"/>
            </w:tcBorders>
          </w:tcPr>
          <w:p>
            <w:pPr>
              <w:keepNext/>
              <w:rPr>
                <w:lang w:val="en-CA"/>
              </w:rPr>
            </w:pPr>
            <w:r>
              <w:rPr>
                <w:lang w:val="en-CA"/>
              </w:rPr>
              <w:t>Design</w:t>
            </w:r>
          </w:p>
        </w:tc>
        <w:tc>
          <w:tcPr>
            <w:tcW w:w="12616" w:type="dxa"/>
            <w:tcBorders>
              <w:top w:val="nil"/>
              <w:left w:val="nil"/>
              <w:right w:val="nil"/>
            </w:tcBorders>
          </w:tcPr>
          <w:p>
            <w:pPr>
              <w:keepNext/>
              <w:rPr>
                <w:lang w:val="en-CA"/>
              </w:rPr>
            </w:pPr>
            <w:r>
              <w:rPr>
                <w:lang w:val="en-CA"/>
              </w:rPr>
              <w:t xml:space="preserve">Matched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Participants</w:t>
            </w:r>
          </w:p>
        </w:tc>
        <w:tc>
          <w:tcPr>
            <w:tcW w:w="12616" w:type="dxa"/>
            <w:tcBorders>
              <w:left w:val="single" w:color="auto" w:sz="4" w:space="0"/>
            </w:tcBorders>
          </w:tcPr>
          <w:p>
            <w:pPr>
              <w:keepNext/>
              <w:rPr>
                <w:lang w:val="en-CA"/>
              </w:rPr>
            </w:pPr>
            <w:r>
              <w:rPr>
                <w:rFonts w:hint="eastAsia"/>
                <w:lang w:val="en-CA"/>
              </w:rPr>
              <w:t>Newly diagnosed</w:t>
            </w:r>
            <w:r>
              <w:rPr>
                <w:rFonts w:hint="eastAsia" w:eastAsia="宋体"/>
                <w:lang w:val="en-CA" w:eastAsia="zh-CN"/>
              </w:rPr>
              <w:t>, previously untreated acute myeloid leukemia (</w:t>
            </w:r>
            <w:r>
              <w:rPr>
                <w:rFonts w:hint="eastAsia"/>
                <w:lang w:val="en-CA"/>
              </w:rPr>
              <w:t>AML</w:t>
            </w:r>
            <w:r>
              <w:rPr>
                <w:rFonts w:hint="eastAsia" w:eastAsia="宋体"/>
                <w:lang w:val="en-CA" w:eastAsia="zh-CN"/>
              </w:rPr>
              <w:t xml:space="preserve">) patients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Experimental intervention</w:t>
            </w:r>
          </w:p>
        </w:tc>
        <w:tc>
          <w:tcPr>
            <w:tcW w:w="12616" w:type="dxa"/>
            <w:tcBorders>
              <w:left w:val="single" w:color="auto" w:sz="4" w:space="0"/>
            </w:tcBorders>
          </w:tcPr>
          <w:p>
            <w:pPr>
              <w:keepNext/>
              <w:rPr>
                <w:lang w:val="en-CA"/>
              </w:rPr>
            </w:pPr>
            <w:r>
              <w:rPr>
                <w:rFonts w:hint="eastAsia" w:eastAsia="宋体"/>
                <w:lang w:val="en-CA" w:eastAsia="zh-CN"/>
              </w:rPr>
              <w:t>Not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left w:val="nil"/>
              <w:bottom w:val="nil"/>
              <w:right w:val="single" w:color="auto" w:sz="4" w:space="0"/>
            </w:tcBorders>
          </w:tcPr>
          <w:p>
            <w:pPr>
              <w:keepNext/>
              <w:rPr>
                <w:lang w:val="en-CA"/>
              </w:rPr>
            </w:pPr>
            <w:r>
              <w:rPr>
                <w:lang w:val="en-CA"/>
              </w:rPr>
              <w:t>Comparator</w:t>
            </w:r>
          </w:p>
        </w:tc>
        <w:tc>
          <w:tcPr>
            <w:tcW w:w="12616" w:type="dxa"/>
            <w:tcBorders>
              <w:left w:val="single" w:color="auto" w:sz="4" w:space="0"/>
            </w:tcBorders>
          </w:tcPr>
          <w:p>
            <w:pPr>
              <w:keepNext/>
              <w:rPr>
                <w:lang w:val="en-CA"/>
              </w:rPr>
            </w:pPr>
            <w:r>
              <w:rPr>
                <w:rFonts w:hint="eastAsia" w:eastAsia="宋体"/>
                <w:lang w:val="en-CA" w:eastAsia="zh-CN"/>
              </w:rPr>
              <w:t xml:space="preserve">Healthy control </w:t>
            </w:r>
          </w:p>
        </w:tc>
      </w:tr>
    </w:tbl>
    <w:p/>
    <w:p>
      <w:pPr>
        <w:pStyle w:val="3"/>
      </w:pPr>
      <w:r>
        <w:t>Is your aim for this study…?</w:t>
      </w: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0052"/>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assignment to</w:t>
            </w:r>
            <w:r>
              <w:rPr>
                <w:szCs w:val="20"/>
                <w:lang w:val="en-CA"/>
              </w:rPr>
              <w:t xml:space="preserve"> 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nil"/>
              <w:left w:val="nil"/>
              <w:bottom w:val="nil"/>
              <w:right w:val="nil"/>
            </w:tcBorders>
            <w:vAlign w:val="center"/>
          </w:tcPr>
          <w:p>
            <w:pPr>
              <w:keepNext/>
              <w:jc w:val="center"/>
              <w:rPr>
                <w:szCs w:val="20"/>
                <w:lang w:val="en-CA"/>
              </w:rPr>
            </w:pPr>
            <w:r>
              <w:rPr>
                <w:szCs w:val="20"/>
                <w:lang w:val="en-CA"/>
              </w:rPr>
              <w:sym w:font="Wingdings 2" w:char="F0A3"/>
            </w:r>
          </w:p>
        </w:tc>
        <w:tc>
          <w:tcPr>
            <w:tcW w:w="14884" w:type="dxa"/>
            <w:tcBorders>
              <w:top w:val="nil"/>
              <w:left w:val="nil"/>
              <w:bottom w:val="nil"/>
              <w:right w:val="single" w:color="auto" w:sz="4" w:space="0"/>
            </w:tcBorders>
            <w:vAlign w:val="center"/>
          </w:tcPr>
          <w:p>
            <w:pPr>
              <w:keepNext/>
              <w:jc w:val="left"/>
              <w:rPr>
                <w:szCs w:val="20"/>
                <w:lang w:val="en-CA"/>
              </w:rPr>
            </w:pPr>
            <w:r>
              <w:rPr>
                <w:szCs w:val="20"/>
                <w:lang w:val="en-CA"/>
              </w:rPr>
              <w:t xml:space="preserve">to assess the effect of </w:t>
            </w:r>
            <w:r>
              <w:rPr>
                <w:i/>
                <w:szCs w:val="20"/>
                <w:lang w:val="en-CA"/>
              </w:rPr>
              <w:t>starting and adhering to</w:t>
            </w:r>
            <w:r>
              <w:rPr>
                <w:szCs w:val="20"/>
                <w:lang w:val="en-CA"/>
              </w:rPr>
              <w:t xml:space="preserve"> intervention</w:t>
            </w:r>
          </w:p>
        </w:tc>
      </w:tr>
    </w:tbl>
    <w:p/>
    <w:p>
      <w:pPr>
        <w:pStyle w:val="3"/>
      </w:pPr>
      <w:r>
        <w:t>Specify the outcome</w:t>
      </w:r>
    </w:p>
    <w:p>
      <w:r>
        <w:t>Specify which outcome is being assessed for risk of bias (typically from among those earmarked for the Summary of Findings table). Specify whether this is a proposed benefit or harm of intervention.</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lang w:val="en-CA"/>
              </w:rPr>
            </w:pPr>
          </w:p>
        </w:tc>
      </w:tr>
    </w:tbl>
    <w:p/>
    <w:p>
      <w:pPr>
        <w:pStyle w:val="3"/>
      </w:pPr>
      <w:r>
        <w:t>Specify the numerical result being assessed</w:t>
      </w:r>
    </w:p>
    <w:p>
      <w:r>
        <w:t>In case of multiple alternative analyses being presented, specify the numeric result (e.g. RR = 1.52 (95% CI 0.83 to 2.77) and/or a reference (e.g. to a table, figure or paragraph) that uniquely defines the result being assessed.</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tcPr>
          <w:p>
            <w:pPr>
              <w:keepNext/>
              <w:rPr>
                <w:rFonts w:eastAsia="宋体"/>
                <w:lang w:val="en-CA" w:eastAsia="zh-CN"/>
              </w:rPr>
            </w:pPr>
            <w:r>
              <w:rPr>
                <w:rFonts w:hint="eastAsia" w:eastAsia="宋体"/>
                <w:lang w:val="en-CA" w:eastAsia="zh-CN"/>
              </w:rPr>
              <w:t>Table1</w:t>
            </w:r>
          </w:p>
        </w:tc>
      </w:tr>
    </w:tbl>
    <w:p/>
    <w:p>
      <w:pPr>
        <w:spacing w:after="160" w:line="259" w:lineRule="auto"/>
        <w:jc w:val="left"/>
        <w:rPr>
          <w:rFonts w:asciiTheme="majorHAnsi" w:hAnsiTheme="majorHAnsi" w:eastAsiaTheme="majorEastAsia" w:cstheme="majorBidi"/>
          <w:b/>
          <w:sz w:val="24"/>
          <w:szCs w:val="26"/>
        </w:rPr>
      </w:pPr>
      <w:r>
        <w:br w:type="page"/>
      </w:r>
    </w:p>
    <w:p>
      <w:pPr>
        <w:pStyle w:val="3"/>
      </w:pPr>
      <w:r>
        <w:t>Preliminary consideration of confounders</w:t>
      </w:r>
    </w:p>
    <w:p>
      <w:pPr>
        <w:spacing w:before="60"/>
      </w:pPr>
      <w:r>
        <w:rPr>
          <w:rFonts w:cs="Arial"/>
        </w:rPr>
        <w:t xml:space="preserve">Complete a row for each important confounding domain (i) listed in the review protocol; and (ii) </w:t>
      </w:r>
      <w:r>
        <w:t>relevant to the setting of this particular study, or which the study authors identified as potentially important.</w:t>
      </w:r>
    </w:p>
    <w:p>
      <w:pPr>
        <w:pStyle w:val="4"/>
        <w:spacing w:before="0"/>
      </w:pPr>
      <w:r>
        <w:t>“Important” confounding domains are those for which, in the context of this study, adjustment is expected to lead to a clinically important change in the estimated effect of the intervention. “Validity” refers to whether the confounding variable or variables fully measure the domain, while “reliability” refers to the precision of the measurement (more measurement error means less reliability).</w:t>
      </w: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 xml:space="preserve">(i) Confounding domains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bottom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rPr>
          <w:sz w:val="10"/>
          <w:szCs w:val="10"/>
        </w:rPr>
      </w:pPr>
    </w:p>
    <w:tbl>
      <w:tblPr>
        <w:tblStyle w:val="14"/>
        <w:tblW w:w="4956"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95"/>
        <w:gridCol w:w="3095"/>
        <w:gridCol w:w="3095"/>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 w:hRule="atLeast"/>
        </w:trPr>
        <w:tc>
          <w:tcPr>
            <w:tcW w:w="5000" w:type="pct"/>
            <w:gridSpan w:val="5"/>
            <w:tcMar>
              <w:top w:w="0" w:type="dxa"/>
              <w:left w:w="108" w:type="dxa"/>
              <w:bottom w:w="0" w:type="dxa"/>
              <w:right w:w="108" w:type="dxa"/>
            </w:tcMar>
            <w:vAlign w:val="center"/>
          </w:tcPr>
          <w:p>
            <w:pPr>
              <w:spacing w:before="40" w:after="40"/>
              <w:jc w:val="left"/>
              <w:rPr>
                <w:rFonts w:cs="Arial"/>
                <w:b/>
                <w:szCs w:val="20"/>
                <w:lang w:val="en-CA"/>
              </w:rPr>
            </w:pPr>
            <w:r>
              <w:rPr>
                <w:rFonts w:cs="Arial"/>
                <w:b/>
                <w:szCs w:val="20"/>
                <w:lang w:val="en-CA"/>
              </w:rPr>
              <w:t>(ii) Additional confounding domains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000" w:type="pct"/>
            <w:tcMar>
              <w:top w:w="0" w:type="dxa"/>
              <w:left w:w="57" w:type="dxa"/>
              <w:bottom w:w="0" w:type="dxa"/>
              <w:right w:w="57" w:type="dxa"/>
            </w:tcMar>
          </w:tcPr>
          <w:p>
            <w:pPr>
              <w:spacing w:before="40" w:after="40"/>
              <w:jc w:val="left"/>
              <w:rPr>
                <w:rFonts w:cs="Arial"/>
                <w:szCs w:val="20"/>
                <w:lang w:val="en-CA"/>
              </w:rPr>
            </w:pPr>
            <w:r>
              <w:rPr>
                <w:rFonts w:cs="Arial"/>
                <w:szCs w:val="20"/>
              </w:rPr>
              <w:t>Confounding domain</w:t>
            </w:r>
          </w:p>
        </w:tc>
        <w:tc>
          <w:tcPr>
            <w:tcW w:w="1000" w:type="pct"/>
            <w:tcMar>
              <w:left w:w="57" w:type="dxa"/>
              <w:right w:w="57" w:type="dxa"/>
            </w:tcMar>
          </w:tcPr>
          <w:p>
            <w:pPr>
              <w:spacing w:before="40" w:after="40"/>
              <w:jc w:val="left"/>
              <w:rPr>
                <w:rFonts w:cs="Arial"/>
                <w:szCs w:val="20"/>
                <w:lang w:val="en-CA"/>
              </w:rPr>
            </w:pPr>
            <w:r>
              <w:rPr>
                <w:rFonts w:cs="Arial"/>
                <w:szCs w:val="20"/>
                <w:lang w:val="en-CA"/>
              </w:rPr>
              <w:t xml:space="preserve">Measured variable(s) </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variable was unnecessary?*</w:t>
            </w:r>
          </w:p>
        </w:tc>
        <w:tc>
          <w:tcPr>
            <w:tcW w:w="1000" w:type="pct"/>
            <w:tcMar>
              <w:left w:w="57" w:type="dxa"/>
              <w:right w:w="57" w:type="dxa"/>
            </w:tcMar>
          </w:tcPr>
          <w:p>
            <w:pPr>
              <w:spacing w:before="40" w:after="40"/>
              <w:jc w:val="left"/>
              <w:rPr>
                <w:rFonts w:cs="Arial"/>
                <w:szCs w:val="20"/>
                <w:lang w:val="en-CA"/>
              </w:rPr>
            </w:pPr>
            <w:r>
              <w:rPr>
                <w:rFonts w:cs="Arial"/>
                <w:szCs w:val="20"/>
                <w:lang w:val="en-CA"/>
              </w:rPr>
              <w:t>Is the confounding domain measured validly and reliably by this variable (or these variables)?</w:t>
            </w:r>
          </w:p>
        </w:tc>
        <w:tc>
          <w:tcPr>
            <w:tcW w:w="1000" w:type="pct"/>
          </w:tcPr>
          <w:p>
            <w:pPr>
              <w:spacing w:before="40" w:after="40"/>
              <w:jc w:val="left"/>
              <w:rPr>
                <w:rFonts w:cs="Arial"/>
                <w:szCs w:val="20"/>
                <w:lang w:val="en-CA"/>
              </w:rPr>
            </w:pPr>
            <w:r>
              <w:rPr>
                <w:rFonts w:cs="Arial"/>
                <w:szCs w:val="20"/>
                <w:lang w:val="en-CA"/>
              </w:rPr>
              <w:t>OPTIONAL: Is failure to adjust for this variable (alone) expected to favour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9"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r>
              <w:rPr>
                <w:rFonts w:cs="Arial"/>
                <w:szCs w:val="20"/>
                <w:lang w:val="en-CA"/>
              </w:rPr>
              <w:t>Yes / No / No information</w:t>
            </w:r>
          </w:p>
        </w:tc>
        <w:tc>
          <w:tcPr>
            <w:tcW w:w="1000"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vAlign w:val="center"/>
          </w:tcPr>
          <w:p>
            <w:pPr>
              <w:spacing w:before="40" w:after="40"/>
              <w:jc w:val="center"/>
              <w:rPr>
                <w:rFonts w:cs="Arial"/>
                <w:szCs w:val="20"/>
                <w:lang w:val="en-CA"/>
              </w:rPr>
            </w:pPr>
          </w:p>
        </w:tc>
        <w:tc>
          <w:tcPr>
            <w:tcW w:w="1000" w:type="pct"/>
          </w:tcPr>
          <w:p>
            <w:pPr>
              <w:spacing w:before="40" w:after="40"/>
              <w:rPr>
                <w:rFonts w:cs="Arial"/>
                <w:szCs w:val="20"/>
                <w:lang w:val="en-CA"/>
              </w:rPr>
            </w:pPr>
          </w:p>
        </w:tc>
        <w:tc>
          <w:tcPr>
            <w:tcW w:w="1000" w:type="pct"/>
          </w:tcPr>
          <w:p>
            <w:pPr>
              <w:spacing w:before="40" w:after="40"/>
              <w:rPr>
                <w:rFonts w:cs="Arial"/>
                <w:szCs w:val="20"/>
                <w:lang w:val="en-CA"/>
              </w:rPr>
            </w:pPr>
          </w:p>
        </w:tc>
        <w:tc>
          <w:tcPr>
            <w:tcW w:w="1000" w:type="pct"/>
            <w:vAlign w:val="center"/>
          </w:tcPr>
          <w:p>
            <w:pPr>
              <w:spacing w:before="40" w:after="40"/>
              <w:jc w:val="center"/>
              <w:rPr>
                <w:rFonts w:cs="Arial"/>
                <w:szCs w:val="20"/>
                <w:lang w:val="en-CA"/>
              </w:rPr>
            </w:pPr>
          </w:p>
        </w:tc>
        <w:tc>
          <w:tcPr>
            <w:tcW w:w="1000" w:type="pct"/>
          </w:tcPr>
          <w:p>
            <w:pPr>
              <w:spacing w:before="40" w:after="40"/>
              <w:jc w:val="center"/>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atLeast"/>
        </w:trPr>
        <w:tc>
          <w:tcPr>
            <w:tcW w:w="1000" w:type="pct"/>
            <w:tcMar>
              <w:top w:w="0" w:type="dxa"/>
              <w:left w:w="108" w:type="dxa"/>
              <w:bottom w:w="0" w:type="dxa"/>
              <w:right w:w="108" w:type="dxa"/>
            </w:tcMar>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c>
          <w:tcPr>
            <w:tcW w:w="1000" w:type="pct"/>
          </w:tcPr>
          <w:p>
            <w:pPr>
              <w:spacing w:before="40" w:after="40"/>
              <w:jc w:val="center"/>
              <w:rPr>
                <w:rFonts w:cs="Arial"/>
                <w:szCs w:val="20"/>
                <w:lang w:val="en-CA"/>
              </w:rPr>
            </w:pPr>
          </w:p>
        </w:tc>
        <w:tc>
          <w:tcPr>
            <w:tcW w:w="1000" w:type="pct"/>
            <w:tcBorders>
              <w:top w:val="single" w:color="auto" w:sz="4" w:space="0"/>
              <w:left w:val="single" w:color="auto" w:sz="4" w:space="0"/>
              <w:right w:val="single" w:color="auto" w:sz="4" w:space="0"/>
            </w:tcBorders>
          </w:tcPr>
          <w:p>
            <w:pPr>
              <w:spacing w:before="40" w:after="40"/>
              <w:rPr>
                <w:rFonts w:cs="Arial"/>
                <w:szCs w:val="20"/>
                <w:lang w:val="en-CA"/>
              </w:rPr>
            </w:pPr>
          </w:p>
        </w:tc>
      </w:tr>
    </w:tbl>
    <w:p>
      <w:pPr>
        <w:tabs>
          <w:tab w:val="left" w:pos="960"/>
        </w:tabs>
        <w:autoSpaceDE w:val="0"/>
        <w:autoSpaceDN w:val="0"/>
        <w:adjustRightInd w:val="0"/>
        <w:spacing w:before="80" w:after="0"/>
        <w:rPr>
          <w:rFonts w:eastAsiaTheme="majorEastAsia" w:cstheme="majorBidi"/>
          <w:b/>
          <w:bCs/>
          <w:sz w:val="24"/>
          <w:szCs w:val="26"/>
        </w:rPr>
      </w:pPr>
      <w:r>
        <w:rPr>
          <w:rFonts w:cs="Arial"/>
          <w:sz w:val="16"/>
        </w:rPr>
        <w:t>* In the context of a particular study, variables can be demonstrated not to be confounders and so not included in the analysis: (a) if they are not predictive of the outcome; (b) if they are not predictive of intervention; or (c) because adjustment makes no or minimal difference to the estimated effect of the primary parameter. Note that “no statistically significant association” is not the same as “not predictive”.</w:t>
      </w:r>
      <w:r>
        <w:br w:type="page"/>
      </w:r>
    </w:p>
    <w:p>
      <w:pPr>
        <w:pStyle w:val="3"/>
      </w:pPr>
      <w:r>
        <w:t>Preliminary consideration of co-interventions</w:t>
      </w:r>
    </w:p>
    <w:p>
      <w:pPr>
        <w:spacing w:before="60"/>
      </w:pPr>
      <w:r>
        <w:rPr>
          <w:rFonts w:cs="Arial"/>
        </w:rPr>
        <w:t xml:space="preserve">Complete a row for each important co-intervention (i) listed in the review protocol; and (ii) </w:t>
      </w:r>
      <w:r>
        <w:t>relevant to the setting of this particular study, or which the study authors identified as important.</w:t>
      </w:r>
    </w:p>
    <w:p>
      <w:pPr>
        <w:pStyle w:val="4"/>
        <w:spacing w:before="0"/>
      </w:pPr>
      <w:r>
        <w:t>“Important” co-interventions are those for which, in the context of this study, adjustment is expected to lead to a clinically important change in the estimated effect of the intervention.</w:t>
      </w: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 xml:space="preserve">(i) Co-interventions </w:t>
            </w:r>
            <w:r>
              <w:rPr>
                <w:rFonts w:cs="Arial"/>
                <w:b/>
              </w:rPr>
              <w:t>listed in the review protocol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rPr>
          <w:sz w:val="10"/>
          <w:szCs w:val="10"/>
        </w:rPr>
      </w:pPr>
    </w:p>
    <w:tbl>
      <w:tblPr>
        <w:tblStyle w:val="14"/>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56"/>
        <w:gridCol w:w="5360"/>
        <w:gridCol w:w="4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5000" w:type="pct"/>
            <w:gridSpan w:val="3"/>
            <w:tcMar>
              <w:top w:w="0" w:type="dxa"/>
              <w:left w:w="57" w:type="dxa"/>
              <w:bottom w:w="0" w:type="dxa"/>
              <w:right w:w="57" w:type="dxa"/>
            </w:tcMar>
            <w:vAlign w:val="center"/>
          </w:tcPr>
          <w:p>
            <w:pPr>
              <w:spacing w:before="40" w:after="40"/>
              <w:jc w:val="left"/>
              <w:rPr>
                <w:rFonts w:cs="Arial"/>
                <w:szCs w:val="20"/>
                <w:lang w:val="en-CA"/>
              </w:rPr>
            </w:pPr>
            <w:r>
              <w:rPr>
                <w:rFonts w:cs="Arial"/>
                <w:b/>
                <w:szCs w:val="20"/>
                <w:lang w:val="en-CA"/>
              </w:rPr>
              <w:t>(ii) Additional co-interventions relevant</w:t>
            </w:r>
            <w:r>
              <w:rPr>
                <w:b/>
              </w:rPr>
              <w:t xml:space="preserve"> to the setting of this particular study, or which the study authors identified as important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57" w:type="dxa"/>
              <w:bottom w:w="0" w:type="dxa"/>
              <w:right w:w="57" w:type="dxa"/>
            </w:tcMar>
          </w:tcPr>
          <w:p>
            <w:pPr>
              <w:spacing w:before="40" w:after="40"/>
              <w:jc w:val="left"/>
              <w:rPr>
                <w:rFonts w:cs="Arial"/>
                <w:szCs w:val="20"/>
                <w:lang w:val="en-CA"/>
              </w:rPr>
            </w:pPr>
            <w:r>
              <w:rPr>
                <w:rFonts w:cs="Arial"/>
                <w:szCs w:val="20"/>
              </w:rPr>
              <w:t>Co-intervention</w:t>
            </w:r>
          </w:p>
        </w:tc>
        <w:tc>
          <w:tcPr>
            <w:tcW w:w="1731" w:type="pct"/>
            <w:tcMar>
              <w:left w:w="57" w:type="dxa"/>
              <w:right w:w="57" w:type="dxa"/>
            </w:tcMar>
          </w:tcPr>
          <w:p>
            <w:pPr>
              <w:spacing w:before="40" w:after="40"/>
              <w:jc w:val="left"/>
              <w:rPr>
                <w:rFonts w:cs="Arial"/>
                <w:szCs w:val="20"/>
                <w:lang w:val="en-CA"/>
              </w:rPr>
            </w:pPr>
            <w:r>
              <w:rPr>
                <w:rFonts w:cs="Arial"/>
                <w:szCs w:val="20"/>
                <w:lang w:val="en-CA"/>
              </w:rPr>
              <w:t>Is there evidence that controlling for this co-intervention was unnecessary (e.g. because it was not administered)?</w:t>
            </w:r>
          </w:p>
        </w:tc>
        <w:tc>
          <w:tcPr>
            <w:tcW w:w="1539" w:type="pct"/>
          </w:tcPr>
          <w:p>
            <w:pPr>
              <w:spacing w:before="40" w:after="40"/>
              <w:jc w:val="left"/>
              <w:rPr>
                <w:rFonts w:cs="Arial"/>
                <w:szCs w:val="20"/>
                <w:lang w:val="en-CA"/>
              </w:rPr>
            </w:pPr>
            <w:r>
              <w:rPr>
                <w:rFonts w:cs="Arial"/>
                <w:szCs w:val="20"/>
                <w:lang w:val="en-CA"/>
              </w:rPr>
              <w:t>Is presence of this co-intervention likely to favour outcomes in the experimental intervention or the comparator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r>
              <w:rPr>
                <w:rFonts w:cs="Arial"/>
                <w:szCs w:val="20"/>
                <w:lang w:val="en-CA"/>
              </w:rPr>
              <w:t>Not Applicable (NA)</w:t>
            </w: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730" w:type="pct"/>
            <w:tcMar>
              <w:top w:w="0" w:type="dxa"/>
              <w:left w:w="108" w:type="dxa"/>
              <w:bottom w:w="0" w:type="dxa"/>
              <w:right w:w="108" w:type="dxa"/>
            </w:tcMar>
            <w:vAlign w:val="center"/>
          </w:tcPr>
          <w:p>
            <w:pPr>
              <w:spacing w:before="40" w:after="40"/>
              <w:jc w:val="center"/>
              <w:rPr>
                <w:rFonts w:cs="Arial"/>
                <w:szCs w:val="20"/>
                <w:lang w:val="en-CA"/>
              </w:rPr>
            </w:pPr>
          </w:p>
        </w:tc>
        <w:tc>
          <w:tcPr>
            <w:tcW w:w="1731" w:type="pct"/>
          </w:tcPr>
          <w:p>
            <w:pPr>
              <w:spacing w:before="40" w:after="40"/>
              <w:jc w:val="center"/>
              <w:rPr>
                <w:rFonts w:cs="Arial"/>
                <w:szCs w:val="20"/>
                <w:lang w:val="en-CA"/>
              </w:rPr>
            </w:pPr>
          </w:p>
        </w:tc>
        <w:tc>
          <w:tcPr>
            <w:tcW w:w="1539" w:type="pct"/>
            <w:vAlign w:val="center"/>
          </w:tcPr>
          <w:p>
            <w:pPr>
              <w:spacing w:before="40" w:after="40"/>
              <w:jc w:val="center"/>
              <w:rPr>
                <w:rFonts w:cs="Arial"/>
                <w:szCs w:val="20"/>
                <w:lang w:val="en-CA"/>
              </w:rPr>
            </w:pPr>
            <w:r>
              <w:rPr>
                <w:rFonts w:cs="Arial"/>
                <w:szCs w:val="20"/>
                <w:lang w:val="en-CA"/>
              </w:rPr>
              <w:t>Favour experimental / Favour comparator / No information</w:t>
            </w:r>
          </w:p>
        </w:tc>
      </w:tr>
    </w:tbl>
    <w:p>
      <w:pPr>
        <w:spacing w:after="200" w:line="276" w:lineRule="auto"/>
        <w:jc w:val="left"/>
      </w:pPr>
      <w:r>
        <w:br w:type="page"/>
      </w:r>
    </w:p>
    <w:p>
      <w:pPr>
        <w:pStyle w:val="3"/>
      </w:pPr>
      <w:r>
        <w:t xml:space="preserve">Risk of bias assessment </w:t>
      </w:r>
    </w:p>
    <w:p>
      <w:pPr>
        <w:keepNext/>
      </w:pPr>
      <w:r>
        <w:t xml:space="preserve">Responses </w:t>
      </w:r>
      <w:r>
        <w:rPr>
          <w:color w:val="00B050"/>
          <w:u w:val="single"/>
        </w:rPr>
        <w:t>underlined in green</w:t>
      </w:r>
      <w:r>
        <w:t xml:space="preserve"> are potential markers for low risk of bias, and responses in </w:t>
      </w:r>
      <w:r>
        <w:rPr>
          <w:color w:val="FF0000"/>
        </w:rPr>
        <w:t>red</w:t>
      </w:r>
      <w:r>
        <w:t xml:space="preserve"> are potential markers for a risk of bias. Where questions relate only to sign posts to other questions, no formatting is used.</w:t>
      </w:r>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tcBorders>
              <w:right w:val="nil"/>
            </w:tcBorders>
          </w:tcPr>
          <w:p>
            <w:pPr>
              <w:keepNext/>
              <w:spacing w:after="0"/>
              <w:jc w:val="left"/>
              <w:rPr>
                <w:rFonts w:cs="Arial"/>
                <w:b/>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b/>
                <w:szCs w:val="20"/>
                <w:lang w:val="en-CA"/>
              </w:rPr>
            </w:pPr>
            <w:r>
              <w:rPr>
                <w:b/>
                <w:szCs w:val="20"/>
                <w:lang w:val="en-CA"/>
              </w:rPr>
              <w:t>Signalling questions</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rFonts w:cs="Arial"/>
                <w:b/>
                <w:lang w:val="en-CA"/>
              </w:rPr>
            </w:pPr>
            <w:r>
              <w:rPr>
                <w:rFonts w:cs="Arial"/>
                <w:b/>
                <w:lang w:val="en-CA"/>
              </w:rPr>
              <w:t>Description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b/>
                <w:szCs w:val="20"/>
                <w:lang w:val="en-CA"/>
              </w:rPr>
            </w:pPr>
            <w:r>
              <w:rPr>
                <w:b/>
                <w:szCs w:val="20"/>
                <w:lang w:val="en-CA"/>
              </w:rPr>
              <w:t>Response options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60" w:type="dxa"/>
            <w:gridSpan w:val="4"/>
            <w:tcBorders>
              <w:right w:val="single" w:color="auto" w:sz="4" w:space="0"/>
            </w:tcBorders>
          </w:tcPr>
          <w:p>
            <w:pPr>
              <w:keepNext/>
              <w:spacing w:after="0"/>
              <w:jc w:val="left"/>
              <w:rPr>
                <w:b/>
                <w:szCs w:val="20"/>
                <w:lang w:val="en-CA"/>
              </w:rPr>
            </w:pPr>
            <w:r>
              <w:rPr>
                <w:rFonts w:cs="Arial"/>
                <w:b/>
                <w:szCs w:val="20"/>
                <w:lang w:val="en-CA"/>
              </w:rPr>
              <w:t>Bias due to confounding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n-CA"/>
              </w:rPr>
            </w:pPr>
          </w:p>
        </w:tc>
        <w:tc>
          <w:tcPr>
            <w:tcW w:w="5245" w:type="dxa"/>
            <w:tcBorders>
              <w:top w:val="single" w:color="auto" w:sz="4"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1.1 Is there potential for confounding of the effect of intervention in this study?</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1.1:</w:t>
            </w:r>
            <w:r>
              <w:rPr>
                <w:szCs w:val="20"/>
                <w:lang w:val="en-CA"/>
              </w:rPr>
              <w:t xml:space="preserve"> the study can be considered to be at low risk of bias due to confounding and no further signalling questions need be considered</w:t>
            </w:r>
          </w:p>
        </w:tc>
        <w:tc>
          <w:tcPr>
            <w:tcW w:w="6691"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r>
              <w:rPr>
                <w:rFonts w:hint="eastAsia" w:eastAsia="宋体"/>
                <w:szCs w:val="20"/>
                <w:lang w:val="en-CA" w:eastAsia="zh-CN"/>
              </w:rPr>
              <w:t>All patients are newly diagnosed untreated AML patients, The Criteria for the classification of AML was FAB/WHO classification</w:t>
            </w:r>
          </w:p>
        </w:tc>
        <w:tc>
          <w:tcPr>
            <w:tcW w:w="3232" w:type="dxa"/>
            <w:tcBorders>
              <w:top w:val="single" w:color="auto" w:sz="4"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 xml:space="preserve">If </w:t>
            </w:r>
            <w:r>
              <w:rPr>
                <w:b/>
                <w:color w:val="FF0000"/>
                <w:szCs w:val="20"/>
                <w:lang w:val="en-CA"/>
              </w:rPr>
              <w:t>Y/PY</w:t>
            </w:r>
            <w:r>
              <w:rPr>
                <w:b/>
                <w:szCs w:val="20"/>
                <w:lang w:val="en-CA"/>
              </w:rPr>
              <w:t xml:space="preserve"> to 1.1</w:t>
            </w:r>
            <w:r>
              <w:rPr>
                <w:szCs w:val="20"/>
                <w:lang w:val="en-CA"/>
              </w:rPr>
              <w:t>: determine whether there is a need to assess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1.2. Was the analysis based on splitting participants’ follow up time according to intervention received?</w:t>
            </w:r>
          </w:p>
          <w:p>
            <w:pPr>
              <w:keepNext/>
              <w:ind w:left="601"/>
              <w:jc w:val="left"/>
              <w:rPr>
                <w:szCs w:val="20"/>
                <w:lang w:val="en-CA"/>
              </w:rPr>
            </w:pPr>
            <w:r>
              <w:rPr>
                <w:b/>
                <w:szCs w:val="20"/>
                <w:lang w:val="en-CA"/>
              </w:rPr>
              <w:t>If N/PN</w:t>
            </w:r>
            <w:r>
              <w:rPr>
                <w:szCs w:val="20"/>
                <w:lang w:val="en-CA"/>
              </w:rPr>
              <w:t xml:space="preserve">, answer questions relating to baseline confounding (1.4 to 1.6) </w:t>
            </w:r>
          </w:p>
          <w:p>
            <w:pPr>
              <w:keepNext/>
              <w:ind w:left="601"/>
              <w:jc w:val="left"/>
              <w:rPr>
                <w:szCs w:val="20"/>
                <w:lang w:val="en-CA"/>
              </w:rPr>
            </w:pPr>
            <w:r>
              <w:rPr>
                <w:b/>
                <w:szCs w:val="20"/>
                <w:lang w:val="en-CA"/>
              </w:rPr>
              <w:t>If Y/PY</w:t>
            </w:r>
            <w:r>
              <w:rPr>
                <w:szCs w:val="20"/>
                <w:lang w:val="en-CA"/>
              </w:rPr>
              <w:t>, go to question 1.3.</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1.3. Were intervention discontinuations or switches likely to be related to factors that are prognostic for the outcome?</w:t>
            </w:r>
          </w:p>
          <w:p>
            <w:pPr>
              <w:keepNext/>
              <w:ind w:left="601"/>
              <w:jc w:val="left"/>
              <w:rPr>
                <w:szCs w:val="20"/>
                <w:lang w:val="en-CA"/>
              </w:rPr>
            </w:pPr>
            <w:r>
              <w:rPr>
                <w:b/>
                <w:szCs w:val="20"/>
                <w:lang w:val="en-CA"/>
              </w:rPr>
              <w:t>If N/PN</w:t>
            </w:r>
            <w:r>
              <w:rPr>
                <w:szCs w:val="20"/>
                <w:lang w:val="en-CA"/>
              </w:rPr>
              <w:t>, answer questions relating to baseline confounding (1.4 to 1.6)</w:t>
            </w:r>
          </w:p>
          <w:p>
            <w:pPr>
              <w:keepNext/>
              <w:ind w:left="601"/>
              <w:jc w:val="left"/>
              <w:rPr>
                <w:szCs w:val="20"/>
                <w:lang w:val="en-CA"/>
              </w:rPr>
            </w:pPr>
            <w:r>
              <w:rPr>
                <w:b/>
                <w:szCs w:val="20"/>
                <w:lang w:val="en-CA"/>
              </w:rPr>
              <w:t>If Y/PY</w:t>
            </w:r>
            <w:r>
              <w:rPr>
                <w:szCs w:val="20"/>
                <w:lang w:val="en-CA"/>
              </w:rPr>
              <w:t xml:space="preserve">, answer questions relating to both baseline and time-varying confounding (1.7 and 1.8) </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bl>
    <w:p/>
    <w:tbl>
      <w:tblPr>
        <w:tblStyle w:val="15"/>
        <w:tblW w:w="15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45"/>
        <w:gridCol w:w="6691"/>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5168" w:type="dxa"/>
            <w:gridSpan w:val="3"/>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confounding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1.4. Did the authors use an appropriate analysis method that controlled for all the important confounding domains?</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ind w:left="317"/>
              <w:jc w:val="left"/>
              <w:rPr>
                <w:szCs w:val="20"/>
                <w:lang w:val="en-CA"/>
              </w:rPr>
            </w:pPr>
            <w:r>
              <w:rPr>
                <w:szCs w:val="20"/>
                <w:lang w:val="en-CA"/>
              </w:rPr>
              <w:t xml:space="preserve">1.5. </w:t>
            </w:r>
            <w:r>
              <w:rPr>
                <w:b/>
                <w:szCs w:val="20"/>
                <w:lang w:val="en-CA"/>
              </w:rPr>
              <w:t xml:space="preserve">If </w:t>
            </w:r>
            <w:r>
              <w:rPr>
                <w:b/>
                <w:color w:val="00B050"/>
                <w:szCs w:val="20"/>
                <w:u w:val="single"/>
                <w:lang w:val="en-CA"/>
              </w:rPr>
              <w:t>Y/PY</w:t>
            </w:r>
            <w:r>
              <w:rPr>
                <w:b/>
                <w:szCs w:val="20"/>
                <w:lang w:val="en-CA"/>
              </w:rPr>
              <w:t xml:space="preserve"> to 1.4</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1.6. Did the authors control for any post-intervention variables that could have been affected by the intervention?</w:t>
            </w:r>
          </w:p>
        </w:tc>
        <w:tc>
          <w:tcPr>
            <w:tcW w:w="6691"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nil"/>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nil"/>
              <w:bottom w:val="nil"/>
              <w:right w:val="nil"/>
            </w:tcBorders>
          </w:tcPr>
          <w:p>
            <w:pPr>
              <w:keepNext/>
              <w:spacing w:after="0"/>
              <w:jc w:val="left"/>
              <w:rPr>
                <w:szCs w:val="20"/>
                <w:lang w:val="es-ES"/>
              </w:rPr>
            </w:pPr>
          </w:p>
        </w:tc>
        <w:tc>
          <w:tcPr>
            <w:tcW w:w="11936" w:type="dxa"/>
            <w:gridSpan w:val="2"/>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b/>
                <w:szCs w:val="20"/>
                <w:lang w:val="en-CA"/>
              </w:rPr>
              <w:t>Questions relating to baseline and time-varying confounding</w:t>
            </w:r>
          </w:p>
        </w:tc>
        <w:tc>
          <w:tcPr>
            <w:tcW w:w="3232" w:type="dxa"/>
            <w:tcBorders>
              <w:top w:val="nil"/>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ind w:left="317"/>
              <w:jc w:val="left"/>
              <w:rPr>
                <w:szCs w:val="20"/>
                <w:lang w:val="en-CA"/>
              </w:rPr>
            </w:pPr>
            <w:r>
              <w:rPr>
                <w:szCs w:val="20"/>
                <w:lang w:val="en-CA"/>
              </w:rPr>
              <w:t>1.7. Did the authors use an appropriate analysis method that controlled for all the important confounding domains and for time-varying confounding?</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nil"/>
              <w:right w:val="nil"/>
            </w:tcBorders>
          </w:tcPr>
          <w:p>
            <w:pPr>
              <w:keepNext/>
              <w:spacing w:after="0"/>
              <w:jc w:val="left"/>
              <w:rPr>
                <w:szCs w:val="20"/>
                <w:lang w:val="es-ES"/>
              </w:rPr>
            </w:pPr>
          </w:p>
        </w:tc>
        <w:tc>
          <w:tcPr>
            <w:tcW w:w="5245" w:type="dxa"/>
            <w:tcBorders>
              <w:top w:val="single" w:color="D8D8D8" w:themeColor="background1" w:themeShade="D9" w:sz="2" w:space="0"/>
              <w:left w:val="nil"/>
              <w:bottom w:val="nil"/>
              <w:right w:val="single" w:color="auto" w:sz="4" w:space="0"/>
            </w:tcBorders>
          </w:tcPr>
          <w:p>
            <w:pPr>
              <w:keepNext/>
              <w:ind w:left="317"/>
              <w:jc w:val="left"/>
              <w:rPr>
                <w:szCs w:val="20"/>
                <w:lang w:val="en-CA"/>
              </w:rPr>
            </w:pPr>
            <w:r>
              <w:rPr>
                <w:szCs w:val="20"/>
                <w:lang w:val="en-CA"/>
              </w:rPr>
              <w:t xml:space="preserve">1.8. </w:t>
            </w:r>
            <w:r>
              <w:rPr>
                <w:b/>
                <w:szCs w:val="20"/>
                <w:lang w:val="en-CA"/>
              </w:rPr>
              <w:t xml:space="preserve">If </w:t>
            </w:r>
            <w:r>
              <w:rPr>
                <w:b/>
                <w:color w:val="00B050"/>
                <w:szCs w:val="20"/>
                <w:u w:val="single"/>
                <w:lang w:val="en-CA"/>
              </w:rPr>
              <w:t>Y/PY</w:t>
            </w:r>
            <w:r>
              <w:rPr>
                <w:b/>
                <w:szCs w:val="20"/>
                <w:lang w:val="en-CA"/>
              </w:rPr>
              <w:t xml:space="preserve"> to 1.7</w:t>
            </w:r>
            <w:r>
              <w:rPr>
                <w:szCs w:val="20"/>
                <w:lang w:val="en-CA"/>
              </w:rPr>
              <w:t>: Were confounding domains that were controlled for measured validly and reliably by the variables available in this study?</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392" w:type="dxa"/>
            <w:vMerge w:val="restart"/>
            <w:tcBorders>
              <w:top w:val="nil"/>
              <w:right w:val="nil"/>
            </w:tcBorders>
          </w:tcPr>
          <w:p>
            <w:pPr>
              <w:keepNext/>
              <w:spacing w:after="0"/>
              <w:jc w:val="left"/>
              <w:rPr>
                <w:szCs w:val="20"/>
                <w:lang w:val="es-ES"/>
              </w:rPr>
            </w:pPr>
          </w:p>
        </w:tc>
        <w:tc>
          <w:tcPr>
            <w:tcW w:w="5245" w:type="dxa"/>
            <w:tcBorders>
              <w:top w:val="nil"/>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9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2"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4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confounding?</w:t>
            </w:r>
          </w:p>
        </w:tc>
        <w:tc>
          <w:tcPr>
            <w:tcW w:w="669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left"/>
              <w:rPr>
                <w:szCs w:val="20"/>
                <w:lang w:val="en-CA"/>
              </w:rPr>
            </w:pPr>
          </w:p>
        </w:tc>
        <w:tc>
          <w:tcPr>
            <w:tcW w:w="3232"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273"/>
        <w:gridCol w:w="6663"/>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559" w:type="dxa"/>
            <w:gridSpan w:val="4"/>
            <w:tcBorders>
              <w:right w:val="single" w:color="auto" w:sz="2" w:space="0"/>
            </w:tcBorders>
          </w:tcPr>
          <w:p>
            <w:pPr>
              <w:keepNext/>
              <w:tabs>
                <w:tab w:val="left" w:pos="960"/>
              </w:tabs>
              <w:autoSpaceDE w:val="0"/>
              <w:autoSpaceDN w:val="0"/>
              <w:adjustRightInd w:val="0"/>
              <w:spacing w:after="0"/>
              <w:jc w:val="left"/>
              <w:rPr>
                <w:b/>
                <w:color w:val="FF0000"/>
                <w:szCs w:val="20"/>
                <w:lang w:val="en-CA"/>
              </w:rPr>
            </w:pPr>
            <w:r>
              <w:rPr>
                <w:rFonts w:cs="Arial"/>
                <w:b/>
                <w:szCs w:val="20"/>
                <w:lang w:val="en-CA"/>
              </w:rPr>
              <w:t>Bias in selection of participants into the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392" w:type="dxa"/>
            <w:vMerge w:val="restart"/>
            <w:tcBorders>
              <w:right w:val="nil"/>
            </w:tcBorders>
          </w:tcPr>
          <w:p>
            <w:pPr>
              <w:keepNext/>
              <w:spacing w:after="0"/>
              <w:jc w:val="left"/>
              <w:rPr>
                <w:szCs w:val="20"/>
                <w:lang w:val="en-CA"/>
              </w:rPr>
            </w:pPr>
          </w:p>
        </w:tc>
        <w:tc>
          <w:tcPr>
            <w:tcW w:w="5273" w:type="dxa"/>
            <w:tcBorders>
              <w:top w:val="single" w:color="auto" w:sz="4" w:space="0"/>
              <w:left w:val="nil"/>
              <w:bottom w:val="nil"/>
              <w:right w:val="single" w:color="auto" w:sz="2" w:space="0"/>
            </w:tcBorders>
          </w:tcPr>
          <w:p>
            <w:pPr>
              <w:keepNext/>
              <w:jc w:val="left"/>
              <w:rPr>
                <w:szCs w:val="20"/>
                <w:lang w:val="en-CA"/>
              </w:rPr>
            </w:pPr>
            <w:r>
              <w:rPr>
                <w:szCs w:val="20"/>
                <w:lang w:val="en-CA"/>
              </w:rPr>
              <w:t>2.1. Was selection of participants into the study (or into the analysis) based on participant characteristics observed after the start of intervention?</w:t>
            </w:r>
          </w:p>
          <w:p>
            <w:pPr>
              <w:keepNext/>
              <w:jc w:val="left"/>
              <w:rPr>
                <w:szCs w:val="20"/>
                <w:lang w:val="en-CA"/>
              </w:rPr>
            </w:pPr>
            <w:r>
              <w:rPr>
                <w:b/>
                <w:szCs w:val="20"/>
                <w:lang w:val="en-CA"/>
              </w:rPr>
              <w:t xml:space="preserve">If </w:t>
            </w:r>
            <w:r>
              <w:rPr>
                <w:b/>
                <w:color w:val="00B050"/>
                <w:szCs w:val="20"/>
                <w:u w:val="single"/>
                <w:lang w:val="en-CA"/>
              </w:rPr>
              <w:t>N/PN</w:t>
            </w:r>
            <w:r>
              <w:rPr>
                <w:b/>
                <w:szCs w:val="20"/>
                <w:lang w:val="en-CA"/>
              </w:rPr>
              <w:t xml:space="preserve"> to 2.1:</w:t>
            </w:r>
            <w:r>
              <w:rPr>
                <w:szCs w:val="20"/>
                <w:lang w:val="en-CA"/>
              </w:rPr>
              <w:t xml:space="preserve"> go to 2.4</w:t>
            </w:r>
          </w:p>
        </w:tc>
        <w:tc>
          <w:tcPr>
            <w:tcW w:w="6663"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left"/>
              <w:rPr>
                <w:szCs w:val="20"/>
                <w:lang w:val="en-CA"/>
              </w:rPr>
            </w:pPr>
            <w:r>
              <w:rPr>
                <w:rFonts w:hint="eastAsia"/>
                <w:szCs w:val="20"/>
                <w:lang w:val="en-CA"/>
              </w:rPr>
              <w:t>The study was a retrospective study that collected outcome data for all subjects who met the criteria</w:t>
            </w:r>
          </w:p>
        </w:tc>
        <w:tc>
          <w:tcPr>
            <w:tcW w:w="3231" w:type="dxa"/>
            <w:tcBorders>
              <w:top w:val="single" w:color="auto" w:sz="4" w:space="0"/>
              <w:left w:val="single" w:color="auto" w:sz="2" w:space="0"/>
              <w:bottom w:val="nil"/>
              <w:right w:val="single" w:color="auto" w:sz="2" w:space="0"/>
            </w:tcBorders>
          </w:tcPr>
          <w:p>
            <w:pPr>
              <w:keepNext/>
              <w:tabs>
                <w:tab w:val="left" w:pos="960"/>
              </w:tabs>
              <w:autoSpaceDE w:val="0"/>
              <w:autoSpaceDN w:val="0"/>
              <w:adjustRightInd w:val="0"/>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392" w:type="dxa"/>
            <w:vMerge w:val="continue"/>
            <w:tcBorders>
              <w:right w:val="nil"/>
            </w:tcBorders>
          </w:tcPr>
          <w:p>
            <w:pPr>
              <w:keepNext/>
              <w:spacing w:after="0"/>
              <w:jc w:val="left"/>
              <w:rPr>
                <w:rFonts w:cs="Arial"/>
                <w:szCs w:val="20"/>
                <w:lang w:val="en-CA"/>
              </w:rPr>
            </w:pPr>
          </w:p>
        </w:tc>
        <w:tc>
          <w:tcPr>
            <w:tcW w:w="5273" w:type="dxa"/>
            <w:tcBorders>
              <w:top w:val="nil"/>
              <w:left w:val="nil"/>
              <w:bottom w:val="single" w:color="D8D8D8" w:themeColor="background1" w:themeShade="D9" w:sz="2" w:space="0"/>
              <w:right w:val="single" w:color="auto" w:sz="2" w:space="0"/>
            </w:tcBorders>
          </w:tcPr>
          <w:p>
            <w:pPr>
              <w:keepNext/>
              <w:ind w:left="317"/>
              <w:jc w:val="left"/>
              <w:rPr>
                <w:szCs w:val="20"/>
                <w:lang w:val="en-CA"/>
              </w:rPr>
            </w:pPr>
            <w:r>
              <w:rPr>
                <w:szCs w:val="20"/>
                <w:lang w:val="en-CA"/>
              </w:rPr>
              <w:t xml:space="preserve">2.2. </w:t>
            </w:r>
            <w:r>
              <w:rPr>
                <w:b/>
                <w:szCs w:val="20"/>
                <w:lang w:val="en-CA"/>
              </w:rPr>
              <w:t xml:space="preserve">If </w:t>
            </w:r>
            <w:r>
              <w:rPr>
                <w:b/>
                <w:color w:val="FF0000"/>
                <w:szCs w:val="20"/>
                <w:lang w:val="en-CA"/>
              </w:rPr>
              <w:t>Y/PY</w:t>
            </w:r>
            <w:r>
              <w:rPr>
                <w:b/>
                <w:szCs w:val="20"/>
                <w:lang w:val="en-CA"/>
              </w:rPr>
              <w:t xml:space="preserve"> to 2.1</w:t>
            </w:r>
            <w:r>
              <w:rPr>
                <w:szCs w:val="20"/>
                <w:lang w:val="en-CA"/>
              </w:rPr>
              <w:t>: Were the post-intervention variables that influenced selection likely to be associated with intervention?</w:t>
            </w:r>
          </w:p>
          <w:p>
            <w:pPr>
              <w:keepNext/>
              <w:ind w:left="317"/>
              <w:jc w:val="left"/>
              <w:rPr>
                <w:szCs w:val="20"/>
                <w:lang w:val="en-CA"/>
              </w:rPr>
            </w:pPr>
            <w:r>
              <w:rPr>
                <w:szCs w:val="20"/>
                <w:lang w:val="en-CA"/>
              </w:rPr>
              <w:t xml:space="preserve">2.3 </w:t>
            </w:r>
            <w:r>
              <w:rPr>
                <w:b/>
                <w:szCs w:val="20"/>
                <w:lang w:val="en-CA"/>
              </w:rPr>
              <w:t xml:space="preserve">If </w:t>
            </w:r>
            <w:r>
              <w:rPr>
                <w:b/>
                <w:color w:val="FF0000"/>
                <w:szCs w:val="20"/>
                <w:lang w:val="en-CA"/>
              </w:rPr>
              <w:t>Y/PY</w:t>
            </w:r>
            <w:r>
              <w:rPr>
                <w:b/>
                <w:szCs w:val="20"/>
                <w:lang w:val="en-CA"/>
              </w:rPr>
              <w:t xml:space="preserve"> to 2.2</w:t>
            </w:r>
            <w:r>
              <w:rPr>
                <w:szCs w:val="20"/>
                <w:lang w:val="en-CA"/>
              </w:rPr>
              <w:t>:  Were the post-intervention variables that influenced selection likely to be influenced by the outcome or a cause of the outcome?</w:t>
            </w:r>
          </w:p>
        </w:tc>
        <w:tc>
          <w:tcPr>
            <w:tcW w:w="6663"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nil"/>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2.4. Do start of follow-up and start of intervention coincide for most participants?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rFonts w:eastAsia="宋体"/>
                <w:szCs w:val="20"/>
                <w:lang w:val="en-CA" w:eastAsia="zh-CN"/>
              </w:rPr>
            </w:pPr>
            <w:r>
              <w:rPr>
                <w:szCs w:val="20"/>
                <w:lang w:val="en-CA"/>
              </w:rPr>
              <w:t>No dropout or withdraw. 100% full participants</w:t>
            </w:r>
            <w:r>
              <w:rPr>
                <w:rFonts w:hint="eastAsia" w:eastAsia="宋体"/>
                <w:szCs w:val="20"/>
                <w:lang w:val="en-CA" w:eastAsia="zh-CN"/>
              </w:rPr>
              <w:t xml:space="preserve">. </w:t>
            </w: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jc w:val="left"/>
              <w:rPr>
                <w:szCs w:val="20"/>
                <w:lang w:val="en-CA"/>
              </w:rPr>
            </w:pPr>
            <w:r>
              <w:rPr>
                <w:szCs w:val="20"/>
                <w:lang w:val="en-CA"/>
              </w:rPr>
              <w:t xml:space="preserve">2.5. </w:t>
            </w:r>
            <w:r>
              <w:rPr>
                <w:b/>
                <w:szCs w:val="20"/>
                <w:lang w:val="en-CA"/>
              </w:rPr>
              <w:t xml:space="preserve">If </w:t>
            </w:r>
            <w:r>
              <w:rPr>
                <w:b/>
                <w:color w:val="FF0000"/>
                <w:szCs w:val="20"/>
                <w:lang w:val="en-CA"/>
              </w:rPr>
              <w:t>Y/PY</w:t>
            </w:r>
            <w:r>
              <w:rPr>
                <w:b/>
                <w:szCs w:val="20"/>
                <w:lang w:val="en-CA"/>
              </w:rPr>
              <w:t xml:space="preserve"> to 2.2 and 2.3, or </w:t>
            </w:r>
            <w:r>
              <w:rPr>
                <w:b/>
                <w:color w:val="FF0000"/>
                <w:szCs w:val="20"/>
                <w:lang w:val="en-CA"/>
              </w:rPr>
              <w:t>N/PN</w:t>
            </w:r>
            <w:r>
              <w:rPr>
                <w:b/>
                <w:szCs w:val="20"/>
                <w:lang w:val="en-CA"/>
              </w:rPr>
              <w:t xml:space="preserve"> to 2.4</w:t>
            </w:r>
            <w:r>
              <w:rPr>
                <w:szCs w:val="20"/>
                <w:lang w:val="en-CA"/>
              </w:rPr>
              <w:t>: Were adjustment techniques used that are likely to correct for the presence of selection biases?</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1346"/>
              </w:tabs>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5273" w:type="dxa"/>
            <w:tcBorders>
              <w:top w:val="single" w:color="D8D8D8" w:themeColor="background1" w:themeShade="D9" w:sz="2" w:space="0"/>
              <w:left w:val="nil"/>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663"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2" w:space="0"/>
              <w:bottom w:val="single" w:color="D8D8D8" w:themeColor="background1" w:themeShade="D9" w:sz="2" w:space="0"/>
              <w:right w:val="single" w:color="auto" w:sz="2"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5273" w:type="dxa"/>
            <w:tcBorders>
              <w:top w:val="single" w:color="D8D8D8" w:themeColor="background1" w:themeShade="D9" w:sz="2" w:space="0"/>
              <w:left w:val="nil"/>
              <w:bottom w:val="single" w:color="auto" w:sz="2" w:space="0"/>
              <w:right w:val="single" w:color="auto" w:sz="2"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selection of participants into the study?</w:t>
            </w:r>
          </w:p>
        </w:tc>
        <w:tc>
          <w:tcPr>
            <w:tcW w:w="6663"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left"/>
              <w:rPr>
                <w:szCs w:val="20"/>
                <w:lang w:val="en-CA"/>
              </w:rPr>
            </w:pPr>
          </w:p>
        </w:tc>
        <w:tc>
          <w:tcPr>
            <w:tcW w:w="3231" w:type="dxa"/>
            <w:tcBorders>
              <w:top w:val="single" w:color="D8D8D8" w:themeColor="background1" w:themeShade="D9" w:sz="2" w:space="0"/>
              <w:left w:val="single" w:color="auto" w:sz="2" w:space="0"/>
              <w:bottom w:val="single" w:color="auto" w:sz="2" w:space="0"/>
              <w:right w:val="single" w:color="auto" w:sz="2"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trPr>
        <w:tc>
          <w:tcPr>
            <w:tcW w:w="15559" w:type="dxa"/>
            <w:gridSpan w:val="4"/>
            <w:tcBorders>
              <w:top w:val="single" w:color="auto" w:sz="4" w:space="0"/>
              <w:right w:val="single" w:color="auto" w:sz="4" w:space="0"/>
            </w:tcBorders>
          </w:tcPr>
          <w:p>
            <w:pPr>
              <w:keepNext/>
              <w:spacing w:after="0"/>
              <w:jc w:val="left"/>
              <w:rPr>
                <w:b/>
                <w:color w:val="00B050"/>
                <w:szCs w:val="20"/>
                <w:u w:val="single"/>
                <w:lang w:val="en-CA"/>
              </w:rPr>
            </w:pPr>
            <w:r>
              <w:rPr>
                <w:rFonts w:cs="Arial"/>
                <w:b/>
                <w:szCs w:val="20"/>
                <w:lang w:val="en-CA"/>
              </w:rPr>
              <w:t xml:space="preserve">Bias in classification of interventions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rFonts w:cs="Arial"/>
                <w:szCs w:val="20"/>
                <w:lang w:val="en-CA"/>
              </w:rPr>
            </w:pPr>
          </w:p>
        </w:tc>
        <w:tc>
          <w:tcPr>
            <w:tcW w:w="4995" w:type="dxa"/>
            <w:tcBorders>
              <w:top w:val="single" w:color="auto" w:sz="2" w:space="0"/>
              <w:left w:val="nil"/>
              <w:bottom w:val="single" w:color="D8D8D8" w:themeColor="background1" w:themeShade="D9" w:sz="2" w:space="0"/>
              <w:right w:val="single" w:color="auto" w:sz="4" w:space="0"/>
            </w:tcBorders>
          </w:tcPr>
          <w:p>
            <w:pPr>
              <w:keepNext/>
              <w:keepLines/>
              <w:spacing w:after="0"/>
              <w:jc w:val="left"/>
              <w:rPr>
                <w:lang w:val="en-CA"/>
              </w:rPr>
            </w:pPr>
            <w:r>
              <w:rPr>
                <w:rFonts w:cs="Arial"/>
                <w:szCs w:val="20"/>
                <w:lang w:val="en-CA"/>
              </w:rPr>
              <w:t xml:space="preserve">3.1 Were </w:t>
            </w:r>
            <w:r>
              <w:rPr>
                <w:lang w:val="en-CA"/>
              </w:rPr>
              <w:t xml:space="preserve">intervention groups clearly defined? </w:t>
            </w:r>
          </w:p>
        </w:tc>
        <w:tc>
          <w:tcPr>
            <w:tcW w:w="6941" w:type="dxa"/>
            <w:tcBorders>
              <w:top w:val="single" w:color="auto"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auto"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keepLines/>
              <w:spacing w:after="0"/>
              <w:jc w:val="left"/>
              <w:rPr>
                <w:rFonts w:cs="Arial"/>
                <w:szCs w:val="20"/>
                <w:lang w:val="en-CA"/>
              </w:rPr>
            </w:pPr>
            <w:r>
              <w:rPr>
                <w:rFonts w:cs="Arial"/>
                <w:szCs w:val="20"/>
                <w:lang w:val="en-CA"/>
              </w:rPr>
              <w:t xml:space="preserve">3.2 </w:t>
            </w:r>
            <w:r>
              <w:rPr>
                <w:lang w:val="en-CA"/>
              </w:rPr>
              <w:t>Was the information used to define intervention groups recorded at the start of the intervention</w:t>
            </w:r>
            <w:r>
              <w:rPr>
                <w:rFonts w:cs="Arial"/>
                <w:szCs w:val="20"/>
                <w:lang w:val="en-CA"/>
              </w:rPr>
              <w: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rFonts w:eastAsia="宋体"/>
                <w:szCs w:val="20"/>
                <w:lang w:val="en-CA" w:eastAsia="zh-CN"/>
              </w:rPr>
            </w:pPr>
            <w:r>
              <w:rPr>
                <w:rFonts w:hint="eastAsia" w:eastAsia="宋体"/>
                <w:szCs w:val="20"/>
                <w:lang w:val="en-CA" w:eastAsia="zh-CN"/>
              </w:rPr>
              <w:t>detect the level of VEGF by ELISA is the only intervention.</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rFonts w:hint="eastAsia" w:eastAsia="宋体"/>
                <w:color w:val="00B050"/>
                <w:szCs w:val="20"/>
                <w:u w:val="single"/>
                <w:lang w:val="en-CA" w:eastAsia="zh-CN"/>
              </w:rPr>
              <w:t>P</w:t>
            </w: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szCs w:val="20"/>
                <w:lang w:val="en-CA"/>
              </w:rPr>
            </w:pPr>
            <w:r>
              <w:rPr>
                <w:rFonts w:cs="Arial"/>
                <w:szCs w:val="20"/>
                <w:lang w:val="en-CA"/>
              </w:rPr>
              <w:t>3.3 Could classification of intervention status have been affected by knowledge of the outcome or risk of the outcome?</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left"/>
              <w:rPr>
                <w:szCs w:val="20"/>
                <w:lang w:val="en-CA"/>
              </w:rPr>
            </w:pPr>
            <w:r>
              <w:rPr>
                <w:rFonts w:hint="eastAsia"/>
                <w:szCs w:val="20"/>
                <w:lang w:val="en-CA"/>
              </w:rPr>
              <w:t>There were no interventions that were affected by outcomes</w:t>
            </w: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left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rFonts w:cs="Arial"/>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rFonts w:cs="Arial"/>
                <w:lang w:val="en-CA"/>
              </w:rPr>
            </w:pPr>
            <w:r>
              <w:rPr>
                <w:szCs w:val="20"/>
                <w:lang w:val="en-CA"/>
              </w:rPr>
              <w:t xml:space="preserve">Optional: </w:t>
            </w:r>
            <w:r>
              <w:rPr>
                <w:rFonts w:cs="Arial"/>
                <w:lang w:val="en-CA"/>
              </w:rPr>
              <w:t>What is the predicted direction of bias due to classification of interventions?</w:t>
            </w:r>
          </w:p>
        </w:tc>
        <w:tc>
          <w:tcPr>
            <w:tcW w:w="6941" w:type="dxa"/>
            <w:tcBorders>
              <w:top w:val="single" w:color="D8D8D8" w:themeColor="background1" w:themeShade="D9" w:sz="2" w:space="0"/>
              <w:bottom w:val="single" w:color="auto" w:sz="4" w:space="0"/>
              <w:right w:val="single" w:color="auto" w:sz="4" w:space="0"/>
            </w:tcBorders>
          </w:tcPr>
          <w:p>
            <w:pPr>
              <w:keepNext/>
              <w:spacing w:after="0"/>
              <w:jc w:val="left"/>
              <w:rPr>
                <w:szCs w:val="20"/>
                <w:lang w:val="en-CA"/>
              </w:rPr>
            </w:pPr>
          </w:p>
        </w:tc>
        <w:tc>
          <w:tcPr>
            <w:tcW w:w="3231" w:type="dxa"/>
            <w:tcBorders>
              <w:top w:val="single" w:color="D8D8D8" w:themeColor="background1" w:themeShade="D9" w:sz="2" w:space="0"/>
              <w:left w:val="single" w:color="auto" w:sz="4" w:space="0"/>
              <w:bottom w:val="single" w:color="auto" w:sz="4" w:space="0"/>
              <w:right w:val="single" w:color="auto" w:sz="4" w:space="0"/>
            </w:tcBorders>
          </w:tcPr>
          <w:p>
            <w:pPr>
              <w:keepNext/>
              <w:spacing w:after="0"/>
              <w:jc w:val="center"/>
              <w:rPr>
                <w:szCs w:val="20"/>
                <w:lang w:val="en-CA"/>
              </w:rPr>
            </w:pPr>
          </w:p>
        </w:tc>
      </w:tr>
    </w:tbl>
    <w:p>
      <w:pPr>
        <w:jc w:val="left"/>
      </w:pPr>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rFonts w:cs="Arial"/>
                <w:b/>
                <w:szCs w:val="20"/>
                <w:lang w:val="en-CA"/>
              </w:rPr>
              <w:t>Bias due to deviations from intended interventions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11936" w:type="dxa"/>
            <w:gridSpan w:val="2"/>
            <w:tcBorders>
              <w:top w:val="single" w:color="auto" w:sz="4" w:space="0"/>
              <w:left w:val="nil"/>
              <w:bottom w:val="single" w:color="D8D8D8" w:themeColor="background1" w:themeShade="D9" w:sz="4" w:space="0"/>
            </w:tcBorders>
          </w:tcPr>
          <w:p>
            <w:pPr>
              <w:keepNext/>
              <w:spacing w:after="0"/>
              <w:jc w:val="left"/>
              <w:rPr>
                <w:szCs w:val="20"/>
                <w:lang w:val="en-CA"/>
              </w:rPr>
            </w:pPr>
            <w:r>
              <w:rPr>
                <w:rFonts w:cs="Arial"/>
                <w:b/>
                <w:lang w:val="en-CA"/>
              </w:rPr>
              <w:t>If your aim for this study is to assess the effect of assignment to intervention, answer questions 4.1 and 4.2</w:t>
            </w:r>
          </w:p>
        </w:tc>
        <w:tc>
          <w:tcPr>
            <w:tcW w:w="3231" w:type="dxa"/>
            <w:tcBorders>
              <w:top w:val="single" w:color="auto" w:sz="4" w:space="0"/>
              <w:bottom w:val="single" w:color="D8D8D8" w:themeColor="background1" w:themeShade="D9" w:sz="4" w:space="0"/>
              <w:right w:val="single" w:color="auto" w:sz="4" w:space="0"/>
            </w:tcBorders>
          </w:tcPr>
          <w:p>
            <w:pPr>
              <w:keepNext/>
              <w:spacing w:after="0"/>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4.1. Were there deviations from the intended intervention beyond what would be expected in usual practice?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r>
              <w:rPr>
                <w:rFonts w:hint="eastAsia"/>
                <w:szCs w:val="20"/>
                <w:lang w:val="en-CA"/>
              </w:rPr>
              <w:t>This was a case-control study that measured the levels of VEGF in both groups</w:t>
            </w:r>
            <w:r>
              <w:rPr>
                <w:rFonts w:hint="eastAsia" w:eastAsia="宋体"/>
                <w:szCs w:val="20"/>
                <w:lang w:val="en-CA" w:eastAsia="zh-CN"/>
              </w:rPr>
              <w:t xml:space="preserve">. There were no deviations from intended intervention beyond </w:t>
            </w:r>
            <w:r>
              <w:rPr>
                <w:szCs w:val="20"/>
                <w:lang w:val="en-CA"/>
              </w:rPr>
              <w:t>what would be expected in usual practice</w:t>
            </w: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top w:val="single" w:color="auto" w:sz="4" w:space="0"/>
              <w:right w:val="nil"/>
            </w:tcBorders>
          </w:tcPr>
          <w:p>
            <w:pPr>
              <w:keepNext/>
              <w:spacing w:after="0"/>
              <w:jc w:val="left"/>
              <w:rPr>
                <w:rFonts w:cs="Arial"/>
                <w:szCs w:val="20"/>
                <w:lang w:val="en-CA"/>
              </w:rPr>
            </w:pPr>
          </w:p>
        </w:tc>
        <w:tc>
          <w:tcPr>
            <w:tcW w:w="4995" w:type="dxa"/>
            <w:tcBorders>
              <w:top w:val="single" w:color="D8D8D8" w:themeColor="background1" w:themeShade="D9" w:sz="4" w:space="0"/>
              <w:left w:val="nil"/>
              <w:bottom w:val="single" w:color="D8D8D8" w:themeColor="background1" w:themeShade="D9" w:sz="4" w:space="0"/>
              <w:right w:val="single" w:color="auto" w:sz="4" w:space="0"/>
            </w:tcBorders>
          </w:tcPr>
          <w:p>
            <w:pPr>
              <w:keepNext/>
              <w:spacing w:after="0"/>
              <w:jc w:val="left"/>
              <w:rPr>
                <w:rFonts w:cs="Arial"/>
                <w:lang w:val="en-CA"/>
              </w:rPr>
            </w:pPr>
            <w:r>
              <w:rPr>
                <w:szCs w:val="20"/>
                <w:lang w:val="en-CA"/>
              </w:rPr>
              <w:t xml:space="preserve">4.2. </w:t>
            </w:r>
            <w:r>
              <w:rPr>
                <w:b/>
                <w:szCs w:val="20"/>
                <w:lang w:val="en-CA"/>
              </w:rPr>
              <w:t xml:space="preserve">If </w:t>
            </w:r>
            <w:r>
              <w:rPr>
                <w:b/>
                <w:color w:val="FF0000"/>
                <w:szCs w:val="20"/>
                <w:lang w:val="en-CA"/>
              </w:rPr>
              <w:t>Y/PY</w:t>
            </w:r>
            <w:r>
              <w:rPr>
                <w:b/>
                <w:szCs w:val="20"/>
                <w:lang w:val="en-CA"/>
              </w:rPr>
              <w:t xml:space="preserve"> to 4.1</w:t>
            </w:r>
            <w:r>
              <w:rPr>
                <w:szCs w:val="20"/>
                <w:lang w:val="en-CA"/>
              </w:rPr>
              <w:t xml:space="preserve">: Were these deviations from intended intervention unbalanced between groups </w:t>
            </w:r>
            <w:r>
              <w:rPr>
                <w:i/>
                <w:szCs w:val="20"/>
                <w:lang w:val="en-CA"/>
              </w:rPr>
              <w:t>and</w:t>
            </w:r>
            <w:r>
              <w:rPr>
                <w:szCs w:val="20"/>
                <w:lang w:val="en-CA"/>
              </w:rPr>
              <w:t xml:space="preserve"> likely to have affected the outcome?</w:t>
            </w:r>
          </w:p>
        </w:tc>
        <w:tc>
          <w:tcPr>
            <w:tcW w:w="694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c>
          <w:tcPr>
            <w:tcW w:w="3231" w:type="dxa"/>
            <w:tcBorders>
              <w:top w:val="single" w:color="D8D8D8" w:themeColor="background1" w:themeShade="D9" w:sz="4" w:space="0"/>
              <w:bottom w:val="single" w:color="D8D8D8" w:themeColor="background1" w:themeShade="D9" w:sz="4" w:space="0"/>
              <w:right w:val="single" w:color="auto" w:sz="4" w:space="0"/>
            </w:tcBorders>
          </w:tcPr>
          <w:p>
            <w:pPr>
              <w:keepNext/>
              <w:spacing w:after="0"/>
              <w:jc w:val="center"/>
              <w:rPr>
                <w:color w:val="00B050"/>
                <w:szCs w:val="20"/>
                <w:u w:val="singl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11936" w:type="dxa"/>
            <w:gridSpan w:val="2"/>
            <w:tcBorders>
              <w:top w:val="single" w:color="D8D8D8" w:themeColor="background1" w:themeShade="D9" w:sz="4" w:space="0"/>
              <w:left w:val="nil"/>
              <w:bottom w:val="single" w:color="D8D8D8" w:themeColor="background1" w:themeShade="D9" w:sz="4" w:space="0"/>
            </w:tcBorders>
          </w:tcPr>
          <w:p>
            <w:pPr>
              <w:keepNext/>
              <w:spacing w:after="0"/>
              <w:jc w:val="left"/>
              <w:rPr>
                <w:b/>
                <w:szCs w:val="20"/>
                <w:lang w:val="en-CA"/>
              </w:rPr>
            </w:pPr>
            <w:r>
              <w:rPr>
                <w:rFonts w:cs="Arial"/>
                <w:b/>
                <w:lang w:val="en-CA"/>
              </w:rPr>
              <w:t>If your aim for this study is to assess the effect of starting and adhering to intervention, answer questions 4.3 to 4.6</w:t>
            </w:r>
          </w:p>
        </w:tc>
        <w:tc>
          <w:tcPr>
            <w:tcW w:w="3231" w:type="dxa"/>
            <w:tcBorders>
              <w:top w:val="single" w:color="D8D8D8" w:themeColor="background1" w:themeShade="D9" w:sz="4" w:space="0"/>
              <w:bottom w:val="single" w:color="D8D8D8" w:themeColor="background1" w:themeShade="D9" w:sz="4" w:space="0"/>
            </w:tcBorders>
          </w:tcPr>
          <w:p>
            <w:pPr>
              <w:keepNext/>
              <w:spacing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4"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4.3. Were important co-interventions balanced across intervention groups?</w:t>
            </w:r>
          </w:p>
        </w:tc>
        <w:tc>
          <w:tcPr>
            <w:tcW w:w="6941" w:type="dxa"/>
            <w:tcBorders>
              <w:top w:val="single" w:color="D8D8D8" w:themeColor="background1" w:themeShade="D9" w:sz="4"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4"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4.4. Was the intervention implemented successfully for most participants?</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rFonts w:cs="Arial"/>
                <w:lang w:val="en-CA"/>
              </w:rPr>
            </w:pPr>
            <w:r>
              <w:rPr>
                <w:rFonts w:cs="Arial"/>
                <w:lang w:val="en-CA"/>
              </w:rPr>
              <w:t xml:space="preserve">4.5. Did study participants </w:t>
            </w:r>
            <w:r>
              <w:rPr>
                <w:szCs w:val="20"/>
                <w:lang w:val="en-CA"/>
              </w:rPr>
              <w:t>adhere to the assigned intervention regimen?</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40"/>
              <w:jc w:val="left"/>
              <w:rPr>
                <w:rFonts w:cs="Arial"/>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4.6. </w:t>
            </w:r>
            <w:r>
              <w:rPr>
                <w:b/>
                <w:szCs w:val="20"/>
                <w:lang w:val="en-CA"/>
              </w:rPr>
              <w:t xml:space="preserve">If </w:t>
            </w:r>
            <w:r>
              <w:rPr>
                <w:b/>
                <w:color w:val="FF0000"/>
                <w:szCs w:val="20"/>
                <w:lang w:val="en-CA"/>
              </w:rPr>
              <w:t>N/PN</w:t>
            </w:r>
            <w:r>
              <w:rPr>
                <w:b/>
                <w:szCs w:val="20"/>
                <w:lang w:val="en-CA"/>
              </w:rPr>
              <w:t xml:space="preserve"> to 4.3, 4.4 or 4.5</w:t>
            </w:r>
            <w:r>
              <w:rPr>
                <w:szCs w:val="20"/>
                <w:lang w:val="en-CA"/>
              </w:rPr>
              <w:t>: Was an appropriate analysis used to estimate the effect of starting and adhering to the intervention?</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color w:val="FF0000"/>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rFonts w:eastAsia="宋体"/>
                <w:szCs w:val="20"/>
                <w:lang w:val="en-CA" w:eastAsia="zh-CN"/>
              </w:rPr>
            </w:pPr>
            <w:r>
              <w:rPr>
                <w:rFonts w:hint="eastAsia" w:eastAsia="宋体"/>
                <w:szCs w:val="20"/>
                <w:lang w:val="en-CA"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deviations from the intended interventions?</w:t>
            </w:r>
          </w:p>
        </w:tc>
        <w:tc>
          <w:tcPr>
            <w:tcW w:w="6941" w:type="dxa"/>
            <w:tcBorders>
              <w:top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u w:val="single"/>
                <w:lang w:val="es-ES"/>
              </w:rPr>
            </w:pPr>
            <w:r>
              <w:rPr>
                <w:rFonts w:cs="Arial"/>
                <w:b/>
                <w:szCs w:val="20"/>
                <w:lang w:val="en-CA"/>
              </w:rPr>
              <w:t>Bias due to missing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5.1 Were outcome data available for all, or nearly all, participants?</w:t>
            </w:r>
          </w:p>
        </w:tc>
        <w:tc>
          <w:tcPr>
            <w:tcW w:w="6941" w:type="dxa"/>
            <w:tcBorders>
              <w:top w:val="single" w:color="auto" w:sz="4" w:space="0"/>
              <w:bottom w:val="single" w:color="D8D8D8" w:themeColor="background1" w:themeShade="D9" w:sz="2" w:space="0"/>
            </w:tcBorders>
          </w:tcPr>
          <w:p>
            <w:pPr>
              <w:keepNext/>
              <w:spacing w:after="0"/>
              <w:jc w:val="left"/>
              <w:rPr>
                <w:szCs w:val="20"/>
                <w:lang w:val="en-CA"/>
              </w:rPr>
            </w:pPr>
            <w:r>
              <w:rPr>
                <w:szCs w:val="20"/>
                <w:lang w:val="en-CA"/>
              </w:rPr>
              <w:t>Outcomes based on all the</w:t>
            </w:r>
            <w:r>
              <w:rPr>
                <w:lang w:val="en-CA"/>
              </w:rPr>
              <w:t xml:space="preserve"> </w:t>
            </w:r>
            <w:r>
              <w:rPr>
                <w:szCs w:val="20"/>
                <w:lang w:val="en-CA"/>
              </w:rPr>
              <w:t>participants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s-ES"/>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5.2 Were participants excluded due to missing data on intervention status?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 xml:space="preserve">No participants were excluded </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5.3 Were participants excluded due to missing data on other variables needed for the analysis?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r>
              <w:rPr>
                <w:szCs w:val="20"/>
                <w:lang w:val="en-CA"/>
              </w:rPr>
              <w:t>No participants were excluded</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rPr>
                <w:szCs w:val="20"/>
                <w:lang w:val="en-CA"/>
              </w:rPr>
            </w:pPr>
          </w:p>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szCs w:val="20"/>
                <w:lang w:val="en-CA"/>
              </w:rPr>
            </w:pPr>
            <w:r>
              <w:rPr>
                <w:szCs w:val="20"/>
                <w:lang w:val="en-CA"/>
              </w:rPr>
              <w:t xml:space="preserve">5.4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Are the proportion of participants and reasons for missing data similar across interventions?</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spacing w:after="0"/>
              <w:jc w:val="left"/>
              <w:rPr>
                <w:szCs w:val="20"/>
                <w:lang w:val="en-CA"/>
              </w:rPr>
            </w:pPr>
            <w:r>
              <w:rPr>
                <w:szCs w:val="20"/>
                <w:lang w:val="en-CA"/>
              </w:rPr>
              <w:t xml:space="preserve">5.5 </w:t>
            </w:r>
            <w:r>
              <w:rPr>
                <w:b/>
                <w:szCs w:val="20"/>
                <w:lang w:val="en-CA"/>
              </w:rPr>
              <w:t xml:space="preserve">If </w:t>
            </w:r>
            <w:r>
              <w:rPr>
                <w:b/>
                <w:color w:val="FF0000"/>
                <w:szCs w:val="20"/>
                <w:lang w:val="es-ES"/>
              </w:rPr>
              <w:t>PN/N</w:t>
            </w:r>
            <w:r>
              <w:rPr>
                <w:b/>
                <w:szCs w:val="20"/>
                <w:lang w:val="es-ES"/>
              </w:rPr>
              <w:t xml:space="preserve"> to 5.1, or</w:t>
            </w:r>
            <w:r>
              <w:rPr>
                <w:b/>
                <w:szCs w:val="20"/>
                <w:lang w:val="en-CA"/>
              </w:rPr>
              <w:t xml:space="preserve"> </w:t>
            </w:r>
            <w:r>
              <w:rPr>
                <w:b/>
                <w:color w:val="FF0000"/>
                <w:szCs w:val="20"/>
                <w:lang w:val="en-CA"/>
              </w:rPr>
              <w:t>Y/PY</w:t>
            </w:r>
            <w:r>
              <w:rPr>
                <w:b/>
                <w:szCs w:val="20"/>
                <w:lang w:val="en-CA"/>
              </w:rPr>
              <w:t xml:space="preserve"> to 5.2 or 5.3</w:t>
            </w:r>
            <w:r>
              <w:rPr>
                <w:szCs w:val="20"/>
                <w:lang w:val="en-CA"/>
              </w:rPr>
              <w:t xml:space="preserve">: </w:t>
            </w:r>
            <w:r>
              <w:rPr>
                <w:lang w:val="en-CA"/>
              </w:rPr>
              <w:t>Is there evidence that results were robust to the presence of missing data?</w:t>
            </w:r>
          </w:p>
        </w:tc>
        <w:tc>
          <w:tcPr>
            <w:tcW w:w="6941" w:type="dxa"/>
            <w:tcBorders>
              <w:top w:val="single" w:color="D8D8D8" w:themeColor="background1" w:themeShade="D9" w:sz="2" w:space="0"/>
              <w:bottom w:val="single" w:color="D8D8D8" w:themeColor="background1" w:themeShade="D9" w:sz="2" w:space="0"/>
            </w:tcBorders>
          </w:tcPr>
          <w:p>
            <w:pPr>
              <w:keepNext/>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s-E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s-ES"/>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predicted direction of bias due to missing data?</w:t>
            </w:r>
          </w:p>
        </w:tc>
        <w:tc>
          <w:tcPr>
            <w:tcW w:w="6941" w:type="dxa"/>
            <w:tcBorders>
              <w:top w:val="single" w:color="D8D8D8" w:themeColor="background1" w:themeShade="D9" w:sz="2" w:space="0"/>
              <w:bottom w:val="single" w:color="auto" w:sz="4" w:space="0"/>
            </w:tcBorders>
          </w:tcPr>
          <w:p>
            <w:pPr>
              <w:keepNext/>
              <w:spacing w:after="0"/>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694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spacing w:after="0"/>
              <w:jc w:val="left"/>
              <w:rPr>
                <w:b/>
                <w:szCs w:val="20"/>
                <w:lang w:val="en-CA"/>
              </w:rPr>
            </w:pPr>
            <w:r>
              <w:rPr>
                <w:b/>
                <w:lang w:val="en-CA"/>
              </w:rPr>
              <w:t xml:space="preserve">Bias in measurement of outcomes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jc w:val="left"/>
              <w:rPr>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jc w:val="left"/>
              <w:rPr>
                <w:lang w:val="en-CA"/>
              </w:rPr>
            </w:pPr>
            <w:r>
              <w:rPr>
                <w:lang w:val="en-CA"/>
              </w:rPr>
              <w:t>6.1 Could the outcome measure have been influenced by knowledge of the intervention received?</w:t>
            </w:r>
          </w:p>
        </w:tc>
        <w:tc>
          <w:tcPr>
            <w:tcW w:w="6941" w:type="dxa"/>
            <w:tcBorders>
              <w:top w:val="single" w:color="auto" w:sz="4" w:space="0"/>
              <w:bottom w:val="single" w:color="D8D8D8" w:themeColor="background1" w:themeShade="D9" w:sz="2" w:space="0"/>
            </w:tcBorders>
          </w:tcPr>
          <w:p>
            <w:pPr>
              <w:keepNext/>
              <w:jc w:val="left"/>
              <w:rPr>
                <w:rFonts w:eastAsia="宋体"/>
                <w:lang w:val="en-CA" w:eastAsia="zh-CN"/>
              </w:rPr>
            </w:pPr>
            <w:r>
              <w:rPr>
                <w:rFonts w:hint="eastAsia" w:eastAsia="宋体"/>
                <w:lang w:val="en-CA" w:eastAsia="zh-CN"/>
              </w:rPr>
              <w:t>ELIASA was used for both groups.</w:t>
            </w:r>
          </w:p>
        </w:tc>
        <w:tc>
          <w:tcPr>
            <w:tcW w:w="3231" w:type="dxa"/>
            <w:tcBorders>
              <w:top w:val="single" w:color="auto" w:sz="4"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6.2 Were outcome assessors aware of the intervention received by study participants?</w:t>
            </w:r>
          </w:p>
        </w:tc>
        <w:tc>
          <w:tcPr>
            <w:tcW w:w="6941" w:type="dxa"/>
            <w:tcBorders>
              <w:top w:val="single" w:color="D8D8D8" w:themeColor="background1" w:themeShade="D9" w:sz="2" w:space="0"/>
              <w:bottom w:val="single" w:color="D8D8D8" w:themeColor="background1" w:themeShade="D9" w:sz="2" w:space="0"/>
            </w:tcBorders>
          </w:tcPr>
          <w:p>
            <w:pPr>
              <w:keepNext/>
              <w:jc w:val="left"/>
              <w:rPr>
                <w:rFonts w:eastAsia="宋体"/>
                <w:szCs w:val="20"/>
                <w:lang w:val="en-CA" w:eastAsia="zh-CN"/>
              </w:rPr>
            </w:pPr>
            <w:r>
              <w:rPr>
                <w:rFonts w:hint="eastAsia" w:eastAsia="宋体"/>
                <w:szCs w:val="20"/>
                <w:lang w:val="en-CA" w:eastAsia="zh-CN"/>
              </w:rPr>
              <w:t>The outcome was objective, and the intervention received by study participants may not affect the outcome.</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FF0000"/>
                <w:szCs w:val="20"/>
                <w:lang w:val="en-CA"/>
              </w:rPr>
              <w:t>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6.3 Were the methods of outcome assessment comparable across intervention groups?</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szCs w:val="20"/>
                <w:lang w:val="en-CA"/>
              </w:rPr>
              <w:t>Both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 xml:space="preserve">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6.4 Were any systematic errors in measurement of the outcome related to intervention received?</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rFonts w:hint="eastAsia" w:eastAsia="宋体"/>
                <w:szCs w:val="20"/>
                <w:lang w:val="en-CA" w:eastAsia="zh-CN"/>
              </w:rPr>
              <w:t>The outcome are objective, and b</w:t>
            </w:r>
            <w:r>
              <w:rPr>
                <w:rFonts w:hint="eastAsia"/>
                <w:szCs w:val="20"/>
                <w:lang w:val="en-CA"/>
              </w:rPr>
              <w:t>oth group outcomes are using the same assessment</w:t>
            </w: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spacing w:after="0"/>
              <w:jc w:val="center"/>
              <w:rPr>
                <w:szCs w:val="20"/>
                <w:lang w:val="en-CA"/>
              </w:rPr>
            </w:pPr>
            <w:r>
              <w:rPr>
                <w:color w:val="00B050"/>
                <w:szCs w:val="20"/>
                <w:u w:val="single"/>
                <w:lang w:val="en-CA"/>
              </w:rPr>
              <w:t>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b/>
                <w:szCs w:val="20"/>
                <w:lang w:val="en-CA"/>
              </w:rPr>
            </w:pPr>
            <w:r>
              <w:rPr>
                <w:b/>
                <w:lang w:val="en-CA"/>
              </w:rPr>
              <w:t>Risk of bias judgement</w:t>
            </w:r>
          </w:p>
        </w:tc>
        <w:tc>
          <w:tcPr>
            <w:tcW w:w="6941"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3231"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Moderate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jc w:val="left"/>
              <w:rPr>
                <w:szCs w:val="20"/>
                <w:lang w:val="en-CA"/>
              </w:rPr>
            </w:pPr>
            <w:r>
              <w:rPr>
                <w:lang w:val="en-CA"/>
              </w:rPr>
              <w:t>Optional: What is the predicted direction of bias due to measurement of outcomes?</w:t>
            </w:r>
          </w:p>
        </w:tc>
        <w:tc>
          <w:tcPr>
            <w:tcW w:w="6941" w:type="dxa"/>
            <w:tcBorders>
              <w:top w:val="single" w:color="D8D8D8" w:themeColor="background1" w:themeShade="D9" w:sz="2" w:space="0"/>
              <w:bottom w:val="single" w:color="auto" w:sz="4" w:space="0"/>
            </w:tcBorders>
          </w:tcPr>
          <w:p>
            <w:pPr>
              <w:keepNext/>
              <w:jc w:val="left"/>
              <w:rPr>
                <w:szCs w:val="20"/>
                <w:lang w:val="en-CA"/>
              </w:rPr>
            </w:pPr>
          </w:p>
        </w:tc>
        <w:tc>
          <w:tcPr>
            <w:tcW w:w="3231"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top w:val="single" w:color="auto" w:sz="4" w:space="0"/>
              <w:right w:val="single" w:color="auto" w:sz="4" w:space="0"/>
            </w:tcBorders>
          </w:tcPr>
          <w:p>
            <w:pPr>
              <w:keepNext/>
              <w:jc w:val="left"/>
              <w:rPr>
                <w:b/>
                <w:szCs w:val="20"/>
                <w:lang w:val="en-CA"/>
              </w:rPr>
            </w:pPr>
            <w:r>
              <w:rPr>
                <w:rFonts w:cs="Arial"/>
                <w:b/>
                <w:szCs w:val="20"/>
                <w:lang w:val="en-CA"/>
              </w:rPr>
              <w:t>Bias in selection of the reported 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top w:val="single" w:color="auto" w:sz="4" w:space="0"/>
              <w:right w:val="nil"/>
            </w:tcBorders>
          </w:tcPr>
          <w:p>
            <w:pPr>
              <w:keepNext/>
              <w:spacing w:after="0"/>
              <w:jc w:val="left"/>
              <w:rPr>
                <w:szCs w:val="20"/>
                <w:lang w:val="en-CA"/>
              </w:rPr>
            </w:pPr>
          </w:p>
        </w:tc>
        <w:tc>
          <w:tcPr>
            <w:tcW w:w="4995" w:type="dxa"/>
            <w:tcBorders>
              <w:top w:val="single" w:color="auto" w:sz="4" w:space="0"/>
              <w:left w:val="nil"/>
              <w:bottom w:val="nil"/>
              <w:right w:val="single" w:color="auto" w:sz="4" w:space="0"/>
            </w:tcBorders>
          </w:tcPr>
          <w:p>
            <w:pPr>
              <w:keepNext/>
              <w:jc w:val="left"/>
              <w:rPr>
                <w:lang w:val="en-CA"/>
              </w:rPr>
            </w:pPr>
            <w:r>
              <w:rPr>
                <w:lang w:val="en-CA"/>
              </w:rPr>
              <w:t>Is the reported effect estimate likely to be selected, on the basis of the results, from...</w:t>
            </w:r>
          </w:p>
        </w:tc>
        <w:tc>
          <w:tcPr>
            <w:tcW w:w="7649" w:type="dxa"/>
            <w:tcBorders>
              <w:top w:val="single" w:color="auto" w:sz="4" w:space="0"/>
              <w:bottom w:val="nil"/>
            </w:tcBorders>
          </w:tcPr>
          <w:p>
            <w:pPr>
              <w:keepNext/>
              <w:jc w:val="center"/>
              <w:rPr>
                <w:szCs w:val="20"/>
                <w:lang w:val="en-CA"/>
              </w:rPr>
            </w:pPr>
          </w:p>
        </w:tc>
        <w:tc>
          <w:tcPr>
            <w:tcW w:w="2523" w:type="dxa"/>
            <w:tcBorders>
              <w:top w:val="single" w:color="auto" w:sz="4" w:space="0"/>
              <w:bottom w:val="nil"/>
              <w:right w:val="single" w:color="auto" w:sz="4" w:space="0"/>
            </w:tcBorders>
          </w:tcPr>
          <w:p>
            <w:pPr>
              <w:keepNext/>
              <w:jc w:val="center"/>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nil"/>
              <w:left w:val="nil"/>
              <w:bottom w:val="single" w:color="D8D8D8" w:themeColor="background1" w:themeShade="D9" w:sz="2" w:space="0"/>
              <w:right w:val="single" w:color="auto" w:sz="4" w:space="0"/>
            </w:tcBorders>
          </w:tcPr>
          <w:p>
            <w:pPr>
              <w:keepNext/>
              <w:jc w:val="left"/>
              <w:rPr>
                <w:lang w:val="en-CA"/>
              </w:rPr>
            </w:pPr>
            <w:r>
              <w:rPr>
                <w:lang w:val="en-CA"/>
              </w:rPr>
              <w:t xml:space="preserve">7.1. ... multiple outcome </w:t>
            </w:r>
            <w:r>
              <w:rPr>
                <w:i/>
                <w:lang w:val="en-CA"/>
              </w:rPr>
              <w:t>measurements</w:t>
            </w:r>
            <w:r>
              <w:rPr>
                <w:lang w:val="en-CA"/>
              </w:rPr>
              <w:t xml:space="preserve"> within the outcome domain? </w:t>
            </w:r>
          </w:p>
        </w:tc>
        <w:tc>
          <w:tcPr>
            <w:tcW w:w="7649" w:type="dxa"/>
            <w:tcBorders>
              <w:top w:val="nil"/>
              <w:bottom w:val="single" w:color="D8D8D8" w:themeColor="background1" w:themeShade="D9" w:sz="2" w:space="0"/>
            </w:tcBorders>
          </w:tcPr>
          <w:p>
            <w:pPr>
              <w:keepNext/>
              <w:jc w:val="left"/>
              <w:rPr>
                <w:szCs w:val="20"/>
                <w:lang w:val="en-CA"/>
              </w:rPr>
            </w:pPr>
            <w:r>
              <w:rPr>
                <w:rFonts w:hint="eastAsia" w:eastAsia="宋体"/>
                <w:szCs w:val="20"/>
                <w:lang w:val="en-CA" w:eastAsia="zh-CN"/>
              </w:rPr>
              <w:t>Only t</w:t>
            </w:r>
            <w:r>
              <w:rPr>
                <w:rFonts w:hint="eastAsia"/>
                <w:szCs w:val="20"/>
                <w:lang w:val="en-CA"/>
              </w:rPr>
              <w:t>he enzyme-linked immunosorbent assays (ELISAs)</w:t>
            </w:r>
            <w:r>
              <w:rPr>
                <w:rFonts w:hint="eastAsia" w:eastAsia="宋体"/>
                <w:szCs w:val="20"/>
                <w:lang w:val="en-CA" w:eastAsia="zh-CN"/>
              </w:rPr>
              <w:t xml:space="preserve"> was used </w:t>
            </w:r>
          </w:p>
        </w:tc>
        <w:tc>
          <w:tcPr>
            <w:tcW w:w="2523" w:type="dxa"/>
            <w:tcBorders>
              <w:top w:val="nil"/>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 xml:space="preserve"> N</w:t>
            </w:r>
            <w:r>
              <w:rPr>
                <w:szCs w:val="20"/>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7.2 ... multiple </w:t>
            </w:r>
            <w:r>
              <w:rPr>
                <w:i/>
                <w:lang w:val="en-CA"/>
              </w:rPr>
              <w:t>analyses</w:t>
            </w:r>
            <w:r>
              <w:rPr>
                <w:lang w:val="en-CA"/>
              </w:rPr>
              <w:t xml:space="preserve"> of the intervention-outcome relationship?</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szCs w:val="20"/>
                <w:lang w:val="en-CA"/>
              </w:rPr>
              <w:t>NI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jc w:val="left"/>
              <w:rPr>
                <w:lang w:val="en-CA"/>
              </w:rPr>
            </w:pPr>
            <w:r>
              <w:rPr>
                <w:lang w:val="en-CA"/>
              </w:rPr>
              <w:t xml:space="preserve">7.3 ... different </w:t>
            </w:r>
            <w:r>
              <w:rPr>
                <w:i/>
                <w:lang w:val="en-CA"/>
              </w:rPr>
              <w:t>subgroups</w:t>
            </w:r>
            <w:r>
              <w:rPr>
                <w:lang w:val="en-CA"/>
              </w:rPr>
              <w:t>?</w:t>
            </w:r>
          </w:p>
        </w:tc>
        <w:tc>
          <w:tcPr>
            <w:tcW w:w="7649" w:type="dxa"/>
            <w:tcBorders>
              <w:top w:val="single" w:color="D8D8D8" w:themeColor="background1" w:themeShade="D9" w:sz="2" w:space="0"/>
              <w:bottom w:val="single" w:color="D8D8D8" w:themeColor="background1" w:themeShade="D9" w:sz="2" w:space="0"/>
            </w:tcBorders>
          </w:tcPr>
          <w:p>
            <w:pPr>
              <w:keepNext/>
              <w:jc w:val="left"/>
              <w:rPr>
                <w:szCs w:val="20"/>
                <w:lang w:val="en-CA"/>
              </w:rPr>
            </w:pPr>
            <w:r>
              <w:rPr>
                <w:szCs w:val="20"/>
                <w:lang w:val="en-CA"/>
              </w:rPr>
              <w:t>No subgroup</w:t>
            </w: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jc w:val="center"/>
              <w:rPr>
                <w:szCs w:val="20"/>
                <w:lang w:val="en-CA"/>
              </w:rPr>
            </w:pPr>
            <w:r>
              <w:rPr>
                <w:color w:val="00B050"/>
                <w:szCs w:val="20"/>
                <w:u w:val="single"/>
                <w:lang w:val="en-CA"/>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b/>
                <w:lang w:val="en-CA"/>
              </w:rPr>
            </w:pPr>
            <w:r>
              <w:rPr>
                <w:rFonts w:cs="Arial"/>
                <w:b/>
                <w:lang w:val="en-CA"/>
              </w:rPr>
              <w:t>Risk of bias judgement</w:t>
            </w:r>
          </w:p>
        </w:tc>
        <w:tc>
          <w:tcPr>
            <w:tcW w:w="7649" w:type="dxa"/>
            <w:tcBorders>
              <w:top w:val="single" w:color="D8D8D8" w:themeColor="background1" w:themeShade="D9" w:sz="2"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D8D8D8" w:themeColor="background1" w:themeShade="D9" w:sz="2"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Low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lang w:val="en-CA"/>
              </w:rPr>
            </w:pPr>
            <w:r>
              <w:rPr>
                <w:lang w:val="en-CA"/>
              </w:rPr>
              <w:t xml:space="preserve">Optional: </w:t>
            </w:r>
            <w:r>
              <w:rPr>
                <w:rFonts w:cs="Arial"/>
                <w:lang w:val="en-CA"/>
              </w:rPr>
              <w:t>What is the predicted direction of bias due to selection of the reported result?</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p>
        </w:tc>
      </w:tr>
    </w:tbl>
    <w:p/>
    <w:tbl>
      <w:tblPr>
        <w:tblStyle w:val="1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4995"/>
        <w:gridCol w:w="7649"/>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5559" w:type="dxa"/>
            <w:gridSpan w:val="4"/>
            <w:tcBorders>
              <w:right w:val="single" w:color="auto" w:sz="4" w:space="0"/>
            </w:tcBorders>
          </w:tcPr>
          <w:p>
            <w:pPr>
              <w:keepNext/>
              <w:tabs>
                <w:tab w:val="left" w:pos="960"/>
              </w:tabs>
              <w:autoSpaceDE w:val="0"/>
              <w:autoSpaceDN w:val="0"/>
              <w:adjustRightInd w:val="0"/>
              <w:spacing w:after="0"/>
              <w:jc w:val="left"/>
              <w:rPr>
                <w:b/>
                <w:szCs w:val="20"/>
                <w:lang w:val="en-CA"/>
              </w:rPr>
            </w:pPr>
            <w:r>
              <w:rPr>
                <w:b/>
                <w:szCs w:val="20"/>
                <w:lang w:val="en-CA"/>
              </w:rPr>
              <w:t>Overall bias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restart"/>
            <w:tcBorders>
              <w:right w:val="nil"/>
            </w:tcBorders>
          </w:tcPr>
          <w:p>
            <w:pPr>
              <w:keepNext/>
              <w:spacing w:after="0"/>
              <w:jc w:val="left"/>
              <w:rPr>
                <w:szCs w:val="20"/>
                <w:lang w:val="en-CA"/>
              </w:rPr>
            </w:pPr>
          </w:p>
        </w:tc>
        <w:tc>
          <w:tcPr>
            <w:tcW w:w="4995" w:type="dxa"/>
            <w:tcBorders>
              <w:top w:val="single" w:color="auto" w:sz="4" w:space="0"/>
              <w:left w:val="nil"/>
              <w:bottom w:val="single" w:color="D8D8D8" w:themeColor="background1" w:themeShade="D9" w:sz="2" w:space="0"/>
              <w:right w:val="single" w:color="auto" w:sz="4" w:space="0"/>
            </w:tcBorders>
          </w:tcPr>
          <w:p>
            <w:pPr>
              <w:keepNext/>
              <w:tabs>
                <w:tab w:val="left" w:pos="960"/>
              </w:tabs>
              <w:autoSpaceDE w:val="0"/>
              <w:autoSpaceDN w:val="0"/>
              <w:adjustRightInd w:val="0"/>
              <w:spacing w:after="0"/>
              <w:jc w:val="left"/>
              <w:rPr>
                <w:szCs w:val="20"/>
                <w:lang w:val="en-CA"/>
              </w:rPr>
            </w:pPr>
            <w:r>
              <w:rPr>
                <w:rFonts w:cs="Arial"/>
                <w:b/>
                <w:szCs w:val="20"/>
                <w:lang w:val="en-CA"/>
              </w:rPr>
              <w:t>Risk of bias judgement</w:t>
            </w:r>
          </w:p>
        </w:tc>
        <w:tc>
          <w:tcPr>
            <w:tcW w:w="7649" w:type="dxa"/>
            <w:tcBorders>
              <w:top w:val="single" w:color="auto" w:sz="4" w:space="0"/>
              <w:bottom w:val="single" w:color="D8D8D8" w:themeColor="background1" w:themeShade="D9" w:sz="2" w:space="0"/>
            </w:tcBorders>
          </w:tcPr>
          <w:p>
            <w:pPr>
              <w:keepNext/>
              <w:tabs>
                <w:tab w:val="left" w:pos="960"/>
              </w:tabs>
              <w:autoSpaceDE w:val="0"/>
              <w:autoSpaceDN w:val="0"/>
              <w:adjustRightInd w:val="0"/>
              <w:spacing w:after="0"/>
              <w:jc w:val="left"/>
              <w:rPr>
                <w:szCs w:val="20"/>
                <w:lang w:val="en-CA"/>
              </w:rPr>
            </w:pPr>
          </w:p>
        </w:tc>
        <w:tc>
          <w:tcPr>
            <w:tcW w:w="2523" w:type="dxa"/>
            <w:tcBorders>
              <w:top w:val="single" w:color="auto" w:sz="4" w:space="0"/>
              <w:bottom w:val="single" w:color="D8D8D8" w:themeColor="background1" w:themeShade="D9" w:sz="2" w:space="0"/>
              <w:right w:val="single" w:color="auto" w:sz="4" w:space="0"/>
            </w:tcBorders>
          </w:tcPr>
          <w:p>
            <w:pPr>
              <w:keepNext/>
              <w:tabs>
                <w:tab w:val="left" w:pos="960"/>
              </w:tabs>
              <w:autoSpaceDE w:val="0"/>
              <w:autoSpaceDN w:val="0"/>
              <w:adjustRightInd w:val="0"/>
              <w:spacing w:after="0"/>
              <w:jc w:val="center"/>
              <w:rPr>
                <w:szCs w:val="20"/>
                <w:lang w:val="en-CA"/>
              </w:rPr>
            </w:pPr>
            <w:r>
              <w:rPr>
                <w:szCs w:val="20"/>
                <w:lang w:val="en-CA"/>
              </w:rPr>
              <w:t xml:space="preserve"> 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92" w:type="dxa"/>
            <w:vMerge w:val="continue"/>
            <w:tcBorders>
              <w:bottom w:val="single" w:color="auto" w:sz="4" w:space="0"/>
              <w:right w:val="nil"/>
            </w:tcBorders>
          </w:tcPr>
          <w:p>
            <w:pPr>
              <w:keepNext/>
              <w:spacing w:after="0"/>
              <w:jc w:val="left"/>
              <w:rPr>
                <w:szCs w:val="20"/>
                <w:lang w:val="en-CA"/>
              </w:rPr>
            </w:pPr>
          </w:p>
        </w:tc>
        <w:tc>
          <w:tcPr>
            <w:tcW w:w="4995" w:type="dxa"/>
            <w:tcBorders>
              <w:top w:val="single" w:color="D8D8D8" w:themeColor="background1" w:themeShade="D9" w:sz="2" w:space="0"/>
              <w:left w:val="nil"/>
              <w:bottom w:val="single" w:color="auto" w:sz="4" w:space="0"/>
              <w:right w:val="single" w:color="auto" w:sz="4" w:space="0"/>
            </w:tcBorders>
          </w:tcPr>
          <w:p>
            <w:pPr>
              <w:keepNext/>
              <w:spacing w:after="0"/>
              <w:jc w:val="left"/>
              <w:rPr>
                <w:szCs w:val="20"/>
                <w:lang w:val="en-CA"/>
              </w:rPr>
            </w:pPr>
            <w:r>
              <w:rPr>
                <w:szCs w:val="20"/>
                <w:lang w:val="en-CA"/>
              </w:rPr>
              <w:t xml:space="preserve">Optional: </w:t>
            </w:r>
            <w:r>
              <w:rPr>
                <w:rFonts w:cs="Arial"/>
                <w:lang w:val="en-CA"/>
              </w:rPr>
              <w:t>What is the overall predicted direction of bias for this outcome?</w:t>
            </w:r>
          </w:p>
        </w:tc>
        <w:tc>
          <w:tcPr>
            <w:tcW w:w="7649" w:type="dxa"/>
            <w:tcBorders>
              <w:top w:val="single" w:color="D8D8D8" w:themeColor="background1" w:themeShade="D9" w:sz="2" w:space="0"/>
              <w:bottom w:val="single" w:color="auto" w:sz="4" w:space="0"/>
            </w:tcBorders>
          </w:tcPr>
          <w:p>
            <w:pPr>
              <w:keepNext/>
              <w:spacing w:after="0"/>
              <w:jc w:val="left"/>
              <w:rPr>
                <w:szCs w:val="20"/>
                <w:lang w:val="en-CA"/>
              </w:rPr>
            </w:pPr>
          </w:p>
        </w:tc>
        <w:tc>
          <w:tcPr>
            <w:tcW w:w="2523" w:type="dxa"/>
            <w:tcBorders>
              <w:top w:val="single" w:color="D8D8D8" w:themeColor="background1" w:themeShade="D9" w:sz="2" w:space="0"/>
              <w:bottom w:val="single" w:color="auto" w:sz="4" w:space="0"/>
              <w:right w:val="single" w:color="auto" w:sz="4" w:space="0"/>
            </w:tcBorders>
          </w:tcPr>
          <w:p>
            <w:pPr>
              <w:keepNext/>
              <w:spacing w:after="0"/>
              <w:jc w:val="center"/>
              <w:rPr>
                <w:szCs w:val="20"/>
                <w:lang w:val="en-CA"/>
              </w:rPr>
            </w:pPr>
            <w:bookmarkStart w:id="26" w:name="_GoBack"/>
            <w:bookmarkEnd w:id="26"/>
          </w:p>
        </w:tc>
      </w:tr>
    </w:tbl>
    <w:p/>
    <w:sdt>
      <w:sdtPr>
        <w:alias w:val="Creative Commons License"/>
        <w:tag w:val="Creative Commons License"/>
        <w:id w:val="-635406550"/>
        <w:lock w:val="contentLocked"/>
        <w:placeholder>
          <w:docPart w:val="78BBB186D6D549248D25BDD733202B88"/>
        </w:placeholder>
      </w:sdtPr>
      <w:sdtContent>
        <w:p>
          <w:r>
            <w:rPr>
              <w:lang w:eastAsia="zh-CN"/>
            </w:rPr>
            <w:drawing>
              <wp:inline distT="0" distB="0" distL="0" distR="0">
                <wp:extent cx="843280" cy="297180"/>
                <wp:effectExtent l="0" t="0" r="0" b="0"/>
                <wp:docPr id="28" name="Picture 3"/>
                <wp:cNvGraphicFramePr/>
                <a:graphic xmlns:a="http://schemas.openxmlformats.org/drawingml/2006/main">
                  <a:graphicData uri="http://schemas.openxmlformats.org/drawingml/2006/picture">
                    <pic:pic xmlns:pic="http://schemas.openxmlformats.org/drawingml/2006/picture">
                      <pic:nvPicPr>
                        <pic:cNvPr id="28" name="Picture 3"/>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43280" cy="297180"/>
                        </a:xfrm>
                        <a:prstGeom prst="rect">
                          <a:avLst/>
                        </a:prstGeom>
                        <a:solidFill>
                          <a:srgbClr val="FFFFFF"/>
                        </a:solidFill>
                        <a:ln>
                          <a:noFill/>
                        </a:ln>
                      </pic:spPr>
                    </pic:pic>
                  </a:graphicData>
                </a:graphic>
              </wp:inline>
            </w:drawing>
          </w:r>
        </w:p>
        <w:p>
          <w:pPr>
            <w:rPr>
              <w:rFonts w:hint="eastAsia"/>
            </w:rPr>
          </w:pPr>
          <w:r>
            <w:t xml:space="preserve">This work is licensed under a </w:t>
          </w:r>
          <w:r>
            <w:fldChar w:fldCharType="begin"/>
          </w:r>
          <w:r>
            <w:instrText xml:space="preserve"> HYPERLINK "http://creativecommons.org/licenses/by-nc-nd/4.0/" </w:instrText>
          </w:r>
          <w:r>
            <w:fldChar w:fldCharType="separate"/>
          </w:r>
          <w:r>
            <w:rPr>
              <w:rStyle w:val="18"/>
            </w:rPr>
            <w:t>Creative Commons Attribution-NonCommercial-NoDerivatives 4.0 International License</w:t>
          </w:r>
          <w:r>
            <w:rPr>
              <w:rStyle w:val="18"/>
            </w:rPr>
            <w:fldChar w:fldCharType="end"/>
          </w:r>
          <w:r>
            <w:t>.</w:t>
          </w:r>
        </w:p>
      </w:sdtContent>
    </w:sdt>
    <w:sectPr>
      <w:footerReference r:id="rId3" w:type="default"/>
      <w:pgSz w:w="16838" w:h="11906" w:orient="landscape"/>
      <w:pgMar w:top="720" w:right="720" w:bottom="720" w:left="720"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onstantia">
    <w:panose1 w:val="02030602050306030303"/>
    <w:charset w:val="00"/>
    <w:family w:val="roman"/>
    <w:pitch w:val="default"/>
    <w:sig w:usb0="A00002EF" w:usb1="4000204B" w:usb2="00000000"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6674012"/>
    </w:sdtPr>
    <w:sdtContent>
      <w:p>
        <w:pPr>
          <w:pStyle w:val="9"/>
          <w:jc w:val="center"/>
        </w:pPr>
        <w:r>
          <w:fldChar w:fldCharType="begin"/>
        </w:r>
        <w:r>
          <w:instrText xml:space="preserve"> PAGE   \* MERGEFORMAT </w:instrText>
        </w:r>
        <w:r>
          <w:fldChar w:fldCharType="separate"/>
        </w:r>
        <w:r>
          <w:t>1</w:t>
        </w:r>
        <w:r>
          <w:fldChar w:fldCharType="end"/>
        </w:r>
      </w:p>
    </w:sdtContent>
  </w:sdt>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9zeftthedatqerrtkp9z9b9ssdwvwt9xsp&quot;&gt;ROBINS-I&lt;record-ids&gt;&lt;item&gt;1&lt;/item&gt;&lt;item&gt;2&lt;/item&gt;&lt;item&gt;3&lt;/item&gt;&lt;item&gt;4&lt;/item&gt;&lt;item&gt;5&lt;/item&gt;&lt;item&gt;6&lt;/item&gt;&lt;item&gt;7&lt;/item&gt;&lt;item&gt;9&lt;/item&gt;&lt;item&gt;11&lt;/item&gt;&lt;item&gt;12&lt;/item&gt;&lt;item&gt;13&lt;/item&gt;&lt;item&gt;14&lt;/item&gt;&lt;item&gt;16&lt;/item&gt;&lt;item&gt;28&lt;/item&gt;&lt;item&gt;29&lt;/item&gt;&lt;item&gt;30&lt;/item&gt;&lt;item&gt;31&lt;/item&gt;&lt;item&gt;33&lt;/item&gt;&lt;item&gt;38&lt;/item&gt;&lt;item&gt;39&lt;/item&gt;&lt;item&gt;40&lt;/item&gt;&lt;item&gt;41&lt;/item&gt;&lt;/record-ids&gt;&lt;/item&gt;&lt;/Libraries&gt;"/>
  </w:docVars>
  <w:rsids>
    <w:rsidRoot w:val="00215132"/>
    <w:rsid w:val="0000483A"/>
    <w:rsid w:val="00011E78"/>
    <w:rsid w:val="00012486"/>
    <w:rsid w:val="000160BA"/>
    <w:rsid w:val="00017C65"/>
    <w:rsid w:val="00020E31"/>
    <w:rsid w:val="000217A8"/>
    <w:rsid w:val="00024C12"/>
    <w:rsid w:val="000376BA"/>
    <w:rsid w:val="0004288A"/>
    <w:rsid w:val="00047CD1"/>
    <w:rsid w:val="00050D87"/>
    <w:rsid w:val="00054DB0"/>
    <w:rsid w:val="000552FD"/>
    <w:rsid w:val="00057CD7"/>
    <w:rsid w:val="00060FA1"/>
    <w:rsid w:val="00073913"/>
    <w:rsid w:val="000767D8"/>
    <w:rsid w:val="000814EB"/>
    <w:rsid w:val="00085787"/>
    <w:rsid w:val="00086F4A"/>
    <w:rsid w:val="0009049E"/>
    <w:rsid w:val="0009418E"/>
    <w:rsid w:val="00096C54"/>
    <w:rsid w:val="00096CC7"/>
    <w:rsid w:val="000A6D57"/>
    <w:rsid w:val="000C066D"/>
    <w:rsid w:val="000D224C"/>
    <w:rsid w:val="000D58B1"/>
    <w:rsid w:val="000D6A6B"/>
    <w:rsid w:val="000E0710"/>
    <w:rsid w:val="000E1862"/>
    <w:rsid w:val="000E2888"/>
    <w:rsid w:val="000E6DD3"/>
    <w:rsid w:val="000E7581"/>
    <w:rsid w:val="000F401E"/>
    <w:rsid w:val="000F44E4"/>
    <w:rsid w:val="000F5992"/>
    <w:rsid w:val="000F5B58"/>
    <w:rsid w:val="000F5F4E"/>
    <w:rsid w:val="000F71A2"/>
    <w:rsid w:val="00100BD3"/>
    <w:rsid w:val="0010649F"/>
    <w:rsid w:val="001066EC"/>
    <w:rsid w:val="0011139C"/>
    <w:rsid w:val="0011485F"/>
    <w:rsid w:val="00115063"/>
    <w:rsid w:val="00115778"/>
    <w:rsid w:val="001217DD"/>
    <w:rsid w:val="001224A1"/>
    <w:rsid w:val="00124350"/>
    <w:rsid w:val="00125A66"/>
    <w:rsid w:val="00127A5E"/>
    <w:rsid w:val="00130B02"/>
    <w:rsid w:val="00130B52"/>
    <w:rsid w:val="0013327A"/>
    <w:rsid w:val="0013611F"/>
    <w:rsid w:val="001452E4"/>
    <w:rsid w:val="00152EE7"/>
    <w:rsid w:val="001674E3"/>
    <w:rsid w:val="00167B07"/>
    <w:rsid w:val="001878A0"/>
    <w:rsid w:val="00191FB7"/>
    <w:rsid w:val="00194E77"/>
    <w:rsid w:val="001A503B"/>
    <w:rsid w:val="001A5F4F"/>
    <w:rsid w:val="001B1BB7"/>
    <w:rsid w:val="001B2965"/>
    <w:rsid w:val="001B4EDB"/>
    <w:rsid w:val="001C0749"/>
    <w:rsid w:val="001C0DB9"/>
    <w:rsid w:val="001D126B"/>
    <w:rsid w:val="001D1480"/>
    <w:rsid w:val="001D4059"/>
    <w:rsid w:val="001D4EF8"/>
    <w:rsid w:val="001D60E1"/>
    <w:rsid w:val="001D653B"/>
    <w:rsid w:val="001F18C8"/>
    <w:rsid w:val="001F2CB8"/>
    <w:rsid w:val="001F3B43"/>
    <w:rsid w:val="001F3D4D"/>
    <w:rsid w:val="001F45CE"/>
    <w:rsid w:val="0020022D"/>
    <w:rsid w:val="00200465"/>
    <w:rsid w:val="0020133C"/>
    <w:rsid w:val="002136E3"/>
    <w:rsid w:val="00215132"/>
    <w:rsid w:val="00223E72"/>
    <w:rsid w:val="002264C4"/>
    <w:rsid w:val="00231CC3"/>
    <w:rsid w:val="00235331"/>
    <w:rsid w:val="00242246"/>
    <w:rsid w:val="0025045F"/>
    <w:rsid w:val="0025701E"/>
    <w:rsid w:val="00261202"/>
    <w:rsid w:val="002619A4"/>
    <w:rsid w:val="00266B6D"/>
    <w:rsid w:val="002736EB"/>
    <w:rsid w:val="002804C3"/>
    <w:rsid w:val="00283175"/>
    <w:rsid w:val="002845DE"/>
    <w:rsid w:val="00287E6B"/>
    <w:rsid w:val="0029405D"/>
    <w:rsid w:val="00297347"/>
    <w:rsid w:val="0029775A"/>
    <w:rsid w:val="002A56F3"/>
    <w:rsid w:val="002A58A5"/>
    <w:rsid w:val="002B1F24"/>
    <w:rsid w:val="002B305B"/>
    <w:rsid w:val="002B3191"/>
    <w:rsid w:val="002B4A89"/>
    <w:rsid w:val="002C05B1"/>
    <w:rsid w:val="002C16AC"/>
    <w:rsid w:val="002C1D39"/>
    <w:rsid w:val="002C37AE"/>
    <w:rsid w:val="002C4E9B"/>
    <w:rsid w:val="002D21F3"/>
    <w:rsid w:val="002D2D3A"/>
    <w:rsid w:val="002D45A0"/>
    <w:rsid w:val="002D673F"/>
    <w:rsid w:val="002E3C8D"/>
    <w:rsid w:val="002E4E71"/>
    <w:rsid w:val="002E5257"/>
    <w:rsid w:val="002E77DA"/>
    <w:rsid w:val="002E7E6E"/>
    <w:rsid w:val="002F2B46"/>
    <w:rsid w:val="0030327A"/>
    <w:rsid w:val="0030443E"/>
    <w:rsid w:val="00310E3E"/>
    <w:rsid w:val="003178E2"/>
    <w:rsid w:val="00317B90"/>
    <w:rsid w:val="0032234E"/>
    <w:rsid w:val="00323E50"/>
    <w:rsid w:val="00324641"/>
    <w:rsid w:val="00325B07"/>
    <w:rsid w:val="003317CF"/>
    <w:rsid w:val="0033250A"/>
    <w:rsid w:val="00333385"/>
    <w:rsid w:val="00333EE0"/>
    <w:rsid w:val="003365E4"/>
    <w:rsid w:val="00336E34"/>
    <w:rsid w:val="003415FF"/>
    <w:rsid w:val="00352D01"/>
    <w:rsid w:val="00355B10"/>
    <w:rsid w:val="003610B4"/>
    <w:rsid w:val="003672F0"/>
    <w:rsid w:val="003702B7"/>
    <w:rsid w:val="0037039A"/>
    <w:rsid w:val="00370603"/>
    <w:rsid w:val="00371242"/>
    <w:rsid w:val="00372C69"/>
    <w:rsid w:val="0038149A"/>
    <w:rsid w:val="00387948"/>
    <w:rsid w:val="00387B1B"/>
    <w:rsid w:val="003915BE"/>
    <w:rsid w:val="00394726"/>
    <w:rsid w:val="00395E4E"/>
    <w:rsid w:val="003A1C72"/>
    <w:rsid w:val="003A6B1E"/>
    <w:rsid w:val="003B03A9"/>
    <w:rsid w:val="003B12B9"/>
    <w:rsid w:val="003B6EAA"/>
    <w:rsid w:val="003C4E84"/>
    <w:rsid w:val="003C58B6"/>
    <w:rsid w:val="003C7034"/>
    <w:rsid w:val="003D0087"/>
    <w:rsid w:val="003D6077"/>
    <w:rsid w:val="003D66FE"/>
    <w:rsid w:val="003E6B35"/>
    <w:rsid w:val="003F4BA9"/>
    <w:rsid w:val="003F7184"/>
    <w:rsid w:val="003F7C56"/>
    <w:rsid w:val="003F7F06"/>
    <w:rsid w:val="00400B3B"/>
    <w:rsid w:val="00401D2F"/>
    <w:rsid w:val="00403760"/>
    <w:rsid w:val="00403A81"/>
    <w:rsid w:val="004154A9"/>
    <w:rsid w:val="00420617"/>
    <w:rsid w:val="004220EC"/>
    <w:rsid w:val="00423CC8"/>
    <w:rsid w:val="004275F7"/>
    <w:rsid w:val="00431F65"/>
    <w:rsid w:val="004331FC"/>
    <w:rsid w:val="00434B71"/>
    <w:rsid w:val="00442DA1"/>
    <w:rsid w:val="00445780"/>
    <w:rsid w:val="00453BFF"/>
    <w:rsid w:val="004541CB"/>
    <w:rsid w:val="00462517"/>
    <w:rsid w:val="00463DF6"/>
    <w:rsid w:val="00467EAA"/>
    <w:rsid w:val="004729BB"/>
    <w:rsid w:val="00473C6F"/>
    <w:rsid w:val="00491B15"/>
    <w:rsid w:val="0049459A"/>
    <w:rsid w:val="004A6D99"/>
    <w:rsid w:val="004B32FA"/>
    <w:rsid w:val="004B66E9"/>
    <w:rsid w:val="004B72C1"/>
    <w:rsid w:val="004C048C"/>
    <w:rsid w:val="004C13CA"/>
    <w:rsid w:val="004C6B88"/>
    <w:rsid w:val="004D2B6D"/>
    <w:rsid w:val="004E168D"/>
    <w:rsid w:val="004E40F5"/>
    <w:rsid w:val="004E5501"/>
    <w:rsid w:val="004E61FC"/>
    <w:rsid w:val="004E63C9"/>
    <w:rsid w:val="004E65E8"/>
    <w:rsid w:val="004E7F76"/>
    <w:rsid w:val="004F01DC"/>
    <w:rsid w:val="004F2730"/>
    <w:rsid w:val="004F3896"/>
    <w:rsid w:val="004F40A6"/>
    <w:rsid w:val="004F4EB9"/>
    <w:rsid w:val="004F7597"/>
    <w:rsid w:val="00502DB7"/>
    <w:rsid w:val="00504B3C"/>
    <w:rsid w:val="005054F0"/>
    <w:rsid w:val="00515000"/>
    <w:rsid w:val="005202E9"/>
    <w:rsid w:val="00520ECF"/>
    <w:rsid w:val="00531AF9"/>
    <w:rsid w:val="00535FBE"/>
    <w:rsid w:val="00540BA4"/>
    <w:rsid w:val="00542017"/>
    <w:rsid w:val="00542539"/>
    <w:rsid w:val="00542F3C"/>
    <w:rsid w:val="005444CE"/>
    <w:rsid w:val="00545244"/>
    <w:rsid w:val="0054606A"/>
    <w:rsid w:val="00547697"/>
    <w:rsid w:val="00547AB9"/>
    <w:rsid w:val="005504AC"/>
    <w:rsid w:val="005527AA"/>
    <w:rsid w:val="00560719"/>
    <w:rsid w:val="00567F95"/>
    <w:rsid w:val="0057092D"/>
    <w:rsid w:val="00571C6E"/>
    <w:rsid w:val="00573216"/>
    <w:rsid w:val="00573751"/>
    <w:rsid w:val="005774D9"/>
    <w:rsid w:val="00581124"/>
    <w:rsid w:val="00582EDE"/>
    <w:rsid w:val="00585AC8"/>
    <w:rsid w:val="00590EAB"/>
    <w:rsid w:val="0059523F"/>
    <w:rsid w:val="005A22CB"/>
    <w:rsid w:val="005A2450"/>
    <w:rsid w:val="005A2706"/>
    <w:rsid w:val="005A6CC9"/>
    <w:rsid w:val="005A797F"/>
    <w:rsid w:val="005B11D1"/>
    <w:rsid w:val="005B4835"/>
    <w:rsid w:val="005B4B1A"/>
    <w:rsid w:val="005B748F"/>
    <w:rsid w:val="005B7F00"/>
    <w:rsid w:val="005D2B7C"/>
    <w:rsid w:val="005D3AEB"/>
    <w:rsid w:val="005D52E2"/>
    <w:rsid w:val="005E0083"/>
    <w:rsid w:val="005E27CE"/>
    <w:rsid w:val="005E36E1"/>
    <w:rsid w:val="005E4B71"/>
    <w:rsid w:val="005E5D4A"/>
    <w:rsid w:val="005F2266"/>
    <w:rsid w:val="005F2281"/>
    <w:rsid w:val="005F528E"/>
    <w:rsid w:val="00600ED4"/>
    <w:rsid w:val="00602FD1"/>
    <w:rsid w:val="0060604D"/>
    <w:rsid w:val="00606F4E"/>
    <w:rsid w:val="00607B69"/>
    <w:rsid w:val="00611F41"/>
    <w:rsid w:val="00613BB3"/>
    <w:rsid w:val="00616854"/>
    <w:rsid w:val="00617FDA"/>
    <w:rsid w:val="00621D1F"/>
    <w:rsid w:val="00622DE3"/>
    <w:rsid w:val="006234AB"/>
    <w:rsid w:val="0062661A"/>
    <w:rsid w:val="00626661"/>
    <w:rsid w:val="006268F7"/>
    <w:rsid w:val="0062779E"/>
    <w:rsid w:val="00627CBF"/>
    <w:rsid w:val="00627D46"/>
    <w:rsid w:val="00634F58"/>
    <w:rsid w:val="0063611D"/>
    <w:rsid w:val="00642DE9"/>
    <w:rsid w:val="006432EE"/>
    <w:rsid w:val="0064661A"/>
    <w:rsid w:val="00646D73"/>
    <w:rsid w:val="00662A4C"/>
    <w:rsid w:val="00670E76"/>
    <w:rsid w:val="006719B1"/>
    <w:rsid w:val="006740E7"/>
    <w:rsid w:val="00675FC0"/>
    <w:rsid w:val="006775CE"/>
    <w:rsid w:val="00677F02"/>
    <w:rsid w:val="00686BD5"/>
    <w:rsid w:val="00687802"/>
    <w:rsid w:val="00690601"/>
    <w:rsid w:val="00693AF5"/>
    <w:rsid w:val="0069512B"/>
    <w:rsid w:val="006969C5"/>
    <w:rsid w:val="00697976"/>
    <w:rsid w:val="006A2A82"/>
    <w:rsid w:val="006A55A3"/>
    <w:rsid w:val="006A67B1"/>
    <w:rsid w:val="006A77D9"/>
    <w:rsid w:val="006B1AFB"/>
    <w:rsid w:val="006B65C8"/>
    <w:rsid w:val="006C3A37"/>
    <w:rsid w:val="006C4811"/>
    <w:rsid w:val="006C64CD"/>
    <w:rsid w:val="006D5341"/>
    <w:rsid w:val="006D6852"/>
    <w:rsid w:val="006E1DF4"/>
    <w:rsid w:val="006E2568"/>
    <w:rsid w:val="006E35CF"/>
    <w:rsid w:val="006E6644"/>
    <w:rsid w:val="006E6B66"/>
    <w:rsid w:val="006F3DCF"/>
    <w:rsid w:val="00700939"/>
    <w:rsid w:val="00702645"/>
    <w:rsid w:val="00703907"/>
    <w:rsid w:val="00710074"/>
    <w:rsid w:val="0071085C"/>
    <w:rsid w:val="00716242"/>
    <w:rsid w:val="007207D8"/>
    <w:rsid w:val="00723CB3"/>
    <w:rsid w:val="00724B11"/>
    <w:rsid w:val="007263E7"/>
    <w:rsid w:val="007336C6"/>
    <w:rsid w:val="00735940"/>
    <w:rsid w:val="0073598E"/>
    <w:rsid w:val="00737276"/>
    <w:rsid w:val="0073733C"/>
    <w:rsid w:val="0074488B"/>
    <w:rsid w:val="00744DB9"/>
    <w:rsid w:val="007541B2"/>
    <w:rsid w:val="00757803"/>
    <w:rsid w:val="00757EBE"/>
    <w:rsid w:val="00761411"/>
    <w:rsid w:val="00761E2E"/>
    <w:rsid w:val="00761F13"/>
    <w:rsid w:val="007663DD"/>
    <w:rsid w:val="00770903"/>
    <w:rsid w:val="00771E7D"/>
    <w:rsid w:val="007726CD"/>
    <w:rsid w:val="00774075"/>
    <w:rsid w:val="0077474A"/>
    <w:rsid w:val="0077572E"/>
    <w:rsid w:val="00775C38"/>
    <w:rsid w:val="007778FC"/>
    <w:rsid w:val="00777C11"/>
    <w:rsid w:val="0078027E"/>
    <w:rsid w:val="00782376"/>
    <w:rsid w:val="00786C90"/>
    <w:rsid w:val="00792093"/>
    <w:rsid w:val="007A7DA9"/>
    <w:rsid w:val="007B35FE"/>
    <w:rsid w:val="007B37C2"/>
    <w:rsid w:val="007B5FFD"/>
    <w:rsid w:val="007B622D"/>
    <w:rsid w:val="007C40EF"/>
    <w:rsid w:val="007C6A6C"/>
    <w:rsid w:val="007C79F0"/>
    <w:rsid w:val="007D21B0"/>
    <w:rsid w:val="007D3C72"/>
    <w:rsid w:val="007D3F94"/>
    <w:rsid w:val="007D4A4F"/>
    <w:rsid w:val="007D6801"/>
    <w:rsid w:val="007E1217"/>
    <w:rsid w:val="007E177C"/>
    <w:rsid w:val="007E3D37"/>
    <w:rsid w:val="007E506B"/>
    <w:rsid w:val="007E559E"/>
    <w:rsid w:val="007E63B4"/>
    <w:rsid w:val="007E6D15"/>
    <w:rsid w:val="007F0921"/>
    <w:rsid w:val="007F20D7"/>
    <w:rsid w:val="00801CBB"/>
    <w:rsid w:val="00803987"/>
    <w:rsid w:val="0080503E"/>
    <w:rsid w:val="00811648"/>
    <w:rsid w:val="00811ABF"/>
    <w:rsid w:val="00817649"/>
    <w:rsid w:val="0081793E"/>
    <w:rsid w:val="0082095E"/>
    <w:rsid w:val="00821EA5"/>
    <w:rsid w:val="00830790"/>
    <w:rsid w:val="008316EB"/>
    <w:rsid w:val="00833BA0"/>
    <w:rsid w:val="00834174"/>
    <w:rsid w:val="008352C4"/>
    <w:rsid w:val="008402A8"/>
    <w:rsid w:val="00841D34"/>
    <w:rsid w:val="008466CD"/>
    <w:rsid w:val="008501ED"/>
    <w:rsid w:val="00853A79"/>
    <w:rsid w:val="00853F2A"/>
    <w:rsid w:val="00854193"/>
    <w:rsid w:val="008543B0"/>
    <w:rsid w:val="00854EFF"/>
    <w:rsid w:val="008568DE"/>
    <w:rsid w:val="00856960"/>
    <w:rsid w:val="0086079D"/>
    <w:rsid w:val="00865085"/>
    <w:rsid w:val="00870961"/>
    <w:rsid w:val="008710ED"/>
    <w:rsid w:val="008717F1"/>
    <w:rsid w:val="00873FA4"/>
    <w:rsid w:val="00877E2A"/>
    <w:rsid w:val="00880250"/>
    <w:rsid w:val="00880EAA"/>
    <w:rsid w:val="00880EFC"/>
    <w:rsid w:val="00885C82"/>
    <w:rsid w:val="00892B7D"/>
    <w:rsid w:val="00892C31"/>
    <w:rsid w:val="00893BD8"/>
    <w:rsid w:val="00895CC2"/>
    <w:rsid w:val="0089714A"/>
    <w:rsid w:val="00897EED"/>
    <w:rsid w:val="008A017A"/>
    <w:rsid w:val="008A4205"/>
    <w:rsid w:val="008A463C"/>
    <w:rsid w:val="008A5632"/>
    <w:rsid w:val="008B1476"/>
    <w:rsid w:val="008B2528"/>
    <w:rsid w:val="008B2C82"/>
    <w:rsid w:val="008B5BF1"/>
    <w:rsid w:val="008C0762"/>
    <w:rsid w:val="008C14D7"/>
    <w:rsid w:val="008C30C2"/>
    <w:rsid w:val="008C72F4"/>
    <w:rsid w:val="008C74C3"/>
    <w:rsid w:val="008D6DFD"/>
    <w:rsid w:val="008F49B6"/>
    <w:rsid w:val="008F56A0"/>
    <w:rsid w:val="008F6ECB"/>
    <w:rsid w:val="009009AD"/>
    <w:rsid w:val="00901263"/>
    <w:rsid w:val="00905886"/>
    <w:rsid w:val="00905D83"/>
    <w:rsid w:val="00915421"/>
    <w:rsid w:val="00930C4C"/>
    <w:rsid w:val="009366BD"/>
    <w:rsid w:val="00944EA6"/>
    <w:rsid w:val="00946387"/>
    <w:rsid w:val="009503A3"/>
    <w:rsid w:val="0095566F"/>
    <w:rsid w:val="00957158"/>
    <w:rsid w:val="0095760E"/>
    <w:rsid w:val="0096146E"/>
    <w:rsid w:val="00963576"/>
    <w:rsid w:val="009660AF"/>
    <w:rsid w:val="0097007F"/>
    <w:rsid w:val="00970A27"/>
    <w:rsid w:val="00973682"/>
    <w:rsid w:val="00974706"/>
    <w:rsid w:val="00977A0A"/>
    <w:rsid w:val="00982F5C"/>
    <w:rsid w:val="009865C3"/>
    <w:rsid w:val="009871C0"/>
    <w:rsid w:val="00991959"/>
    <w:rsid w:val="00992E64"/>
    <w:rsid w:val="009A1718"/>
    <w:rsid w:val="009A4D14"/>
    <w:rsid w:val="009B1CE0"/>
    <w:rsid w:val="009B2289"/>
    <w:rsid w:val="009B2ABA"/>
    <w:rsid w:val="009B4484"/>
    <w:rsid w:val="009B7A23"/>
    <w:rsid w:val="009D3E88"/>
    <w:rsid w:val="009D55EA"/>
    <w:rsid w:val="009E2422"/>
    <w:rsid w:val="009E4973"/>
    <w:rsid w:val="009F1002"/>
    <w:rsid w:val="009F70A8"/>
    <w:rsid w:val="00A02679"/>
    <w:rsid w:val="00A0338A"/>
    <w:rsid w:val="00A04581"/>
    <w:rsid w:val="00A05B8D"/>
    <w:rsid w:val="00A13271"/>
    <w:rsid w:val="00A17AC3"/>
    <w:rsid w:val="00A21BD2"/>
    <w:rsid w:val="00A21FFF"/>
    <w:rsid w:val="00A24C7D"/>
    <w:rsid w:val="00A254F5"/>
    <w:rsid w:val="00A2750A"/>
    <w:rsid w:val="00A3000A"/>
    <w:rsid w:val="00A3439F"/>
    <w:rsid w:val="00A34AFB"/>
    <w:rsid w:val="00A37478"/>
    <w:rsid w:val="00A37EBA"/>
    <w:rsid w:val="00A42554"/>
    <w:rsid w:val="00A47128"/>
    <w:rsid w:val="00A47228"/>
    <w:rsid w:val="00A50789"/>
    <w:rsid w:val="00A539B5"/>
    <w:rsid w:val="00A53B34"/>
    <w:rsid w:val="00A554E5"/>
    <w:rsid w:val="00A568A6"/>
    <w:rsid w:val="00A5709D"/>
    <w:rsid w:val="00A62C10"/>
    <w:rsid w:val="00A64DA6"/>
    <w:rsid w:val="00A65740"/>
    <w:rsid w:val="00A662FA"/>
    <w:rsid w:val="00A7121C"/>
    <w:rsid w:val="00A72880"/>
    <w:rsid w:val="00A72C29"/>
    <w:rsid w:val="00A74E98"/>
    <w:rsid w:val="00A77EE6"/>
    <w:rsid w:val="00A820F1"/>
    <w:rsid w:val="00A83A28"/>
    <w:rsid w:val="00A90197"/>
    <w:rsid w:val="00A9080E"/>
    <w:rsid w:val="00A90C85"/>
    <w:rsid w:val="00A94A16"/>
    <w:rsid w:val="00A953D3"/>
    <w:rsid w:val="00A97116"/>
    <w:rsid w:val="00A97FE9"/>
    <w:rsid w:val="00AA1211"/>
    <w:rsid w:val="00AA26B7"/>
    <w:rsid w:val="00AA3230"/>
    <w:rsid w:val="00AB0401"/>
    <w:rsid w:val="00AB47CD"/>
    <w:rsid w:val="00AB4A53"/>
    <w:rsid w:val="00AB54A6"/>
    <w:rsid w:val="00AB5B88"/>
    <w:rsid w:val="00AB64E3"/>
    <w:rsid w:val="00AC10AF"/>
    <w:rsid w:val="00AC16B4"/>
    <w:rsid w:val="00AC2099"/>
    <w:rsid w:val="00AC334D"/>
    <w:rsid w:val="00AC4368"/>
    <w:rsid w:val="00AC6778"/>
    <w:rsid w:val="00AD23BA"/>
    <w:rsid w:val="00AD26DA"/>
    <w:rsid w:val="00AD38E7"/>
    <w:rsid w:val="00AE5D6B"/>
    <w:rsid w:val="00AE66C7"/>
    <w:rsid w:val="00AE7CFC"/>
    <w:rsid w:val="00AF1931"/>
    <w:rsid w:val="00AF3437"/>
    <w:rsid w:val="00AF37D6"/>
    <w:rsid w:val="00AF3B90"/>
    <w:rsid w:val="00B01A6C"/>
    <w:rsid w:val="00B01EBE"/>
    <w:rsid w:val="00B13F4F"/>
    <w:rsid w:val="00B1495E"/>
    <w:rsid w:val="00B15322"/>
    <w:rsid w:val="00B20D63"/>
    <w:rsid w:val="00B244EE"/>
    <w:rsid w:val="00B250DF"/>
    <w:rsid w:val="00B260E8"/>
    <w:rsid w:val="00B32A35"/>
    <w:rsid w:val="00B32F9A"/>
    <w:rsid w:val="00B34BCF"/>
    <w:rsid w:val="00B353E5"/>
    <w:rsid w:val="00B432F1"/>
    <w:rsid w:val="00B44A1C"/>
    <w:rsid w:val="00B5530F"/>
    <w:rsid w:val="00B618EA"/>
    <w:rsid w:val="00B633F3"/>
    <w:rsid w:val="00B6533E"/>
    <w:rsid w:val="00B6675C"/>
    <w:rsid w:val="00B672A8"/>
    <w:rsid w:val="00B672CA"/>
    <w:rsid w:val="00B70758"/>
    <w:rsid w:val="00B73557"/>
    <w:rsid w:val="00B75388"/>
    <w:rsid w:val="00B8493F"/>
    <w:rsid w:val="00B84F80"/>
    <w:rsid w:val="00B863BA"/>
    <w:rsid w:val="00B908DB"/>
    <w:rsid w:val="00B90A4F"/>
    <w:rsid w:val="00B91E59"/>
    <w:rsid w:val="00B929F9"/>
    <w:rsid w:val="00B92A37"/>
    <w:rsid w:val="00B92CD7"/>
    <w:rsid w:val="00B93CBC"/>
    <w:rsid w:val="00B945F8"/>
    <w:rsid w:val="00B967A0"/>
    <w:rsid w:val="00B97808"/>
    <w:rsid w:val="00BB6E6E"/>
    <w:rsid w:val="00BB7444"/>
    <w:rsid w:val="00BC5425"/>
    <w:rsid w:val="00BD1E76"/>
    <w:rsid w:val="00BD36E0"/>
    <w:rsid w:val="00BD4402"/>
    <w:rsid w:val="00BD49E6"/>
    <w:rsid w:val="00BD6A3C"/>
    <w:rsid w:val="00BE0AEA"/>
    <w:rsid w:val="00BE1609"/>
    <w:rsid w:val="00BE3F94"/>
    <w:rsid w:val="00BE537C"/>
    <w:rsid w:val="00BE5777"/>
    <w:rsid w:val="00BE6D2D"/>
    <w:rsid w:val="00BF0D4E"/>
    <w:rsid w:val="00BF0D6E"/>
    <w:rsid w:val="00BF1554"/>
    <w:rsid w:val="00BF22E9"/>
    <w:rsid w:val="00BF4535"/>
    <w:rsid w:val="00BF4B83"/>
    <w:rsid w:val="00BF779D"/>
    <w:rsid w:val="00C00B88"/>
    <w:rsid w:val="00C0239B"/>
    <w:rsid w:val="00C0424E"/>
    <w:rsid w:val="00C078D3"/>
    <w:rsid w:val="00C16AE1"/>
    <w:rsid w:val="00C21AB0"/>
    <w:rsid w:val="00C26D8D"/>
    <w:rsid w:val="00C31E21"/>
    <w:rsid w:val="00C351DA"/>
    <w:rsid w:val="00C372DD"/>
    <w:rsid w:val="00C40DDD"/>
    <w:rsid w:val="00C46757"/>
    <w:rsid w:val="00C516E0"/>
    <w:rsid w:val="00C52F82"/>
    <w:rsid w:val="00C57AC9"/>
    <w:rsid w:val="00C60D0F"/>
    <w:rsid w:val="00C71743"/>
    <w:rsid w:val="00C7692D"/>
    <w:rsid w:val="00C77E1C"/>
    <w:rsid w:val="00C8191D"/>
    <w:rsid w:val="00C84C41"/>
    <w:rsid w:val="00C86A69"/>
    <w:rsid w:val="00C90D3E"/>
    <w:rsid w:val="00C931ED"/>
    <w:rsid w:val="00C93450"/>
    <w:rsid w:val="00C95600"/>
    <w:rsid w:val="00CA0275"/>
    <w:rsid w:val="00CA0A42"/>
    <w:rsid w:val="00CA10A5"/>
    <w:rsid w:val="00CA11EC"/>
    <w:rsid w:val="00CA4CCE"/>
    <w:rsid w:val="00CA4E66"/>
    <w:rsid w:val="00CA64B9"/>
    <w:rsid w:val="00CA69E8"/>
    <w:rsid w:val="00CA7A9D"/>
    <w:rsid w:val="00CA7ACB"/>
    <w:rsid w:val="00CB0C06"/>
    <w:rsid w:val="00CB11D4"/>
    <w:rsid w:val="00CB4D50"/>
    <w:rsid w:val="00CB7CB4"/>
    <w:rsid w:val="00CC4601"/>
    <w:rsid w:val="00CD2F92"/>
    <w:rsid w:val="00CD3A51"/>
    <w:rsid w:val="00CD566B"/>
    <w:rsid w:val="00CE452F"/>
    <w:rsid w:val="00CE64E3"/>
    <w:rsid w:val="00CF1A76"/>
    <w:rsid w:val="00CF468F"/>
    <w:rsid w:val="00CF6C3D"/>
    <w:rsid w:val="00D01FB4"/>
    <w:rsid w:val="00D07659"/>
    <w:rsid w:val="00D10609"/>
    <w:rsid w:val="00D116EF"/>
    <w:rsid w:val="00D15034"/>
    <w:rsid w:val="00D2757F"/>
    <w:rsid w:val="00D34F0C"/>
    <w:rsid w:val="00D366BD"/>
    <w:rsid w:val="00D3724D"/>
    <w:rsid w:val="00D376F0"/>
    <w:rsid w:val="00D42C72"/>
    <w:rsid w:val="00D43A2B"/>
    <w:rsid w:val="00D5030F"/>
    <w:rsid w:val="00D539AE"/>
    <w:rsid w:val="00D57631"/>
    <w:rsid w:val="00D61DD1"/>
    <w:rsid w:val="00D630DA"/>
    <w:rsid w:val="00D71DAF"/>
    <w:rsid w:val="00D71E55"/>
    <w:rsid w:val="00D71FF5"/>
    <w:rsid w:val="00D721B2"/>
    <w:rsid w:val="00D77482"/>
    <w:rsid w:val="00D77845"/>
    <w:rsid w:val="00D77C8B"/>
    <w:rsid w:val="00D823F0"/>
    <w:rsid w:val="00D841CA"/>
    <w:rsid w:val="00D8479F"/>
    <w:rsid w:val="00D87DA7"/>
    <w:rsid w:val="00D90559"/>
    <w:rsid w:val="00D90CC8"/>
    <w:rsid w:val="00D924E7"/>
    <w:rsid w:val="00D9253F"/>
    <w:rsid w:val="00D9349E"/>
    <w:rsid w:val="00D93FF1"/>
    <w:rsid w:val="00D967E2"/>
    <w:rsid w:val="00D9749F"/>
    <w:rsid w:val="00DA02FA"/>
    <w:rsid w:val="00DA3E63"/>
    <w:rsid w:val="00DB1D7F"/>
    <w:rsid w:val="00DB2F0A"/>
    <w:rsid w:val="00DC5CC1"/>
    <w:rsid w:val="00DC7B61"/>
    <w:rsid w:val="00DD27F1"/>
    <w:rsid w:val="00E0087D"/>
    <w:rsid w:val="00E00F35"/>
    <w:rsid w:val="00E03127"/>
    <w:rsid w:val="00E042FD"/>
    <w:rsid w:val="00E0706C"/>
    <w:rsid w:val="00E12A2B"/>
    <w:rsid w:val="00E20A6A"/>
    <w:rsid w:val="00E23804"/>
    <w:rsid w:val="00E25EF5"/>
    <w:rsid w:val="00E307B9"/>
    <w:rsid w:val="00E31440"/>
    <w:rsid w:val="00E3231D"/>
    <w:rsid w:val="00E32594"/>
    <w:rsid w:val="00E34215"/>
    <w:rsid w:val="00E34EA6"/>
    <w:rsid w:val="00E400B4"/>
    <w:rsid w:val="00E4056E"/>
    <w:rsid w:val="00E466F4"/>
    <w:rsid w:val="00E4763D"/>
    <w:rsid w:val="00E51A1E"/>
    <w:rsid w:val="00E601C2"/>
    <w:rsid w:val="00E60DC0"/>
    <w:rsid w:val="00E610EF"/>
    <w:rsid w:val="00E62185"/>
    <w:rsid w:val="00E72B1F"/>
    <w:rsid w:val="00E7695B"/>
    <w:rsid w:val="00E7729E"/>
    <w:rsid w:val="00E77475"/>
    <w:rsid w:val="00E8050B"/>
    <w:rsid w:val="00E83303"/>
    <w:rsid w:val="00E84BDA"/>
    <w:rsid w:val="00E87114"/>
    <w:rsid w:val="00E941F6"/>
    <w:rsid w:val="00E94F44"/>
    <w:rsid w:val="00E97F7C"/>
    <w:rsid w:val="00EA08A6"/>
    <w:rsid w:val="00EA460D"/>
    <w:rsid w:val="00EA6363"/>
    <w:rsid w:val="00EA6568"/>
    <w:rsid w:val="00EA6C8D"/>
    <w:rsid w:val="00EA7500"/>
    <w:rsid w:val="00EB01FC"/>
    <w:rsid w:val="00EC5409"/>
    <w:rsid w:val="00EC70F9"/>
    <w:rsid w:val="00EC771A"/>
    <w:rsid w:val="00ED06DC"/>
    <w:rsid w:val="00ED3849"/>
    <w:rsid w:val="00ED52B4"/>
    <w:rsid w:val="00ED5BE6"/>
    <w:rsid w:val="00EE3ABD"/>
    <w:rsid w:val="00EE609E"/>
    <w:rsid w:val="00EE6A5C"/>
    <w:rsid w:val="00EE7617"/>
    <w:rsid w:val="00EF090A"/>
    <w:rsid w:val="00EF5952"/>
    <w:rsid w:val="00EF6421"/>
    <w:rsid w:val="00EF7E9C"/>
    <w:rsid w:val="00F018BA"/>
    <w:rsid w:val="00F132FD"/>
    <w:rsid w:val="00F13E84"/>
    <w:rsid w:val="00F14AC7"/>
    <w:rsid w:val="00F14C13"/>
    <w:rsid w:val="00F20F33"/>
    <w:rsid w:val="00F224E3"/>
    <w:rsid w:val="00F22544"/>
    <w:rsid w:val="00F22E0E"/>
    <w:rsid w:val="00F25213"/>
    <w:rsid w:val="00F25988"/>
    <w:rsid w:val="00F422F5"/>
    <w:rsid w:val="00F44B30"/>
    <w:rsid w:val="00F44E8F"/>
    <w:rsid w:val="00F556DC"/>
    <w:rsid w:val="00F55C7E"/>
    <w:rsid w:val="00F56AA0"/>
    <w:rsid w:val="00F607D2"/>
    <w:rsid w:val="00F63B97"/>
    <w:rsid w:val="00F64104"/>
    <w:rsid w:val="00F715EB"/>
    <w:rsid w:val="00F754D4"/>
    <w:rsid w:val="00F75C61"/>
    <w:rsid w:val="00F811B5"/>
    <w:rsid w:val="00F8696E"/>
    <w:rsid w:val="00F92564"/>
    <w:rsid w:val="00F978F3"/>
    <w:rsid w:val="00FA183C"/>
    <w:rsid w:val="00FB3F0E"/>
    <w:rsid w:val="00FB46E1"/>
    <w:rsid w:val="00FB726E"/>
    <w:rsid w:val="00FB7BB4"/>
    <w:rsid w:val="00FC43AA"/>
    <w:rsid w:val="00FC6798"/>
    <w:rsid w:val="00FC7105"/>
    <w:rsid w:val="00FD25EF"/>
    <w:rsid w:val="00FD2EB0"/>
    <w:rsid w:val="00FE2828"/>
    <w:rsid w:val="00FE457E"/>
    <w:rsid w:val="00FE48F4"/>
    <w:rsid w:val="00FE5AB2"/>
    <w:rsid w:val="00FE5B8E"/>
    <w:rsid w:val="00FE6468"/>
    <w:rsid w:val="00FE7DF5"/>
    <w:rsid w:val="00FF0B41"/>
    <w:rsid w:val="00FF3AD9"/>
    <w:rsid w:val="01147746"/>
    <w:rsid w:val="01DB2C60"/>
    <w:rsid w:val="01E66EE3"/>
    <w:rsid w:val="021A3367"/>
    <w:rsid w:val="026B6D8F"/>
    <w:rsid w:val="02AB1803"/>
    <w:rsid w:val="03E0550E"/>
    <w:rsid w:val="051741A5"/>
    <w:rsid w:val="06CD6707"/>
    <w:rsid w:val="06DA636E"/>
    <w:rsid w:val="073E6C66"/>
    <w:rsid w:val="07CC03BD"/>
    <w:rsid w:val="07D43333"/>
    <w:rsid w:val="0830712B"/>
    <w:rsid w:val="08390338"/>
    <w:rsid w:val="099C6A19"/>
    <w:rsid w:val="09C56C10"/>
    <w:rsid w:val="09E06DA9"/>
    <w:rsid w:val="0A491F60"/>
    <w:rsid w:val="0A7E5F63"/>
    <w:rsid w:val="0A8E7DDE"/>
    <w:rsid w:val="0ADE0D7B"/>
    <w:rsid w:val="0C593648"/>
    <w:rsid w:val="0C87040A"/>
    <w:rsid w:val="0E351FAE"/>
    <w:rsid w:val="0E4E51EA"/>
    <w:rsid w:val="0E7A2AE0"/>
    <w:rsid w:val="0EA50110"/>
    <w:rsid w:val="0EA9551F"/>
    <w:rsid w:val="0F107A2C"/>
    <w:rsid w:val="0F510FD3"/>
    <w:rsid w:val="0FC35E33"/>
    <w:rsid w:val="0FDA2069"/>
    <w:rsid w:val="106E2843"/>
    <w:rsid w:val="10D87BE4"/>
    <w:rsid w:val="125556D7"/>
    <w:rsid w:val="125F2A26"/>
    <w:rsid w:val="130806CE"/>
    <w:rsid w:val="130A0CA8"/>
    <w:rsid w:val="133A19F8"/>
    <w:rsid w:val="13C21E92"/>
    <w:rsid w:val="142732C4"/>
    <w:rsid w:val="14AD4586"/>
    <w:rsid w:val="14E56E11"/>
    <w:rsid w:val="14F401A1"/>
    <w:rsid w:val="152511B9"/>
    <w:rsid w:val="1529705B"/>
    <w:rsid w:val="15D50F47"/>
    <w:rsid w:val="16B256B9"/>
    <w:rsid w:val="18657710"/>
    <w:rsid w:val="18850031"/>
    <w:rsid w:val="18B72DA0"/>
    <w:rsid w:val="18CE5CC5"/>
    <w:rsid w:val="19722194"/>
    <w:rsid w:val="1A0A5042"/>
    <w:rsid w:val="1A0D6F57"/>
    <w:rsid w:val="1A0E0AC5"/>
    <w:rsid w:val="1A6B7112"/>
    <w:rsid w:val="1B532B11"/>
    <w:rsid w:val="1B536112"/>
    <w:rsid w:val="1BB77F78"/>
    <w:rsid w:val="1BE44B13"/>
    <w:rsid w:val="1C203652"/>
    <w:rsid w:val="1C674AC2"/>
    <w:rsid w:val="1CAE0BB7"/>
    <w:rsid w:val="1CC16F39"/>
    <w:rsid w:val="1D342534"/>
    <w:rsid w:val="1D4F2D58"/>
    <w:rsid w:val="1D801E09"/>
    <w:rsid w:val="1D81384F"/>
    <w:rsid w:val="1DC105FA"/>
    <w:rsid w:val="1DEB0FA9"/>
    <w:rsid w:val="1EA20EC8"/>
    <w:rsid w:val="1EA404BB"/>
    <w:rsid w:val="1EAE26BF"/>
    <w:rsid w:val="1ED4059C"/>
    <w:rsid w:val="1EEF049A"/>
    <w:rsid w:val="1F1A4DB0"/>
    <w:rsid w:val="1F853BF4"/>
    <w:rsid w:val="200D4103"/>
    <w:rsid w:val="205671A6"/>
    <w:rsid w:val="209656D4"/>
    <w:rsid w:val="2161792A"/>
    <w:rsid w:val="21822884"/>
    <w:rsid w:val="22C27EE4"/>
    <w:rsid w:val="23404109"/>
    <w:rsid w:val="23837DD6"/>
    <w:rsid w:val="24646338"/>
    <w:rsid w:val="24DC7CA9"/>
    <w:rsid w:val="2531168E"/>
    <w:rsid w:val="2550314C"/>
    <w:rsid w:val="27704842"/>
    <w:rsid w:val="291917B1"/>
    <w:rsid w:val="2A8B1761"/>
    <w:rsid w:val="2AA579C6"/>
    <w:rsid w:val="2AD32218"/>
    <w:rsid w:val="2B371BB6"/>
    <w:rsid w:val="2B4B2798"/>
    <w:rsid w:val="2BEF071E"/>
    <w:rsid w:val="2C4B71B6"/>
    <w:rsid w:val="2C7A6AC9"/>
    <w:rsid w:val="2C905055"/>
    <w:rsid w:val="2D0250DA"/>
    <w:rsid w:val="2D4D75DE"/>
    <w:rsid w:val="2D5A2153"/>
    <w:rsid w:val="2D8131C9"/>
    <w:rsid w:val="2E061679"/>
    <w:rsid w:val="2E965299"/>
    <w:rsid w:val="2EA12504"/>
    <w:rsid w:val="2EDA02D3"/>
    <w:rsid w:val="2F2855BC"/>
    <w:rsid w:val="2FAF2941"/>
    <w:rsid w:val="31F37B3C"/>
    <w:rsid w:val="322C7512"/>
    <w:rsid w:val="329D02D2"/>
    <w:rsid w:val="333B72C0"/>
    <w:rsid w:val="336662A8"/>
    <w:rsid w:val="33E67F16"/>
    <w:rsid w:val="33EE0D5F"/>
    <w:rsid w:val="34003B1F"/>
    <w:rsid w:val="34BB5830"/>
    <w:rsid w:val="373C7529"/>
    <w:rsid w:val="375237AB"/>
    <w:rsid w:val="37BF6D99"/>
    <w:rsid w:val="392419E5"/>
    <w:rsid w:val="396E4749"/>
    <w:rsid w:val="39DA5822"/>
    <w:rsid w:val="39FF3BB7"/>
    <w:rsid w:val="3AA61789"/>
    <w:rsid w:val="3B516B62"/>
    <w:rsid w:val="3D737ADF"/>
    <w:rsid w:val="3F927237"/>
    <w:rsid w:val="406D16C1"/>
    <w:rsid w:val="41B35193"/>
    <w:rsid w:val="41F2688C"/>
    <w:rsid w:val="42042CE2"/>
    <w:rsid w:val="427D3E56"/>
    <w:rsid w:val="42D42475"/>
    <w:rsid w:val="437C6929"/>
    <w:rsid w:val="43A8384C"/>
    <w:rsid w:val="44152802"/>
    <w:rsid w:val="44167B4B"/>
    <w:rsid w:val="44434EBA"/>
    <w:rsid w:val="44AF62E4"/>
    <w:rsid w:val="44FE1822"/>
    <w:rsid w:val="45303F65"/>
    <w:rsid w:val="4541251D"/>
    <w:rsid w:val="45871518"/>
    <w:rsid w:val="4592253C"/>
    <w:rsid w:val="46320328"/>
    <w:rsid w:val="464E6AC5"/>
    <w:rsid w:val="468A259C"/>
    <w:rsid w:val="46997F65"/>
    <w:rsid w:val="475D11BE"/>
    <w:rsid w:val="4770384E"/>
    <w:rsid w:val="47F7418E"/>
    <w:rsid w:val="481B3272"/>
    <w:rsid w:val="489E5941"/>
    <w:rsid w:val="49955801"/>
    <w:rsid w:val="4AB345F4"/>
    <w:rsid w:val="4B1242A7"/>
    <w:rsid w:val="4B373567"/>
    <w:rsid w:val="4C924BDC"/>
    <w:rsid w:val="4CC04756"/>
    <w:rsid w:val="4CE75492"/>
    <w:rsid w:val="4CEC1A7E"/>
    <w:rsid w:val="4D680D9E"/>
    <w:rsid w:val="4DA5653A"/>
    <w:rsid w:val="4DB47808"/>
    <w:rsid w:val="4DFA2B71"/>
    <w:rsid w:val="4E4E7014"/>
    <w:rsid w:val="4F744B18"/>
    <w:rsid w:val="4FAA2BED"/>
    <w:rsid w:val="4FB47389"/>
    <w:rsid w:val="502D4977"/>
    <w:rsid w:val="52F2740D"/>
    <w:rsid w:val="53AC6BD6"/>
    <w:rsid w:val="53C50DE7"/>
    <w:rsid w:val="54035D7A"/>
    <w:rsid w:val="54E74A8C"/>
    <w:rsid w:val="550B5E33"/>
    <w:rsid w:val="5531758D"/>
    <w:rsid w:val="553B3082"/>
    <w:rsid w:val="55DF2112"/>
    <w:rsid w:val="56783DB4"/>
    <w:rsid w:val="56A64A69"/>
    <w:rsid w:val="573954A1"/>
    <w:rsid w:val="57842C00"/>
    <w:rsid w:val="5797589F"/>
    <w:rsid w:val="58CB5E73"/>
    <w:rsid w:val="59C64ACB"/>
    <w:rsid w:val="5A196B8D"/>
    <w:rsid w:val="5BD72456"/>
    <w:rsid w:val="5C904A46"/>
    <w:rsid w:val="5CCB7ADA"/>
    <w:rsid w:val="5D742140"/>
    <w:rsid w:val="5E8D67EE"/>
    <w:rsid w:val="5EAE65F6"/>
    <w:rsid w:val="607D431C"/>
    <w:rsid w:val="6085474F"/>
    <w:rsid w:val="60D765F7"/>
    <w:rsid w:val="62306F03"/>
    <w:rsid w:val="62666948"/>
    <w:rsid w:val="62CA2716"/>
    <w:rsid w:val="62EF4EF6"/>
    <w:rsid w:val="642705C2"/>
    <w:rsid w:val="64CD1AA5"/>
    <w:rsid w:val="64F86E45"/>
    <w:rsid w:val="65D7796F"/>
    <w:rsid w:val="65EB36C8"/>
    <w:rsid w:val="66584674"/>
    <w:rsid w:val="667B090C"/>
    <w:rsid w:val="66AC49E8"/>
    <w:rsid w:val="67140049"/>
    <w:rsid w:val="673030B0"/>
    <w:rsid w:val="674B500B"/>
    <w:rsid w:val="675505CE"/>
    <w:rsid w:val="67A02D6C"/>
    <w:rsid w:val="68DD0B2B"/>
    <w:rsid w:val="6A5453A5"/>
    <w:rsid w:val="6AA6489D"/>
    <w:rsid w:val="6AAE32A6"/>
    <w:rsid w:val="6BB34B43"/>
    <w:rsid w:val="6BE4250F"/>
    <w:rsid w:val="6C590856"/>
    <w:rsid w:val="6C8D5B65"/>
    <w:rsid w:val="6CFA6F14"/>
    <w:rsid w:val="6D25518D"/>
    <w:rsid w:val="6DD5001A"/>
    <w:rsid w:val="6DE30639"/>
    <w:rsid w:val="6E053B22"/>
    <w:rsid w:val="6EB87BC4"/>
    <w:rsid w:val="6EF43A30"/>
    <w:rsid w:val="6EF87285"/>
    <w:rsid w:val="6F4B55DF"/>
    <w:rsid w:val="6F5C6BB6"/>
    <w:rsid w:val="6FC5441C"/>
    <w:rsid w:val="6FE92DFE"/>
    <w:rsid w:val="70C06FF0"/>
    <w:rsid w:val="71C054C9"/>
    <w:rsid w:val="71E50783"/>
    <w:rsid w:val="7261762D"/>
    <w:rsid w:val="728D1BFA"/>
    <w:rsid w:val="729A7EE9"/>
    <w:rsid w:val="72E72B49"/>
    <w:rsid w:val="731635AD"/>
    <w:rsid w:val="73D22BD0"/>
    <w:rsid w:val="73E84613"/>
    <w:rsid w:val="74343988"/>
    <w:rsid w:val="750077F3"/>
    <w:rsid w:val="752C5D38"/>
    <w:rsid w:val="759D4F43"/>
    <w:rsid w:val="75A32852"/>
    <w:rsid w:val="77062A55"/>
    <w:rsid w:val="77357293"/>
    <w:rsid w:val="775E2FCA"/>
    <w:rsid w:val="7779239E"/>
    <w:rsid w:val="77A86090"/>
    <w:rsid w:val="77C77201"/>
    <w:rsid w:val="78BB344A"/>
    <w:rsid w:val="793920AF"/>
    <w:rsid w:val="7957121F"/>
    <w:rsid w:val="79722EF2"/>
    <w:rsid w:val="7A0D4268"/>
    <w:rsid w:val="7AF30B44"/>
    <w:rsid w:val="7B431399"/>
    <w:rsid w:val="7BA6337C"/>
    <w:rsid w:val="7BFB4922"/>
    <w:rsid w:val="7D0143C4"/>
    <w:rsid w:val="7D6571EA"/>
    <w:rsid w:val="7DB57E64"/>
    <w:rsid w:val="7DC54286"/>
    <w:rsid w:val="7FFD4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jc w:val="both"/>
    </w:pPr>
    <w:rPr>
      <w:rFonts w:asciiTheme="minorHAnsi" w:hAnsiTheme="minorHAnsi" w:eastAsiaTheme="minorHAnsi" w:cstheme="minorBidi"/>
      <w:sz w:val="22"/>
      <w:szCs w:val="22"/>
      <w:lang w:val="en-US" w:eastAsia="en-US" w:bidi="ar-SA"/>
    </w:rPr>
  </w:style>
  <w:style w:type="paragraph" w:styleId="2">
    <w:name w:val="heading 1"/>
    <w:basedOn w:val="1"/>
    <w:next w:val="1"/>
    <w:link w:val="20"/>
    <w:qFormat/>
    <w:uiPriority w:val="9"/>
    <w:pPr>
      <w:keepNext/>
      <w:keepLines/>
      <w:spacing w:before="240" w:after="0"/>
      <w:outlineLvl w:val="0"/>
    </w:pPr>
    <w:rPr>
      <w:rFonts w:asciiTheme="majorHAnsi" w:hAnsiTheme="majorHAnsi" w:eastAsiaTheme="majorEastAsia" w:cstheme="majorBidi"/>
      <w:b/>
      <w:sz w:val="28"/>
      <w:szCs w:val="32"/>
    </w:rPr>
  </w:style>
  <w:style w:type="paragraph" w:styleId="3">
    <w:name w:val="heading 2"/>
    <w:basedOn w:val="1"/>
    <w:next w:val="1"/>
    <w:link w:val="21"/>
    <w:unhideWhenUsed/>
    <w:qFormat/>
    <w:uiPriority w:val="9"/>
    <w:pPr>
      <w:keepNext/>
      <w:keepLines/>
      <w:spacing w:before="240" w:after="120"/>
      <w:outlineLvl w:val="1"/>
    </w:pPr>
    <w:rPr>
      <w:rFonts w:asciiTheme="majorHAnsi" w:hAnsiTheme="majorHAnsi" w:eastAsiaTheme="majorEastAsia" w:cstheme="majorBidi"/>
      <w:b/>
      <w:sz w:val="24"/>
      <w:szCs w:val="26"/>
    </w:rPr>
  </w:style>
  <w:style w:type="paragraph" w:styleId="4">
    <w:name w:val="heading 4"/>
    <w:basedOn w:val="1"/>
    <w:next w:val="1"/>
    <w:link w:val="37"/>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35"/>
    <w:pPr>
      <w:spacing w:after="200"/>
    </w:pPr>
    <w:rPr>
      <w:iCs/>
      <w:szCs w:val="18"/>
    </w:rPr>
  </w:style>
  <w:style w:type="paragraph" w:styleId="6">
    <w:name w:val="annotation text"/>
    <w:basedOn w:val="1"/>
    <w:link w:val="23"/>
    <w:unhideWhenUsed/>
    <w:qFormat/>
    <w:uiPriority w:val="99"/>
    <w:pPr>
      <w:spacing w:after="120"/>
    </w:pPr>
    <w:rPr>
      <w:rFonts w:ascii="Constantia" w:hAnsi="Constantia"/>
      <w:sz w:val="20"/>
      <w:szCs w:val="20"/>
      <w:lang w:val="en-GB"/>
    </w:rPr>
  </w:style>
  <w:style w:type="paragraph" w:styleId="7">
    <w:name w:val="endnote text"/>
    <w:basedOn w:val="1"/>
    <w:link w:val="36"/>
    <w:unhideWhenUsed/>
    <w:qFormat/>
    <w:uiPriority w:val="99"/>
    <w:pPr>
      <w:spacing w:after="0"/>
    </w:pPr>
    <w:rPr>
      <w:sz w:val="20"/>
      <w:szCs w:val="20"/>
    </w:rPr>
  </w:style>
  <w:style w:type="paragraph" w:styleId="8">
    <w:name w:val="Balloon Text"/>
    <w:basedOn w:val="1"/>
    <w:link w:val="26"/>
    <w:semiHidden/>
    <w:unhideWhenUsed/>
    <w:qFormat/>
    <w:uiPriority w:val="99"/>
    <w:pPr>
      <w:spacing w:after="0"/>
    </w:pPr>
    <w:rPr>
      <w:rFonts w:ascii="Tahoma" w:hAnsi="Tahoma" w:cs="Tahoma"/>
      <w:sz w:val="16"/>
      <w:szCs w:val="16"/>
    </w:rPr>
  </w:style>
  <w:style w:type="paragraph" w:styleId="9">
    <w:name w:val="footer"/>
    <w:basedOn w:val="1"/>
    <w:link w:val="29"/>
    <w:unhideWhenUsed/>
    <w:qFormat/>
    <w:uiPriority w:val="99"/>
    <w:pPr>
      <w:tabs>
        <w:tab w:val="center" w:pos="4513"/>
        <w:tab w:val="right" w:pos="9026"/>
      </w:tabs>
      <w:spacing w:after="0"/>
    </w:pPr>
  </w:style>
  <w:style w:type="paragraph" w:styleId="10">
    <w:name w:val="header"/>
    <w:basedOn w:val="1"/>
    <w:link w:val="28"/>
    <w:unhideWhenUsed/>
    <w:qFormat/>
    <w:uiPriority w:val="99"/>
    <w:pPr>
      <w:tabs>
        <w:tab w:val="center" w:pos="4513"/>
        <w:tab w:val="right" w:pos="9026"/>
      </w:tabs>
      <w:spacing w:after="0"/>
    </w:pPr>
  </w:style>
  <w:style w:type="paragraph" w:styleId="11">
    <w:name w:val="toc 1"/>
    <w:basedOn w:val="1"/>
    <w:next w:val="1"/>
    <w:unhideWhenUsed/>
    <w:qFormat/>
    <w:uiPriority w:val="39"/>
    <w:pPr>
      <w:spacing w:after="100"/>
    </w:pPr>
  </w:style>
  <w:style w:type="paragraph" w:styleId="12">
    <w:name w:val="Title"/>
    <w:basedOn w:val="1"/>
    <w:next w:val="1"/>
    <w:link w:val="22"/>
    <w:qFormat/>
    <w:uiPriority w:val="10"/>
    <w:pPr>
      <w:spacing w:after="0"/>
      <w:contextualSpacing/>
    </w:pPr>
    <w:rPr>
      <w:rFonts w:asciiTheme="majorHAnsi" w:hAnsiTheme="majorHAnsi" w:eastAsiaTheme="majorEastAsia" w:cstheme="majorBidi"/>
      <w:b/>
      <w:spacing w:val="-10"/>
      <w:kern w:val="28"/>
      <w:sz w:val="32"/>
      <w:szCs w:val="56"/>
    </w:rPr>
  </w:style>
  <w:style w:type="paragraph" w:styleId="13">
    <w:name w:val="annotation subject"/>
    <w:basedOn w:val="6"/>
    <w:next w:val="6"/>
    <w:link w:val="34"/>
    <w:semiHidden/>
    <w:unhideWhenUsed/>
    <w:qFormat/>
    <w:uiPriority w:val="99"/>
    <w:pPr>
      <w:spacing w:after="60"/>
    </w:pPr>
    <w:rPr>
      <w:rFonts w:asciiTheme="minorHAnsi" w:hAnsiTheme="minorHAnsi"/>
      <w:b/>
      <w:bCs/>
      <w:lang w:val="en-US"/>
    </w:rPr>
  </w:style>
  <w:style w:type="table" w:styleId="15">
    <w:name w:val="Table Grid"/>
    <w:basedOn w:val="14"/>
    <w:qFormat/>
    <w:uiPriority w:val="59"/>
    <w:pPr>
      <w:keepNext/>
    </w:pPr>
    <w:rPr>
      <w:lang w:val="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endnote reference"/>
    <w:basedOn w:val="16"/>
    <w:semiHidden/>
    <w:unhideWhenUsed/>
    <w:qFormat/>
    <w:uiPriority w:val="99"/>
    <w:rPr>
      <w:vertAlign w:val="superscript"/>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character" w:styleId="19">
    <w:name w:val="annotation reference"/>
    <w:basedOn w:val="16"/>
    <w:semiHidden/>
    <w:unhideWhenUsed/>
    <w:qFormat/>
    <w:uiPriority w:val="99"/>
    <w:rPr>
      <w:sz w:val="16"/>
      <w:szCs w:val="16"/>
    </w:rPr>
  </w:style>
  <w:style w:type="character" w:customStyle="1" w:styleId="20">
    <w:name w:val="标题 1 Char"/>
    <w:basedOn w:val="16"/>
    <w:link w:val="2"/>
    <w:qFormat/>
    <w:uiPriority w:val="9"/>
    <w:rPr>
      <w:rFonts w:asciiTheme="majorHAnsi" w:hAnsiTheme="majorHAnsi" w:eastAsiaTheme="majorEastAsia" w:cstheme="majorBidi"/>
      <w:b/>
      <w:sz w:val="28"/>
      <w:szCs w:val="32"/>
    </w:rPr>
  </w:style>
  <w:style w:type="character" w:customStyle="1" w:styleId="21">
    <w:name w:val="标题 2 Char"/>
    <w:basedOn w:val="16"/>
    <w:link w:val="3"/>
    <w:qFormat/>
    <w:uiPriority w:val="9"/>
    <w:rPr>
      <w:rFonts w:asciiTheme="majorHAnsi" w:hAnsiTheme="majorHAnsi" w:eastAsiaTheme="majorEastAsia" w:cstheme="majorBidi"/>
      <w:b/>
      <w:sz w:val="24"/>
      <w:szCs w:val="26"/>
    </w:rPr>
  </w:style>
  <w:style w:type="character" w:customStyle="1" w:styleId="22">
    <w:name w:val="标题 Char"/>
    <w:basedOn w:val="16"/>
    <w:link w:val="12"/>
    <w:qFormat/>
    <w:uiPriority w:val="10"/>
    <w:rPr>
      <w:rFonts w:asciiTheme="majorHAnsi" w:hAnsiTheme="majorHAnsi" w:eastAsiaTheme="majorEastAsia" w:cstheme="majorBidi"/>
      <w:b/>
      <w:spacing w:val="-10"/>
      <w:kern w:val="28"/>
      <w:sz w:val="32"/>
      <w:szCs w:val="56"/>
    </w:rPr>
  </w:style>
  <w:style w:type="character" w:customStyle="1" w:styleId="23">
    <w:name w:val="批注文字 Char"/>
    <w:basedOn w:val="16"/>
    <w:link w:val="6"/>
    <w:qFormat/>
    <w:uiPriority w:val="99"/>
    <w:rPr>
      <w:rFonts w:ascii="Constantia" w:hAnsi="Constantia"/>
      <w:sz w:val="20"/>
      <w:szCs w:val="20"/>
      <w:lang w:val="en-GB"/>
    </w:rPr>
  </w:style>
  <w:style w:type="paragraph" w:styleId="24">
    <w:name w:val="List Paragraph"/>
    <w:basedOn w:val="1"/>
    <w:qFormat/>
    <w:uiPriority w:val="34"/>
    <w:pPr>
      <w:ind w:left="720"/>
      <w:contextualSpacing/>
    </w:pPr>
  </w:style>
  <w:style w:type="paragraph" w:customStyle="1" w:styleId="25">
    <w:name w:val="TOC 标题1"/>
    <w:basedOn w:val="2"/>
    <w:next w:val="1"/>
    <w:unhideWhenUsed/>
    <w:qFormat/>
    <w:uiPriority w:val="39"/>
    <w:pPr>
      <w:spacing w:before="480" w:line="276" w:lineRule="auto"/>
      <w:outlineLvl w:val="9"/>
    </w:pPr>
    <w:rPr>
      <w:bCs/>
      <w:color w:val="2E75B6" w:themeColor="accent1" w:themeShade="BF"/>
      <w:szCs w:val="28"/>
    </w:rPr>
  </w:style>
  <w:style w:type="character" w:customStyle="1" w:styleId="26">
    <w:name w:val="批注框文本 Char"/>
    <w:basedOn w:val="16"/>
    <w:link w:val="8"/>
    <w:semiHidden/>
    <w:qFormat/>
    <w:uiPriority w:val="99"/>
    <w:rPr>
      <w:rFonts w:ascii="Tahoma" w:hAnsi="Tahoma" w:cs="Tahoma"/>
      <w:sz w:val="16"/>
      <w:szCs w:val="16"/>
    </w:rPr>
  </w:style>
  <w:style w:type="paragraph" w:customStyle="1" w:styleId="27">
    <w:name w:val="Listeafsnit"/>
    <w:basedOn w:val="1"/>
    <w:qFormat/>
    <w:uiPriority w:val="99"/>
    <w:pPr>
      <w:spacing w:after="200" w:line="276" w:lineRule="auto"/>
      <w:ind w:left="720"/>
      <w:contextualSpacing/>
    </w:pPr>
    <w:rPr>
      <w:rFonts w:ascii="Cambria" w:hAnsi="Cambria" w:eastAsia="Times New Roman" w:cs="Times New Roman"/>
      <w:lang w:val="en-CA"/>
    </w:rPr>
  </w:style>
  <w:style w:type="character" w:customStyle="1" w:styleId="28">
    <w:name w:val="页眉 Char"/>
    <w:basedOn w:val="16"/>
    <w:link w:val="10"/>
    <w:qFormat/>
    <w:uiPriority w:val="99"/>
  </w:style>
  <w:style w:type="character" w:customStyle="1" w:styleId="29">
    <w:name w:val="页脚 Char"/>
    <w:basedOn w:val="16"/>
    <w:link w:val="9"/>
    <w:qFormat/>
    <w:uiPriority w:val="99"/>
  </w:style>
  <w:style w:type="paragraph" w:customStyle="1" w:styleId="30">
    <w:name w:val="EndNote Bibliography Title"/>
    <w:basedOn w:val="1"/>
    <w:link w:val="31"/>
    <w:qFormat/>
    <w:uiPriority w:val="0"/>
    <w:pPr>
      <w:spacing w:after="0"/>
      <w:jc w:val="center"/>
    </w:pPr>
    <w:rPr>
      <w:rFonts w:ascii="Calibri" w:hAnsi="Calibri"/>
    </w:rPr>
  </w:style>
  <w:style w:type="character" w:customStyle="1" w:styleId="31">
    <w:name w:val="EndNote Bibliography Title Char"/>
    <w:basedOn w:val="16"/>
    <w:link w:val="30"/>
    <w:qFormat/>
    <w:uiPriority w:val="0"/>
    <w:rPr>
      <w:rFonts w:ascii="Calibri" w:hAnsi="Calibri"/>
    </w:rPr>
  </w:style>
  <w:style w:type="paragraph" w:customStyle="1" w:styleId="32">
    <w:name w:val="EndNote Bibliography"/>
    <w:basedOn w:val="1"/>
    <w:link w:val="33"/>
    <w:qFormat/>
    <w:uiPriority w:val="0"/>
    <w:rPr>
      <w:rFonts w:ascii="Calibri" w:hAnsi="Calibri"/>
    </w:rPr>
  </w:style>
  <w:style w:type="character" w:customStyle="1" w:styleId="33">
    <w:name w:val="EndNote Bibliography Char"/>
    <w:basedOn w:val="16"/>
    <w:link w:val="32"/>
    <w:qFormat/>
    <w:uiPriority w:val="0"/>
    <w:rPr>
      <w:rFonts w:ascii="Calibri" w:hAnsi="Calibri"/>
    </w:rPr>
  </w:style>
  <w:style w:type="character" w:customStyle="1" w:styleId="34">
    <w:name w:val="批注主题 Char"/>
    <w:basedOn w:val="23"/>
    <w:link w:val="13"/>
    <w:semiHidden/>
    <w:qFormat/>
    <w:uiPriority w:val="99"/>
    <w:rPr>
      <w:rFonts w:ascii="Constantia" w:hAnsi="Constantia"/>
      <w:b/>
      <w:bCs/>
      <w:sz w:val="20"/>
      <w:szCs w:val="20"/>
      <w:lang w:val="en-GB"/>
    </w:rPr>
  </w:style>
  <w:style w:type="paragraph" w:customStyle="1" w:styleId="35">
    <w:name w:val="修订1"/>
    <w:hidden/>
    <w:semiHidden/>
    <w:qFormat/>
    <w:uiPriority w:val="99"/>
    <w:rPr>
      <w:rFonts w:asciiTheme="minorHAnsi" w:hAnsiTheme="minorHAnsi" w:eastAsiaTheme="minorHAnsi" w:cstheme="minorBidi"/>
      <w:sz w:val="22"/>
      <w:szCs w:val="22"/>
      <w:lang w:val="en-US" w:eastAsia="en-US" w:bidi="ar-SA"/>
    </w:rPr>
  </w:style>
  <w:style w:type="character" w:customStyle="1" w:styleId="36">
    <w:name w:val="尾注文本 Char"/>
    <w:basedOn w:val="16"/>
    <w:link w:val="7"/>
    <w:qFormat/>
    <w:uiPriority w:val="99"/>
    <w:rPr>
      <w:sz w:val="20"/>
      <w:szCs w:val="20"/>
    </w:rPr>
  </w:style>
  <w:style w:type="character" w:customStyle="1" w:styleId="37">
    <w:name w:val="标题 4 Char"/>
    <w:basedOn w:val="16"/>
    <w:link w:val="4"/>
    <w:semiHidden/>
    <w:qFormat/>
    <w:uiPriority w:val="9"/>
    <w:rPr>
      <w:rFonts w:asciiTheme="majorHAnsi" w:hAnsiTheme="majorHAnsi" w:eastAsiaTheme="majorEastAsia" w:cstheme="majorBidi"/>
      <w:i/>
      <w:iCs/>
      <w:color w:val="2E75B6" w:themeColor="accent1" w:themeShade="BF"/>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D86164008BA4FE793B280259799F623"/>
        <w:style w:val=""/>
        <w:category>
          <w:name w:val="General"/>
          <w:gallery w:val="placeholder"/>
        </w:category>
        <w:types>
          <w:type w:val="bbPlcHdr"/>
        </w:types>
        <w:behaviors>
          <w:behavior w:val="content"/>
        </w:behaviors>
        <w:description w:val=""/>
        <w:guid w:val="{BEF38CFF-AAC6-4107-8700-B19603139FDA}"/>
      </w:docPartPr>
      <w:docPartBody>
        <w:p>
          <w:pPr>
            <w:pStyle w:val="5"/>
          </w:pPr>
          <w:r>
            <w:rPr>
              <w:rStyle w:val="4"/>
            </w:rPr>
            <w:t>Click here to enter text.</w:t>
          </w:r>
        </w:p>
      </w:docPartBody>
    </w:docPart>
    <w:docPart>
      <w:docPartPr>
        <w:name w:val="5C52BBB401B04E9CAE48BF18260CBA43"/>
        <w:style w:val=""/>
        <w:category>
          <w:name w:val="General"/>
          <w:gallery w:val="placeholder"/>
        </w:category>
        <w:types>
          <w:type w:val="bbPlcHdr"/>
        </w:types>
        <w:behaviors>
          <w:behavior w:val="content"/>
        </w:behaviors>
        <w:description w:val=""/>
        <w:guid w:val="{2A055E1D-FE7A-41BA-8F64-AA15EDFCB697}"/>
      </w:docPartPr>
      <w:docPartBody>
        <w:p>
          <w:pPr>
            <w:pStyle w:val="7"/>
          </w:pPr>
          <w:r>
            <w:rPr>
              <w:rStyle w:val="4"/>
            </w:rPr>
            <w:t>Click here to enter text.</w:t>
          </w:r>
        </w:p>
      </w:docPartBody>
    </w:docPart>
    <w:docPart>
      <w:docPartPr>
        <w:name w:val="24B1061E131E4DEAA7BEAFD7508F6160"/>
        <w:style w:val=""/>
        <w:category>
          <w:name w:val="常规"/>
          <w:gallery w:val="placeholder"/>
        </w:category>
        <w:types>
          <w:type w:val="bbPlcHdr"/>
        </w:types>
        <w:behaviors>
          <w:behavior w:val="content"/>
        </w:behaviors>
        <w:description w:val=""/>
        <w:guid w:val="{2EF7A9EE-F1FC-4647-A2A3-1D181BD6B606}"/>
      </w:docPartPr>
      <w:docPartBody>
        <w:p>
          <w:pPr>
            <w:pStyle w:val="11"/>
          </w:pPr>
          <w:r>
            <w:rPr>
              <w:rStyle w:val="4"/>
            </w:rPr>
            <w:t>Click here to enter text.</w:t>
          </w:r>
        </w:p>
      </w:docPartBody>
    </w:docPart>
    <w:docPart>
      <w:docPartPr>
        <w:name w:val="383FEC37DF244F62B88A7D6457311C0C"/>
        <w:style w:val=""/>
        <w:category>
          <w:name w:val="常规"/>
          <w:gallery w:val="placeholder"/>
        </w:category>
        <w:types>
          <w:type w:val="bbPlcHdr"/>
        </w:types>
        <w:behaviors>
          <w:behavior w:val="content"/>
        </w:behaviors>
        <w:description w:val=""/>
        <w:guid w:val="{3104DB36-DDBA-4333-AECB-2E9D67AD22EB}"/>
      </w:docPartPr>
      <w:docPartBody>
        <w:p>
          <w:pPr>
            <w:pStyle w:val="12"/>
          </w:pPr>
          <w:r>
            <w:rPr>
              <w:rStyle w:val="4"/>
            </w:rPr>
            <w:t>Click here to enter text.</w:t>
          </w:r>
        </w:p>
      </w:docPartBody>
    </w:docPart>
    <w:docPart>
      <w:docPartPr>
        <w:name w:val="664093AC763C4C2DA26492B2E80B423F"/>
        <w:style w:val=""/>
        <w:category>
          <w:name w:val="常规"/>
          <w:gallery w:val="placeholder"/>
        </w:category>
        <w:types>
          <w:type w:val="bbPlcHdr"/>
        </w:types>
        <w:behaviors>
          <w:behavior w:val="content"/>
        </w:behaviors>
        <w:description w:val=""/>
        <w:guid w:val="{B779309F-7C46-4BB6-9010-A2FA4EA122D9}"/>
      </w:docPartPr>
      <w:docPartBody>
        <w:p>
          <w:pPr>
            <w:pStyle w:val="13"/>
          </w:pPr>
          <w:r>
            <w:rPr>
              <w:rStyle w:val="4"/>
            </w:rPr>
            <w:t>Click here to enter text.</w:t>
          </w:r>
        </w:p>
      </w:docPartBody>
    </w:docPart>
    <w:docPart>
      <w:docPartPr>
        <w:name w:val="966C697A9D2D4BEA80600BC62E76440F"/>
        <w:style w:val=""/>
        <w:category>
          <w:name w:val="常规"/>
          <w:gallery w:val="placeholder"/>
        </w:category>
        <w:types>
          <w:type w:val="bbPlcHdr"/>
        </w:types>
        <w:behaviors>
          <w:behavior w:val="content"/>
        </w:behaviors>
        <w:description w:val=""/>
        <w:guid w:val="{A390EF97-177A-426B-AE86-A6242D430774}"/>
      </w:docPartPr>
      <w:docPartBody>
        <w:p>
          <w:pPr>
            <w:pStyle w:val="14"/>
          </w:pPr>
          <w:r>
            <w:rPr>
              <w:rStyle w:val="4"/>
            </w:rPr>
            <w:t>Click here to enter text.</w:t>
          </w:r>
        </w:p>
      </w:docPartBody>
    </w:docPart>
    <w:docPart>
      <w:docPartPr>
        <w:name w:val="367A305CDCCF43FD83D354612D3974C7"/>
        <w:style w:val=""/>
        <w:category>
          <w:name w:val="常规"/>
          <w:gallery w:val="placeholder"/>
        </w:category>
        <w:types>
          <w:type w:val="bbPlcHdr"/>
        </w:types>
        <w:behaviors>
          <w:behavior w:val="content"/>
        </w:behaviors>
        <w:description w:val=""/>
        <w:guid w:val="{955C5617-37F8-4E17-A5EE-E4D70C07EFFB}"/>
      </w:docPartPr>
      <w:docPartBody>
        <w:p>
          <w:pPr>
            <w:pStyle w:val="15"/>
          </w:pPr>
          <w:r>
            <w:rPr>
              <w:rStyle w:val="4"/>
            </w:rPr>
            <w:t>Click here to enter text.</w:t>
          </w:r>
        </w:p>
      </w:docPartBody>
    </w:docPart>
    <w:docPart>
      <w:docPartPr>
        <w:name w:val="BDF1E66CF73845CA8ECB45CC2FDC7CD1"/>
        <w:style w:val=""/>
        <w:category>
          <w:name w:val="常规"/>
          <w:gallery w:val="placeholder"/>
        </w:category>
        <w:types>
          <w:type w:val="bbPlcHdr"/>
        </w:types>
        <w:behaviors>
          <w:behavior w:val="content"/>
        </w:behaviors>
        <w:description w:val=""/>
        <w:guid w:val="{455C9567-C174-4F46-8767-DA5307AC4977}"/>
      </w:docPartPr>
      <w:docPartBody>
        <w:p>
          <w:pPr>
            <w:pStyle w:val="16"/>
          </w:pPr>
          <w:r>
            <w:rPr>
              <w:rStyle w:val="4"/>
            </w:rPr>
            <w:t>Click here to enter text.</w:t>
          </w:r>
        </w:p>
      </w:docPartBody>
    </w:docPart>
    <w:docPart>
      <w:docPartPr>
        <w:name w:val="E25F32EE6A5E4C32906260E56C420207"/>
        <w:style w:val=""/>
        <w:category>
          <w:name w:val="常规"/>
          <w:gallery w:val="placeholder"/>
        </w:category>
        <w:types>
          <w:type w:val="bbPlcHdr"/>
        </w:types>
        <w:behaviors>
          <w:behavior w:val="content"/>
        </w:behaviors>
        <w:description w:val=""/>
        <w:guid w:val="{0E652FCC-463C-4543-905C-30CC4903932D}"/>
      </w:docPartPr>
      <w:docPartBody>
        <w:p>
          <w:pPr>
            <w:pStyle w:val="17"/>
          </w:pPr>
          <w:r>
            <w:rPr>
              <w:rStyle w:val="4"/>
            </w:rPr>
            <w:t>Click here to enter text.</w:t>
          </w:r>
        </w:p>
      </w:docPartBody>
    </w:docPart>
    <w:docPart>
      <w:docPartPr>
        <w:name w:val="EBAAECC5B12947C1BF38E3AD4B8B9B1B"/>
        <w:style w:val=""/>
        <w:category>
          <w:name w:val="常规"/>
          <w:gallery w:val="placeholder"/>
        </w:category>
        <w:types>
          <w:type w:val="bbPlcHdr"/>
        </w:types>
        <w:behaviors>
          <w:behavior w:val="content"/>
        </w:behaviors>
        <w:description w:val=""/>
        <w:guid w:val="{4DB4400C-244E-479C-9C04-4EB63F7CEB12}"/>
      </w:docPartPr>
      <w:docPartBody>
        <w:p>
          <w:pPr>
            <w:pStyle w:val="18"/>
          </w:pPr>
          <w:r>
            <w:rPr>
              <w:rStyle w:val="4"/>
            </w:rPr>
            <w:t>Click here to enter text.</w:t>
          </w:r>
        </w:p>
      </w:docPartBody>
    </w:docPart>
    <w:docPart>
      <w:docPartPr>
        <w:name w:val="B0B635272DB5431283EA852243F14E29"/>
        <w:style w:val=""/>
        <w:category>
          <w:name w:val="常规"/>
          <w:gallery w:val="placeholder"/>
        </w:category>
        <w:types>
          <w:type w:val="bbPlcHdr"/>
        </w:types>
        <w:behaviors>
          <w:behavior w:val="content"/>
        </w:behaviors>
        <w:description w:val=""/>
        <w:guid w:val="{9E1A9BCB-BCDD-43D0-8DAB-262E0F2B2B3B}"/>
      </w:docPartPr>
      <w:docPartBody>
        <w:p>
          <w:pPr>
            <w:pStyle w:val="19"/>
          </w:pPr>
          <w:r>
            <w:rPr>
              <w:rStyle w:val="4"/>
            </w:rPr>
            <w:t>Click here to enter text.</w:t>
          </w:r>
        </w:p>
      </w:docPartBody>
    </w:docPart>
    <w:docPart>
      <w:docPartPr>
        <w:name w:val="00BBD2FAD2AE43E383D68A5921D7FD50"/>
        <w:style w:val=""/>
        <w:category>
          <w:name w:val="常规"/>
          <w:gallery w:val="placeholder"/>
        </w:category>
        <w:types>
          <w:type w:val="bbPlcHdr"/>
        </w:types>
        <w:behaviors>
          <w:behavior w:val="content"/>
        </w:behaviors>
        <w:description w:val=""/>
        <w:guid w:val="{4A8D0F7A-D35E-4E65-8AF9-F728563BC168}"/>
      </w:docPartPr>
      <w:docPartBody>
        <w:p>
          <w:pPr>
            <w:pStyle w:val="20"/>
          </w:pPr>
          <w:r>
            <w:rPr>
              <w:rStyle w:val="4"/>
            </w:rPr>
            <w:t>Click here to enter text.</w:t>
          </w:r>
        </w:p>
      </w:docPartBody>
    </w:docPart>
    <w:docPart>
      <w:docPartPr>
        <w:name w:val="0EAB16D974EB455BB8A3A4DB44213869"/>
        <w:style w:val=""/>
        <w:category>
          <w:name w:val="常规"/>
          <w:gallery w:val="placeholder"/>
        </w:category>
        <w:types>
          <w:type w:val="bbPlcHdr"/>
        </w:types>
        <w:behaviors>
          <w:behavior w:val="content"/>
        </w:behaviors>
        <w:description w:val=""/>
        <w:guid w:val="{058050EC-839D-4D17-BB83-2509E7E7A89D}"/>
      </w:docPartPr>
      <w:docPartBody>
        <w:p>
          <w:pPr>
            <w:pStyle w:val="21"/>
          </w:pPr>
          <w:r>
            <w:rPr>
              <w:rStyle w:val="4"/>
            </w:rPr>
            <w:t>Click here to enter text.</w:t>
          </w:r>
        </w:p>
      </w:docPartBody>
    </w:docPart>
    <w:docPart>
      <w:docPartPr>
        <w:name w:val="4592E1320FBB417CBB2C18F029629F7E"/>
        <w:style w:val=""/>
        <w:category>
          <w:name w:val="常规"/>
          <w:gallery w:val="placeholder"/>
        </w:category>
        <w:types>
          <w:type w:val="bbPlcHdr"/>
        </w:types>
        <w:behaviors>
          <w:behavior w:val="content"/>
        </w:behaviors>
        <w:description w:val=""/>
        <w:guid w:val="{9971282A-70C2-4708-8080-7EF19D68B2AA}"/>
      </w:docPartPr>
      <w:docPartBody>
        <w:p>
          <w:pPr>
            <w:pStyle w:val="22"/>
          </w:pPr>
          <w:r>
            <w:rPr>
              <w:rStyle w:val="4"/>
            </w:rPr>
            <w:t>Click here to enter text.</w:t>
          </w:r>
        </w:p>
      </w:docPartBody>
    </w:docPart>
    <w:docPart>
      <w:docPartPr>
        <w:name w:val="FC835C27FBAE4F839001CF0E0C312C58"/>
        <w:style w:val=""/>
        <w:category>
          <w:name w:val="常规"/>
          <w:gallery w:val="placeholder"/>
        </w:category>
        <w:types>
          <w:type w:val="bbPlcHdr"/>
        </w:types>
        <w:behaviors>
          <w:behavior w:val="content"/>
        </w:behaviors>
        <w:description w:val=""/>
        <w:guid w:val="{413DB96C-E211-4E55-ADBD-A72ED3B9AB8A}"/>
      </w:docPartPr>
      <w:docPartBody>
        <w:p>
          <w:pPr>
            <w:pStyle w:val="23"/>
          </w:pPr>
          <w:r>
            <w:rPr>
              <w:rStyle w:val="4"/>
            </w:rPr>
            <w:t>Click here to enter text.</w:t>
          </w:r>
        </w:p>
      </w:docPartBody>
    </w:docPart>
    <w:docPart>
      <w:docPartPr>
        <w:name w:val="68458D4A1FAC45C4A4095ED61BEB4961"/>
        <w:style w:val=""/>
        <w:category>
          <w:name w:val="常规"/>
          <w:gallery w:val="placeholder"/>
        </w:category>
        <w:types>
          <w:type w:val="bbPlcHdr"/>
        </w:types>
        <w:behaviors>
          <w:behavior w:val="content"/>
        </w:behaviors>
        <w:description w:val=""/>
        <w:guid w:val="{A9C8B44C-D584-405C-AA21-5D965D93D2E9}"/>
      </w:docPartPr>
      <w:docPartBody>
        <w:p>
          <w:pPr>
            <w:pStyle w:val="24"/>
          </w:pPr>
          <w:r>
            <w:rPr>
              <w:rStyle w:val="4"/>
            </w:rPr>
            <w:t>Click here to enter text.</w:t>
          </w:r>
        </w:p>
      </w:docPartBody>
    </w:docPart>
    <w:docPart>
      <w:docPartPr>
        <w:name w:val="25D9E74C85EB45828EA9AEBE758A4B3D"/>
        <w:style w:val=""/>
        <w:category>
          <w:name w:val="常规"/>
          <w:gallery w:val="placeholder"/>
        </w:category>
        <w:types>
          <w:type w:val="bbPlcHdr"/>
        </w:types>
        <w:behaviors>
          <w:behavior w:val="content"/>
        </w:behaviors>
        <w:description w:val=""/>
        <w:guid w:val="{4EDEB1CA-1F7A-4B26-B399-3F6098D28381}"/>
      </w:docPartPr>
      <w:docPartBody>
        <w:p>
          <w:pPr>
            <w:pStyle w:val="25"/>
          </w:pPr>
          <w:r>
            <w:rPr>
              <w:rStyle w:val="4"/>
            </w:rPr>
            <w:t>Click here to enter text.</w:t>
          </w:r>
        </w:p>
      </w:docPartBody>
    </w:docPart>
    <w:docPart>
      <w:docPartPr>
        <w:name w:val="148EA94EC0D84EB1B83292994DA7FD95"/>
        <w:style w:val=""/>
        <w:category>
          <w:name w:val="常规"/>
          <w:gallery w:val="placeholder"/>
        </w:category>
        <w:types>
          <w:type w:val="bbPlcHdr"/>
        </w:types>
        <w:behaviors>
          <w:behavior w:val="content"/>
        </w:behaviors>
        <w:description w:val=""/>
        <w:guid w:val="{D5DEB46B-5317-4559-A8C5-DE851F9ED807}"/>
      </w:docPartPr>
      <w:docPartBody>
        <w:p>
          <w:pPr>
            <w:pStyle w:val="26"/>
          </w:pPr>
          <w:r>
            <w:rPr>
              <w:rStyle w:val="4"/>
            </w:rPr>
            <w:t>Click here to enter text.</w:t>
          </w:r>
        </w:p>
      </w:docPartBody>
    </w:docPart>
    <w:docPart>
      <w:docPartPr>
        <w:name w:val="8DAD9AA8556C4B1A97665712488C4755"/>
        <w:style w:val=""/>
        <w:category>
          <w:name w:val="常规"/>
          <w:gallery w:val="placeholder"/>
        </w:category>
        <w:types>
          <w:type w:val="bbPlcHdr"/>
        </w:types>
        <w:behaviors>
          <w:behavior w:val="content"/>
        </w:behaviors>
        <w:description w:val=""/>
        <w:guid w:val="{39CD97F1-6C16-4621-8503-B37374080BD0}"/>
      </w:docPartPr>
      <w:docPartBody>
        <w:p>
          <w:pPr>
            <w:pStyle w:val="27"/>
          </w:pPr>
          <w:r>
            <w:rPr>
              <w:rStyle w:val="4"/>
            </w:rPr>
            <w:t>Click here to enter text.</w:t>
          </w:r>
        </w:p>
      </w:docPartBody>
    </w:docPart>
    <w:docPart>
      <w:docPartPr>
        <w:name w:val="D2FAAAEA4F4746D3B63FEB39EA00F145"/>
        <w:style w:val=""/>
        <w:category>
          <w:name w:val="常规"/>
          <w:gallery w:val="placeholder"/>
        </w:category>
        <w:types>
          <w:type w:val="bbPlcHdr"/>
        </w:types>
        <w:behaviors>
          <w:behavior w:val="content"/>
        </w:behaviors>
        <w:description w:val=""/>
        <w:guid w:val="{DC676CF7-B192-4846-8410-31556F935C8F}"/>
      </w:docPartPr>
      <w:docPartBody>
        <w:p>
          <w:pPr>
            <w:pStyle w:val="28"/>
          </w:pPr>
          <w:r>
            <w:rPr>
              <w:rStyle w:val="4"/>
            </w:rPr>
            <w:t>Click here to enter text.</w:t>
          </w:r>
        </w:p>
      </w:docPartBody>
    </w:docPart>
    <w:docPart>
      <w:docPartPr>
        <w:name w:val="0D5084DA3BC543ECA3DD34528AD06A63"/>
        <w:style w:val=""/>
        <w:category>
          <w:name w:val="常规"/>
          <w:gallery w:val="placeholder"/>
        </w:category>
        <w:types>
          <w:type w:val="bbPlcHdr"/>
        </w:types>
        <w:behaviors>
          <w:behavior w:val="content"/>
        </w:behaviors>
        <w:description w:val=""/>
        <w:guid w:val="{4DA28BEB-D402-4D39-82A7-065A2D8CE011}"/>
      </w:docPartPr>
      <w:docPartBody>
        <w:p>
          <w:pPr>
            <w:pStyle w:val="29"/>
          </w:pPr>
          <w:r>
            <w:rPr>
              <w:rStyle w:val="4"/>
            </w:rPr>
            <w:t>Click here to enter text.</w:t>
          </w:r>
        </w:p>
      </w:docPartBody>
    </w:docPart>
    <w:docPart>
      <w:docPartPr>
        <w:name w:val="EBE6C264FE0747F3BD84CDA77C3C045B"/>
        <w:style w:val=""/>
        <w:category>
          <w:name w:val="常规"/>
          <w:gallery w:val="placeholder"/>
        </w:category>
        <w:types>
          <w:type w:val="bbPlcHdr"/>
        </w:types>
        <w:behaviors>
          <w:behavior w:val="content"/>
        </w:behaviors>
        <w:description w:val=""/>
        <w:guid w:val="{5FC68C0F-BE3E-4C30-B4AF-71A8480A8116}"/>
      </w:docPartPr>
      <w:docPartBody>
        <w:p>
          <w:pPr>
            <w:pStyle w:val="30"/>
          </w:pPr>
          <w:r>
            <w:rPr>
              <w:rStyle w:val="4"/>
            </w:rPr>
            <w:t>Click here to enter text.</w:t>
          </w:r>
        </w:p>
      </w:docPartBody>
    </w:docPart>
    <w:docPart>
      <w:docPartPr>
        <w:name w:val="BCDC181AE3F843899D46E881BCD6F67F"/>
        <w:style w:val=""/>
        <w:category>
          <w:name w:val="常规"/>
          <w:gallery w:val="placeholder"/>
        </w:category>
        <w:types>
          <w:type w:val="bbPlcHdr"/>
        </w:types>
        <w:behaviors>
          <w:behavior w:val="content"/>
        </w:behaviors>
        <w:description w:val=""/>
        <w:guid w:val="{AC83F188-6D97-4C1B-9D45-9B3C202EFCC5}"/>
      </w:docPartPr>
      <w:docPartBody>
        <w:p>
          <w:pPr>
            <w:pStyle w:val="31"/>
          </w:pPr>
          <w:r>
            <w:rPr>
              <w:rStyle w:val="4"/>
            </w:rPr>
            <w:t>Click here to enter text.</w:t>
          </w:r>
        </w:p>
      </w:docPartBody>
    </w:docPart>
    <w:docPart>
      <w:docPartPr>
        <w:name w:val="1BEA1FED70C44686AC7DD0A47E015B11"/>
        <w:style w:val=""/>
        <w:category>
          <w:name w:val="常规"/>
          <w:gallery w:val="placeholder"/>
        </w:category>
        <w:types>
          <w:type w:val="bbPlcHdr"/>
        </w:types>
        <w:behaviors>
          <w:behavior w:val="content"/>
        </w:behaviors>
        <w:description w:val=""/>
        <w:guid w:val="{CC6772EB-1B63-4F73-9D41-07F1F7C0CA5C}"/>
      </w:docPartPr>
      <w:docPartBody>
        <w:p>
          <w:pPr>
            <w:pStyle w:val="32"/>
          </w:pPr>
          <w:r>
            <w:rPr>
              <w:rStyle w:val="4"/>
            </w:rPr>
            <w:t>Click here to enter text.</w:t>
          </w:r>
        </w:p>
      </w:docPartBody>
    </w:docPart>
    <w:docPart>
      <w:docPartPr>
        <w:name w:val="3CB22EB05D2C45F895EC1E3AA7CE9428"/>
        <w:style w:val=""/>
        <w:category>
          <w:name w:val="常规"/>
          <w:gallery w:val="placeholder"/>
        </w:category>
        <w:types>
          <w:type w:val="bbPlcHdr"/>
        </w:types>
        <w:behaviors>
          <w:behavior w:val="content"/>
        </w:behaviors>
        <w:description w:val=""/>
        <w:guid w:val="{20002B91-BF78-40F2-A5E8-297929B9602B}"/>
      </w:docPartPr>
      <w:docPartBody>
        <w:p>
          <w:pPr>
            <w:pStyle w:val="33"/>
          </w:pPr>
          <w:r>
            <w:rPr>
              <w:rStyle w:val="4"/>
            </w:rPr>
            <w:t>Click here to enter text.</w:t>
          </w:r>
        </w:p>
      </w:docPartBody>
    </w:docPart>
    <w:docPart>
      <w:docPartPr>
        <w:name w:val="B30E79FEAD1942B0A91C816B66AE2ECA"/>
        <w:style w:val=""/>
        <w:category>
          <w:name w:val="常规"/>
          <w:gallery w:val="placeholder"/>
        </w:category>
        <w:types>
          <w:type w:val="bbPlcHdr"/>
        </w:types>
        <w:behaviors>
          <w:behavior w:val="content"/>
        </w:behaviors>
        <w:description w:val=""/>
        <w:guid w:val="{4AB11057-42E5-48B2-B65C-CDA01154B542}"/>
      </w:docPartPr>
      <w:docPartBody>
        <w:p>
          <w:pPr>
            <w:pStyle w:val="34"/>
          </w:pPr>
          <w:r>
            <w:rPr>
              <w:rStyle w:val="4"/>
            </w:rPr>
            <w:t>Click here to enter text.</w:t>
          </w:r>
        </w:p>
      </w:docPartBody>
    </w:docPart>
    <w:docPart>
      <w:docPartPr>
        <w:name w:val="74E8F8EC15B04B1487E34721FD5EC9BB"/>
        <w:style w:val=""/>
        <w:category>
          <w:name w:val="常规"/>
          <w:gallery w:val="placeholder"/>
        </w:category>
        <w:types>
          <w:type w:val="bbPlcHdr"/>
        </w:types>
        <w:behaviors>
          <w:behavior w:val="content"/>
        </w:behaviors>
        <w:description w:val=""/>
        <w:guid w:val="{3E95EF18-A6D4-4FFC-8147-D2C250479CDB}"/>
      </w:docPartPr>
      <w:docPartBody>
        <w:p>
          <w:pPr>
            <w:pStyle w:val="35"/>
          </w:pPr>
          <w:r>
            <w:rPr>
              <w:rStyle w:val="4"/>
            </w:rPr>
            <w:t>Click here to enter text.</w:t>
          </w:r>
        </w:p>
      </w:docPartBody>
    </w:docPart>
    <w:docPart>
      <w:docPartPr>
        <w:name w:val="78BBB186D6D549248D25BDD733202B88"/>
        <w:style w:val=""/>
        <w:category>
          <w:name w:val="常规"/>
          <w:gallery w:val="placeholder"/>
        </w:category>
        <w:types>
          <w:type w:val="bbPlcHdr"/>
        </w:types>
        <w:behaviors>
          <w:behavior w:val="content"/>
        </w:behaviors>
        <w:description w:val=""/>
        <w:guid w:val="{FF8E3E10-FFCE-4641-8613-F0B336A18864}"/>
      </w:docPartPr>
      <w:docPartBody>
        <w:p>
          <w:pPr>
            <w:pStyle w:val="36"/>
          </w:pPr>
          <w:r>
            <w:rPr>
              <w:rStyle w:val="4"/>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5AE"/>
    <w:rsid w:val="00034B1E"/>
    <w:rsid w:val="00481083"/>
    <w:rsid w:val="009A6653"/>
    <w:rsid w:val="00B603CA"/>
    <w:rsid w:val="00E605AE"/>
    <w:rsid w:val="00EF6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2D86164008BA4FE793B280259799F623"/>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customStyle="1" w:styleId="6">
    <w:name w:val="7411BBB0E8E6488F9A920654F3C302BE"/>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customStyle="1" w:styleId="7">
    <w:name w:val="5C52BBB401B04E9CAE48BF18260CBA43"/>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customStyle="1" w:styleId="8">
    <w:name w:val="8BC0D211FE144B18B0BBD75A0D814C55"/>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customStyle="1" w:styleId="9">
    <w:name w:val="01EC94437A4C4C9EB386A0B9E9CBBF9B"/>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customStyle="1" w:styleId="10">
    <w:name w:val="DA60C0003A124C188A066F5ADF119696"/>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customStyle="1" w:styleId="11">
    <w:name w:val="24B1061E131E4DEAA7BEAFD7508F616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2">
    <w:name w:val="383FEC37DF244F62B88A7D6457311C0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3">
    <w:name w:val="664093AC763C4C2DA26492B2E80B423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4">
    <w:name w:val="966C697A9D2D4BEA80600BC62E76440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5">
    <w:name w:val="367A305CDCCF43FD83D354612D3974C7"/>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6">
    <w:name w:val="BDF1E66CF73845CA8ECB45CC2FDC7CD1"/>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7">
    <w:name w:val="E25F32EE6A5E4C32906260E56C420207"/>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8">
    <w:name w:val="EBAAECC5B12947C1BF38E3AD4B8B9B1B"/>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9">
    <w:name w:val="B0B635272DB5431283EA852243F14E2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0">
    <w:name w:val="00BBD2FAD2AE43E383D68A5921D7FD50"/>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1">
    <w:name w:val="0EAB16D974EB455BB8A3A4DB44213869"/>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2">
    <w:name w:val="4592E1320FBB417CBB2C18F029629F7E"/>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3">
    <w:name w:val="FC835C27FBAE4F839001CF0E0C312C58"/>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4">
    <w:name w:val="68458D4A1FAC45C4A4095ED61BEB4961"/>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5">
    <w:name w:val="25D9E74C85EB45828EA9AEBE758A4B3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6">
    <w:name w:val="148EA94EC0D84EB1B83292994DA7FD9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7">
    <w:name w:val="8DAD9AA8556C4B1A97665712488C475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8">
    <w:name w:val="D2FAAAEA4F4746D3B63FEB39EA00F14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9">
    <w:name w:val="0D5084DA3BC543ECA3DD34528AD06A63"/>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0">
    <w:name w:val="EBE6C264FE0747F3BD84CDA77C3C045B"/>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1">
    <w:name w:val="BCDC181AE3F843899D46E881BCD6F67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2">
    <w:name w:val="1BEA1FED70C44686AC7DD0A47E015B1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3CB22EB05D2C45F895EC1E3AA7CE942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B30E79FEAD1942B0A91C816B66AE2ECA"/>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5">
    <w:name w:val="74E8F8EC15B04B1487E34721FD5EC9B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6">
    <w:name w:val="78BBB186D6D549248D25BDD733202B88"/>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09295-BFD3-4AF1-BC72-D1F0ED60F258}">
  <ds:schemaRefs/>
</ds:datastoreItem>
</file>

<file path=docProps/app.xml><?xml version="1.0" encoding="utf-8"?>
<Properties xmlns="http://schemas.openxmlformats.org/officeDocument/2006/extended-properties" xmlns:vt="http://schemas.openxmlformats.org/officeDocument/2006/docPropsVTypes">
  <Template>Normal</Template>
  <Company>University of Bristol</Company>
  <Pages>154</Pages>
  <Words>28315</Words>
  <Characters>161396</Characters>
  <Lines>1344</Lines>
  <Paragraphs>378</Paragraphs>
  <TotalTime>10</TotalTime>
  <ScaleCrop>false</ScaleCrop>
  <LinksUpToDate>false</LinksUpToDate>
  <CharactersWithSpaces>189333</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2016-10-18T16:52:00Z</dcterms:created>
  <dc:creator>JPT Higgins</dc:creator>
  <cp:lastModifiedBy>ws</cp:lastModifiedBy>
  <cp:lastPrinted>2016-10-10T11:09:00Z</cp:lastPrinted>
  <dcterms:modified xsi:type="dcterms:W3CDTF">2020-04-11T00:16:15Z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