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937" w:rsidRDefault="0089271C" w:rsidP="009C447E">
      <w:pPr>
        <w:pStyle w:val="Subtitle"/>
        <w:spacing w:line="276" w:lineRule="auto"/>
      </w:pPr>
      <w:bookmarkStart w:id="0" w:name="_Toc450661974"/>
      <w:bookmarkStart w:id="1" w:name="_Toc450662280"/>
      <w:bookmarkStart w:id="2" w:name="_Toc463267836"/>
      <w:r>
        <w:t xml:space="preserve">Additional file 4. </w:t>
      </w:r>
      <w:r w:rsidR="00EC6EB6">
        <w:t xml:space="preserve">Heterogeneity Assessments </w:t>
      </w:r>
    </w:p>
    <w:p w:rsidR="00EC6EB6" w:rsidRDefault="00640937" w:rsidP="00640937">
      <w:pPr>
        <w:pStyle w:val="Subtitle"/>
        <w:numPr>
          <w:ilvl w:val="0"/>
          <w:numId w:val="1"/>
        </w:numPr>
        <w:spacing w:line="276" w:lineRule="auto"/>
      </w:pPr>
      <w:r>
        <w:t xml:space="preserve">Heterogeneity Assessments </w:t>
      </w:r>
      <w:r w:rsidR="00EC6EB6">
        <w:t>for Index Test C-Reactive Protein</w:t>
      </w:r>
    </w:p>
    <w:p w:rsidR="007D4285" w:rsidRPr="00EC6EB6" w:rsidRDefault="007D4285" w:rsidP="00640937">
      <w:pPr>
        <w:pStyle w:val="Subtitle"/>
        <w:numPr>
          <w:ilvl w:val="1"/>
          <w:numId w:val="1"/>
        </w:numPr>
        <w:spacing w:line="276" w:lineRule="auto"/>
        <w:rPr>
          <w:u w:val="none"/>
        </w:rPr>
      </w:pPr>
      <w:r w:rsidRPr="00EC6EB6">
        <w:rPr>
          <w:u w:val="none"/>
        </w:rPr>
        <w:t>Assay type</w:t>
      </w:r>
      <w:bookmarkEnd w:id="0"/>
      <w:bookmarkEnd w:id="1"/>
      <w:bookmarkEnd w:id="2"/>
      <w:r w:rsidRPr="00EC6EB6">
        <w:rPr>
          <w:u w:val="none"/>
        </w:rPr>
        <w:t xml:space="preserve"> </w:t>
      </w:r>
    </w:p>
    <w:p w:rsidR="007D4285" w:rsidRDefault="007D4285" w:rsidP="009C447E">
      <w:pPr>
        <w:spacing w:line="276" w:lineRule="auto"/>
        <w:contextualSpacing/>
        <w:jc w:val="both"/>
        <w:rPr>
          <w:rFonts w:ascii="Tahoma" w:hAnsi="Tahoma" w:cs="Tahoma"/>
          <w:sz w:val="22"/>
          <w:szCs w:val="22"/>
        </w:rPr>
      </w:pPr>
      <w:r w:rsidRPr="008A5CCE">
        <w:rPr>
          <w:rFonts w:ascii="Tahoma" w:hAnsi="Tahoma" w:cs="Tahoma"/>
          <w:sz w:val="22"/>
          <w:szCs w:val="22"/>
        </w:rPr>
        <w:t xml:space="preserve">Standardisation for CRP assays </w:t>
      </w:r>
      <w:r w:rsidR="0045148D">
        <w:rPr>
          <w:rFonts w:ascii="Tahoma" w:hAnsi="Tahoma" w:cs="Tahoma"/>
          <w:sz w:val="22"/>
          <w:szCs w:val="22"/>
        </w:rPr>
        <w:t xml:space="preserve">which </w:t>
      </w:r>
      <w:r w:rsidRPr="008A5CCE">
        <w:rPr>
          <w:rFonts w:ascii="Tahoma" w:hAnsi="Tahoma" w:cs="Tahoma"/>
          <w:sz w:val="22"/>
          <w:szCs w:val="22"/>
        </w:rPr>
        <w:t>was first performed in 1993</w:t>
      </w:r>
      <w:r w:rsidRPr="008A5CCE">
        <w:rPr>
          <w:rFonts w:ascii="Tahoma" w:hAnsi="Tahoma" w:cs="Tahoma"/>
          <w:sz w:val="22"/>
          <w:szCs w:val="22"/>
        </w:rPr>
        <w:fldChar w:fldCharType="begin" w:fldLock="1"/>
      </w:r>
      <w:r>
        <w:rPr>
          <w:rFonts w:ascii="Tahoma" w:hAnsi="Tahoma" w:cs="Tahoma"/>
          <w:sz w:val="22"/>
          <w:szCs w:val="22"/>
        </w:rPr>
        <w:instrText>ADDIN CSL_CITATION { "citationItems" : [ { "id" : "ITEM-1", "itemData" : { "ISSN" : "0009-9147", "PMID" : "8087989", "abstract" : "Quality-control surveys in recent years, in various parts of the world, have shown poor between-laboratory agreement for measurements of plasma proteins. Despite the existence of international reference materials distributed by the World Health Organization, standards produced by diagnostics manufacturers and professional organizations differ significantly in their ascribed values. The reasons for this are complex but include poor availability of the primary materials, confusion about their use, and the fact that their turbidity on reconstitution precludes their use in modern optical immunoassays. This unfortunate situation led to an important initiative to produce sufficient quantities of a widely available, optically clear secondary reference material for plasma proteins that could be used worldwide by manufacturers, professional organizations, and laboratories. Here we present an overview on how the laboratory community, including manufacturers, clinical laboratories, professional societies, and regulators, has reached what we consider is a successful conclusion to a difficult problem.", "author" : [ { "dropping-particle" : "", "family" : "Whicher", "given" : "J T", "non-dropping-particle" : "", "parse-names" : false, "suffix" : "" }, { "dropping-particle" : "", "family" : "Ritchie", "given" : "R F", "non-dropping-particle" : "", "parse-names" : false, "suffix" : "" }, { "dropping-particle" : "", "family" : "Johnson", "given" : "A M", "non-dropping-particle" : "", "parse-names" : false, "suffix" : "" }, { "dropping-particle" : "", "family" : "Baudner", "given" : "S", "non-dropping-particle" : "", "parse-names" : false, "suffix" : "" }, { "dropping-particle" : "", "family" : "Bienvenu", "given" : "J", "non-dropping-particle" : "", "parse-names" : false, "suffix" : "" }, { "dropping-particle" : "", "family" : "Blirup-Jensen", "given" : "S", "non-dropping-particle" : "", "parse-names" : false, "suffix" : "" }, { "dropping-particle" : "", "family" : "Carlstrom", "given" : "A", "non-dropping-particle" : "", "parse-names" : false, "suffix" : "" }, { "dropping-particle" : "", "family" : "Dati", "given" : "F", "non-dropping-particle" : "", "parse-names" : false, "suffix" : "" }, { "dropping-particle" : "", "family" : "Ward", "given" : "A M", "non-dropping-particle" : "", "parse-names" : false, "suffix" : "" }, { "dropping-particle" : "", "family" : "Svendsen", "given" : "P J", "non-dropping-particle" : "", "parse-names" : false, "suffix" : "" } ], "container-title" : "Clinical chemistry", "id" : "ITEM-1", "issue" : "6", "issued" : { "date-parts" : [ [ "1994", "6" ] ] }, "page" : "934-8", "title" : "New international reference preparation for proteins in human serum (RPPHS).", "type" : "article-journal", "volume" : "40" }, "uris" : [ "http://www.mendeley.com/documents/?uuid=b75fae7c-1902-4c18-81c7-8e44a9b53c77" ] } ], "mendeley" : { "formattedCitation" : "&lt;sup&gt;132&lt;/sup&gt;", "plainTextFormattedCitation" : "132", "previouslyFormattedCitation" : "&lt;sup&gt;132&lt;/sup&gt;" }, "properties" : { "noteIndex" : 0 }, "schema" : "https://github.com/citation-style-language/schema/raw/master/csl-citation.json" }</w:instrText>
      </w:r>
      <w:r w:rsidRPr="008A5CCE">
        <w:rPr>
          <w:rFonts w:ascii="Tahoma" w:hAnsi="Tahoma" w:cs="Tahoma"/>
          <w:sz w:val="22"/>
          <w:szCs w:val="22"/>
        </w:rPr>
        <w:fldChar w:fldCharType="separate"/>
      </w:r>
      <w:r w:rsidRPr="00F7439E">
        <w:rPr>
          <w:rFonts w:ascii="Tahoma" w:hAnsi="Tahoma" w:cs="Tahoma"/>
          <w:noProof/>
          <w:sz w:val="22"/>
          <w:szCs w:val="22"/>
          <w:vertAlign w:val="superscript"/>
        </w:rPr>
        <w:t>132</w:t>
      </w:r>
      <w:r w:rsidRPr="008A5CCE">
        <w:rPr>
          <w:rFonts w:ascii="Tahoma" w:hAnsi="Tahoma" w:cs="Tahoma"/>
          <w:sz w:val="22"/>
          <w:szCs w:val="22"/>
        </w:rPr>
        <w:fldChar w:fldCharType="end"/>
      </w:r>
      <w:r w:rsidR="0045148D">
        <w:rPr>
          <w:rFonts w:ascii="Tahoma" w:hAnsi="Tahoma" w:cs="Tahoma"/>
          <w:sz w:val="22"/>
          <w:szCs w:val="22"/>
        </w:rPr>
        <w:t xml:space="preserve"> was taken as the proxy for </w:t>
      </w:r>
      <w:r w:rsidRPr="008A5CCE">
        <w:rPr>
          <w:rFonts w:ascii="Tahoma" w:hAnsi="Tahoma" w:cs="Tahoma"/>
          <w:sz w:val="22"/>
          <w:szCs w:val="22"/>
        </w:rPr>
        <w:t>CRP</w:t>
      </w:r>
      <w:r w:rsidR="0045148D">
        <w:rPr>
          <w:rFonts w:ascii="Tahoma" w:hAnsi="Tahoma" w:cs="Tahoma"/>
          <w:sz w:val="22"/>
          <w:szCs w:val="22"/>
        </w:rPr>
        <w:t xml:space="preserve"> assays</w:t>
      </w:r>
      <w:r w:rsidRPr="008A5CCE">
        <w:rPr>
          <w:rFonts w:ascii="Tahoma" w:hAnsi="Tahoma" w:cs="Tahoma"/>
          <w:sz w:val="22"/>
          <w:szCs w:val="22"/>
        </w:rPr>
        <w:t xml:space="preserve"> before standardisation and after standardisation. The -2 log likelihoods of the 2 plots were compared with the ᵪ</w:t>
      </w:r>
      <w:r w:rsidRPr="008A5CCE">
        <w:rPr>
          <w:rFonts w:ascii="Tahoma" w:hAnsi="Tahoma" w:cs="Tahoma"/>
          <w:sz w:val="22"/>
          <w:szCs w:val="22"/>
          <w:vertAlign w:val="superscript"/>
        </w:rPr>
        <w:t>2</w:t>
      </w:r>
      <w:r>
        <w:rPr>
          <w:rFonts w:ascii="Tahoma" w:hAnsi="Tahoma" w:cs="Tahoma"/>
          <w:sz w:val="22"/>
          <w:szCs w:val="22"/>
        </w:rPr>
        <w:t xml:space="preserve"> test yielding a p value of </w:t>
      </w:r>
      <w:r w:rsidR="00640937">
        <w:rPr>
          <w:rFonts w:ascii="Tahoma" w:hAnsi="Tahoma" w:cs="Tahoma"/>
          <w:sz w:val="22"/>
          <w:szCs w:val="22"/>
        </w:rPr>
        <w:t>&lt;</w:t>
      </w:r>
      <w:r>
        <w:rPr>
          <w:rFonts w:ascii="Tahoma" w:hAnsi="Tahoma" w:cs="Tahoma"/>
          <w:sz w:val="22"/>
          <w:szCs w:val="22"/>
        </w:rPr>
        <w:t>0</w:t>
      </w:r>
      <w:r w:rsidR="00640937">
        <w:rPr>
          <w:rFonts w:ascii="Tahoma" w:hAnsi="Tahoma" w:cs="Tahoma"/>
          <w:sz w:val="22"/>
          <w:szCs w:val="22"/>
        </w:rPr>
        <w:t>.001</w:t>
      </w:r>
      <w:r>
        <w:rPr>
          <w:rFonts w:ascii="Tahoma" w:hAnsi="Tahoma" w:cs="Tahoma"/>
          <w:sz w:val="22"/>
          <w:szCs w:val="22"/>
        </w:rPr>
        <w:t xml:space="preserve">. </w:t>
      </w:r>
    </w:p>
    <w:p w:rsidR="00A35D91" w:rsidRDefault="00A35D91" w:rsidP="009C447E">
      <w:pPr>
        <w:pStyle w:val="Subtitle"/>
        <w:spacing w:line="276" w:lineRule="auto"/>
      </w:pPr>
      <w:bookmarkStart w:id="3" w:name="_Toc450661976"/>
      <w:bookmarkStart w:id="4" w:name="_Toc450662282"/>
      <w:bookmarkStart w:id="5" w:name="_Toc452124518"/>
      <w:bookmarkStart w:id="6" w:name="_Toc463267838"/>
    </w:p>
    <w:p w:rsidR="009C447E" w:rsidRDefault="009C447E" w:rsidP="009C447E">
      <w:pPr>
        <w:pStyle w:val="Subtitle"/>
        <w:spacing w:line="276" w:lineRule="auto"/>
      </w:pPr>
      <w:r w:rsidRPr="00BB5595">
        <w:t>SROC Plots Comparing Studies Evaluating CRP in the Diagnosis of HCA and/or Funisitis, Subgroups</w:t>
      </w:r>
      <w:r w:rsidR="00640937">
        <w:t>:</w:t>
      </w:r>
      <w:r w:rsidRPr="00BB5595">
        <w:t xml:space="preserve"> Assays Performed Before and After 1993.</w:t>
      </w:r>
      <w:bookmarkEnd w:id="3"/>
      <w:bookmarkEnd w:id="4"/>
      <w:bookmarkEnd w:id="5"/>
      <w:bookmarkEnd w:id="6"/>
    </w:p>
    <w:p w:rsidR="00640937" w:rsidRPr="00640937" w:rsidRDefault="00640937" w:rsidP="00640937">
      <w:r>
        <w:rPr>
          <w:noProof/>
          <w:lang w:val="en-US"/>
        </w:rPr>
        <w:drawing>
          <wp:inline distT="0" distB="0" distL="0" distR="0">
            <wp:extent cx="5715000" cy="6172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terogeneity CRP after93.png"/>
                    <pic:cNvPicPr/>
                  </pic:nvPicPr>
                  <pic:blipFill>
                    <a:blip r:embed="rId7">
                      <a:extLst>
                        <a:ext uri="{28A0092B-C50C-407E-A947-70E740481C1C}">
                          <a14:useLocalDpi xmlns:a14="http://schemas.microsoft.com/office/drawing/2010/main" val="0"/>
                        </a:ext>
                      </a:extLst>
                    </a:blip>
                    <a:stretch>
                      <a:fillRect/>
                    </a:stretch>
                  </pic:blipFill>
                  <pic:spPr>
                    <a:xfrm>
                      <a:off x="0" y="0"/>
                      <a:ext cx="5715000" cy="6172200"/>
                    </a:xfrm>
                    <a:prstGeom prst="rect">
                      <a:avLst/>
                    </a:prstGeom>
                  </pic:spPr>
                </pic:pic>
              </a:graphicData>
            </a:graphic>
          </wp:inline>
        </w:drawing>
      </w:r>
    </w:p>
    <w:p w:rsidR="009C447E" w:rsidRDefault="009C447E" w:rsidP="009C447E">
      <w:pPr>
        <w:spacing w:line="276" w:lineRule="auto"/>
        <w:contextualSpacing/>
        <w:jc w:val="center"/>
        <w:rPr>
          <w:rFonts w:ascii="Tahoma" w:hAnsi="Tahoma" w:cs="Tahoma"/>
          <w:sz w:val="18"/>
          <w:szCs w:val="22"/>
        </w:rPr>
      </w:pPr>
    </w:p>
    <w:p w:rsidR="00A35D91" w:rsidRDefault="00A35D91">
      <w:pPr>
        <w:spacing w:after="160" w:line="259" w:lineRule="auto"/>
        <w:rPr>
          <w:rFonts w:ascii="Tahoma" w:hAnsi="Tahoma"/>
          <w:sz w:val="22"/>
        </w:rPr>
      </w:pPr>
      <w:bookmarkStart w:id="7" w:name="_Toc450661977"/>
      <w:bookmarkStart w:id="8" w:name="_Toc450662283"/>
      <w:bookmarkStart w:id="9" w:name="_Toc463267839"/>
      <w:r>
        <w:br w:type="page"/>
      </w:r>
    </w:p>
    <w:p w:rsidR="00F978A5" w:rsidRPr="00EC6EB6" w:rsidRDefault="00F978A5" w:rsidP="00640937">
      <w:pPr>
        <w:pStyle w:val="Subtitle"/>
        <w:numPr>
          <w:ilvl w:val="1"/>
          <w:numId w:val="1"/>
        </w:numPr>
        <w:spacing w:line="276" w:lineRule="auto"/>
        <w:rPr>
          <w:u w:val="none"/>
        </w:rPr>
      </w:pPr>
      <w:r w:rsidRPr="00EC6EB6">
        <w:rPr>
          <w:u w:val="none"/>
        </w:rPr>
        <w:lastRenderedPageBreak/>
        <w:t>Pre-specified cut-off</w:t>
      </w:r>
      <w:bookmarkEnd w:id="7"/>
      <w:bookmarkEnd w:id="8"/>
      <w:bookmarkEnd w:id="9"/>
    </w:p>
    <w:p w:rsidR="00F90360" w:rsidRDefault="00F978A5" w:rsidP="009C447E">
      <w:pPr>
        <w:spacing w:line="276" w:lineRule="auto"/>
        <w:contextualSpacing/>
        <w:jc w:val="both"/>
        <w:rPr>
          <w:rFonts w:ascii="Tahoma" w:hAnsi="Tahoma" w:cs="Tahoma"/>
          <w:sz w:val="22"/>
          <w:szCs w:val="22"/>
        </w:rPr>
      </w:pPr>
      <w:r w:rsidRPr="008A5CCE">
        <w:rPr>
          <w:rFonts w:ascii="Tahoma" w:hAnsi="Tahoma" w:cs="Tahoma"/>
          <w:sz w:val="22"/>
          <w:szCs w:val="22"/>
        </w:rPr>
        <w:t xml:space="preserve">Studies were </w:t>
      </w:r>
      <w:r>
        <w:rPr>
          <w:rFonts w:ascii="Tahoma" w:hAnsi="Tahoma" w:cs="Tahoma"/>
          <w:sz w:val="22"/>
          <w:szCs w:val="22"/>
        </w:rPr>
        <w:t xml:space="preserve">grouped </w:t>
      </w:r>
      <w:r w:rsidRPr="008A5CCE">
        <w:rPr>
          <w:rFonts w:ascii="Tahoma" w:hAnsi="Tahoma" w:cs="Tahoma"/>
          <w:sz w:val="22"/>
          <w:szCs w:val="22"/>
        </w:rPr>
        <w:t>according to whether the cut</w:t>
      </w:r>
      <w:r>
        <w:rPr>
          <w:rFonts w:ascii="Tahoma" w:hAnsi="Tahoma" w:cs="Tahoma"/>
          <w:sz w:val="22"/>
          <w:szCs w:val="22"/>
        </w:rPr>
        <w:t>-</w:t>
      </w:r>
      <w:r w:rsidRPr="008A5CCE">
        <w:rPr>
          <w:rFonts w:ascii="Tahoma" w:hAnsi="Tahoma" w:cs="Tahoma"/>
          <w:sz w:val="22"/>
          <w:szCs w:val="22"/>
        </w:rPr>
        <w:t>off used was pre</w:t>
      </w:r>
      <w:r>
        <w:rPr>
          <w:rFonts w:ascii="Tahoma" w:hAnsi="Tahoma" w:cs="Tahoma"/>
          <w:sz w:val="22"/>
          <w:szCs w:val="22"/>
        </w:rPr>
        <w:t>-</w:t>
      </w:r>
      <w:r w:rsidRPr="008A5CCE">
        <w:rPr>
          <w:rFonts w:ascii="Tahoma" w:hAnsi="Tahoma" w:cs="Tahoma"/>
          <w:sz w:val="22"/>
          <w:szCs w:val="22"/>
        </w:rPr>
        <w:t>specified or whether it was determined from the study data. The -2 log likelihoods of the 2 plots were compared with the ᵪ</w:t>
      </w:r>
      <w:r w:rsidRPr="008A5CCE">
        <w:rPr>
          <w:rFonts w:ascii="Tahoma" w:hAnsi="Tahoma" w:cs="Tahoma"/>
          <w:sz w:val="22"/>
          <w:szCs w:val="22"/>
          <w:vertAlign w:val="superscript"/>
        </w:rPr>
        <w:t>2</w:t>
      </w:r>
      <w:r>
        <w:rPr>
          <w:rFonts w:ascii="Tahoma" w:hAnsi="Tahoma" w:cs="Tahoma"/>
          <w:sz w:val="22"/>
          <w:szCs w:val="22"/>
        </w:rPr>
        <w:t xml:space="preserve"> test,</w:t>
      </w:r>
      <w:r w:rsidRPr="008A5CCE">
        <w:rPr>
          <w:rFonts w:ascii="Tahoma" w:hAnsi="Tahoma" w:cs="Tahoma"/>
          <w:sz w:val="22"/>
          <w:szCs w:val="22"/>
        </w:rPr>
        <w:t xml:space="preserve"> p=0.</w:t>
      </w:r>
      <w:r w:rsidR="00640937">
        <w:rPr>
          <w:rFonts w:ascii="Tahoma" w:hAnsi="Tahoma" w:cs="Tahoma"/>
          <w:sz w:val="22"/>
          <w:szCs w:val="22"/>
        </w:rPr>
        <w:t>003</w:t>
      </w:r>
      <w:r w:rsidRPr="008A5CCE">
        <w:rPr>
          <w:rFonts w:ascii="Tahoma" w:hAnsi="Tahoma" w:cs="Tahoma"/>
          <w:sz w:val="22"/>
          <w:szCs w:val="22"/>
        </w:rPr>
        <w:t xml:space="preserve">, indicating evidence for a difference in the two plots. </w:t>
      </w:r>
    </w:p>
    <w:p w:rsidR="00A35D91" w:rsidRDefault="00A35D91" w:rsidP="009C447E">
      <w:pPr>
        <w:spacing w:line="276" w:lineRule="auto"/>
        <w:contextualSpacing/>
        <w:jc w:val="both"/>
        <w:rPr>
          <w:rStyle w:val="SubtitleChar"/>
        </w:rPr>
      </w:pPr>
    </w:p>
    <w:p w:rsidR="00D944D5" w:rsidRDefault="00D944D5" w:rsidP="009C447E">
      <w:pPr>
        <w:spacing w:line="276" w:lineRule="auto"/>
        <w:contextualSpacing/>
        <w:jc w:val="both"/>
        <w:rPr>
          <w:rFonts w:ascii="Tahoma" w:hAnsi="Tahoma" w:cs="Tahoma"/>
          <w:noProof/>
          <w:u w:val="single"/>
          <w:lang w:eastAsia="en-GB"/>
        </w:rPr>
      </w:pPr>
      <w:r w:rsidRPr="003C6A5E">
        <w:rPr>
          <w:rStyle w:val="SubtitleChar"/>
        </w:rPr>
        <w:t>SROC Plots Comparing Studies Evaluating CRP in the Diagnosis of HCA and/or Funisitis, Subgroups: Pre-specified cut-off or not</w:t>
      </w:r>
      <w:r w:rsidRPr="00BB5595">
        <w:rPr>
          <w:rFonts w:ascii="Tahoma" w:hAnsi="Tahoma" w:cs="Tahoma"/>
          <w:noProof/>
          <w:u w:val="single"/>
          <w:lang w:eastAsia="en-GB"/>
        </w:rPr>
        <w:t xml:space="preserve">. </w:t>
      </w:r>
    </w:p>
    <w:p w:rsidR="00640937" w:rsidRPr="003C7D46" w:rsidRDefault="00640937" w:rsidP="009C447E">
      <w:pPr>
        <w:spacing w:line="276" w:lineRule="auto"/>
        <w:contextualSpacing/>
        <w:jc w:val="both"/>
        <w:rPr>
          <w:rFonts w:ascii="Tahoma" w:hAnsi="Tahoma" w:cs="Tahoma"/>
          <w:u w:val="single"/>
        </w:rPr>
      </w:pPr>
      <w:bookmarkStart w:id="10" w:name="_GoBack"/>
      <w:r w:rsidRPr="00640937">
        <w:rPr>
          <w:rFonts w:ascii="Tahoma" w:hAnsi="Tahoma" w:cs="Tahoma"/>
          <w:noProof/>
          <w:lang w:val="en-US"/>
        </w:rPr>
        <w:drawing>
          <wp:inline distT="0" distB="0" distL="0" distR="0">
            <wp:extent cx="5473337" cy="5911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terogeneity CRP predetermined.png"/>
                    <pic:cNvPicPr/>
                  </pic:nvPicPr>
                  <pic:blipFill>
                    <a:blip r:embed="rId8">
                      <a:extLst>
                        <a:ext uri="{28A0092B-C50C-407E-A947-70E740481C1C}">
                          <a14:useLocalDpi xmlns:a14="http://schemas.microsoft.com/office/drawing/2010/main" val="0"/>
                        </a:ext>
                      </a:extLst>
                    </a:blip>
                    <a:stretch>
                      <a:fillRect/>
                    </a:stretch>
                  </pic:blipFill>
                  <pic:spPr>
                    <a:xfrm>
                      <a:off x="0" y="0"/>
                      <a:ext cx="5484059" cy="5922785"/>
                    </a:xfrm>
                    <a:prstGeom prst="rect">
                      <a:avLst/>
                    </a:prstGeom>
                  </pic:spPr>
                </pic:pic>
              </a:graphicData>
            </a:graphic>
          </wp:inline>
        </w:drawing>
      </w:r>
      <w:bookmarkEnd w:id="10"/>
    </w:p>
    <w:p w:rsidR="00D944D5" w:rsidRDefault="00D944D5" w:rsidP="009C447E">
      <w:pPr>
        <w:spacing w:line="276" w:lineRule="auto"/>
        <w:contextualSpacing/>
        <w:jc w:val="both"/>
        <w:rPr>
          <w:rStyle w:val="SubtitleChar"/>
          <w:noProof/>
          <w:u w:val="none"/>
          <w:lang w:eastAsia="en-GB"/>
        </w:rPr>
      </w:pPr>
    </w:p>
    <w:p w:rsidR="00D944D5" w:rsidRDefault="00D944D5" w:rsidP="009C447E">
      <w:pPr>
        <w:spacing w:line="276" w:lineRule="auto"/>
        <w:contextualSpacing/>
        <w:jc w:val="both"/>
        <w:rPr>
          <w:rStyle w:val="SubtitleChar"/>
        </w:rPr>
      </w:pPr>
      <w:bookmarkStart w:id="11" w:name="_Toc450661979"/>
      <w:bookmarkStart w:id="12" w:name="_Toc450662285"/>
      <w:bookmarkStart w:id="13" w:name="_Toc452124521"/>
      <w:bookmarkStart w:id="14" w:name="_Toc463267841"/>
    </w:p>
    <w:p w:rsidR="00A35D91" w:rsidRDefault="00A35D91">
      <w:pPr>
        <w:spacing w:after="160" w:line="259" w:lineRule="auto"/>
        <w:rPr>
          <w:rStyle w:val="SubtitleChar"/>
        </w:rPr>
      </w:pPr>
      <w:r>
        <w:rPr>
          <w:rStyle w:val="SubtitleChar"/>
        </w:rPr>
        <w:br w:type="page"/>
      </w:r>
    </w:p>
    <w:p w:rsidR="00A35D91" w:rsidRDefault="00A35D91" w:rsidP="009C447E">
      <w:pPr>
        <w:spacing w:line="276" w:lineRule="auto"/>
        <w:contextualSpacing/>
        <w:jc w:val="both"/>
        <w:rPr>
          <w:rStyle w:val="SubtitleChar"/>
        </w:rPr>
      </w:pPr>
    </w:p>
    <w:p w:rsidR="00F978A5" w:rsidRPr="00A35D91" w:rsidRDefault="00F978A5" w:rsidP="00640937">
      <w:pPr>
        <w:pStyle w:val="Subtitle"/>
        <w:numPr>
          <w:ilvl w:val="1"/>
          <w:numId w:val="1"/>
        </w:numPr>
        <w:spacing w:line="276" w:lineRule="auto"/>
        <w:rPr>
          <w:u w:val="none"/>
        </w:rPr>
      </w:pPr>
      <w:bookmarkStart w:id="15" w:name="_Toc450661980"/>
      <w:bookmarkStart w:id="16" w:name="_Toc450662286"/>
      <w:bookmarkStart w:id="17" w:name="_Toc463267842"/>
      <w:bookmarkEnd w:id="11"/>
      <w:bookmarkEnd w:id="12"/>
      <w:bookmarkEnd w:id="13"/>
      <w:bookmarkEnd w:id="14"/>
      <w:r w:rsidRPr="00A35D91">
        <w:rPr>
          <w:u w:val="none"/>
        </w:rPr>
        <w:t>Interval from sampling to delivery</w:t>
      </w:r>
      <w:bookmarkEnd w:id="15"/>
      <w:bookmarkEnd w:id="16"/>
      <w:bookmarkEnd w:id="17"/>
    </w:p>
    <w:p w:rsidR="00F978A5" w:rsidRDefault="00F978A5" w:rsidP="009C447E">
      <w:pPr>
        <w:spacing w:line="276" w:lineRule="auto"/>
        <w:contextualSpacing/>
        <w:jc w:val="both"/>
        <w:rPr>
          <w:rFonts w:ascii="Tahoma" w:hAnsi="Tahoma" w:cs="Tahoma"/>
          <w:sz w:val="22"/>
          <w:szCs w:val="22"/>
        </w:rPr>
      </w:pPr>
      <w:r w:rsidRPr="008A5CCE">
        <w:rPr>
          <w:rFonts w:ascii="Tahoma" w:hAnsi="Tahoma" w:cs="Tahoma"/>
          <w:sz w:val="22"/>
          <w:szCs w:val="22"/>
        </w:rPr>
        <w:t>Studi</w:t>
      </w:r>
      <w:r>
        <w:rPr>
          <w:rFonts w:ascii="Tahoma" w:hAnsi="Tahoma" w:cs="Tahoma"/>
          <w:sz w:val="22"/>
          <w:szCs w:val="22"/>
        </w:rPr>
        <w:t xml:space="preserve">es were grouped according to sampling time with an interval of 72hours between sampling and delivery as the cut-off. </w:t>
      </w:r>
      <w:r w:rsidRPr="008A5CCE">
        <w:rPr>
          <w:rFonts w:ascii="Tahoma" w:hAnsi="Tahoma" w:cs="Tahoma"/>
          <w:sz w:val="22"/>
          <w:szCs w:val="22"/>
        </w:rPr>
        <w:t>The -2 log likelihoods of the 2 plots were compared with the ᵪ</w:t>
      </w:r>
      <w:r w:rsidRPr="008A5CCE">
        <w:rPr>
          <w:rFonts w:ascii="Tahoma" w:hAnsi="Tahoma" w:cs="Tahoma"/>
          <w:sz w:val="22"/>
          <w:szCs w:val="22"/>
          <w:vertAlign w:val="superscript"/>
        </w:rPr>
        <w:t>2</w:t>
      </w:r>
      <w:r w:rsidR="00085AAE">
        <w:rPr>
          <w:rFonts w:ascii="Tahoma" w:hAnsi="Tahoma" w:cs="Tahoma"/>
          <w:sz w:val="22"/>
          <w:szCs w:val="22"/>
        </w:rPr>
        <w:t xml:space="preserve"> test. P&lt;0.001</w:t>
      </w:r>
      <w:r>
        <w:rPr>
          <w:rFonts w:ascii="Tahoma" w:hAnsi="Tahoma" w:cs="Tahoma"/>
          <w:sz w:val="22"/>
          <w:szCs w:val="22"/>
        </w:rPr>
        <w:t xml:space="preserve"> indicating</w:t>
      </w:r>
      <w:r w:rsidRPr="008A5CCE">
        <w:rPr>
          <w:rFonts w:ascii="Tahoma" w:hAnsi="Tahoma" w:cs="Tahoma"/>
          <w:sz w:val="22"/>
          <w:szCs w:val="22"/>
        </w:rPr>
        <w:t xml:space="preserve"> that the 2 plots </w:t>
      </w:r>
      <w:r>
        <w:rPr>
          <w:rFonts w:ascii="Tahoma" w:hAnsi="Tahoma" w:cs="Tahoma"/>
          <w:sz w:val="22"/>
          <w:szCs w:val="22"/>
        </w:rPr>
        <w:t>are</w:t>
      </w:r>
      <w:r w:rsidRPr="008A5CCE">
        <w:rPr>
          <w:rFonts w:ascii="Tahoma" w:hAnsi="Tahoma" w:cs="Tahoma"/>
          <w:sz w:val="22"/>
          <w:szCs w:val="22"/>
        </w:rPr>
        <w:t xml:space="preserve"> different. </w:t>
      </w:r>
    </w:p>
    <w:p w:rsidR="00A35D91" w:rsidRDefault="00A35D91" w:rsidP="009C447E">
      <w:pPr>
        <w:pStyle w:val="Subtitle"/>
        <w:spacing w:line="276" w:lineRule="auto"/>
      </w:pPr>
      <w:bookmarkStart w:id="18" w:name="_Toc450661982"/>
      <w:bookmarkStart w:id="19" w:name="_Toc450662288"/>
      <w:bookmarkStart w:id="20" w:name="_Toc452124524"/>
      <w:bookmarkStart w:id="21" w:name="_Toc463267844"/>
    </w:p>
    <w:p w:rsidR="00F978A5" w:rsidRDefault="00F978A5" w:rsidP="009C447E">
      <w:pPr>
        <w:pStyle w:val="Subtitle"/>
        <w:spacing w:line="276" w:lineRule="auto"/>
      </w:pPr>
      <w:r w:rsidRPr="0006032D">
        <w:t>SROC Plots comparing Studies Evaluating CRP in the Diagnosis of HCA and/or Funisitis, Subgroups: Appropriate Sample Interval* or Not</w:t>
      </w:r>
      <w:bookmarkEnd w:id="18"/>
      <w:bookmarkEnd w:id="19"/>
      <w:bookmarkEnd w:id="20"/>
      <w:bookmarkEnd w:id="21"/>
      <w:r w:rsidRPr="0006032D">
        <w:t xml:space="preserve"> </w:t>
      </w:r>
    </w:p>
    <w:p w:rsidR="00085AAE" w:rsidRPr="00085AAE" w:rsidRDefault="00085AAE" w:rsidP="00085AAE">
      <w:r>
        <w:rPr>
          <w:noProof/>
          <w:lang w:val="en-US"/>
        </w:rPr>
        <w:drawing>
          <wp:inline distT="0" distB="0" distL="0" distR="0">
            <wp:extent cx="5715000" cy="6172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terogeneity CRP sampletime.png"/>
                    <pic:cNvPicPr/>
                  </pic:nvPicPr>
                  <pic:blipFill>
                    <a:blip r:embed="rId9">
                      <a:extLst>
                        <a:ext uri="{28A0092B-C50C-407E-A947-70E740481C1C}">
                          <a14:useLocalDpi xmlns:a14="http://schemas.microsoft.com/office/drawing/2010/main" val="0"/>
                        </a:ext>
                      </a:extLst>
                    </a:blip>
                    <a:stretch>
                      <a:fillRect/>
                    </a:stretch>
                  </pic:blipFill>
                  <pic:spPr>
                    <a:xfrm>
                      <a:off x="0" y="0"/>
                      <a:ext cx="5715000" cy="6172200"/>
                    </a:xfrm>
                    <a:prstGeom prst="rect">
                      <a:avLst/>
                    </a:prstGeom>
                  </pic:spPr>
                </pic:pic>
              </a:graphicData>
            </a:graphic>
          </wp:inline>
        </w:drawing>
      </w:r>
    </w:p>
    <w:p w:rsidR="00F978A5" w:rsidRDefault="00F978A5" w:rsidP="009C447E">
      <w:pPr>
        <w:spacing w:line="276" w:lineRule="auto"/>
        <w:contextualSpacing/>
        <w:jc w:val="center"/>
        <w:rPr>
          <w:rFonts w:ascii="Tahoma" w:hAnsi="Tahoma" w:cs="Tahoma"/>
          <w:sz w:val="22"/>
          <w:szCs w:val="22"/>
        </w:rPr>
      </w:pPr>
    </w:p>
    <w:p w:rsidR="00F978A5" w:rsidRDefault="00F978A5" w:rsidP="009C447E">
      <w:pPr>
        <w:spacing w:line="276" w:lineRule="auto"/>
        <w:ind w:left="1440" w:firstLine="720"/>
        <w:contextualSpacing/>
        <w:rPr>
          <w:rFonts w:ascii="Tahoma" w:hAnsi="Tahoma" w:cs="Tahoma"/>
          <w:sz w:val="18"/>
          <w:szCs w:val="22"/>
        </w:rPr>
      </w:pPr>
      <w:r w:rsidRPr="008A5CCE">
        <w:rPr>
          <w:rFonts w:ascii="Tahoma" w:hAnsi="Tahoma" w:cs="Tahoma"/>
          <w:b/>
          <w:noProof/>
          <w:sz w:val="22"/>
          <w:szCs w:val="22"/>
          <w:lang w:eastAsia="en-GB"/>
        </w:rPr>
        <w:t xml:space="preserve"> </w:t>
      </w:r>
      <w:r w:rsidRPr="0006032D">
        <w:rPr>
          <w:rFonts w:ascii="Tahoma" w:hAnsi="Tahoma" w:cs="Tahoma"/>
          <w:sz w:val="18"/>
          <w:szCs w:val="22"/>
        </w:rPr>
        <w:t>*Appropriate sample time - ≤72hours</w:t>
      </w:r>
    </w:p>
    <w:p w:rsidR="00012B2C" w:rsidRDefault="00012B2C">
      <w:pPr>
        <w:spacing w:after="160" w:line="259" w:lineRule="auto"/>
        <w:rPr>
          <w:rFonts w:ascii="Tahoma" w:hAnsi="Tahoma" w:cs="Tahoma"/>
          <w:sz w:val="18"/>
          <w:szCs w:val="22"/>
        </w:rPr>
      </w:pPr>
      <w:r>
        <w:rPr>
          <w:rFonts w:ascii="Tahoma" w:hAnsi="Tahoma" w:cs="Tahoma"/>
          <w:sz w:val="18"/>
          <w:szCs w:val="22"/>
        </w:rPr>
        <w:br w:type="page"/>
      </w:r>
    </w:p>
    <w:p w:rsidR="00F978A5" w:rsidRPr="00A35D91" w:rsidRDefault="00F978A5" w:rsidP="00085AAE">
      <w:pPr>
        <w:pStyle w:val="Subtitle"/>
        <w:numPr>
          <w:ilvl w:val="1"/>
          <w:numId w:val="1"/>
        </w:numPr>
        <w:spacing w:line="276" w:lineRule="auto"/>
        <w:rPr>
          <w:u w:val="none"/>
        </w:rPr>
      </w:pPr>
      <w:r w:rsidRPr="00A35D91">
        <w:rPr>
          <w:u w:val="none"/>
        </w:rPr>
        <w:lastRenderedPageBreak/>
        <w:t>Risk of Bias in Patient Selection</w:t>
      </w:r>
    </w:p>
    <w:p w:rsidR="00F978A5" w:rsidRDefault="00F978A5" w:rsidP="009C447E">
      <w:pPr>
        <w:spacing w:line="276" w:lineRule="auto"/>
        <w:contextualSpacing/>
        <w:jc w:val="both"/>
        <w:rPr>
          <w:rFonts w:ascii="Tahoma" w:hAnsi="Tahoma" w:cs="Tahoma"/>
          <w:sz w:val="22"/>
          <w:szCs w:val="22"/>
        </w:rPr>
      </w:pPr>
      <w:r w:rsidRPr="008A5CCE">
        <w:rPr>
          <w:rFonts w:ascii="Tahoma" w:hAnsi="Tahoma" w:cs="Tahoma"/>
          <w:sz w:val="22"/>
          <w:szCs w:val="22"/>
        </w:rPr>
        <w:t>The judgements on risk of bias in the patient selection domain of the QUADAS-2</w:t>
      </w:r>
      <w:r w:rsidRPr="008A5CCE">
        <w:rPr>
          <w:rFonts w:ascii="Tahoma" w:hAnsi="Tahoma" w:cs="Tahoma"/>
          <w:sz w:val="22"/>
          <w:szCs w:val="22"/>
        </w:rPr>
        <w:fldChar w:fldCharType="begin" w:fldLock="1"/>
      </w:r>
      <w:r>
        <w:rPr>
          <w:rFonts w:ascii="Tahoma" w:hAnsi="Tahoma" w:cs="Tahoma"/>
          <w:sz w:val="22"/>
          <w:szCs w:val="22"/>
        </w:rPr>
        <w:instrText>ADDIN CSL_CITATION { "citationItems" : [ { "id" : "ITEM-1", "itemData" : { "author" : [ { "dropping-particle" : "", "family" : "Whiting", "given" : "Penny F.", "non-dropping-particle" : "", "parse-names" : false, "suffix" : "" }, { "dropping-particle" : "", "family" : "Rutjes", "given" : "Anne W.S.", "non-dropping-particle" : "", "parse-names" : false, "suffix" : "" }, { "dropping-particle" : "", "family" : "Westwood", "given" : "Marie E.", "non-dropping-particle" : "", "parse-names" : false, "suffix" : "" }, { "dropping-particle" : "", "family" : "Mallet", "given" : "Susan", "non-dropping-particle" : "", "parse-names" : false, "suffix" : "" }, { "dropping-particle" : "", "family" : "Deeks", "given" : "Jonathan J", "non-dropping-particle" : "", "parse-names" : false, "suffix" : "" }, { "dropping-particle" : "", "family" : "Reitsma", "given" : "Johannes B", "non-dropping-particle" : "", "parse-names" : false, "suffix" : "" }, { "dropping-particle" : "", "family" : "Leeflang", "given" : "Mariska M G", "non-dropping-particle" : "", "parse-names" : false, "suffix" : "" }, { "dropping-particle" : "", "family" : "Sterne", "given" : "Jonathan a C", "non-dropping-particle" : "", "parse-names" : false, "suffix" : "" }, { "dropping-particle" : "", "family" : "Bossuyt", "given" : "Patrick M M", "non-dropping-particle" : "", "parse-names" : false, "suffix" : "" } ], "container-title" : "Annals of Internal Medicine", "id" : "ITEM-1", "issue" : "4", "issued" : { "date-parts" : [ [ "2011" ] ] }, "page" : "529-536", "title" : "QUADAS-2: A Revised Tool for the Quality Assessment of Diagnostic Accuracy Studies", "type" : "article-journal", "volume" : "155" }, "uris" : [ "http://www.mendeley.com/documents/?uuid=1d460bc6-6e36-4b8f-b5c5-809c29491d85" ] } ], "mendeley" : { "formattedCitation" : "&lt;sup&gt;102&lt;/sup&gt;", "plainTextFormattedCitation" : "102", "previouslyFormattedCitation" : "&lt;sup&gt;102&lt;/sup&gt;" }, "properties" : { "noteIndex" : 0 }, "schema" : "https://github.com/citation-style-language/schema/raw/master/csl-citation.json" }</w:instrText>
      </w:r>
      <w:r w:rsidRPr="008A5CCE">
        <w:rPr>
          <w:rFonts w:ascii="Tahoma" w:hAnsi="Tahoma" w:cs="Tahoma"/>
          <w:sz w:val="22"/>
          <w:szCs w:val="22"/>
        </w:rPr>
        <w:fldChar w:fldCharType="separate"/>
      </w:r>
      <w:r w:rsidRPr="00F7439E">
        <w:rPr>
          <w:rFonts w:ascii="Tahoma" w:hAnsi="Tahoma" w:cs="Tahoma"/>
          <w:noProof/>
          <w:sz w:val="22"/>
          <w:szCs w:val="22"/>
          <w:vertAlign w:val="superscript"/>
        </w:rPr>
        <w:t>102</w:t>
      </w:r>
      <w:r w:rsidRPr="008A5CCE">
        <w:rPr>
          <w:rFonts w:ascii="Tahoma" w:hAnsi="Tahoma" w:cs="Tahoma"/>
          <w:sz w:val="22"/>
          <w:szCs w:val="22"/>
        </w:rPr>
        <w:fldChar w:fldCharType="end"/>
      </w:r>
      <w:r w:rsidRPr="008A5CCE">
        <w:rPr>
          <w:rFonts w:ascii="Tahoma" w:hAnsi="Tahoma" w:cs="Tahoma"/>
          <w:sz w:val="22"/>
          <w:szCs w:val="22"/>
        </w:rPr>
        <w:t xml:space="preserve"> tool </w:t>
      </w:r>
      <w:r>
        <w:rPr>
          <w:rFonts w:ascii="Tahoma" w:hAnsi="Tahoma" w:cs="Tahoma"/>
          <w:sz w:val="22"/>
          <w:szCs w:val="22"/>
        </w:rPr>
        <w:t xml:space="preserve">were used to classify studies into 2 subgroups: high risk and low risk. </w:t>
      </w:r>
      <w:r w:rsidRPr="008A5CCE">
        <w:rPr>
          <w:rFonts w:ascii="Tahoma" w:hAnsi="Tahoma" w:cs="Tahoma"/>
          <w:sz w:val="22"/>
          <w:szCs w:val="22"/>
        </w:rPr>
        <w:t>The -2 log likelihoods of the 2 plots were compared with the ᵪ</w:t>
      </w:r>
      <w:r w:rsidRPr="008A5CCE">
        <w:rPr>
          <w:rFonts w:ascii="Tahoma" w:hAnsi="Tahoma" w:cs="Tahoma"/>
          <w:sz w:val="22"/>
          <w:szCs w:val="22"/>
          <w:vertAlign w:val="superscript"/>
        </w:rPr>
        <w:t>2</w:t>
      </w:r>
      <w:r w:rsidRPr="008A5CCE">
        <w:rPr>
          <w:rFonts w:ascii="Tahoma" w:hAnsi="Tahoma" w:cs="Tahoma"/>
          <w:sz w:val="22"/>
          <w:szCs w:val="22"/>
        </w:rPr>
        <w:t xml:space="preserve"> test. </w:t>
      </w:r>
      <w:r w:rsidR="00085AAE" w:rsidRPr="008A5CCE">
        <w:rPr>
          <w:rFonts w:ascii="Tahoma" w:hAnsi="Tahoma" w:cs="Tahoma"/>
          <w:sz w:val="22"/>
          <w:szCs w:val="22"/>
        </w:rPr>
        <w:t>P</w:t>
      </w:r>
      <w:r w:rsidR="00085AAE">
        <w:rPr>
          <w:rFonts w:ascii="Tahoma" w:hAnsi="Tahoma" w:cs="Tahoma"/>
          <w:sz w:val="22"/>
          <w:szCs w:val="22"/>
        </w:rPr>
        <w:t>&lt;0.001 indicating</w:t>
      </w:r>
      <w:r w:rsidRPr="008A5CCE">
        <w:rPr>
          <w:rFonts w:ascii="Tahoma" w:hAnsi="Tahoma" w:cs="Tahoma"/>
          <w:sz w:val="22"/>
          <w:szCs w:val="22"/>
        </w:rPr>
        <w:t xml:space="preserve"> evidence for a difference in the 2 plots. </w:t>
      </w:r>
    </w:p>
    <w:p w:rsidR="00012B2C" w:rsidRDefault="00012B2C" w:rsidP="009C447E">
      <w:pPr>
        <w:pStyle w:val="Subtitle"/>
        <w:spacing w:line="276" w:lineRule="auto"/>
      </w:pPr>
      <w:bookmarkStart w:id="22" w:name="_Toc450661984"/>
      <w:bookmarkStart w:id="23" w:name="_Toc450662290"/>
      <w:bookmarkStart w:id="24" w:name="_Toc452124526"/>
      <w:bookmarkStart w:id="25" w:name="_Toc463267846"/>
    </w:p>
    <w:p w:rsidR="00F978A5" w:rsidRPr="0006032D" w:rsidRDefault="00F978A5" w:rsidP="009C447E">
      <w:pPr>
        <w:pStyle w:val="Subtitle"/>
        <w:spacing w:line="276" w:lineRule="auto"/>
      </w:pPr>
      <w:r w:rsidRPr="0006032D">
        <w:t>SROC Plots comparing Studies Evaluating CRP in the Diagnosis of HCA and/or Funisitis, Subgroups: Low Risk and High Risk of Bias in the Patient Selection Domain</w:t>
      </w:r>
      <w:bookmarkEnd w:id="22"/>
      <w:bookmarkEnd w:id="23"/>
      <w:bookmarkEnd w:id="24"/>
      <w:bookmarkEnd w:id="25"/>
    </w:p>
    <w:p w:rsidR="00CD1B0A" w:rsidRDefault="00085AAE" w:rsidP="009C447E">
      <w:pPr>
        <w:spacing w:line="276" w:lineRule="auto"/>
        <w:contextualSpacing/>
        <w:jc w:val="center"/>
        <w:rPr>
          <w:rFonts w:ascii="Tahoma" w:hAnsi="Tahoma" w:cs="Tahoma"/>
          <w:sz w:val="22"/>
          <w:szCs w:val="22"/>
        </w:rPr>
      </w:pPr>
      <w:r>
        <w:rPr>
          <w:rFonts w:ascii="Tahoma" w:hAnsi="Tahoma" w:cs="Tahoma"/>
          <w:noProof/>
          <w:sz w:val="22"/>
          <w:szCs w:val="22"/>
          <w:lang w:val="en-US"/>
        </w:rPr>
        <w:drawing>
          <wp:inline distT="0" distB="0" distL="0" distR="0">
            <wp:extent cx="5715000" cy="6172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terogeneity CRP Ptselectbias.png"/>
                    <pic:cNvPicPr/>
                  </pic:nvPicPr>
                  <pic:blipFill>
                    <a:blip r:embed="rId10">
                      <a:extLst>
                        <a:ext uri="{28A0092B-C50C-407E-A947-70E740481C1C}">
                          <a14:useLocalDpi xmlns:a14="http://schemas.microsoft.com/office/drawing/2010/main" val="0"/>
                        </a:ext>
                      </a:extLst>
                    </a:blip>
                    <a:stretch>
                      <a:fillRect/>
                    </a:stretch>
                  </pic:blipFill>
                  <pic:spPr>
                    <a:xfrm>
                      <a:off x="0" y="0"/>
                      <a:ext cx="5715000" cy="6172200"/>
                    </a:xfrm>
                    <a:prstGeom prst="rect">
                      <a:avLst/>
                    </a:prstGeom>
                  </pic:spPr>
                </pic:pic>
              </a:graphicData>
            </a:graphic>
          </wp:inline>
        </w:drawing>
      </w:r>
    </w:p>
    <w:p w:rsidR="00751B5E" w:rsidRDefault="00751B5E" w:rsidP="00751B5E">
      <w:pPr>
        <w:pStyle w:val="Subtitle"/>
        <w:numPr>
          <w:ilvl w:val="0"/>
          <w:numId w:val="1"/>
        </w:numPr>
        <w:spacing w:line="276" w:lineRule="auto"/>
      </w:pPr>
      <w:r>
        <w:t xml:space="preserve">Heterogeneity Assessments for Index Test </w:t>
      </w:r>
      <w:r>
        <w:t>Procalcitonin</w:t>
      </w:r>
    </w:p>
    <w:p w:rsidR="00751B5E" w:rsidRPr="00EC6EB6" w:rsidRDefault="00751B5E" w:rsidP="00751B5E">
      <w:pPr>
        <w:pStyle w:val="Subtitle"/>
        <w:numPr>
          <w:ilvl w:val="1"/>
          <w:numId w:val="1"/>
        </w:numPr>
        <w:spacing w:line="276" w:lineRule="auto"/>
        <w:rPr>
          <w:u w:val="none"/>
        </w:rPr>
      </w:pPr>
      <w:r w:rsidRPr="00EC6EB6">
        <w:rPr>
          <w:u w:val="none"/>
        </w:rPr>
        <w:t>Pre-specified cut-off</w:t>
      </w:r>
    </w:p>
    <w:p w:rsidR="00751B5E" w:rsidRDefault="00751B5E" w:rsidP="00751B5E">
      <w:pPr>
        <w:spacing w:line="276" w:lineRule="auto"/>
        <w:contextualSpacing/>
        <w:jc w:val="both"/>
        <w:rPr>
          <w:rFonts w:ascii="Tahoma" w:hAnsi="Tahoma" w:cs="Tahoma"/>
          <w:sz w:val="22"/>
          <w:szCs w:val="22"/>
        </w:rPr>
      </w:pPr>
      <w:r w:rsidRPr="008A5CCE">
        <w:rPr>
          <w:rFonts w:ascii="Tahoma" w:hAnsi="Tahoma" w:cs="Tahoma"/>
          <w:sz w:val="22"/>
          <w:szCs w:val="22"/>
        </w:rPr>
        <w:lastRenderedPageBreak/>
        <w:t xml:space="preserve">Studies were </w:t>
      </w:r>
      <w:r>
        <w:rPr>
          <w:rFonts w:ascii="Tahoma" w:hAnsi="Tahoma" w:cs="Tahoma"/>
          <w:sz w:val="22"/>
          <w:szCs w:val="22"/>
        </w:rPr>
        <w:t xml:space="preserve">grouped </w:t>
      </w:r>
      <w:r w:rsidRPr="008A5CCE">
        <w:rPr>
          <w:rFonts w:ascii="Tahoma" w:hAnsi="Tahoma" w:cs="Tahoma"/>
          <w:sz w:val="22"/>
          <w:szCs w:val="22"/>
        </w:rPr>
        <w:t>according to whether the cut</w:t>
      </w:r>
      <w:r>
        <w:rPr>
          <w:rFonts w:ascii="Tahoma" w:hAnsi="Tahoma" w:cs="Tahoma"/>
          <w:sz w:val="22"/>
          <w:szCs w:val="22"/>
        </w:rPr>
        <w:t>-</w:t>
      </w:r>
      <w:r w:rsidRPr="008A5CCE">
        <w:rPr>
          <w:rFonts w:ascii="Tahoma" w:hAnsi="Tahoma" w:cs="Tahoma"/>
          <w:sz w:val="22"/>
          <w:szCs w:val="22"/>
        </w:rPr>
        <w:t>off used was pre</w:t>
      </w:r>
      <w:r>
        <w:rPr>
          <w:rFonts w:ascii="Tahoma" w:hAnsi="Tahoma" w:cs="Tahoma"/>
          <w:sz w:val="22"/>
          <w:szCs w:val="22"/>
        </w:rPr>
        <w:t>-</w:t>
      </w:r>
      <w:r w:rsidRPr="008A5CCE">
        <w:rPr>
          <w:rFonts w:ascii="Tahoma" w:hAnsi="Tahoma" w:cs="Tahoma"/>
          <w:sz w:val="22"/>
          <w:szCs w:val="22"/>
        </w:rPr>
        <w:t>specified or whether it was determined from the study data. The -2 log likelihoods of the 2 plots were compared with the ᵪ</w:t>
      </w:r>
      <w:r w:rsidRPr="008A5CCE">
        <w:rPr>
          <w:rFonts w:ascii="Tahoma" w:hAnsi="Tahoma" w:cs="Tahoma"/>
          <w:sz w:val="22"/>
          <w:szCs w:val="22"/>
          <w:vertAlign w:val="superscript"/>
        </w:rPr>
        <w:t>2</w:t>
      </w:r>
      <w:r>
        <w:rPr>
          <w:rFonts w:ascii="Tahoma" w:hAnsi="Tahoma" w:cs="Tahoma"/>
          <w:sz w:val="22"/>
          <w:szCs w:val="22"/>
        </w:rPr>
        <w:t xml:space="preserve"> test,</w:t>
      </w:r>
      <w:r w:rsidRPr="008A5CCE">
        <w:rPr>
          <w:rFonts w:ascii="Tahoma" w:hAnsi="Tahoma" w:cs="Tahoma"/>
          <w:sz w:val="22"/>
          <w:szCs w:val="22"/>
        </w:rPr>
        <w:t xml:space="preserve"> p=0.</w:t>
      </w:r>
      <w:r>
        <w:rPr>
          <w:rFonts w:ascii="Tahoma" w:hAnsi="Tahoma" w:cs="Tahoma"/>
          <w:sz w:val="22"/>
          <w:szCs w:val="22"/>
        </w:rPr>
        <w:t>0</w:t>
      </w:r>
      <w:r>
        <w:rPr>
          <w:rFonts w:ascii="Tahoma" w:hAnsi="Tahoma" w:cs="Tahoma"/>
          <w:sz w:val="22"/>
          <w:szCs w:val="22"/>
        </w:rPr>
        <w:t>26</w:t>
      </w:r>
      <w:r w:rsidRPr="008A5CCE">
        <w:rPr>
          <w:rFonts w:ascii="Tahoma" w:hAnsi="Tahoma" w:cs="Tahoma"/>
          <w:sz w:val="22"/>
          <w:szCs w:val="22"/>
        </w:rPr>
        <w:t xml:space="preserve">, indicating evidence for a difference in the two plots. </w:t>
      </w:r>
    </w:p>
    <w:p w:rsidR="00751B5E" w:rsidRDefault="00751B5E" w:rsidP="00751B5E">
      <w:pPr>
        <w:spacing w:line="276" w:lineRule="auto"/>
        <w:contextualSpacing/>
        <w:jc w:val="both"/>
        <w:rPr>
          <w:rStyle w:val="SubtitleChar"/>
        </w:rPr>
      </w:pPr>
    </w:p>
    <w:p w:rsidR="00751B5E" w:rsidRDefault="00751B5E" w:rsidP="00751B5E">
      <w:pPr>
        <w:spacing w:line="276" w:lineRule="auto"/>
        <w:contextualSpacing/>
        <w:jc w:val="both"/>
        <w:rPr>
          <w:rFonts w:ascii="Tahoma" w:hAnsi="Tahoma" w:cs="Tahoma"/>
          <w:noProof/>
          <w:u w:val="single"/>
          <w:lang w:eastAsia="en-GB"/>
        </w:rPr>
      </w:pPr>
      <w:r w:rsidRPr="003C6A5E">
        <w:rPr>
          <w:rStyle w:val="SubtitleChar"/>
        </w:rPr>
        <w:t xml:space="preserve">SROC Plots Comparing Studies Evaluating </w:t>
      </w:r>
      <w:r>
        <w:rPr>
          <w:rStyle w:val="SubtitleChar"/>
        </w:rPr>
        <w:t>PCT</w:t>
      </w:r>
      <w:r w:rsidRPr="003C6A5E">
        <w:rPr>
          <w:rStyle w:val="SubtitleChar"/>
        </w:rPr>
        <w:t xml:space="preserve"> in the Diagnosis of HCA and/or Funisitis, Subgroups: Pre-specified cut-off or not</w:t>
      </w:r>
      <w:r w:rsidRPr="00BB5595">
        <w:rPr>
          <w:rFonts w:ascii="Tahoma" w:hAnsi="Tahoma" w:cs="Tahoma"/>
          <w:noProof/>
          <w:u w:val="single"/>
          <w:lang w:eastAsia="en-GB"/>
        </w:rPr>
        <w:t xml:space="preserve">. </w:t>
      </w:r>
    </w:p>
    <w:p w:rsidR="00751B5E" w:rsidRPr="003C7D46" w:rsidRDefault="00751B5E" w:rsidP="00751B5E">
      <w:pPr>
        <w:spacing w:line="276" w:lineRule="auto"/>
        <w:contextualSpacing/>
        <w:jc w:val="both"/>
        <w:rPr>
          <w:rFonts w:ascii="Tahoma" w:hAnsi="Tahoma" w:cs="Tahoma"/>
          <w:u w:val="single"/>
        </w:rPr>
      </w:pPr>
      <w:r w:rsidRPr="005D47B2">
        <w:rPr>
          <w:rFonts w:ascii="Tahoma" w:hAnsi="Tahoma" w:cs="Tahoma"/>
          <w:noProof/>
          <w:lang w:val="en-US"/>
        </w:rPr>
        <w:drawing>
          <wp:inline distT="0" distB="0" distL="0" distR="0">
            <wp:extent cx="5715000" cy="6172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terogeneity PCT predetermined.png"/>
                    <pic:cNvPicPr/>
                  </pic:nvPicPr>
                  <pic:blipFill>
                    <a:blip r:embed="rId11">
                      <a:extLst>
                        <a:ext uri="{28A0092B-C50C-407E-A947-70E740481C1C}">
                          <a14:useLocalDpi xmlns:a14="http://schemas.microsoft.com/office/drawing/2010/main" val="0"/>
                        </a:ext>
                      </a:extLst>
                    </a:blip>
                    <a:stretch>
                      <a:fillRect/>
                    </a:stretch>
                  </pic:blipFill>
                  <pic:spPr>
                    <a:xfrm>
                      <a:off x="0" y="0"/>
                      <a:ext cx="5715000" cy="6172200"/>
                    </a:xfrm>
                    <a:prstGeom prst="rect">
                      <a:avLst/>
                    </a:prstGeom>
                  </pic:spPr>
                </pic:pic>
              </a:graphicData>
            </a:graphic>
          </wp:inline>
        </w:drawing>
      </w:r>
    </w:p>
    <w:p w:rsidR="00751B5E" w:rsidRDefault="00751B5E" w:rsidP="00751B5E">
      <w:pPr>
        <w:spacing w:line="276" w:lineRule="auto"/>
        <w:contextualSpacing/>
        <w:jc w:val="both"/>
        <w:rPr>
          <w:rStyle w:val="SubtitleChar"/>
          <w:noProof/>
          <w:u w:val="none"/>
          <w:lang w:eastAsia="en-GB"/>
        </w:rPr>
      </w:pPr>
    </w:p>
    <w:p w:rsidR="00751B5E" w:rsidRDefault="00751B5E" w:rsidP="00751B5E">
      <w:pPr>
        <w:spacing w:line="276" w:lineRule="auto"/>
        <w:contextualSpacing/>
        <w:jc w:val="both"/>
        <w:rPr>
          <w:rStyle w:val="SubtitleChar"/>
        </w:rPr>
      </w:pPr>
    </w:p>
    <w:p w:rsidR="00751B5E" w:rsidRDefault="00751B5E" w:rsidP="00751B5E">
      <w:pPr>
        <w:spacing w:after="160" w:line="259" w:lineRule="auto"/>
        <w:rPr>
          <w:rStyle w:val="SubtitleChar"/>
        </w:rPr>
      </w:pPr>
      <w:r>
        <w:rPr>
          <w:rStyle w:val="SubtitleChar"/>
        </w:rPr>
        <w:br w:type="page"/>
      </w:r>
    </w:p>
    <w:p w:rsidR="00751B5E" w:rsidRDefault="00751B5E" w:rsidP="00751B5E">
      <w:pPr>
        <w:spacing w:line="276" w:lineRule="auto"/>
        <w:contextualSpacing/>
        <w:jc w:val="both"/>
        <w:rPr>
          <w:rStyle w:val="SubtitleChar"/>
        </w:rPr>
      </w:pPr>
    </w:p>
    <w:p w:rsidR="00751B5E" w:rsidRPr="00A35D91" w:rsidRDefault="00751B5E" w:rsidP="00751B5E">
      <w:pPr>
        <w:pStyle w:val="Subtitle"/>
        <w:numPr>
          <w:ilvl w:val="1"/>
          <w:numId w:val="1"/>
        </w:numPr>
        <w:spacing w:line="276" w:lineRule="auto"/>
        <w:rPr>
          <w:u w:val="none"/>
        </w:rPr>
      </w:pPr>
      <w:r w:rsidRPr="00A35D91">
        <w:rPr>
          <w:u w:val="none"/>
        </w:rPr>
        <w:t>Interval from sampling to delivery</w:t>
      </w:r>
    </w:p>
    <w:p w:rsidR="00751B5E" w:rsidRDefault="00751B5E" w:rsidP="00751B5E">
      <w:pPr>
        <w:spacing w:line="276" w:lineRule="auto"/>
        <w:contextualSpacing/>
        <w:jc w:val="both"/>
        <w:rPr>
          <w:rFonts w:ascii="Tahoma" w:hAnsi="Tahoma" w:cs="Tahoma"/>
          <w:sz w:val="22"/>
          <w:szCs w:val="22"/>
        </w:rPr>
      </w:pPr>
      <w:r w:rsidRPr="008A5CCE">
        <w:rPr>
          <w:rFonts w:ascii="Tahoma" w:hAnsi="Tahoma" w:cs="Tahoma"/>
          <w:sz w:val="22"/>
          <w:szCs w:val="22"/>
        </w:rPr>
        <w:t>Studi</w:t>
      </w:r>
      <w:r>
        <w:rPr>
          <w:rFonts w:ascii="Tahoma" w:hAnsi="Tahoma" w:cs="Tahoma"/>
          <w:sz w:val="22"/>
          <w:szCs w:val="22"/>
        </w:rPr>
        <w:t xml:space="preserve">es were grouped according to sampling time with an interval of 72hours between sampling and delivery as the cut-off. </w:t>
      </w:r>
      <w:r w:rsidRPr="008A5CCE">
        <w:rPr>
          <w:rFonts w:ascii="Tahoma" w:hAnsi="Tahoma" w:cs="Tahoma"/>
          <w:sz w:val="22"/>
          <w:szCs w:val="22"/>
        </w:rPr>
        <w:t>The -2 log likelihoods of the 2 plots were compared with the ᵪ</w:t>
      </w:r>
      <w:r w:rsidRPr="008A5CCE">
        <w:rPr>
          <w:rFonts w:ascii="Tahoma" w:hAnsi="Tahoma" w:cs="Tahoma"/>
          <w:sz w:val="22"/>
          <w:szCs w:val="22"/>
          <w:vertAlign w:val="superscript"/>
        </w:rPr>
        <w:t>2</w:t>
      </w:r>
      <w:r>
        <w:rPr>
          <w:rFonts w:ascii="Tahoma" w:hAnsi="Tahoma" w:cs="Tahoma"/>
          <w:sz w:val="22"/>
          <w:szCs w:val="22"/>
        </w:rPr>
        <w:t xml:space="preserve"> test. P</w:t>
      </w:r>
      <w:r>
        <w:rPr>
          <w:rFonts w:ascii="Tahoma" w:hAnsi="Tahoma" w:cs="Tahoma"/>
          <w:sz w:val="22"/>
          <w:szCs w:val="22"/>
        </w:rPr>
        <w:t xml:space="preserve">=0.178 </w:t>
      </w:r>
      <w:r>
        <w:rPr>
          <w:rFonts w:ascii="Tahoma" w:hAnsi="Tahoma" w:cs="Tahoma"/>
          <w:sz w:val="22"/>
          <w:szCs w:val="22"/>
        </w:rPr>
        <w:t>indicating</w:t>
      </w:r>
      <w:r w:rsidRPr="008A5CCE">
        <w:rPr>
          <w:rFonts w:ascii="Tahoma" w:hAnsi="Tahoma" w:cs="Tahoma"/>
          <w:sz w:val="22"/>
          <w:szCs w:val="22"/>
        </w:rPr>
        <w:t xml:space="preserve"> </w:t>
      </w:r>
      <w:r>
        <w:rPr>
          <w:rFonts w:ascii="Tahoma" w:hAnsi="Tahoma" w:cs="Tahoma"/>
          <w:sz w:val="22"/>
          <w:szCs w:val="22"/>
        </w:rPr>
        <w:t xml:space="preserve">no evidence </w:t>
      </w:r>
      <w:r w:rsidRPr="008A5CCE">
        <w:rPr>
          <w:rFonts w:ascii="Tahoma" w:hAnsi="Tahoma" w:cs="Tahoma"/>
          <w:sz w:val="22"/>
          <w:szCs w:val="22"/>
        </w:rPr>
        <w:t xml:space="preserve">that the 2 plots </w:t>
      </w:r>
      <w:r>
        <w:rPr>
          <w:rFonts w:ascii="Tahoma" w:hAnsi="Tahoma" w:cs="Tahoma"/>
          <w:sz w:val="22"/>
          <w:szCs w:val="22"/>
        </w:rPr>
        <w:t>are</w:t>
      </w:r>
      <w:r w:rsidRPr="008A5CCE">
        <w:rPr>
          <w:rFonts w:ascii="Tahoma" w:hAnsi="Tahoma" w:cs="Tahoma"/>
          <w:sz w:val="22"/>
          <w:szCs w:val="22"/>
        </w:rPr>
        <w:t xml:space="preserve"> different. </w:t>
      </w:r>
    </w:p>
    <w:p w:rsidR="00751B5E" w:rsidRDefault="00751B5E" w:rsidP="00751B5E">
      <w:pPr>
        <w:pStyle w:val="Subtitle"/>
        <w:spacing w:line="276" w:lineRule="auto"/>
      </w:pPr>
    </w:p>
    <w:p w:rsidR="00751B5E" w:rsidRDefault="00751B5E" w:rsidP="00751B5E">
      <w:pPr>
        <w:pStyle w:val="Subtitle"/>
        <w:spacing w:line="276" w:lineRule="auto"/>
      </w:pPr>
      <w:r w:rsidRPr="0006032D">
        <w:t xml:space="preserve">SROC Plots </w:t>
      </w:r>
      <w:r>
        <w:t>comparing Studies Evaluating PCT</w:t>
      </w:r>
      <w:r w:rsidRPr="0006032D">
        <w:t xml:space="preserve"> in the Diagnosis of HCA and/or Funisitis, Subgroups: Appropriate Sample Interval* or Not </w:t>
      </w:r>
    </w:p>
    <w:p w:rsidR="00751B5E" w:rsidRPr="00085AAE" w:rsidRDefault="00751B5E" w:rsidP="00751B5E">
      <w:r>
        <w:rPr>
          <w:noProof/>
          <w:lang w:val="en-US"/>
        </w:rPr>
        <w:drawing>
          <wp:inline distT="0" distB="0" distL="0" distR="0">
            <wp:extent cx="5715000" cy="6172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eterogeneity PCT sampletime.png"/>
                    <pic:cNvPicPr/>
                  </pic:nvPicPr>
                  <pic:blipFill>
                    <a:blip r:embed="rId12">
                      <a:extLst>
                        <a:ext uri="{28A0092B-C50C-407E-A947-70E740481C1C}">
                          <a14:useLocalDpi xmlns:a14="http://schemas.microsoft.com/office/drawing/2010/main" val="0"/>
                        </a:ext>
                      </a:extLst>
                    </a:blip>
                    <a:stretch>
                      <a:fillRect/>
                    </a:stretch>
                  </pic:blipFill>
                  <pic:spPr>
                    <a:xfrm>
                      <a:off x="0" y="0"/>
                      <a:ext cx="5715000" cy="6172200"/>
                    </a:xfrm>
                    <a:prstGeom prst="rect">
                      <a:avLst/>
                    </a:prstGeom>
                  </pic:spPr>
                </pic:pic>
              </a:graphicData>
            </a:graphic>
          </wp:inline>
        </w:drawing>
      </w:r>
    </w:p>
    <w:p w:rsidR="00751B5E" w:rsidRDefault="00751B5E" w:rsidP="00751B5E">
      <w:pPr>
        <w:spacing w:line="276" w:lineRule="auto"/>
        <w:contextualSpacing/>
        <w:jc w:val="center"/>
        <w:rPr>
          <w:rFonts w:ascii="Tahoma" w:hAnsi="Tahoma" w:cs="Tahoma"/>
          <w:sz w:val="22"/>
          <w:szCs w:val="22"/>
        </w:rPr>
      </w:pPr>
    </w:p>
    <w:p w:rsidR="00751B5E" w:rsidRDefault="00751B5E" w:rsidP="00751B5E">
      <w:pPr>
        <w:spacing w:line="276" w:lineRule="auto"/>
        <w:ind w:left="1440" w:firstLine="720"/>
        <w:contextualSpacing/>
        <w:rPr>
          <w:rFonts w:ascii="Tahoma" w:hAnsi="Tahoma" w:cs="Tahoma"/>
          <w:sz w:val="18"/>
          <w:szCs w:val="22"/>
        </w:rPr>
      </w:pPr>
      <w:r w:rsidRPr="008A5CCE">
        <w:rPr>
          <w:rFonts w:ascii="Tahoma" w:hAnsi="Tahoma" w:cs="Tahoma"/>
          <w:b/>
          <w:noProof/>
          <w:sz w:val="22"/>
          <w:szCs w:val="22"/>
          <w:lang w:eastAsia="en-GB"/>
        </w:rPr>
        <w:t xml:space="preserve"> </w:t>
      </w:r>
      <w:r w:rsidRPr="0006032D">
        <w:rPr>
          <w:rFonts w:ascii="Tahoma" w:hAnsi="Tahoma" w:cs="Tahoma"/>
          <w:sz w:val="18"/>
          <w:szCs w:val="22"/>
        </w:rPr>
        <w:t>*Appropriate sample time - ≤72hours</w:t>
      </w:r>
    </w:p>
    <w:p w:rsidR="00751B5E" w:rsidRDefault="00751B5E" w:rsidP="00751B5E">
      <w:pPr>
        <w:spacing w:after="160" w:line="259" w:lineRule="auto"/>
        <w:rPr>
          <w:rFonts w:ascii="Tahoma" w:hAnsi="Tahoma" w:cs="Tahoma"/>
          <w:sz w:val="18"/>
          <w:szCs w:val="22"/>
        </w:rPr>
      </w:pPr>
      <w:r>
        <w:rPr>
          <w:rFonts w:ascii="Tahoma" w:hAnsi="Tahoma" w:cs="Tahoma"/>
          <w:sz w:val="18"/>
          <w:szCs w:val="22"/>
        </w:rPr>
        <w:br w:type="page"/>
      </w:r>
    </w:p>
    <w:p w:rsidR="00751B5E" w:rsidRPr="00A35D91" w:rsidRDefault="00751B5E" w:rsidP="00751B5E">
      <w:pPr>
        <w:pStyle w:val="Subtitle"/>
        <w:numPr>
          <w:ilvl w:val="1"/>
          <w:numId w:val="1"/>
        </w:numPr>
        <w:spacing w:line="276" w:lineRule="auto"/>
        <w:rPr>
          <w:u w:val="none"/>
        </w:rPr>
      </w:pPr>
      <w:r w:rsidRPr="00A35D91">
        <w:rPr>
          <w:u w:val="none"/>
        </w:rPr>
        <w:lastRenderedPageBreak/>
        <w:t>Risk of Bias in Patient Selection</w:t>
      </w:r>
    </w:p>
    <w:p w:rsidR="00751B5E" w:rsidRDefault="00751B5E" w:rsidP="00751B5E">
      <w:pPr>
        <w:spacing w:line="276" w:lineRule="auto"/>
        <w:contextualSpacing/>
        <w:jc w:val="both"/>
        <w:rPr>
          <w:rFonts w:ascii="Tahoma" w:hAnsi="Tahoma" w:cs="Tahoma"/>
          <w:sz w:val="22"/>
          <w:szCs w:val="22"/>
        </w:rPr>
      </w:pPr>
      <w:r w:rsidRPr="008A5CCE">
        <w:rPr>
          <w:rFonts w:ascii="Tahoma" w:hAnsi="Tahoma" w:cs="Tahoma"/>
          <w:sz w:val="22"/>
          <w:szCs w:val="22"/>
        </w:rPr>
        <w:t>The judgements on risk of bias in the patient selection domain of the QUADAS-2</w:t>
      </w:r>
      <w:r w:rsidRPr="008A5CCE">
        <w:rPr>
          <w:rFonts w:ascii="Tahoma" w:hAnsi="Tahoma" w:cs="Tahoma"/>
          <w:sz w:val="22"/>
          <w:szCs w:val="22"/>
        </w:rPr>
        <w:fldChar w:fldCharType="begin" w:fldLock="1"/>
      </w:r>
      <w:r>
        <w:rPr>
          <w:rFonts w:ascii="Tahoma" w:hAnsi="Tahoma" w:cs="Tahoma"/>
          <w:sz w:val="22"/>
          <w:szCs w:val="22"/>
        </w:rPr>
        <w:instrText>ADDIN CSL_CITATION { "citationItems" : [ { "id" : "ITEM-1", "itemData" : { "author" : [ { "dropping-particle" : "", "family" : "Whiting", "given" : "Penny F.", "non-dropping-particle" : "", "parse-names" : false, "suffix" : "" }, { "dropping-particle" : "", "family" : "Rutjes", "given" : "Anne W.S.", "non-dropping-particle" : "", "parse-names" : false, "suffix" : "" }, { "dropping-particle" : "", "family" : "Westwood", "given" : "Marie E.", "non-dropping-particle" : "", "parse-names" : false, "suffix" : "" }, { "dropping-particle" : "", "family" : "Mallet", "given" : "Susan", "non-dropping-particle" : "", "parse-names" : false, "suffix" : "" }, { "dropping-particle" : "", "family" : "Deeks", "given" : "Jonathan J", "non-dropping-particle" : "", "parse-names" : false, "suffix" : "" }, { "dropping-particle" : "", "family" : "Reitsma", "given" : "Johannes B", "non-dropping-particle" : "", "parse-names" : false, "suffix" : "" }, { "dropping-particle" : "", "family" : "Leeflang", "given" : "Mariska M G", "non-dropping-particle" : "", "parse-names" : false, "suffix" : "" }, { "dropping-particle" : "", "family" : "Sterne", "given" : "Jonathan a C", "non-dropping-particle" : "", "parse-names" : false, "suffix" : "" }, { "dropping-particle" : "", "family" : "Bossuyt", "given" : "Patrick M M", "non-dropping-particle" : "", "parse-names" : false, "suffix" : "" } ], "container-title" : "Annals of Internal Medicine", "id" : "ITEM-1", "issue" : "4", "issued" : { "date-parts" : [ [ "2011" ] ] }, "page" : "529-536", "title" : "QUADAS-2: A Revised Tool for the Quality Assessment of Diagnostic Accuracy Studies", "type" : "article-journal", "volume" : "155" }, "uris" : [ "http://www.mendeley.com/documents/?uuid=1d460bc6-6e36-4b8f-b5c5-809c29491d85" ] } ], "mendeley" : { "formattedCitation" : "&lt;sup&gt;102&lt;/sup&gt;", "plainTextFormattedCitation" : "102", "previouslyFormattedCitation" : "&lt;sup&gt;102&lt;/sup&gt;" }, "properties" : { "noteIndex" : 0 }, "schema" : "https://github.com/citation-style-language/schema/raw/master/csl-citation.json" }</w:instrText>
      </w:r>
      <w:r w:rsidRPr="008A5CCE">
        <w:rPr>
          <w:rFonts w:ascii="Tahoma" w:hAnsi="Tahoma" w:cs="Tahoma"/>
          <w:sz w:val="22"/>
          <w:szCs w:val="22"/>
        </w:rPr>
        <w:fldChar w:fldCharType="separate"/>
      </w:r>
      <w:r w:rsidRPr="00F7439E">
        <w:rPr>
          <w:rFonts w:ascii="Tahoma" w:hAnsi="Tahoma" w:cs="Tahoma"/>
          <w:noProof/>
          <w:sz w:val="22"/>
          <w:szCs w:val="22"/>
          <w:vertAlign w:val="superscript"/>
        </w:rPr>
        <w:t>102</w:t>
      </w:r>
      <w:r w:rsidRPr="008A5CCE">
        <w:rPr>
          <w:rFonts w:ascii="Tahoma" w:hAnsi="Tahoma" w:cs="Tahoma"/>
          <w:sz w:val="22"/>
          <w:szCs w:val="22"/>
        </w:rPr>
        <w:fldChar w:fldCharType="end"/>
      </w:r>
      <w:r w:rsidRPr="008A5CCE">
        <w:rPr>
          <w:rFonts w:ascii="Tahoma" w:hAnsi="Tahoma" w:cs="Tahoma"/>
          <w:sz w:val="22"/>
          <w:szCs w:val="22"/>
        </w:rPr>
        <w:t xml:space="preserve"> tool </w:t>
      </w:r>
      <w:r>
        <w:rPr>
          <w:rFonts w:ascii="Tahoma" w:hAnsi="Tahoma" w:cs="Tahoma"/>
          <w:sz w:val="22"/>
          <w:szCs w:val="22"/>
        </w:rPr>
        <w:t xml:space="preserve">were used to classify studies into 2 subgroups: high risk and low risk. </w:t>
      </w:r>
      <w:r w:rsidRPr="008A5CCE">
        <w:rPr>
          <w:rFonts w:ascii="Tahoma" w:hAnsi="Tahoma" w:cs="Tahoma"/>
          <w:sz w:val="22"/>
          <w:szCs w:val="22"/>
        </w:rPr>
        <w:t>The -2 log likelihoods of the 2 plots were compared with the ᵪ</w:t>
      </w:r>
      <w:r w:rsidRPr="008A5CCE">
        <w:rPr>
          <w:rFonts w:ascii="Tahoma" w:hAnsi="Tahoma" w:cs="Tahoma"/>
          <w:sz w:val="22"/>
          <w:szCs w:val="22"/>
          <w:vertAlign w:val="superscript"/>
        </w:rPr>
        <w:t>2</w:t>
      </w:r>
      <w:r w:rsidRPr="008A5CCE">
        <w:rPr>
          <w:rFonts w:ascii="Tahoma" w:hAnsi="Tahoma" w:cs="Tahoma"/>
          <w:sz w:val="22"/>
          <w:szCs w:val="22"/>
        </w:rPr>
        <w:t xml:space="preserve"> test. P</w:t>
      </w:r>
      <w:r>
        <w:rPr>
          <w:rFonts w:ascii="Tahoma" w:hAnsi="Tahoma" w:cs="Tahoma"/>
          <w:sz w:val="22"/>
          <w:szCs w:val="22"/>
        </w:rPr>
        <w:t>&lt;0.001 indicating</w:t>
      </w:r>
      <w:r w:rsidRPr="008A5CCE">
        <w:rPr>
          <w:rFonts w:ascii="Tahoma" w:hAnsi="Tahoma" w:cs="Tahoma"/>
          <w:sz w:val="22"/>
          <w:szCs w:val="22"/>
        </w:rPr>
        <w:t xml:space="preserve"> evidence for a difference in the 2 plots. </w:t>
      </w:r>
    </w:p>
    <w:p w:rsidR="00751B5E" w:rsidRDefault="00751B5E" w:rsidP="00751B5E">
      <w:pPr>
        <w:pStyle w:val="Subtitle"/>
        <w:spacing w:line="276" w:lineRule="auto"/>
      </w:pPr>
    </w:p>
    <w:p w:rsidR="00751B5E" w:rsidRPr="0006032D" w:rsidRDefault="00751B5E" w:rsidP="00751B5E">
      <w:pPr>
        <w:pStyle w:val="Subtitle"/>
        <w:spacing w:line="276" w:lineRule="auto"/>
      </w:pPr>
      <w:r w:rsidRPr="0006032D">
        <w:t xml:space="preserve">SROC Plots comparing Studies Evaluating </w:t>
      </w:r>
      <w:r w:rsidR="005D47B2">
        <w:t xml:space="preserve">PCT </w:t>
      </w:r>
      <w:r w:rsidRPr="0006032D">
        <w:t>in the Diagnosis of HCA and/or Funisitis, Subgroups: Low Risk and High Risk of Bias in the Patient Selection Domain</w:t>
      </w:r>
    </w:p>
    <w:p w:rsidR="00751B5E" w:rsidRDefault="005D47B2" w:rsidP="00751B5E">
      <w:pPr>
        <w:spacing w:line="276" w:lineRule="auto"/>
        <w:contextualSpacing/>
        <w:jc w:val="center"/>
        <w:rPr>
          <w:rFonts w:ascii="Tahoma" w:hAnsi="Tahoma" w:cs="Tahoma"/>
          <w:sz w:val="22"/>
          <w:szCs w:val="22"/>
        </w:rPr>
      </w:pPr>
      <w:r>
        <w:rPr>
          <w:rFonts w:ascii="Tahoma" w:hAnsi="Tahoma" w:cs="Tahoma"/>
          <w:noProof/>
          <w:sz w:val="22"/>
          <w:szCs w:val="22"/>
          <w:lang w:val="en-US"/>
        </w:rPr>
        <w:drawing>
          <wp:inline distT="0" distB="0" distL="0" distR="0">
            <wp:extent cx="5715000" cy="6172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eterogeneity CRP Ptselectbias.png"/>
                    <pic:cNvPicPr/>
                  </pic:nvPicPr>
                  <pic:blipFill>
                    <a:blip r:embed="rId10">
                      <a:extLst>
                        <a:ext uri="{28A0092B-C50C-407E-A947-70E740481C1C}">
                          <a14:useLocalDpi xmlns:a14="http://schemas.microsoft.com/office/drawing/2010/main" val="0"/>
                        </a:ext>
                      </a:extLst>
                    </a:blip>
                    <a:stretch>
                      <a:fillRect/>
                    </a:stretch>
                  </pic:blipFill>
                  <pic:spPr>
                    <a:xfrm>
                      <a:off x="0" y="0"/>
                      <a:ext cx="5715000" cy="6172200"/>
                    </a:xfrm>
                    <a:prstGeom prst="rect">
                      <a:avLst/>
                    </a:prstGeom>
                  </pic:spPr>
                </pic:pic>
              </a:graphicData>
            </a:graphic>
          </wp:inline>
        </w:drawing>
      </w:r>
    </w:p>
    <w:p w:rsidR="00751B5E" w:rsidRDefault="00751B5E" w:rsidP="00751B5E">
      <w:pPr>
        <w:pStyle w:val="Subtitle"/>
        <w:numPr>
          <w:ilvl w:val="0"/>
          <w:numId w:val="1"/>
        </w:numPr>
        <w:spacing w:line="276" w:lineRule="auto"/>
      </w:pPr>
      <w:r>
        <w:t xml:space="preserve">Heterogeneity Assessments for Index Test </w:t>
      </w:r>
      <w:r w:rsidR="005D47B2">
        <w:t>Interleukin 6</w:t>
      </w:r>
    </w:p>
    <w:p w:rsidR="005D47B2" w:rsidRDefault="005D47B2" w:rsidP="005D47B2">
      <w:pPr>
        <w:pStyle w:val="Subtitle"/>
        <w:numPr>
          <w:ilvl w:val="1"/>
          <w:numId w:val="1"/>
        </w:numPr>
        <w:spacing w:line="276" w:lineRule="auto"/>
        <w:rPr>
          <w:u w:val="none"/>
        </w:rPr>
      </w:pPr>
      <w:r>
        <w:rPr>
          <w:u w:val="none"/>
        </w:rPr>
        <w:t>Predetermined cut-off</w:t>
      </w:r>
    </w:p>
    <w:p w:rsidR="005D47B2" w:rsidRDefault="005D47B2" w:rsidP="005D47B2">
      <w:pPr>
        <w:pStyle w:val="Subtitle"/>
        <w:spacing w:line="276" w:lineRule="auto"/>
        <w:rPr>
          <w:u w:val="none"/>
        </w:rPr>
      </w:pPr>
      <w:r>
        <w:rPr>
          <w:u w:val="none"/>
        </w:rPr>
        <w:t>This was not assessed as one of the subgroups (Predetermined cut-off =Yes) had only 1 study.</w:t>
      </w:r>
    </w:p>
    <w:p w:rsidR="005D47B2" w:rsidRPr="00A35D91" w:rsidRDefault="005D47B2" w:rsidP="005D47B2">
      <w:pPr>
        <w:pStyle w:val="Subtitle"/>
        <w:numPr>
          <w:ilvl w:val="1"/>
          <w:numId w:val="1"/>
        </w:numPr>
        <w:spacing w:line="276" w:lineRule="auto"/>
        <w:rPr>
          <w:u w:val="none"/>
        </w:rPr>
      </w:pPr>
      <w:r w:rsidRPr="00A35D91">
        <w:rPr>
          <w:u w:val="none"/>
        </w:rPr>
        <w:lastRenderedPageBreak/>
        <w:t>Interval from sampling to delivery</w:t>
      </w:r>
    </w:p>
    <w:p w:rsidR="005D47B2" w:rsidRDefault="005D47B2" w:rsidP="005D47B2">
      <w:pPr>
        <w:spacing w:line="276" w:lineRule="auto"/>
        <w:contextualSpacing/>
        <w:jc w:val="both"/>
        <w:rPr>
          <w:rFonts w:ascii="Tahoma" w:hAnsi="Tahoma" w:cs="Tahoma"/>
          <w:sz w:val="22"/>
          <w:szCs w:val="22"/>
        </w:rPr>
      </w:pPr>
      <w:r w:rsidRPr="008A5CCE">
        <w:rPr>
          <w:rFonts w:ascii="Tahoma" w:hAnsi="Tahoma" w:cs="Tahoma"/>
          <w:sz w:val="22"/>
          <w:szCs w:val="22"/>
        </w:rPr>
        <w:t>Studi</w:t>
      </w:r>
      <w:r>
        <w:rPr>
          <w:rFonts w:ascii="Tahoma" w:hAnsi="Tahoma" w:cs="Tahoma"/>
          <w:sz w:val="22"/>
          <w:szCs w:val="22"/>
        </w:rPr>
        <w:t xml:space="preserve">es were grouped according to sampling time with an interval of 72hours between sampling and delivery as the cut-off. </w:t>
      </w:r>
      <w:r w:rsidRPr="008A5CCE">
        <w:rPr>
          <w:rFonts w:ascii="Tahoma" w:hAnsi="Tahoma" w:cs="Tahoma"/>
          <w:sz w:val="22"/>
          <w:szCs w:val="22"/>
        </w:rPr>
        <w:t>The -2 log likelihoods of the 2 plots were compared with the ᵪ</w:t>
      </w:r>
      <w:r w:rsidRPr="008A5CCE">
        <w:rPr>
          <w:rFonts w:ascii="Tahoma" w:hAnsi="Tahoma" w:cs="Tahoma"/>
          <w:sz w:val="22"/>
          <w:szCs w:val="22"/>
          <w:vertAlign w:val="superscript"/>
        </w:rPr>
        <w:t>2</w:t>
      </w:r>
      <w:r>
        <w:rPr>
          <w:rFonts w:ascii="Tahoma" w:hAnsi="Tahoma" w:cs="Tahoma"/>
          <w:sz w:val="22"/>
          <w:szCs w:val="22"/>
        </w:rPr>
        <w:t xml:space="preserve"> test. P</w:t>
      </w:r>
      <w:r>
        <w:rPr>
          <w:rFonts w:ascii="Tahoma" w:hAnsi="Tahoma" w:cs="Tahoma"/>
          <w:sz w:val="22"/>
          <w:szCs w:val="22"/>
        </w:rPr>
        <w:t>&lt;0.001</w:t>
      </w:r>
      <w:r>
        <w:rPr>
          <w:rFonts w:ascii="Tahoma" w:hAnsi="Tahoma" w:cs="Tahoma"/>
          <w:sz w:val="22"/>
          <w:szCs w:val="22"/>
        </w:rPr>
        <w:t xml:space="preserve"> indicating</w:t>
      </w:r>
      <w:r w:rsidRPr="008A5CCE">
        <w:rPr>
          <w:rFonts w:ascii="Tahoma" w:hAnsi="Tahoma" w:cs="Tahoma"/>
          <w:sz w:val="22"/>
          <w:szCs w:val="22"/>
        </w:rPr>
        <w:t xml:space="preserve"> </w:t>
      </w:r>
      <w:r>
        <w:rPr>
          <w:rFonts w:ascii="Tahoma" w:hAnsi="Tahoma" w:cs="Tahoma"/>
          <w:sz w:val="22"/>
          <w:szCs w:val="22"/>
        </w:rPr>
        <w:t xml:space="preserve">evidence </w:t>
      </w:r>
      <w:r w:rsidRPr="008A5CCE">
        <w:rPr>
          <w:rFonts w:ascii="Tahoma" w:hAnsi="Tahoma" w:cs="Tahoma"/>
          <w:sz w:val="22"/>
          <w:szCs w:val="22"/>
        </w:rPr>
        <w:t xml:space="preserve">that the 2 plots </w:t>
      </w:r>
      <w:r>
        <w:rPr>
          <w:rFonts w:ascii="Tahoma" w:hAnsi="Tahoma" w:cs="Tahoma"/>
          <w:sz w:val="22"/>
          <w:szCs w:val="22"/>
        </w:rPr>
        <w:t>are</w:t>
      </w:r>
      <w:r w:rsidRPr="008A5CCE">
        <w:rPr>
          <w:rFonts w:ascii="Tahoma" w:hAnsi="Tahoma" w:cs="Tahoma"/>
          <w:sz w:val="22"/>
          <w:szCs w:val="22"/>
        </w:rPr>
        <w:t xml:space="preserve"> different. </w:t>
      </w:r>
    </w:p>
    <w:p w:rsidR="005D47B2" w:rsidRDefault="005D47B2" w:rsidP="005D47B2">
      <w:pPr>
        <w:pStyle w:val="Subtitle"/>
        <w:spacing w:line="276" w:lineRule="auto"/>
      </w:pPr>
    </w:p>
    <w:p w:rsidR="005D47B2" w:rsidRDefault="005D47B2" w:rsidP="005D47B2">
      <w:pPr>
        <w:pStyle w:val="Subtitle"/>
        <w:spacing w:line="276" w:lineRule="auto"/>
      </w:pPr>
      <w:r w:rsidRPr="0006032D">
        <w:t xml:space="preserve">SROC Plots </w:t>
      </w:r>
      <w:r>
        <w:t>comparing Studies Evaluating IL6</w:t>
      </w:r>
      <w:r w:rsidRPr="0006032D">
        <w:t xml:space="preserve"> in the Diagnosis of HCA and/or Funisitis, Subgroups: Appropriate Sample Interval* or Not </w:t>
      </w:r>
    </w:p>
    <w:p w:rsidR="00751B5E" w:rsidRDefault="005D47B2" w:rsidP="005D47B2">
      <w:pPr>
        <w:spacing w:line="276" w:lineRule="auto"/>
        <w:rPr>
          <w:rFonts w:ascii="Tahoma" w:hAnsi="Tahoma" w:cs="Tahoma"/>
          <w:sz w:val="22"/>
          <w:szCs w:val="22"/>
        </w:rPr>
      </w:pPr>
      <w:r>
        <w:rPr>
          <w:rFonts w:ascii="Tahoma" w:hAnsi="Tahoma" w:cs="Tahoma"/>
          <w:noProof/>
          <w:sz w:val="22"/>
          <w:szCs w:val="22"/>
          <w:lang w:val="en-US"/>
        </w:rPr>
        <w:drawing>
          <wp:inline distT="0" distB="0" distL="0" distR="0">
            <wp:extent cx="5715000" cy="6172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eterogeneity IL6 sampletime.png"/>
                    <pic:cNvPicPr/>
                  </pic:nvPicPr>
                  <pic:blipFill>
                    <a:blip r:embed="rId13">
                      <a:extLst>
                        <a:ext uri="{28A0092B-C50C-407E-A947-70E740481C1C}">
                          <a14:useLocalDpi xmlns:a14="http://schemas.microsoft.com/office/drawing/2010/main" val="0"/>
                        </a:ext>
                      </a:extLst>
                    </a:blip>
                    <a:stretch>
                      <a:fillRect/>
                    </a:stretch>
                  </pic:blipFill>
                  <pic:spPr>
                    <a:xfrm>
                      <a:off x="0" y="0"/>
                      <a:ext cx="5715000" cy="6172200"/>
                    </a:xfrm>
                    <a:prstGeom prst="rect">
                      <a:avLst/>
                    </a:prstGeom>
                  </pic:spPr>
                </pic:pic>
              </a:graphicData>
            </a:graphic>
          </wp:inline>
        </w:drawing>
      </w:r>
    </w:p>
    <w:p w:rsidR="005D47B2" w:rsidRDefault="005D47B2" w:rsidP="005D47B2">
      <w:pPr>
        <w:spacing w:line="276" w:lineRule="auto"/>
        <w:jc w:val="center"/>
        <w:rPr>
          <w:rFonts w:ascii="Tahoma" w:hAnsi="Tahoma" w:cs="Tahoma"/>
          <w:sz w:val="22"/>
          <w:szCs w:val="22"/>
        </w:rPr>
      </w:pPr>
      <w:r w:rsidRPr="0006032D">
        <w:rPr>
          <w:rFonts w:ascii="Tahoma" w:hAnsi="Tahoma" w:cs="Tahoma"/>
          <w:sz w:val="18"/>
          <w:szCs w:val="22"/>
        </w:rPr>
        <w:t>*Appropriate sample time - ≤72hours</w:t>
      </w:r>
    </w:p>
    <w:p w:rsidR="005D47B2" w:rsidRDefault="005D47B2" w:rsidP="005D47B2">
      <w:pPr>
        <w:pStyle w:val="Subtitle"/>
        <w:numPr>
          <w:ilvl w:val="1"/>
          <w:numId w:val="1"/>
        </w:numPr>
        <w:spacing w:line="276" w:lineRule="auto"/>
        <w:rPr>
          <w:u w:val="none"/>
        </w:rPr>
      </w:pPr>
      <w:r w:rsidRPr="00A35D91">
        <w:rPr>
          <w:u w:val="none"/>
        </w:rPr>
        <w:t>Risk of Bias in Patient Selection</w:t>
      </w:r>
    </w:p>
    <w:p w:rsidR="005D47B2" w:rsidRDefault="005D47B2" w:rsidP="005D47B2">
      <w:pPr>
        <w:pStyle w:val="Subtitle"/>
        <w:spacing w:line="276" w:lineRule="auto"/>
        <w:rPr>
          <w:u w:val="none"/>
        </w:rPr>
      </w:pPr>
      <w:r>
        <w:rPr>
          <w:u w:val="none"/>
        </w:rPr>
        <w:t>This was not assessed as one of the subgroups (</w:t>
      </w:r>
      <w:r>
        <w:rPr>
          <w:u w:val="none"/>
        </w:rPr>
        <w:t>Risk of bias</w:t>
      </w:r>
      <w:r>
        <w:rPr>
          <w:u w:val="none"/>
        </w:rPr>
        <w:t xml:space="preserve"> =</w:t>
      </w:r>
      <w:r>
        <w:rPr>
          <w:u w:val="none"/>
        </w:rPr>
        <w:t>High</w:t>
      </w:r>
      <w:r>
        <w:rPr>
          <w:u w:val="none"/>
        </w:rPr>
        <w:t>) had only 1 study</w:t>
      </w:r>
      <w:r>
        <w:rPr>
          <w:u w:val="none"/>
        </w:rPr>
        <w:t xml:space="preserve">. </w:t>
      </w:r>
    </w:p>
    <w:p w:rsidR="005D47B2" w:rsidRPr="005D47B2" w:rsidRDefault="005D47B2" w:rsidP="005D47B2"/>
    <w:p w:rsidR="005D47B2" w:rsidRPr="005D47B2" w:rsidRDefault="005D47B2" w:rsidP="005D47B2">
      <w:pPr>
        <w:spacing w:line="276" w:lineRule="auto"/>
        <w:rPr>
          <w:rFonts w:ascii="Tahoma" w:hAnsi="Tahoma" w:cs="Tahoma"/>
          <w:sz w:val="22"/>
          <w:szCs w:val="22"/>
        </w:rPr>
      </w:pPr>
    </w:p>
    <w:sectPr w:rsidR="005D47B2" w:rsidRPr="005D47B2">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C2A" w:rsidRDefault="00D51C2A" w:rsidP="00012B2C">
      <w:r>
        <w:separator/>
      </w:r>
    </w:p>
  </w:endnote>
  <w:endnote w:type="continuationSeparator" w:id="0">
    <w:p w:rsidR="00D51C2A" w:rsidRDefault="00D51C2A" w:rsidP="0001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0268038"/>
      <w:docPartObj>
        <w:docPartGallery w:val="Page Numbers (Bottom of Page)"/>
        <w:docPartUnique/>
      </w:docPartObj>
    </w:sdtPr>
    <w:sdtEndPr>
      <w:rPr>
        <w:noProof/>
      </w:rPr>
    </w:sdtEndPr>
    <w:sdtContent>
      <w:p w:rsidR="00012B2C" w:rsidRDefault="00012B2C">
        <w:pPr>
          <w:pStyle w:val="Footer"/>
          <w:jc w:val="center"/>
        </w:pPr>
        <w:r>
          <w:fldChar w:fldCharType="begin"/>
        </w:r>
        <w:r>
          <w:instrText xml:space="preserve"> PAGE   \* MERGEFORMAT </w:instrText>
        </w:r>
        <w:r>
          <w:fldChar w:fldCharType="separate"/>
        </w:r>
        <w:r w:rsidR="005D47B2">
          <w:rPr>
            <w:noProof/>
          </w:rPr>
          <w:t>8</w:t>
        </w:r>
        <w:r>
          <w:rPr>
            <w:noProof/>
          </w:rPr>
          <w:fldChar w:fldCharType="end"/>
        </w:r>
      </w:p>
    </w:sdtContent>
  </w:sdt>
  <w:p w:rsidR="00012B2C" w:rsidRDefault="00012B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C2A" w:rsidRDefault="00D51C2A" w:rsidP="00012B2C">
      <w:r>
        <w:separator/>
      </w:r>
    </w:p>
  </w:footnote>
  <w:footnote w:type="continuationSeparator" w:id="0">
    <w:p w:rsidR="00D51C2A" w:rsidRDefault="00D51C2A" w:rsidP="00012B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9414B"/>
    <w:multiLevelType w:val="hybridMultilevel"/>
    <w:tmpl w:val="D5D4DDB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91B38BB"/>
    <w:multiLevelType w:val="hybridMultilevel"/>
    <w:tmpl w:val="58C86380"/>
    <w:lvl w:ilvl="0" w:tplc="08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D2221E"/>
    <w:multiLevelType w:val="hybridMultilevel"/>
    <w:tmpl w:val="626AE97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8A5"/>
    <w:rsid w:val="000007AD"/>
    <w:rsid w:val="00001380"/>
    <w:rsid w:val="000014F4"/>
    <w:rsid w:val="0000216F"/>
    <w:rsid w:val="00002277"/>
    <w:rsid w:val="000025B5"/>
    <w:rsid w:val="00003680"/>
    <w:rsid w:val="000051B8"/>
    <w:rsid w:val="00012B2C"/>
    <w:rsid w:val="000136A0"/>
    <w:rsid w:val="000169DD"/>
    <w:rsid w:val="00016AC6"/>
    <w:rsid w:val="00016FB9"/>
    <w:rsid w:val="00017814"/>
    <w:rsid w:val="00017B7F"/>
    <w:rsid w:val="00017C7A"/>
    <w:rsid w:val="0002039F"/>
    <w:rsid w:val="00020A8A"/>
    <w:rsid w:val="000223B4"/>
    <w:rsid w:val="0002248C"/>
    <w:rsid w:val="00022884"/>
    <w:rsid w:val="000235DA"/>
    <w:rsid w:val="000251EC"/>
    <w:rsid w:val="000252F5"/>
    <w:rsid w:val="00026068"/>
    <w:rsid w:val="0002674D"/>
    <w:rsid w:val="00026BDA"/>
    <w:rsid w:val="00027202"/>
    <w:rsid w:val="0002765D"/>
    <w:rsid w:val="000278A3"/>
    <w:rsid w:val="000278B0"/>
    <w:rsid w:val="00030284"/>
    <w:rsid w:val="00030834"/>
    <w:rsid w:val="00030DD1"/>
    <w:rsid w:val="00031EC0"/>
    <w:rsid w:val="0003464C"/>
    <w:rsid w:val="00034ABF"/>
    <w:rsid w:val="000350F1"/>
    <w:rsid w:val="000351C3"/>
    <w:rsid w:val="00035626"/>
    <w:rsid w:val="0003582A"/>
    <w:rsid w:val="00035DF3"/>
    <w:rsid w:val="00035E8C"/>
    <w:rsid w:val="000360C9"/>
    <w:rsid w:val="00036158"/>
    <w:rsid w:val="00040215"/>
    <w:rsid w:val="00041051"/>
    <w:rsid w:val="00041940"/>
    <w:rsid w:val="0004202C"/>
    <w:rsid w:val="0004205D"/>
    <w:rsid w:val="00042C17"/>
    <w:rsid w:val="00042ED6"/>
    <w:rsid w:val="00043209"/>
    <w:rsid w:val="00044E4B"/>
    <w:rsid w:val="00045104"/>
    <w:rsid w:val="0004550E"/>
    <w:rsid w:val="00045834"/>
    <w:rsid w:val="00050EAD"/>
    <w:rsid w:val="00051B65"/>
    <w:rsid w:val="00051D48"/>
    <w:rsid w:val="00054F58"/>
    <w:rsid w:val="00055268"/>
    <w:rsid w:val="000565B3"/>
    <w:rsid w:val="00057300"/>
    <w:rsid w:val="00057F8B"/>
    <w:rsid w:val="000602EA"/>
    <w:rsid w:val="000604E7"/>
    <w:rsid w:val="0006098E"/>
    <w:rsid w:val="00060EE4"/>
    <w:rsid w:val="000612F4"/>
    <w:rsid w:val="00061562"/>
    <w:rsid w:val="000617C8"/>
    <w:rsid w:val="00061A27"/>
    <w:rsid w:val="00061CB3"/>
    <w:rsid w:val="00061E2D"/>
    <w:rsid w:val="00062B37"/>
    <w:rsid w:val="00063409"/>
    <w:rsid w:val="00063B91"/>
    <w:rsid w:val="00064069"/>
    <w:rsid w:val="0006484B"/>
    <w:rsid w:val="000658F4"/>
    <w:rsid w:val="00065EF6"/>
    <w:rsid w:val="00065FE1"/>
    <w:rsid w:val="0006650C"/>
    <w:rsid w:val="00066E88"/>
    <w:rsid w:val="00070CBD"/>
    <w:rsid w:val="0007175D"/>
    <w:rsid w:val="00071CAB"/>
    <w:rsid w:val="000723F5"/>
    <w:rsid w:val="00072965"/>
    <w:rsid w:val="00073ADA"/>
    <w:rsid w:val="00074AB6"/>
    <w:rsid w:val="00074AB7"/>
    <w:rsid w:val="00074ACC"/>
    <w:rsid w:val="00075BFF"/>
    <w:rsid w:val="00075C63"/>
    <w:rsid w:val="000763A1"/>
    <w:rsid w:val="0007668A"/>
    <w:rsid w:val="00077D95"/>
    <w:rsid w:val="000807AE"/>
    <w:rsid w:val="0008092D"/>
    <w:rsid w:val="000816D3"/>
    <w:rsid w:val="00081DAB"/>
    <w:rsid w:val="00082B9E"/>
    <w:rsid w:val="000841E8"/>
    <w:rsid w:val="00085677"/>
    <w:rsid w:val="00085965"/>
    <w:rsid w:val="00085AAE"/>
    <w:rsid w:val="0008645F"/>
    <w:rsid w:val="00086BFE"/>
    <w:rsid w:val="000878E3"/>
    <w:rsid w:val="0009191E"/>
    <w:rsid w:val="00092620"/>
    <w:rsid w:val="00092F5E"/>
    <w:rsid w:val="00094C94"/>
    <w:rsid w:val="0009526D"/>
    <w:rsid w:val="00095F13"/>
    <w:rsid w:val="000A0861"/>
    <w:rsid w:val="000A18DD"/>
    <w:rsid w:val="000A246E"/>
    <w:rsid w:val="000A267B"/>
    <w:rsid w:val="000A38CB"/>
    <w:rsid w:val="000A546E"/>
    <w:rsid w:val="000A5524"/>
    <w:rsid w:val="000A5635"/>
    <w:rsid w:val="000A66DC"/>
    <w:rsid w:val="000A6C87"/>
    <w:rsid w:val="000A71C8"/>
    <w:rsid w:val="000A7F32"/>
    <w:rsid w:val="000B176A"/>
    <w:rsid w:val="000B1F75"/>
    <w:rsid w:val="000B2157"/>
    <w:rsid w:val="000B2C19"/>
    <w:rsid w:val="000B3DAB"/>
    <w:rsid w:val="000B43D0"/>
    <w:rsid w:val="000B4D37"/>
    <w:rsid w:val="000B52C3"/>
    <w:rsid w:val="000B641B"/>
    <w:rsid w:val="000B77EA"/>
    <w:rsid w:val="000B79C1"/>
    <w:rsid w:val="000C0374"/>
    <w:rsid w:val="000C135C"/>
    <w:rsid w:val="000C15A2"/>
    <w:rsid w:val="000C3B38"/>
    <w:rsid w:val="000C3F98"/>
    <w:rsid w:val="000C4B21"/>
    <w:rsid w:val="000C534A"/>
    <w:rsid w:val="000C5AC3"/>
    <w:rsid w:val="000C5DBD"/>
    <w:rsid w:val="000C65D6"/>
    <w:rsid w:val="000C7034"/>
    <w:rsid w:val="000D0730"/>
    <w:rsid w:val="000D0D0C"/>
    <w:rsid w:val="000D2E7F"/>
    <w:rsid w:val="000D36A8"/>
    <w:rsid w:val="000D4F99"/>
    <w:rsid w:val="000D50A4"/>
    <w:rsid w:val="000D57C2"/>
    <w:rsid w:val="000D59AB"/>
    <w:rsid w:val="000D6904"/>
    <w:rsid w:val="000D7AB5"/>
    <w:rsid w:val="000E02DA"/>
    <w:rsid w:val="000E05F5"/>
    <w:rsid w:val="000E109B"/>
    <w:rsid w:val="000E18B6"/>
    <w:rsid w:val="000E19A5"/>
    <w:rsid w:val="000E1C94"/>
    <w:rsid w:val="000E2B05"/>
    <w:rsid w:val="000E3CDA"/>
    <w:rsid w:val="000E491C"/>
    <w:rsid w:val="000E4DE1"/>
    <w:rsid w:val="000E56ED"/>
    <w:rsid w:val="000E57FF"/>
    <w:rsid w:val="000E626B"/>
    <w:rsid w:val="000E66EE"/>
    <w:rsid w:val="000E7E82"/>
    <w:rsid w:val="000F0442"/>
    <w:rsid w:val="000F43EB"/>
    <w:rsid w:val="000F5096"/>
    <w:rsid w:val="000F65F1"/>
    <w:rsid w:val="000F6E6E"/>
    <w:rsid w:val="000F73A4"/>
    <w:rsid w:val="000F7846"/>
    <w:rsid w:val="001027A8"/>
    <w:rsid w:val="0010303C"/>
    <w:rsid w:val="00103CFE"/>
    <w:rsid w:val="00103DC6"/>
    <w:rsid w:val="001046CC"/>
    <w:rsid w:val="001048DB"/>
    <w:rsid w:val="00104F6A"/>
    <w:rsid w:val="00106D70"/>
    <w:rsid w:val="001109A0"/>
    <w:rsid w:val="001114E9"/>
    <w:rsid w:val="001116CE"/>
    <w:rsid w:val="001118DC"/>
    <w:rsid w:val="00111F7E"/>
    <w:rsid w:val="0011248B"/>
    <w:rsid w:val="00115188"/>
    <w:rsid w:val="00115E46"/>
    <w:rsid w:val="00116263"/>
    <w:rsid w:val="00116A3E"/>
    <w:rsid w:val="00116BAE"/>
    <w:rsid w:val="00117259"/>
    <w:rsid w:val="0011795B"/>
    <w:rsid w:val="0011796C"/>
    <w:rsid w:val="00121A44"/>
    <w:rsid w:val="00122E27"/>
    <w:rsid w:val="0012361F"/>
    <w:rsid w:val="001241FD"/>
    <w:rsid w:val="00126DDD"/>
    <w:rsid w:val="0012727C"/>
    <w:rsid w:val="001273E0"/>
    <w:rsid w:val="00127503"/>
    <w:rsid w:val="001302E3"/>
    <w:rsid w:val="00130F15"/>
    <w:rsid w:val="001319E9"/>
    <w:rsid w:val="00132147"/>
    <w:rsid w:val="00132485"/>
    <w:rsid w:val="00132B19"/>
    <w:rsid w:val="001348EF"/>
    <w:rsid w:val="0013504D"/>
    <w:rsid w:val="00135F11"/>
    <w:rsid w:val="00136601"/>
    <w:rsid w:val="001373FD"/>
    <w:rsid w:val="00137687"/>
    <w:rsid w:val="00140FC3"/>
    <w:rsid w:val="001424F2"/>
    <w:rsid w:val="00143135"/>
    <w:rsid w:val="001454F4"/>
    <w:rsid w:val="0014565F"/>
    <w:rsid w:val="00147282"/>
    <w:rsid w:val="00147ADF"/>
    <w:rsid w:val="00150CDD"/>
    <w:rsid w:val="0015114D"/>
    <w:rsid w:val="00151AC8"/>
    <w:rsid w:val="0015396B"/>
    <w:rsid w:val="0015472A"/>
    <w:rsid w:val="00154F42"/>
    <w:rsid w:val="00155642"/>
    <w:rsid w:val="00155E85"/>
    <w:rsid w:val="001570E0"/>
    <w:rsid w:val="001574AE"/>
    <w:rsid w:val="001579EE"/>
    <w:rsid w:val="00157F0D"/>
    <w:rsid w:val="00160EC8"/>
    <w:rsid w:val="00161242"/>
    <w:rsid w:val="001618FC"/>
    <w:rsid w:val="00161C90"/>
    <w:rsid w:val="0016238E"/>
    <w:rsid w:val="00163469"/>
    <w:rsid w:val="001638E4"/>
    <w:rsid w:val="00164709"/>
    <w:rsid w:val="00167A9F"/>
    <w:rsid w:val="0017167C"/>
    <w:rsid w:val="00171FA8"/>
    <w:rsid w:val="0017233E"/>
    <w:rsid w:val="0017265B"/>
    <w:rsid w:val="0017380F"/>
    <w:rsid w:val="00174189"/>
    <w:rsid w:val="001752B4"/>
    <w:rsid w:val="0017605B"/>
    <w:rsid w:val="00176439"/>
    <w:rsid w:val="00176765"/>
    <w:rsid w:val="001769B8"/>
    <w:rsid w:val="00176DB4"/>
    <w:rsid w:val="00177008"/>
    <w:rsid w:val="0018017D"/>
    <w:rsid w:val="00180B32"/>
    <w:rsid w:val="00181878"/>
    <w:rsid w:val="0018241D"/>
    <w:rsid w:val="0018315D"/>
    <w:rsid w:val="00183390"/>
    <w:rsid w:val="001856D0"/>
    <w:rsid w:val="001857C3"/>
    <w:rsid w:val="0018580E"/>
    <w:rsid w:val="00185FEC"/>
    <w:rsid w:val="0018687F"/>
    <w:rsid w:val="00190115"/>
    <w:rsid w:val="001901D9"/>
    <w:rsid w:val="00190F08"/>
    <w:rsid w:val="00193333"/>
    <w:rsid w:val="0019412E"/>
    <w:rsid w:val="00195ECB"/>
    <w:rsid w:val="001A0A3B"/>
    <w:rsid w:val="001A1378"/>
    <w:rsid w:val="001A2EAB"/>
    <w:rsid w:val="001A33CC"/>
    <w:rsid w:val="001A5676"/>
    <w:rsid w:val="001A5A3B"/>
    <w:rsid w:val="001B0527"/>
    <w:rsid w:val="001B0FB3"/>
    <w:rsid w:val="001B0FD6"/>
    <w:rsid w:val="001B194B"/>
    <w:rsid w:val="001B1A9B"/>
    <w:rsid w:val="001B2015"/>
    <w:rsid w:val="001B21D5"/>
    <w:rsid w:val="001B2C6D"/>
    <w:rsid w:val="001B2FC3"/>
    <w:rsid w:val="001B3750"/>
    <w:rsid w:val="001B3EAD"/>
    <w:rsid w:val="001B5140"/>
    <w:rsid w:val="001B5362"/>
    <w:rsid w:val="001B578F"/>
    <w:rsid w:val="001B59C2"/>
    <w:rsid w:val="001B60F9"/>
    <w:rsid w:val="001B78C3"/>
    <w:rsid w:val="001B7BF6"/>
    <w:rsid w:val="001B7E35"/>
    <w:rsid w:val="001C0CBD"/>
    <w:rsid w:val="001C1B06"/>
    <w:rsid w:val="001C1D1F"/>
    <w:rsid w:val="001C29FD"/>
    <w:rsid w:val="001C2B71"/>
    <w:rsid w:val="001C2C2E"/>
    <w:rsid w:val="001C3CBD"/>
    <w:rsid w:val="001C42DF"/>
    <w:rsid w:val="001C48EE"/>
    <w:rsid w:val="001C4B52"/>
    <w:rsid w:val="001C4CCC"/>
    <w:rsid w:val="001C5757"/>
    <w:rsid w:val="001C7E42"/>
    <w:rsid w:val="001D0514"/>
    <w:rsid w:val="001D0A5D"/>
    <w:rsid w:val="001D1C16"/>
    <w:rsid w:val="001D1D2D"/>
    <w:rsid w:val="001D1D43"/>
    <w:rsid w:val="001D2620"/>
    <w:rsid w:val="001D3665"/>
    <w:rsid w:val="001D51F5"/>
    <w:rsid w:val="001D60B2"/>
    <w:rsid w:val="001D678E"/>
    <w:rsid w:val="001D6EE2"/>
    <w:rsid w:val="001D73C8"/>
    <w:rsid w:val="001D759D"/>
    <w:rsid w:val="001E0B60"/>
    <w:rsid w:val="001E1D3C"/>
    <w:rsid w:val="001E263B"/>
    <w:rsid w:val="001E329D"/>
    <w:rsid w:val="001E3BB6"/>
    <w:rsid w:val="001E3FE3"/>
    <w:rsid w:val="001E4526"/>
    <w:rsid w:val="001E51FF"/>
    <w:rsid w:val="001E5B86"/>
    <w:rsid w:val="001E6105"/>
    <w:rsid w:val="001F1189"/>
    <w:rsid w:val="001F2351"/>
    <w:rsid w:val="001F41CD"/>
    <w:rsid w:val="001F48DE"/>
    <w:rsid w:val="001F59E3"/>
    <w:rsid w:val="001F5A4E"/>
    <w:rsid w:val="001F5BF2"/>
    <w:rsid w:val="001F7C95"/>
    <w:rsid w:val="002010CC"/>
    <w:rsid w:val="00202579"/>
    <w:rsid w:val="00202604"/>
    <w:rsid w:val="002033A5"/>
    <w:rsid w:val="00204283"/>
    <w:rsid w:val="00204CFA"/>
    <w:rsid w:val="00206003"/>
    <w:rsid w:val="0020640B"/>
    <w:rsid w:val="002108F2"/>
    <w:rsid w:val="00210E66"/>
    <w:rsid w:val="00211D38"/>
    <w:rsid w:val="00211EE8"/>
    <w:rsid w:val="00211FCB"/>
    <w:rsid w:val="002120AF"/>
    <w:rsid w:val="002136A3"/>
    <w:rsid w:val="002140A8"/>
    <w:rsid w:val="002145E4"/>
    <w:rsid w:val="00215279"/>
    <w:rsid w:val="002160D7"/>
    <w:rsid w:val="00217412"/>
    <w:rsid w:val="002177B1"/>
    <w:rsid w:val="00217C7D"/>
    <w:rsid w:val="00217EDF"/>
    <w:rsid w:val="00220531"/>
    <w:rsid w:val="00220C8B"/>
    <w:rsid w:val="00220CB9"/>
    <w:rsid w:val="00221284"/>
    <w:rsid w:val="00221905"/>
    <w:rsid w:val="00221B0F"/>
    <w:rsid w:val="002225A4"/>
    <w:rsid w:val="00223CE5"/>
    <w:rsid w:val="0022469B"/>
    <w:rsid w:val="002248B6"/>
    <w:rsid w:val="00224BF2"/>
    <w:rsid w:val="002258C3"/>
    <w:rsid w:val="00225A96"/>
    <w:rsid w:val="00227E34"/>
    <w:rsid w:val="0023112A"/>
    <w:rsid w:val="002339A6"/>
    <w:rsid w:val="00233C5E"/>
    <w:rsid w:val="002353DC"/>
    <w:rsid w:val="002367F6"/>
    <w:rsid w:val="002379B6"/>
    <w:rsid w:val="00240227"/>
    <w:rsid w:val="00240672"/>
    <w:rsid w:val="00240D68"/>
    <w:rsid w:val="0024152A"/>
    <w:rsid w:val="00241B6E"/>
    <w:rsid w:val="002431A6"/>
    <w:rsid w:val="0024476A"/>
    <w:rsid w:val="00247216"/>
    <w:rsid w:val="00247B0A"/>
    <w:rsid w:val="00250EA9"/>
    <w:rsid w:val="00250FCF"/>
    <w:rsid w:val="00252DE1"/>
    <w:rsid w:val="002537B5"/>
    <w:rsid w:val="0025384D"/>
    <w:rsid w:val="002538A2"/>
    <w:rsid w:val="00253E7C"/>
    <w:rsid w:val="002559A1"/>
    <w:rsid w:val="00256588"/>
    <w:rsid w:val="0025754A"/>
    <w:rsid w:val="00257B27"/>
    <w:rsid w:val="00261A3C"/>
    <w:rsid w:val="00264A18"/>
    <w:rsid w:val="00265D35"/>
    <w:rsid w:val="002660CD"/>
    <w:rsid w:val="0026673B"/>
    <w:rsid w:val="00266B15"/>
    <w:rsid w:val="00266E56"/>
    <w:rsid w:val="00267335"/>
    <w:rsid w:val="0026748C"/>
    <w:rsid w:val="002711F7"/>
    <w:rsid w:val="00271328"/>
    <w:rsid w:val="002715A1"/>
    <w:rsid w:val="00273296"/>
    <w:rsid w:val="00273690"/>
    <w:rsid w:val="002739C8"/>
    <w:rsid w:val="00273D64"/>
    <w:rsid w:val="00274472"/>
    <w:rsid w:val="0027472D"/>
    <w:rsid w:val="00274B1E"/>
    <w:rsid w:val="0027599C"/>
    <w:rsid w:val="0027723F"/>
    <w:rsid w:val="002772E8"/>
    <w:rsid w:val="002777D6"/>
    <w:rsid w:val="002801B2"/>
    <w:rsid w:val="002827A8"/>
    <w:rsid w:val="002833D9"/>
    <w:rsid w:val="00283449"/>
    <w:rsid w:val="00283B38"/>
    <w:rsid w:val="00283D9B"/>
    <w:rsid w:val="00284549"/>
    <w:rsid w:val="0028555A"/>
    <w:rsid w:val="002879E4"/>
    <w:rsid w:val="00291B14"/>
    <w:rsid w:val="00292E69"/>
    <w:rsid w:val="0029315B"/>
    <w:rsid w:val="0029333F"/>
    <w:rsid w:val="00293EB3"/>
    <w:rsid w:val="00294E3C"/>
    <w:rsid w:val="0029606E"/>
    <w:rsid w:val="00296BAE"/>
    <w:rsid w:val="0029747A"/>
    <w:rsid w:val="00297C8E"/>
    <w:rsid w:val="002A0616"/>
    <w:rsid w:val="002A2A9E"/>
    <w:rsid w:val="002A2FE7"/>
    <w:rsid w:val="002A31E8"/>
    <w:rsid w:val="002A35EF"/>
    <w:rsid w:val="002A3AC8"/>
    <w:rsid w:val="002A3CA5"/>
    <w:rsid w:val="002A40EE"/>
    <w:rsid w:val="002A4563"/>
    <w:rsid w:val="002A55E7"/>
    <w:rsid w:val="002A679D"/>
    <w:rsid w:val="002A6BA3"/>
    <w:rsid w:val="002A6C2D"/>
    <w:rsid w:val="002B10A5"/>
    <w:rsid w:val="002B1626"/>
    <w:rsid w:val="002B396C"/>
    <w:rsid w:val="002B3AB9"/>
    <w:rsid w:val="002B450A"/>
    <w:rsid w:val="002B468D"/>
    <w:rsid w:val="002B516E"/>
    <w:rsid w:val="002B5289"/>
    <w:rsid w:val="002B5D57"/>
    <w:rsid w:val="002B7359"/>
    <w:rsid w:val="002B7415"/>
    <w:rsid w:val="002B7552"/>
    <w:rsid w:val="002B7554"/>
    <w:rsid w:val="002B7F8E"/>
    <w:rsid w:val="002C051C"/>
    <w:rsid w:val="002C1378"/>
    <w:rsid w:val="002C1C82"/>
    <w:rsid w:val="002C2177"/>
    <w:rsid w:val="002C257B"/>
    <w:rsid w:val="002C2C98"/>
    <w:rsid w:val="002C3A1B"/>
    <w:rsid w:val="002C5428"/>
    <w:rsid w:val="002C787A"/>
    <w:rsid w:val="002D11F3"/>
    <w:rsid w:val="002D1D3A"/>
    <w:rsid w:val="002D227E"/>
    <w:rsid w:val="002D4908"/>
    <w:rsid w:val="002D52B3"/>
    <w:rsid w:val="002D6EEF"/>
    <w:rsid w:val="002D793F"/>
    <w:rsid w:val="002E06B0"/>
    <w:rsid w:val="002E1063"/>
    <w:rsid w:val="002E1E9E"/>
    <w:rsid w:val="002E20A3"/>
    <w:rsid w:val="002E310A"/>
    <w:rsid w:val="002E35F5"/>
    <w:rsid w:val="002E4138"/>
    <w:rsid w:val="002E4AE7"/>
    <w:rsid w:val="002E4D96"/>
    <w:rsid w:val="002E5487"/>
    <w:rsid w:val="002E5562"/>
    <w:rsid w:val="002E6608"/>
    <w:rsid w:val="002E7A79"/>
    <w:rsid w:val="002F0865"/>
    <w:rsid w:val="002F09DB"/>
    <w:rsid w:val="002F0F2E"/>
    <w:rsid w:val="002F1615"/>
    <w:rsid w:val="002F1F1E"/>
    <w:rsid w:val="002F33AE"/>
    <w:rsid w:val="002F3DF3"/>
    <w:rsid w:val="002F3F11"/>
    <w:rsid w:val="002F44B5"/>
    <w:rsid w:val="002F5782"/>
    <w:rsid w:val="002F6B67"/>
    <w:rsid w:val="002F6C92"/>
    <w:rsid w:val="002F7718"/>
    <w:rsid w:val="00300F92"/>
    <w:rsid w:val="00302A52"/>
    <w:rsid w:val="0030391A"/>
    <w:rsid w:val="00303D10"/>
    <w:rsid w:val="00304BD6"/>
    <w:rsid w:val="00306810"/>
    <w:rsid w:val="00307BD8"/>
    <w:rsid w:val="0031087E"/>
    <w:rsid w:val="00311027"/>
    <w:rsid w:val="0031162E"/>
    <w:rsid w:val="00312879"/>
    <w:rsid w:val="003128E3"/>
    <w:rsid w:val="00313CD1"/>
    <w:rsid w:val="00317A56"/>
    <w:rsid w:val="0032199E"/>
    <w:rsid w:val="003230B4"/>
    <w:rsid w:val="00324266"/>
    <w:rsid w:val="00325EED"/>
    <w:rsid w:val="00326FB3"/>
    <w:rsid w:val="00327A15"/>
    <w:rsid w:val="00327ED2"/>
    <w:rsid w:val="0033054C"/>
    <w:rsid w:val="00330708"/>
    <w:rsid w:val="003314A6"/>
    <w:rsid w:val="00331968"/>
    <w:rsid w:val="00331DCF"/>
    <w:rsid w:val="00332419"/>
    <w:rsid w:val="00333749"/>
    <w:rsid w:val="00333884"/>
    <w:rsid w:val="00333B48"/>
    <w:rsid w:val="003346B4"/>
    <w:rsid w:val="00334BAB"/>
    <w:rsid w:val="003355C3"/>
    <w:rsid w:val="00335D0A"/>
    <w:rsid w:val="0033614F"/>
    <w:rsid w:val="003375BD"/>
    <w:rsid w:val="00340902"/>
    <w:rsid w:val="00340B90"/>
    <w:rsid w:val="00340C0F"/>
    <w:rsid w:val="00341221"/>
    <w:rsid w:val="003434AB"/>
    <w:rsid w:val="00343958"/>
    <w:rsid w:val="00344832"/>
    <w:rsid w:val="00344FC3"/>
    <w:rsid w:val="00346962"/>
    <w:rsid w:val="00346BE1"/>
    <w:rsid w:val="00346F51"/>
    <w:rsid w:val="00350833"/>
    <w:rsid w:val="0035133A"/>
    <w:rsid w:val="00351AAF"/>
    <w:rsid w:val="00352AED"/>
    <w:rsid w:val="00352E74"/>
    <w:rsid w:val="00353929"/>
    <w:rsid w:val="00353E0D"/>
    <w:rsid w:val="00355DC1"/>
    <w:rsid w:val="00360B4C"/>
    <w:rsid w:val="00361F22"/>
    <w:rsid w:val="00362A5D"/>
    <w:rsid w:val="003630FF"/>
    <w:rsid w:val="0036321A"/>
    <w:rsid w:val="00363DC0"/>
    <w:rsid w:val="003659AE"/>
    <w:rsid w:val="003660CB"/>
    <w:rsid w:val="003662E4"/>
    <w:rsid w:val="00366AAB"/>
    <w:rsid w:val="00367FD1"/>
    <w:rsid w:val="00375B28"/>
    <w:rsid w:val="00376AA3"/>
    <w:rsid w:val="00381E51"/>
    <w:rsid w:val="00385D39"/>
    <w:rsid w:val="00386085"/>
    <w:rsid w:val="00386F93"/>
    <w:rsid w:val="003870F0"/>
    <w:rsid w:val="003871E4"/>
    <w:rsid w:val="00387ABC"/>
    <w:rsid w:val="003910DF"/>
    <w:rsid w:val="00394493"/>
    <w:rsid w:val="00394BF7"/>
    <w:rsid w:val="0039544A"/>
    <w:rsid w:val="003959F6"/>
    <w:rsid w:val="003968EB"/>
    <w:rsid w:val="00397E09"/>
    <w:rsid w:val="00397F96"/>
    <w:rsid w:val="003A0AB6"/>
    <w:rsid w:val="003A1B8F"/>
    <w:rsid w:val="003A1E5D"/>
    <w:rsid w:val="003A20B0"/>
    <w:rsid w:val="003A250A"/>
    <w:rsid w:val="003A29D5"/>
    <w:rsid w:val="003A3567"/>
    <w:rsid w:val="003A4F91"/>
    <w:rsid w:val="003A52E3"/>
    <w:rsid w:val="003A5B03"/>
    <w:rsid w:val="003A6ECC"/>
    <w:rsid w:val="003B0493"/>
    <w:rsid w:val="003B0BE1"/>
    <w:rsid w:val="003B1DBE"/>
    <w:rsid w:val="003B2766"/>
    <w:rsid w:val="003B3326"/>
    <w:rsid w:val="003B34BF"/>
    <w:rsid w:val="003B3D65"/>
    <w:rsid w:val="003B3DA3"/>
    <w:rsid w:val="003B3E8E"/>
    <w:rsid w:val="003B4CB7"/>
    <w:rsid w:val="003B4EBF"/>
    <w:rsid w:val="003B5007"/>
    <w:rsid w:val="003B54E2"/>
    <w:rsid w:val="003B7B90"/>
    <w:rsid w:val="003C226A"/>
    <w:rsid w:val="003C47E8"/>
    <w:rsid w:val="003C5952"/>
    <w:rsid w:val="003C7712"/>
    <w:rsid w:val="003C7A0C"/>
    <w:rsid w:val="003D0F02"/>
    <w:rsid w:val="003D2532"/>
    <w:rsid w:val="003D2906"/>
    <w:rsid w:val="003D29F4"/>
    <w:rsid w:val="003D2EDC"/>
    <w:rsid w:val="003D3068"/>
    <w:rsid w:val="003D37A3"/>
    <w:rsid w:val="003D466B"/>
    <w:rsid w:val="003D5137"/>
    <w:rsid w:val="003D5C10"/>
    <w:rsid w:val="003D5C7A"/>
    <w:rsid w:val="003D76FA"/>
    <w:rsid w:val="003E0643"/>
    <w:rsid w:val="003E43C4"/>
    <w:rsid w:val="003E488B"/>
    <w:rsid w:val="003E5128"/>
    <w:rsid w:val="003F1088"/>
    <w:rsid w:val="003F15E5"/>
    <w:rsid w:val="003F18D4"/>
    <w:rsid w:val="003F21ED"/>
    <w:rsid w:val="003F2737"/>
    <w:rsid w:val="003F3BBC"/>
    <w:rsid w:val="003F3C46"/>
    <w:rsid w:val="003F5D1A"/>
    <w:rsid w:val="003F704D"/>
    <w:rsid w:val="003F7157"/>
    <w:rsid w:val="00401166"/>
    <w:rsid w:val="00401442"/>
    <w:rsid w:val="00401F62"/>
    <w:rsid w:val="004029F1"/>
    <w:rsid w:val="0040349F"/>
    <w:rsid w:val="00403ACF"/>
    <w:rsid w:val="00405EC9"/>
    <w:rsid w:val="00406056"/>
    <w:rsid w:val="00406C17"/>
    <w:rsid w:val="004078A8"/>
    <w:rsid w:val="00407B09"/>
    <w:rsid w:val="00410259"/>
    <w:rsid w:val="0041068A"/>
    <w:rsid w:val="00410BB7"/>
    <w:rsid w:val="00410E1A"/>
    <w:rsid w:val="00410F5E"/>
    <w:rsid w:val="0041189F"/>
    <w:rsid w:val="004141CC"/>
    <w:rsid w:val="00414578"/>
    <w:rsid w:val="00414DA6"/>
    <w:rsid w:val="004166EB"/>
    <w:rsid w:val="0041713C"/>
    <w:rsid w:val="00417248"/>
    <w:rsid w:val="00417B92"/>
    <w:rsid w:val="00417DA5"/>
    <w:rsid w:val="004217A7"/>
    <w:rsid w:val="00421F34"/>
    <w:rsid w:val="00422F5D"/>
    <w:rsid w:val="00423A7B"/>
    <w:rsid w:val="004247DF"/>
    <w:rsid w:val="00425018"/>
    <w:rsid w:val="0042550E"/>
    <w:rsid w:val="0042607B"/>
    <w:rsid w:val="0042693D"/>
    <w:rsid w:val="00427DAB"/>
    <w:rsid w:val="00427F82"/>
    <w:rsid w:val="00431597"/>
    <w:rsid w:val="00431959"/>
    <w:rsid w:val="00431EE3"/>
    <w:rsid w:val="00432158"/>
    <w:rsid w:val="0043281F"/>
    <w:rsid w:val="00432C87"/>
    <w:rsid w:val="00433096"/>
    <w:rsid w:val="00434D90"/>
    <w:rsid w:val="00435825"/>
    <w:rsid w:val="00435A19"/>
    <w:rsid w:val="004364C2"/>
    <w:rsid w:val="0043677D"/>
    <w:rsid w:val="00437198"/>
    <w:rsid w:val="004379D1"/>
    <w:rsid w:val="00441446"/>
    <w:rsid w:val="004419DD"/>
    <w:rsid w:val="00442605"/>
    <w:rsid w:val="0044354E"/>
    <w:rsid w:val="00443937"/>
    <w:rsid w:val="004444DC"/>
    <w:rsid w:val="0044475B"/>
    <w:rsid w:val="004449D7"/>
    <w:rsid w:val="00444BBA"/>
    <w:rsid w:val="00445145"/>
    <w:rsid w:val="00450343"/>
    <w:rsid w:val="00450BA6"/>
    <w:rsid w:val="0045148D"/>
    <w:rsid w:val="00453003"/>
    <w:rsid w:val="004534F7"/>
    <w:rsid w:val="0045474F"/>
    <w:rsid w:val="00454F29"/>
    <w:rsid w:val="00455B2F"/>
    <w:rsid w:val="0045650D"/>
    <w:rsid w:val="00457155"/>
    <w:rsid w:val="00457DD9"/>
    <w:rsid w:val="0046056A"/>
    <w:rsid w:val="00460935"/>
    <w:rsid w:val="00460FB9"/>
    <w:rsid w:val="00461A8E"/>
    <w:rsid w:val="00461E37"/>
    <w:rsid w:val="004662B1"/>
    <w:rsid w:val="004668E1"/>
    <w:rsid w:val="004674CE"/>
    <w:rsid w:val="00467B2F"/>
    <w:rsid w:val="004700EA"/>
    <w:rsid w:val="004711D9"/>
    <w:rsid w:val="0047164D"/>
    <w:rsid w:val="0047227F"/>
    <w:rsid w:val="00472478"/>
    <w:rsid w:val="00474870"/>
    <w:rsid w:val="00475C21"/>
    <w:rsid w:val="00476658"/>
    <w:rsid w:val="004779B8"/>
    <w:rsid w:val="00480547"/>
    <w:rsid w:val="00480E96"/>
    <w:rsid w:val="00480F97"/>
    <w:rsid w:val="00481429"/>
    <w:rsid w:val="00486EFA"/>
    <w:rsid w:val="00487F25"/>
    <w:rsid w:val="004900FC"/>
    <w:rsid w:val="00490273"/>
    <w:rsid w:val="00490C4C"/>
    <w:rsid w:val="004912E6"/>
    <w:rsid w:val="00491312"/>
    <w:rsid w:val="004920C9"/>
    <w:rsid w:val="0049291E"/>
    <w:rsid w:val="00492FBB"/>
    <w:rsid w:val="00493E5B"/>
    <w:rsid w:val="00493E7E"/>
    <w:rsid w:val="00494081"/>
    <w:rsid w:val="00494508"/>
    <w:rsid w:val="00495561"/>
    <w:rsid w:val="00496260"/>
    <w:rsid w:val="00496786"/>
    <w:rsid w:val="00496A39"/>
    <w:rsid w:val="00496CF3"/>
    <w:rsid w:val="00496EBC"/>
    <w:rsid w:val="0049738B"/>
    <w:rsid w:val="00497D51"/>
    <w:rsid w:val="004A0945"/>
    <w:rsid w:val="004A1532"/>
    <w:rsid w:val="004A1CC9"/>
    <w:rsid w:val="004A2642"/>
    <w:rsid w:val="004A37E7"/>
    <w:rsid w:val="004A40F5"/>
    <w:rsid w:val="004A46AB"/>
    <w:rsid w:val="004A51D8"/>
    <w:rsid w:val="004A78BD"/>
    <w:rsid w:val="004A7ECF"/>
    <w:rsid w:val="004B032E"/>
    <w:rsid w:val="004B0D73"/>
    <w:rsid w:val="004B13BE"/>
    <w:rsid w:val="004B1E9E"/>
    <w:rsid w:val="004B2B86"/>
    <w:rsid w:val="004B2BC4"/>
    <w:rsid w:val="004B3CB4"/>
    <w:rsid w:val="004B4E6A"/>
    <w:rsid w:val="004B55D2"/>
    <w:rsid w:val="004C21E2"/>
    <w:rsid w:val="004C26A3"/>
    <w:rsid w:val="004C3495"/>
    <w:rsid w:val="004C4F34"/>
    <w:rsid w:val="004C515E"/>
    <w:rsid w:val="004C5752"/>
    <w:rsid w:val="004C6603"/>
    <w:rsid w:val="004C710F"/>
    <w:rsid w:val="004C79E4"/>
    <w:rsid w:val="004D0C41"/>
    <w:rsid w:val="004D1371"/>
    <w:rsid w:val="004D1EFD"/>
    <w:rsid w:val="004D32C6"/>
    <w:rsid w:val="004D45F1"/>
    <w:rsid w:val="004D47F8"/>
    <w:rsid w:val="004D4F0C"/>
    <w:rsid w:val="004D5C82"/>
    <w:rsid w:val="004D7328"/>
    <w:rsid w:val="004D7D23"/>
    <w:rsid w:val="004D7DAE"/>
    <w:rsid w:val="004E04C3"/>
    <w:rsid w:val="004E1E2D"/>
    <w:rsid w:val="004E290D"/>
    <w:rsid w:val="004E312D"/>
    <w:rsid w:val="004E37C8"/>
    <w:rsid w:val="004E3B61"/>
    <w:rsid w:val="004E3CA6"/>
    <w:rsid w:val="004E51C7"/>
    <w:rsid w:val="004E664E"/>
    <w:rsid w:val="004E738F"/>
    <w:rsid w:val="004F038C"/>
    <w:rsid w:val="004F15F5"/>
    <w:rsid w:val="004F2771"/>
    <w:rsid w:val="004F322A"/>
    <w:rsid w:val="004F4B48"/>
    <w:rsid w:val="004F51CF"/>
    <w:rsid w:val="004F59CC"/>
    <w:rsid w:val="004F5E95"/>
    <w:rsid w:val="004F691E"/>
    <w:rsid w:val="004F6D03"/>
    <w:rsid w:val="00500D0E"/>
    <w:rsid w:val="00500F7B"/>
    <w:rsid w:val="0050151F"/>
    <w:rsid w:val="00503A8A"/>
    <w:rsid w:val="00503FC0"/>
    <w:rsid w:val="005056E4"/>
    <w:rsid w:val="00505E3D"/>
    <w:rsid w:val="005064D7"/>
    <w:rsid w:val="00507AD0"/>
    <w:rsid w:val="00507D99"/>
    <w:rsid w:val="005104A4"/>
    <w:rsid w:val="005111C5"/>
    <w:rsid w:val="005119BF"/>
    <w:rsid w:val="005122F0"/>
    <w:rsid w:val="00512432"/>
    <w:rsid w:val="005128F6"/>
    <w:rsid w:val="00513B92"/>
    <w:rsid w:val="00513CAB"/>
    <w:rsid w:val="005147D1"/>
    <w:rsid w:val="00515267"/>
    <w:rsid w:val="0051571C"/>
    <w:rsid w:val="005158AA"/>
    <w:rsid w:val="005168EA"/>
    <w:rsid w:val="00523030"/>
    <w:rsid w:val="005231A2"/>
    <w:rsid w:val="005231AD"/>
    <w:rsid w:val="00523DB0"/>
    <w:rsid w:val="0052450A"/>
    <w:rsid w:val="00524CE1"/>
    <w:rsid w:val="00524E0A"/>
    <w:rsid w:val="005268EC"/>
    <w:rsid w:val="00530984"/>
    <w:rsid w:val="00534B99"/>
    <w:rsid w:val="005366F2"/>
    <w:rsid w:val="00536924"/>
    <w:rsid w:val="00536E82"/>
    <w:rsid w:val="0053714C"/>
    <w:rsid w:val="00537C7A"/>
    <w:rsid w:val="0054035A"/>
    <w:rsid w:val="00541DF7"/>
    <w:rsid w:val="005432D1"/>
    <w:rsid w:val="0054442B"/>
    <w:rsid w:val="00550F12"/>
    <w:rsid w:val="00550F83"/>
    <w:rsid w:val="00551261"/>
    <w:rsid w:val="00551530"/>
    <w:rsid w:val="00551684"/>
    <w:rsid w:val="005521D4"/>
    <w:rsid w:val="0055281C"/>
    <w:rsid w:val="005528DE"/>
    <w:rsid w:val="00552B35"/>
    <w:rsid w:val="00552CB7"/>
    <w:rsid w:val="0055375E"/>
    <w:rsid w:val="00553998"/>
    <w:rsid w:val="00553A06"/>
    <w:rsid w:val="005546C3"/>
    <w:rsid w:val="00555F52"/>
    <w:rsid w:val="005604E2"/>
    <w:rsid w:val="00560A19"/>
    <w:rsid w:val="00562FE2"/>
    <w:rsid w:val="00563CF3"/>
    <w:rsid w:val="00563F46"/>
    <w:rsid w:val="00564A16"/>
    <w:rsid w:val="005654D9"/>
    <w:rsid w:val="00565CC2"/>
    <w:rsid w:val="00566E86"/>
    <w:rsid w:val="00567AB5"/>
    <w:rsid w:val="00571E75"/>
    <w:rsid w:val="00572E8E"/>
    <w:rsid w:val="005739C5"/>
    <w:rsid w:val="00573A52"/>
    <w:rsid w:val="0057408A"/>
    <w:rsid w:val="005743A7"/>
    <w:rsid w:val="005761ED"/>
    <w:rsid w:val="00576A80"/>
    <w:rsid w:val="0057716D"/>
    <w:rsid w:val="00577CB1"/>
    <w:rsid w:val="00580D03"/>
    <w:rsid w:val="00581CD7"/>
    <w:rsid w:val="00582FB8"/>
    <w:rsid w:val="005834FE"/>
    <w:rsid w:val="0058444B"/>
    <w:rsid w:val="005845E7"/>
    <w:rsid w:val="00585E48"/>
    <w:rsid w:val="00586B67"/>
    <w:rsid w:val="00586F34"/>
    <w:rsid w:val="0059002C"/>
    <w:rsid w:val="0059026C"/>
    <w:rsid w:val="0059182E"/>
    <w:rsid w:val="00592244"/>
    <w:rsid w:val="00592FFC"/>
    <w:rsid w:val="0059368F"/>
    <w:rsid w:val="00595571"/>
    <w:rsid w:val="00596A07"/>
    <w:rsid w:val="00597081"/>
    <w:rsid w:val="005A1DED"/>
    <w:rsid w:val="005A52AD"/>
    <w:rsid w:val="005A5372"/>
    <w:rsid w:val="005A5C0D"/>
    <w:rsid w:val="005A61FD"/>
    <w:rsid w:val="005A6AB9"/>
    <w:rsid w:val="005B0D54"/>
    <w:rsid w:val="005B1177"/>
    <w:rsid w:val="005B127A"/>
    <w:rsid w:val="005B13BF"/>
    <w:rsid w:val="005B1A9B"/>
    <w:rsid w:val="005B2B65"/>
    <w:rsid w:val="005B46C0"/>
    <w:rsid w:val="005B57BA"/>
    <w:rsid w:val="005B78B6"/>
    <w:rsid w:val="005C0DF9"/>
    <w:rsid w:val="005C22FB"/>
    <w:rsid w:val="005C32D2"/>
    <w:rsid w:val="005C32F5"/>
    <w:rsid w:val="005C3338"/>
    <w:rsid w:val="005C3BBE"/>
    <w:rsid w:val="005C3EBC"/>
    <w:rsid w:val="005C4C70"/>
    <w:rsid w:val="005C5EF3"/>
    <w:rsid w:val="005C6D34"/>
    <w:rsid w:val="005D1972"/>
    <w:rsid w:val="005D1EF0"/>
    <w:rsid w:val="005D47B2"/>
    <w:rsid w:val="005D4CF0"/>
    <w:rsid w:val="005D58E7"/>
    <w:rsid w:val="005D5E8E"/>
    <w:rsid w:val="005D7AAB"/>
    <w:rsid w:val="005D7E18"/>
    <w:rsid w:val="005E15A5"/>
    <w:rsid w:val="005E1803"/>
    <w:rsid w:val="005E2603"/>
    <w:rsid w:val="005E265A"/>
    <w:rsid w:val="005E2D01"/>
    <w:rsid w:val="005E4525"/>
    <w:rsid w:val="005E4C34"/>
    <w:rsid w:val="005E52B5"/>
    <w:rsid w:val="005E6B6B"/>
    <w:rsid w:val="005E78ED"/>
    <w:rsid w:val="005F01FA"/>
    <w:rsid w:val="005F0629"/>
    <w:rsid w:val="005F0635"/>
    <w:rsid w:val="005F1327"/>
    <w:rsid w:val="005F1936"/>
    <w:rsid w:val="005F1D0B"/>
    <w:rsid w:val="005F218D"/>
    <w:rsid w:val="005F2888"/>
    <w:rsid w:val="005F29C4"/>
    <w:rsid w:val="005F4357"/>
    <w:rsid w:val="005F43EB"/>
    <w:rsid w:val="005F45AA"/>
    <w:rsid w:val="005F4C68"/>
    <w:rsid w:val="005F55ED"/>
    <w:rsid w:val="005F571A"/>
    <w:rsid w:val="005F66A8"/>
    <w:rsid w:val="005F6DC6"/>
    <w:rsid w:val="005F722B"/>
    <w:rsid w:val="005F7C67"/>
    <w:rsid w:val="00600181"/>
    <w:rsid w:val="006015F9"/>
    <w:rsid w:val="00602B46"/>
    <w:rsid w:val="00602CD5"/>
    <w:rsid w:val="00603163"/>
    <w:rsid w:val="00603A88"/>
    <w:rsid w:val="00606B74"/>
    <w:rsid w:val="006075C2"/>
    <w:rsid w:val="00607EF1"/>
    <w:rsid w:val="00610227"/>
    <w:rsid w:val="00610D6D"/>
    <w:rsid w:val="00611181"/>
    <w:rsid w:val="0061171A"/>
    <w:rsid w:val="00612226"/>
    <w:rsid w:val="006129A8"/>
    <w:rsid w:val="0061340E"/>
    <w:rsid w:val="006135AA"/>
    <w:rsid w:val="00613EA1"/>
    <w:rsid w:val="006160CB"/>
    <w:rsid w:val="006166CC"/>
    <w:rsid w:val="00617CF0"/>
    <w:rsid w:val="00620E85"/>
    <w:rsid w:val="006226EC"/>
    <w:rsid w:val="006247CC"/>
    <w:rsid w:val="006251EB"/>
    <w:rsid w:val="00627AF7"/>
    <w:rsid w:val="00632815"/>
    <w:rsid w:val="006329ED"/>
    <w:rsid w:val="0063341C"/>
    <w:rsid w:val="00633FFF"/>
    <w:rsid w:val="00634B4B"/>
    <w:rsid w:val="00635525"/>
    <w:rsid w:val="00637983"/>
    <w:rsid w:val="00640937"/>
    <w:rsid w:val="00641841"/>
    <w:rsid w:val="00641871"/>
    <w:rsid w:val="00642578"/>
    <w:rsid w:val="00642E8F"/>
    <w:rsid w:val="006433E9"/>
    <w:rsid w:val="00644025"/>
    <w:rsid w:val="00644B25"/>
    <w:rsid w:val="006452AC"/>
    <w:rsid w:val="0064694D"/>
    <w:rsid w:val="0064747C"/>
    <w:rsid w:val="00647642"/>
    <w:rsid w:val="0064793D"/>
    <w:rsid w:val="00647A93"/>
    <w:rsid w:val="00650CF4"/>
    <w:rsid w:val="006514FF"/>
    <w:rsid w:val="00651CB5"/>
    <w:rsid w:val="00652C60"/>
    <w:rsid w:val="006539F2"/>
    <w:rsid w:val="006545AD"/>
    <w:rsid w:val="006548AE"/>
    <w:rsid w:val="00654B6E"/>
    <w:rsid w:val="00655B67"/>
    <w:rsid w:val="00656F22"/>
    <w:rsid w:val="0065701E"/>
    <w:rsid w:val="00660216"/>
    <w:rsid w:val="00660226"/>
    <w:rsid w:val="00660698"/>
    <w:rsid w:val="0066082F"/>
    <w:rsid w:val="00660C23"/>
    <w:rsid w:val="0066129C"/>
    <w:rsid w:val="00661664"/>
    <w:rsid w:val="0066383F"/>
    <w:rsid w:val="006652C8"/>
    <w:rsid w:val="006659F3"/>
    <w:rsid w:val="00666830"/>
    <w:rsid w:val="0066690C"/>
    <w:rsid w:val="00670377"/>
    <w:rsid w:val="00670C64"/>
    <w:rsid w:val="00670F1D"/>
    <w:rsid w:val="00672C1D"/>
    <w:rsid w:val="006735FE"/>
    <w:rsid w:val="0067434F"/>
    <w:rsid w:val="00674AD4"/>
    <w:rsid w:val="0067561B"/>
    <w:rsid w:val="006765B2"/>
    <w:rsid w:val="00677022"/>
    <w:rsid w:val="00677E77"/>
    <w:rsid w:val="0068094B"/>
    <w:rsid w:val="0068097E"/>
    <w:rsid w:val="00681746"/>
    <w:rsid w:val="00682A1C"/>
    <w:rsid w:val="006836B6"/>
    <w:rsid w:val="006847E3"/>
    <w:rsid w:val="0068569A"/>
    <w:rsid w:val="00686384"/>
    <w:rsid w:val="00686690"/>
    <w:rsid w:val="00686C42"/>
    <w:rsid w:val="006872A4"/>
    <w:rsid w:val="006873C8"/>
    <w:rsid w:val="00687549"/>
    <w:rsid w:val="006903A3"/>
    <w:rsid w:val="00690889"/>
    <w:rsid w:val="00693450"/>
    <w:rsid w:val="00693A9C"/>
    <w:rsid w:val="006944C1"/>
    <w:rsid w:val="006944E4"/>
    <w:rsid w:val="00694737"/>
    <w:rsid w:val="0069537B"/>
    <w:rsid w:val="00695B72"/>
    <w:rsid w:val="006967F6"/>
    <w:rsid w:val="006A0507"/>
    <w:rsid w:val="006A06E3"/>
    <w:rsid w:val="006A15BC"/>
    <w:rsid w:val="006A26A6"/>
    <w:rsid w:val="006A3491"/>
    <w:rsid w:val="006A3A91"/>
    <w:rsid w:val="006A3BF8"/>
    <w:rsid w:val="006A5554"/>
    <w:rsid w:val="006A57BB"/>
    <w:rsid w:val="006A5A22"/>
    <w:rsid w:val="006A5E31"/>
    <w:rsid w:val="006A630F"/>
    <w:rsid w:val="006A691E"/>
    <w:rsid w:val="006A6A44"/>
    <w:rsid w:val="006A78A0"/>
    <w:rsid w:val="006A7937"/>
    <w:rsid w:val="006A7B36"/>
    <w:rsid w:val="006A7EBE"/>
    <w:rsid w:val="006B06E9"/>
    <w:rsid w:val="006B0944"/>
    <w:rsid w:val="006B0C4A"/>
    <w:rsid w:val="006B0DA8"/>
    <w:rsid w:val="006B112A"/>
    <w:rsid w:val="006B11E1"/>
    <w:rsid w:val="006B16FE"/>
    <w:rsid w:val="006B193A"/>
    <w:rsid w:val="006B1B5C"/>
    <w:rsid w:val="006B2430"/>
    <w:rsid w:val="006B2DDB"/>
    <w:rsid w:val="006B34E3"/>
    <w:rsid w:val="006B3E60"/>
    <w:rsid w:val="006B40CB"/>
    <w:rsid w:val="006B45EA"/>
    <w:rsid w:val="006B4885"/>
    <w:rsid w:val="006B5CCD"/>
    <w:rsid w:val="006B6D2E"/>
    <w:rsid w:val="006C09B6"/>
    <w:rsid w:val="006C0FBE"/>
    <w:rsid w:val="006C344D"/>
    <w:rsid w:val="006C3578"/>
    <w:rsid w:val="006C35A1"/>
    <w:rsid w:val="006C39C7"/>
    <w:rsid w:val="006C4177"/>
    <w:rsid w:val="006C4D33"/>
    <w:rsid w:val="006C545F"/>
    <w:rsid w:val="006C5F2C"/>
    <w:rsid w:val="006C65C9"/>
    <w:rsid w:val="006C7130"/>
    <w:rsid w:val="006C737E"/>
    <w:rsid w:val="006D04A7"/>
    <w:rsid w:val="006D08A6"/>
    <w:rsid w:val="006D0B17"/>
    <w:rsid w:val="006D144A"/>
    <w:rsid w:val="006D1FBB"/>
    <w:rsid w:val="006D24EA"/>
    <w:rsid w:val="006D2CA5"/>
    <w:rsid w:val="006D39D1"/>
    <w:rsid w:val="006D3C84"/>
    <w:rsid w:val="006D548E"/>
    <w:rsid w:val="006D5BF7"/>
    <w:rsid w:val="006D6151"/>
    <w:rsid w:val="006D6547"/>
    <w:rsid w:val="006D6873"/>
    <w:rsid w:val="006D7E65"/>
    <w:rsid w:val="006E02F1"/>
    <w:rsid w:val="006E0701"/>
    <w:rsid w:val="006E115B"/>
    <w:rsid w:val="006E1195"/>
    <w:rsid w:val="006E1FAB"/>
    <w:rsid w:val="006E371D"/>
    <w:rsid w:val="006E3D0B"/>
    <w:rsid w:val="006E5743"/>
    <w:rsid w:val="006E5A68"/>
    <w:rsid w:val="006E678B"/>
    <w:rsid w:val="006E6B4A"/>
    <w:rsid w:val="006E6C68"/>
    <w:rsid w:val="006F1CC3"/>
    <w:rsid w:val="006F3553"/>
    <w:rsid w:val="006F3897"/>
    <w:rsid w:val="006F4803"/>
    <w:rsid w:val="006F4B7B"/>
    <w:rsid w:val="006F5887"/>
    <w:rsid w:val="006F5FA9"/>
    <w:rsid w:val="006F62FF"/>
    <w:rsid w:val="006F6E48"/>
    <w:rsid w:val="006F72D1"/>
    <w:rsid w:val="006F7C37"/>
    <w:rsid w:val="007000B0"/>
    <w:rsid w:val="00700B85"/>
    <w:rsid w:val="00700D0D"/>
    <w:rsid w:val="00700FE5"/>
    <w:rsid w:val="00702201"/>
    <w:rsid w:val="00702B6F"/>
    <w:rsid w:val="00703E4F"/>
    <w:rsid w:val="0070540B"/>
    <w:rsid w:val="0070683F"/>
    <w:rsid w:val="00706F43"/>
    <w:rsid w:val="00707A81"/>
    <w:rsid w:val="00707EA0"/>
    <w:rsid w:val="00710DB9"/>
    <w:rsid w:val="007117B2"/>
    <w:rsid w:val="007123DB"/>
    <w:rsid w:val="00712467"/>
    <w:rsid w:val="0071378E"/>
    <w:rsid w:val="007144DC"/>
    <w:rsid w:val="00716101"/>
    <w:rsid w:val="00716BE4"/>
    <w:rsid w:val="007218CA"/>
    <w:rsid w:val="00721F21"/>
    <w:rsid w:val="00724672"/>
    <w:rsid w:val="00725017"/>
    <w:rsid w:val="007252BC"/>
    <w:rsid w:val="00725521"/>
    <w:rsid w:val="007300C8"/>
    <w:rsid w:val="00731D11"/>
    <w:rsid w:val="00732C21"/>
    <w:rsid w:val="0073364A"/>
    <w:rsid w:val="00734264"/>
    <w:rsid w:val="00734756"/>
    <w:rsid w:val="00734B7B"/>
    <w:rsid w:val="00735672"/>
    <w:rsid w:val="00735794"/>
    <w:rsid w:val="00735852"/>
    <w:rsid w:val="00735A1D"/>
    <w:rsid w:val="00735FEB"/>
    <w:rsid w:val="007364D2"/>
    <w:rsid w:val="007366D2"/>
    <w:rsid w:val="00736CEE"/>
    <w:rsid w:val="00737D73"/>
    <w:rsid w:val="007410FD"/>
    <w:rsid w:val="00742F72"/>
    <w:rsid w:val="00746F9E"/>
    <w:rsid w:val="00747CC8"/>
    <w:rsid w:val="00747F10"/>
    <w:rsid w:val="007504E8"/>
    <w:rsid w:val="00750B88"/>
    <w:rsid w:val="00751B19"/>
    <w:rsid w:val="00751B5E"/>
    <w:rsid w:val="0075391C"/>
    <w:rsid w:val="007539C1"/>
    <w:rsid w:val="00753EBA"/>
    <w:rsid w:val="0075472B"/>
    <w:rsid w:val="00754A01"/>
    <w:rsid w:val="00756532"/>
    <w:rsid w:val="007573AF"/>
    <w:rsid w:val="007616BC"/>
    <w:rsid w:val="007632E0"/>
    <w:rsid w:val="00763E5E"/>
    <w:rsid w:val="0076400A"/>
    <w:rsid w:val="007662EC"/>
    <w:rsid w:val="00766C4A"/>
    <w:rsid w:val="00767AF5"/>
    <w:rsid w:val="00767B50"/>
    <w:rsid w:val="00771173"/>
    <w:rsid w:val="007713DC"/>
    <w:rsid w:val="0077327A"/>
    <w:rsid w:val="0077352B"/>
    <w:rsid w:val="007748C4"/>
    <w:rsid w:val="00775A82"/>
    <w:rsid w:val="00777256"/>
    <w:rsid w:val="00777BE7"/>
    <w:rsid w:val="007801E4"/>
    <w:rsid w:val="00780488"/>
    <w:rsid w:val="007808DA"/>
    <w:rsid w:val="00781F7D"/>
    <w:rsid w:val="00782511"/>
    <w:rsid w:val="00782FA2"/>
    <w:rsid w:val="007845C3"/>
    <w:rsid w:val="00784A3E"/>
    <w:rsid w:val="00785C8D"/>
    <w:rsid w:val="0078731F"/>
    <w:rsid w:val="007877EA"/>
    <w:rsid w:val="00787AC8"/>
    <w:rsid w:val="00791201"/>
    <w:rsid w:val="007914B9"/>
    <w:rsid w:val="00791A48"/>
    <w:rsid w:val="00791CB4"/>
    <w:rsid w:val="0079304B"/>
    <w:rsid w:val="0079341D"/>
    <w:rsid w:val="00795799"/>
    <w:rsid w:val="00795DA3"/>
    <w:rsid w:val="00795FF5"/>
    <w:rsid w:val="007972E4"/>
    <w:rsid w:val="0079797B"/>
    <w:rsid w:val="00797E4A"/>
    <w:rsid w:val="007A0ABC"/>
    <w:rsid w:val="007A2136"/>
    <w:rsid w:val="007A2DE1"/>
    <w:rsid w:val="007A46B6"/>
    <w:rsid w:val="007A4A9B"/>
    <w:rsid w:val="007A50E2"/>
    <w:rsid w:val="007A54FC"/>
    <w:rsid w:val="007A5610"/>
    <w:rsid w:val="007A6A9D"/>
    <w:rsid w:val="007A6AEE"/>
    <w:rsid w:val="007A6C87"/>
    <w:rsid w:val="007A6E30"/>
    <w:rsid w:val="007A75DF"/>
    <w:rsid w:val="007B05DE"/>
    <w:rsid w:val="007B069F"/>
    <w:rsid w:val="007B1C2E"/>
    <w:rsid w:val="007B20D9"/>
    <w:rsid w:val="007B4C12"/>
    <w:rsid w:val="007B5014"/>
    <w:rsid w:val="007B66D2"/>
    <w:rsid w:val="007B707B"/>
    <w:rsid w:val="007C0EA0"/>
    <w:rsid w:val="007C3195"/>
    <w:rsid w:val="007C414E"/>
    <w:rsid w:val="007C4AC0"/>
    <w:rsid w:val="007C4F7A"/>
    <w:rsid w:val="007C55E6"/>
    <w:rsid w:val="007C638D"/>
    <w:rsid w:val="007C6E11"/>
    <w:rsid w:val="007C70F1"/>
    <w:rsid w:val="007C7410"/>
    <w:rsid w:val="007C7B70"/>
    <w:rsid w:val="007D1B81"/>
    <w:rsid w:val="007D1C6A"/>
    <w:rsid w:val="007D22D4"/>
    <w:rsid w:val="007D231D"/>
    <w:rsid w:val="007D33EE"/>
    <w:rsid w:val="007D4285"/>
    <w:rsid w:val="007D49CB"/>
    <w:rsid w:val="007D4DAA"/>
    <w:rsid w:val="007D504A"/>
    <w:rsid w:val="007D53FF"/>
    <w:rsid w:val="007D545B"/>
    <w:rsid w:val="007D54AD"/>
    <w:rsid w:val="007D6E6F"/>
    <w:rsid w:val="007E185F"/>
    <w:rsid w:val="007E1B89"/>
    <w:rsid w:val="007E29F4"/>
    <w:rsid w:val="007E343E"/>
    <w:rsid w:val="007E347F"/>
    <w:rsid w:val="007E36AC"/>
    <w:rsid w:val="007E3F07"/>
    <w:rsid w:val="007E4B7C"/>
    <w:rsid w:val="007E50F2"/>
    <w:rsid w:val="007E5951"/>
    <w:rsid w:val="007E64D8"/>
    <w:rsid w:val="007E7225"/>
    <w:rsid w:val="007F253E"/>
    <w:rsid w:val="007F4694"/>
    <w:rsid w:val="007F68E3"/>
    <w:rsid w:val="0080053D"/>
    <w:rsid w:val="00801B0F"/>
    <w:rsid w:val="00802E3B"/>
    <w:rsid w:val="00803187"/>
    <w:rsid w:val="0080565C"/>
    <w:rsid w:val="00805A7A"/>
    <w:rsid w:val="00806D6B"/>
    <w:rsid w:val="008075D5"/>
    <w:rsid w:val="00807679"/>
    <w:rsid w:val="008077AB"/>
    <w:rsid w:val="00807EC4"/>
    <w:rsid w:val="008120F1"/>
    <w:rsid w:val="008125F2"/>
    <w:rsid w:val="00812829"/>
    <w:rsid w:val="00813081"/>
    <w:rsid w:val="008130F8"/>
    <w:rsid w:val="0081426E"/>
    <w:rsid w:val="00815506"/>
    <w:rsid w:val="00817513"/>
    <w:rsid w:val="00817F26"/>
    <w:rsid w:val="00817F91"/>
    <w:rsid w:val="00820036"/>
    <w:rsid w:val="00821683"/>
    <w:rsid w:val="00821E56"/>
    <w:rsid w:val="0082258C"/>
    <w:rsid w:val="00825261"/>
    <w:rsid w:val="00825B86"/>
    <w:rsid w:val="00825FA2"/>
    <w:rsid w:val="0083040D"/>
    <w:rsid w:val="008310DF"/>
    <w:rsid w:val="0083259A"/>
    <w:rsid w:val="00833319"/>
    <w:rsid w:val="0083432C"/>
    <w:rsid w:val="0083650B"/>
    <w:rsid w:val="00836B0C"/>
    <w:rsid w:val="00837299"/>
    <w:rsid w:val="0083729C"/>
    <w:rsid w:val="00837C09"/>
    <w:rsid w:val="00840C76"/>
    <w:rsid w:val="008436AB"/>
    <w:rsid w:val="008445EA"/>
    <w:rsid w:val="0084485D"/>
    <w:rsid w:val="00844A2E"/>
    <w:rsid w:val="00845EA9"/>
    <w:rsid w:val="008465E7"/>
    <w:rsid w:val="00846C4B"/>
    <w:rsid w:val="00846D4C"/>
    <w:rsid w:val="00847189"/>
    <w:rsid w:val="008474E1"/>
    <w:rsid w:val="00847ADA"/>
    <w:rsid w:val="00852292"/>
    <w:rsid w:val="00856AE7"/>
    <w:rsid w:val="00856F33"/>
    <w:rsid w:val="008574EB"/>
    <w:rsid w:val="0085755C"/>
    <w:rsid w:val="008609EB"/>
    <w:rsid w:val="008613C5"/>
    <w:rsid w:val="0086166D"/>
    <w:rsid w:val="00861F24"/>
    <w:rsid w:val="00862BCC"/>
    <w:rsid w:val="00864917"/>
    <w:rsid w:val="008654F6"/>
    <w:rsid w:val="00865878"/>
    <w:rsid w:val="00865885"/>
    <w:rsid w:val="00865A15"/>
    <w:rsid w:val="00865E9B"/>
    <w:rsid w:val="0087167B"/>
    <w:rsid w:val="00871935"/>
    <w:rsid w:val="00871B79"/>
    <w:rsid w:val="00871D49"/>
    <w:rsid w:val="00872762"/>
    <w:rsid w:val="00873007"/>
    <w:rsid w:val="00873FC2"/>
    <w:rsid w:val="008745E7"/>
    <w:rsid w:val="008747A9"/>
    <w:rsid w:val="00874D6E"/>
    <w:rsid w:val="00880459"/>
    <w:rsid w:val="008823A0"/>
    <w:rsid w:val="00882E86"/>
    <w:rsid w:val="00883026"/>
    <w:rsid w:val="008831C6"/>
    <w:rsid w:val="00883F51"/>
    <w:rsid w:val="008846B0"/>
    <w:rsid w:val="008847E7"/>
    <w:rsid w:val="008857CF"/>
    <w:rsid w:val="00885A7F"/>
    <w:rsid w:val="0088615F"/>
    <w:rsid w:val="00886B06"/>
    <w:rsid w:val="0089271C"/>
    <w:rsid w:val="00893337"/>
    <w:rsid w:val="0089343B"/>
    <w:rsid w:val="008934C2"/>
    <w:rsid w:val="00893BF7"/>
    <w:rsid w:val="00894F79"/>
    <w:rsid w:val="0089566E"/>
    <w:rsid w:val="00895CC8"/>
    <w:rsid w:val="00895D2C"/>
    <w:rsid w:val="00895F61"/>
    <w:rsid w:val="0089709C"/>
    <w:rsid w:val="00897F09"/>
    <w:rsid w:val="008A2230"/>
    <w:rsid w:val="008A2235"/>
    <w:rsid w:val="008A2A95"/>
    <w:rsid w:val="008A2C39"/>
    <w:rsid w:val="008A3230"/>
    <w:rsid w:val="008A40DB"/>
    <w:rsid w:val="008A43D4"/>
    <w:rsid w:val="008A5FCF"/>
    <w:rsid w:val="008A781F"/>
    <w:rsid w:val="008B0463"/>
    <w:rsid w:val="008B05C5"/>
    <w:rsid w:val="008B0CBD"/>
    <w:rsid w:val="008B12FC"/>
    <w:rsid w:val="008B1336"/>
    <w:rsid w:val="008B2D42"/>
    <w:rsid w:val="008B2F69"/>
    <w:rsid w:val="008B42F5"/>
    <w:rsid w:val="008B496A"/>
    <w:rsid w:val="008B4FDE"/>
    <w:rsid w:val="008B50E8"/>
    <w:rsid w:val="008B5BA3"/>
    <w:rsid w:val="008B5EC2"/>
    <w:rsid w:val="008B65A2"/>
    <w:rsid w:val="008B68BA"/>
    <w:rsid w:val="008B6D3C"/>
    <w:rsid w:val="008B6D63"/>
    <w:rsid w:val="008B73B9"/>
    <w:rsid w:val="008C111D"/>
    <w:rsid w:val="008C1170"/>
    <w:rsid w:val="008C144F"/>
    <w:rsid w:val="008C4256"/>
    <w:rsid w:val="008C4439"/>
    <w:rsid w:val="008C4932"/>
    <w:rsid w:val="008C5254"/>
    <w:rsid w:val="008C5318"/>
    <w:rsid w:val="008C5858"/>
    <w:rsid w:val="008C590D"/>
    <w:rsid w:val="008C5AA6"/>
    <w:rsid w:val="008C5D43"/>
    <w:rsid w:val="008C761C"/>
    <w:rsid w:val="008D01E6"/>
    <w:rsid w:val="008D04D2"/>
    <w:rsid w:val="008D2DFF"/>
    <w:rsid w:val="008D395E"/>
    <w:rsid w:val="008D3FD6"/>
    <w:rsid w:val="008D41A4"/>
    <w:rsid w:val="008D4266"/>
    <w:rsid w:val="008D495D"/>
    <w:rsid w:val="008D4DC4"/>
    <w:rsid w:val="008D50F8"/>
    <w:rsid w:val="008D67E1"/>
    <w:rsid w:val="008D6ECD"/>
    <w:rsid w:val="008D7578"/>
    <w:rsid w:val="008D791B"/>
    <w:rsid w:val="008E04B7"/>
    <w:rsid w:val="008E08F5"/>
    <w:rsid w:val="008E0AF5"/>
    <w:rsid w:val="008E234D"/>
    <w:rsid w:val="008E2357"/>
    <w:rsid w:val="008E2FC2"/>
    <w:rsid w:val="008E4F44"/>
    <w:rsid w:val="008E5F3E"/>
    <w:rsid w:val="008E6483"/>
    <w:rsid w:val="008E65F3"/>
    <w:rsid w:val="008E77B8"/>
    <w:rsid w:val="008F0B51"/>
    <w:rsid w:val="008F1017"/>
    <w:rsid w:val="008F13C3"/>
    <w:rsid w:val="008F1597"/>
    <w:rsid w:val="008F30CD"/>
    <w:rsid w:val="008F471A"/>
    <w:rsid w:val="008F4BE2"/>
    <w:rsid w:val="008F4C41"/>
    <w:rsid w:val="008F4E53"/>
    <w:rsid w:val="008F5DF7"/>
    <w:rsid w:val="00900EE3"/>
    <w:rsid w:val="00903119"/>
    <w:rsid w:val="009034F4"/>
    <w:rsid w:val="00904932"/>
    <w:rsid w:val="00904D8E"/>
    <w:rsid w:val="0090534F"/>
    <w:rsid w:val="0090687C"/>
    <w:rsid w:val="009079EB"/>
    <w:rsid w:val="00907C31"/>
    <w:rsid w:val="00910013"/>
    <w:rsid w:val="00910D2F"/>
    <w:rsid w:val="00911970"/>
    <w:rsid w:val="00911A13"/>
    <w:rsid w:val="00911E01"/>
    <w:rsid w:val="009122C2"/>
    <w:rsid w:val="009124AA"/>
    <w:rsid w:val="0091333A"/>
    <w:rsid w:val="0091545B"/>
    <w:rsid w:val="00915A76"/>
    <w:rsid w:val="00915C39"/>
    <w:rsid w:val="00916492"/>
    <w:rsid w:val="00917D39"/>
    <w:rsid w:val="00921293"/>
    <w:rsid w:val="009221C0"/>
    <w:rsid w:val="00922741"/>
    <w:rsid w:val="00922A2B"/>
    <w:rsid w:val="00923394"/>
    <w:rsid w:val="00925D48"/>
    <w:rsid w:val="00926027"/>
    <w:rsid w:val="009268C4"/>
    <w:rsid w:val="00926D0B"/>
    <w:rsid w:val="009274D8"/>
    <w:rsid w:val="00930A70"/>
    <w:rsid w:val="00930FCB"/>
    <w:rsid w:val="00932683"/>
    <w:rsid w:val="00933252"/>
    <w:rsid w:val="00933855"/>
    <w:rsid w:val="0093426E"/>
    <w:rsid w:val="009343CB"/>
    <w:rsid w:val="00934E28"/>
    <w:rsid w:val="00935AAB"/>
    <w:rsid w:val="00935B49"/>
    <w:rsid w:val="00935F99"/>
    <w:rsid w:val="0094083F"/>
    <w:rsid w:val="009409BC"/>
    <w:rsid w:val="009409CA"/>
    <w:rsid w:val="009411EC"/>
    <w:rsid w:val="00943A60"/>
    <w:rsid w:val="00945410"/>
    <w:rsid w:val="009456FC"/>
    <w:rsid w:val="00945B60"/>
    <w:rsid w:val="00946381"/>
    <w:rsid w:val="00947FA7"/>
    <w:rsid w:val="0095057A"/>
    <w:rsid w:val="009519CD"/>
    <w:rsid w:val="00951AD7"/>
    <w:rsid w:val="009527BE"/>
    <w:rsid w:val="00953688"/>
    <w:rsid w:val="00953C52"/>
    <w:rsid w:val="00954B6A"/>
    <w:rsid w:val="00955AF5"/>
    <w:rsid w:val="009562AB"/>
    <w:rsid w:val="00956309"/>
    <w:rsid w:val="00956569"/>
    <w:rsid w:val="00957CBA"/>
    <w:rsid w:val="009606AB"/>
    <w:rsid w:val="00960752"/>
    <w:rsid w:val="00961F1D"/>
    <w:rsid w:val="00962551"/>
    <w:rsid w:val="009641D5"/>
    <w:rsid w:val="009648FC"/>
    <w:rsid w:val="00964D37"/>
    <w:rsid w:val="009651B3"/>
    <w:rsid w:val="009658D0"/>
    <w:rsid w:val="00965A77"/>
    <w:rsid w:val="0097053F"/>
    <w:rsid w:val="00970FF7"/>
    <w:rsid w:val="0097141F"/>
    <w:rsid w:val="009728B4"/>
    <w:rsid w:val="00972AA8"/>
    <w:rsid w:val="00972E56"/>
    <w:rsid w:val="00972E87"/>
    <w:rsid w:val="0097745E"/>
    <w:rsid w:val="00977A76"/>
    <w:rsid w:val="00981E27"/>
    <w:rsid w:val="0098218A"/>
    <w:rsid w:val="00985CEE"/>
    <w:rsid w:val="00985F50"/>
    <w:rsid w:val="009869A5"/>
    <w:rsid w:val="00987C17"/>
    <w:rsid w:val="009904F5"/>
    <w:rsid w:val="009921B9"/>
    <w:rsid w:val="0099559E"/>
    <w:rsid w:val="00995797"/>
    <w:rsid w:val="00995DE3"/>
    <w:rsid w:val="009A08FE"/>
    <w:rsid w:val="009A0B51"/>
    <w:rsid w:val="009A1681"/>
    <w:rsid w:val="009A2C7F"/>
    <w:rsid w:val="009A3AF9"/>
    <w:rsid w:val="009A594A"/>
    <w:rsid w:val="009A62DB"/>
    <w:rsid w:val="009A632D"/>
    <w:rsid w:val="009B11ED"/>
    <w:rsid w:val="009B25DA"/>
    <w:rsid w:val="009B2BDF"/>
    <w:rsid w:val="009B2FA2"/>
    <w:rsid w:val="009B30C5"/>
    <w:rsid w:val="009B5C53"/>
    <w:rsid w:val="009B6448"/>
    <w:rsid w:val="009C0778"/>
    <w:rsid w:val="009C0AAA"/>
    <w:rsid w:val="009C2A25"/>
    <w:rsid w:val="009C3795"/>
    <w:rsid w:val="009C447E"/>
    <w:rsid w:val="009C4E63"/>
    <w:rsid w:val="009C65A1"/>
    <w:rsid w:val="009C6A8E"/>
    <w:rsid w:val="009C7BDD"/>
    <w:rsid w:val="009D02C7"/>
    <w:rsid w:val="009D0522"/>
    <w:rsid w:val="009D1C7B"/>
    <w:rsid w:val="009D3711"/>
    <w:rsid w:val="009D41DF"/>
    <w:rsid w:val="009D46A7"/>
    <w:rsid w:val="009D4946"/>
    <w:rsid w:val="009D51A7"/>
    <w:rsid w:val="009D57B2"/>
    <w:rsid w:val="009D7025"/>
    <w:rsid w:val="009D7429"/>
    <w:rsid w:val="009D791D"/>
    <w:rsid w:val="009E06AF"/>
    <w:rsid w:val="009E0BCA"/>
    <w:rsid w:val="009E191A"/>
    <w:rsid w:val="009E2AEB"/>
    <w:rsid w:val="009E3243"/>
    <w:rsid w:val="009E45CE"/>
    <w:rsid w:val="009E4CDD"/>
    <w:rsid w:val="009E68F9"/>
    <w:rsid w:val="009E6CDB"/>
    <w:rsid w:val="009E773F"/>
    <w:rsid w:val="009E7A69"/>
    <w:rsid w:val="009F0F6A"/>
    <w:rsid w:val="009F1139"/>
    <w:rsid w:val="009F4C91"/>
    <w:rsid w:val="009F5389"/>
    <w:rsid w:val="009F6476"/>
    <w:rsid w:val="009F664E"/>
    <w:rsid w:val="009F67E3"/>
    <w:rsid w:val="009F6F85"/>
    <w:rsid w:val="009F7425"/>
    <w:rsid w:val="009F7FF1"/>
    <w:rsid w:val="00A00859"/>
    <w:rsid w:val="00A00A69"/>
    <w:rsid w:val="00A03AF5"/>
    <w:rsid w:val="00A03E99"/>
    <w:rsid w:val="00A045B2"/>
    <w:rsid w:val="00A06551"/>
    <w:rsid w:val="00A10B01"/>
    <w:rsid w:val="00A11718"/>
    <w:rsid w:val="00A11895"/>
    <w:rsid w:val="00A13361"/>
    <w:rsid w:val="00A1398F"/>
    <w:rsid w:val="00A15B19"/>
    <w:rsid w:val="00A16698"/>
    <w:rsid w:val="00A1705E"/>
    <w:rsid w:val="00A172F5"/>
    <w:rsid w:val="00A17B28"/>
    <w:rsid w:val="00A17FC8"/>
    <w:rsid w:val="00A2432E"/>
    <w:rsid w:val="00A2469C"/>
    <w:rsid w:val="00A24BC9"/>
    <w:rsid w:val="00A2580F"/>
    <w:rsid w:val="00A259BE"/>
    <w:rsid w:val="00A263AC"/>
    <w:rsid w:val="00A26516"/>
    <w:rsid w:val="00A267E0"/>
    <w:rsid w:val="00A315D1"/>
    <w:rsid w:val="00A32082"/>
    <w:rsid w:val="00A320D9"/>
    <w:rsid w:val="00A32340"/>
    <w:rsid w:val="00A33A69"/>
    <w:rsid w:val="00A34187"/>
    <w:rsid w:val="00A343AD"/>
    <w:rsid w:val="00A3477A"/>
    <w:rsid w:val="00A352E8"/>
    <w:rsid w:val="00A35D91"/>
    <w:rsid w:val="00A3677B"/>
    <w:rsid w:val="00A41F91"/>
    <w:rsid w:val="00A42103"/>
    <w:rsid w:val="00A43313"/>
    <w:rsid w:val="00A4356F"/>
    <w:rsid w:val="00A43FAA"/>
    <w:rsid w:val="00A458A1"/>
    <w:rsid w:val="00A45A7C"/>
    <w:rsid w:val="00A469F2"/>
    <w:rsid w:val="00A47512"/>
    <w:rsid w:val="00A47824"/>
    <w:rsid w:val="00A47B9E"/>
    <w:rsid w:val="00A50CD3"/>
    <w:rsid w:val="00A514D1"/>
    <w:rsid w:val="00A51997"/>
    <w:rsid w:val="00A51A04"/>
    <w:rsid w:val="00A52C4C"/>
    <w:rsid w:val="00A5480A"/>
    <w:rsid w:val="00A5504E"/>
    <w:rsid w:val="00A55E77"/>
    <w:rsid w:val="00A564E9"/>
    <w:rsid w:val="00A567DB"/>
    <w:rsid w:val="00A619FE"/>
    <w:rsid w:val="00A629D8"/>
    <w:rsid w:val="00A646FD"/>
    <w:rsid w:val="00A650D8"/>
    <w:rsid w:val="00A66B01"/>
    <w:rsid w:val="00A708F0"/>
    <w:rsid w:val="00A7177A"/>
    <w:rsid w:val="00A717B2"/>
    <w:rsid w:val="00A720CE"/>
    <w:rsid w:val="00A728F3"/>
    <w:rsid w:val="00A72C86"/>
    <w:rsid w:val="00A74351"/>
    <w:rsid w:val="00A7441C"/>
    <w:rsid w:val="00A7489E"/>
    <w:rsid w:val="00A74D10"/>
    <w:rsid w:val="00A75E2E"/>
    <w:rsid w:val="00A76E7C"/>
    <w:rsid w:val="00A81A36"/>
    <w:rsid w:val="00A8207C"/>
    <w:rsid w:val="00A82272"/>
    <w:rsid w:val="00A82D30"/>
    <w:rsid w:val="00A84E2C"/>
    <w:rsid w:val="00A85DBF"/>
    <w:rsid w:val="00A86D82"/>
    <w:rsid w:val="00A87EAF"/>
    <w:rsid w:val="00A87FB1"/>
    <w:rsid w:val="00A91BC7"/>
    <w:rsid w:val="00A92D9A"/>
    <w:rsid w:val="00A93C0B"/>
    <w:rsid w:val="00A94625"/>
    <w:rsid w:val="00A9505F"/>
    <w:rsid w:val="00A95C77"/>
    <w:rsid w:val="00A96004"/>
    <w:rsid w:val="00A96619"/>
    <w:rsid w:val="00A97B55"/>
    <w:rsid w:val="00AA005A"/>
    <w:rsid w:val="00AA0107"/>
    <w:rsid w:val="00AA07D0"/>
    <w:rsid w:val="00AA0EA7"/>
    <w:rsid w:val="00AA2818"/>
    <w:rsid w:val="00AA2998"/>
    <w:rsid w:val="00AA306E"/>
    <w:rsid w:val="00AA32BB"/>
    <w:rsid w:val="00AA5DE3"/>
    <w:rsid w:val="00AA7EAF"/>
    <w:rsid w:val="00AB00A5"/>
    <w:rsid w:val="00AB1FCF"/>
    <w:rsid w:val="00AB2696"/>
    <w:rsid w:val="00AB344E"/>
    <w:rsid w:val="00AB37E2"/>
    <w:rsid w:val="00AB5AAA"/>
    <w:rsid w:val="00AB600C"/>
    <w:rsid w:val="00AB6F5D"/>
    <w:rsid w:val="00AB7278"/>
    <w:rsid w:val="00AB7294"/>
    <w:rsid w:val="00AB76B2"/>
    <w:rsid w:val="00AB7B41"/>
    <w:rsid w:val="00AC0D26"/>
    <w:rsid w:val="00AC23EE"/>
    <w:rsid w:val="00AC332E"/>
    <w:rsid w:val="00AC3EF5"/>
    <w:rsid w:val="00AC49A7"/>
    <w:rsid w:val="00AC66D0"/>
    <w:rsid w:val="00AC6DDE"/>
    <w:rsid w:val="00AC7ABE"/>
    <w:rsid w:val="00AD02CE"/>
    <w:rsid w:val="00AD0372"/>
    <w:rsid w:val="00AD152E"/>
    <w:rsid w:val="00AD23DB"/>
    <w:rsid w:val="00AD2CAF"/>
    <w:rsid w:val="00AD5199"/>
    <w:rsid w:val="00AD5A19"/>
    <w:rsid w:val="00AD7659"/>
    <w:rsid w:val="00AD76C8"/>
    <w:rsid w:val="00AE01B2"/>
    <w:rsid w:val="00AE2676"/>
    <w:rsid w:val="00AE3F26"/>
    <w:rsid w:val="00AE6A70"/>
    <w:rsid w:val="00AE6BAE"/>
    <w:rsid w:val="00AE7037"/>
    <w:rsid w:val="00AE788E"/>
    <w:rsid w:val="00AF29CD"/>
    <w:rsid w:val="00AF38E9"/>
    <w:rsid w:val="00AF4648"/>
    <w:rsid w:val="00AF4A5B"/>
    <w:rsid w:val="00AF4B6B"/>
    <w:rsid w:val="00AF4F89"/>
    <w:rsid w:val="00AF52A3"/>
    <w:rsid w:val="00AF5D01"/>
    <w:rsid w:val="00AF6C3E"/>
    <w:rsid w:val="00AF7548"/>
    <w:rsid w:val="00AF7EDC"/>
    <w:rsid w:val="00B00F00"/>
    <w:rsid w:val="00B0134C"/>
    <w:rsid w:val="00B022C0"/>
    <w:rsid w:val="00B03B4A"/>
    <w:rsid w:val="00B0421C"/>
    <w:rsid w:val="00B0465D"/>
    <w:rsid w:val="00B055E1"/>
    <w:rsid w:val="00B05692"/>
    <w:rsid w:val="00B106C2"/>
    <w:rsid w:val="00B1229B"/>
    <w:rsid w:val="00B12A0D"/>
    <w:rsid w:val="00B13D1D"/>
    <w:rsid w:val="00B13D61"/>
    <w:rsid w:val="00B14AA6"/>
    <w:rsid w:val="00B14E2C"/>
    <w:rsid w:val="00B15727"/>
    <w:rsid w:val="00B15C73"/>
    <w:rsid w:val="00B20471"/>
    <w:rsid w:val="00B20848"/>
    <w:rsid w:val="00B21675"/>
    <w:rsid w:val="00B21975"/>
    <w:rsid w:val="00B2234A"/>
    <w:rsid w:val="00B22AD7"/>
    <w:rsid w:val="00B233FE"/>
    <w:rsid w:val="00B24998"/>
    <w:rsid w:val="00B24AC2"/>
    <w:rsid w:val="00B25AC7"/>
    <w:rsid w:val="00B26183"/>
    <w:rsid w:val="00B26967"/>
    <w:rsid w:val="00B26C8F"/>
    <w:rsid w:val="00B3044B"/>
    <w:rsid w:val="00B315F0"/>
    <w:rsid w:val="00B32F0B"/>
    <w:rsid w:val="00B336B3"/>
    <w:rsid w:val="00B34DF6"/>
    <w:rsid w:val="00B3542E"/>
    <w:rsid w:val="00B3551F"/>
    <w:rsid w:val="00B35C8D"/>
    <w:rsid w:val="00B371BD"/>
    <w:rsid w:val="00B404E1"/>
    <w:rsid w:val="00B41F91"/>
    <w:rsid w:val="00B42083"/>
    <w:rsid w:val="00B45928"/>
    <w:rsid w:val="00B47708"/>
    <w:rsid w:val="00B47DCA"/>
    <w:rsid w:val="00B52420"/>
    <w:rsid w:val="00B53017"/>
    <w:rsid w:val="00B53150"/>
    <w:rsid w:val="00B54B19"/>
    <w:rsid w:val="00B56600"/>
    <w:rsid w:val="00B56718"/>
    <w:rsid w:val="00B60004"/>
    <w:rsid w:val="00B60C0D"/>
    <w:rsid w:val="00B6100B"/>
    <w:rsid w:val="00B61272"/>
    <w:rsid w:val="00B614AF"/>
    <w:rsid w:val="00B61EFB"/>
    <w:rsid w:val="00B61F8D"/>
    <w:rsid w:val="00B62184"/>
    <w:rsid w:val="00B6267E"/>
    <w:rsid w:val="00B62D18"/>
    <w:rsid w:val="00B63EF8"/>
    <w:rsid w:val="00B6507F"/>
    <w:rsid w:val="00B66021"/>
    <w:rsid w:val="00B662E3"/>
    <w:rsid w:val="00B665BE"/>
    <w:rsid w:val="00B665C1"/>
    <w:rsid w:val="00B66D77"/>
    <w:rsid w:val="00B66F7B"/>
    <w:rsid w:val="00B67C8E"/>
    <w:rsid w:val="00B708EE"/>
    <w:rsid w:val="00B70CC5"/>
    <w:rsid w:val="00B71D8F"/>
    <w:rsid w:val="00B729C9"/>
    <w:rsid w:val="00B73281"/>
    <w:rsid w:val="00B739A8"/>
    <w:rsid w:val="00B74B80"/>
    <w:rsid w:val="00B77245"/>
    <w:rsid w:val="00B80026"/>
    <w:rsid w:val="00B80477"/>
    <w:rsid w:val="00B808BC"/>
    <w:rsid w:val="00B80E4F"/>
    <w:rsid w:val="00B810F6"/>
    <w:rsid w:val="00B82054"/>
    <w:rsid w:val="00B82987"/>
    <w:rsid w:val="00B833BB"/>
    <w:rsid w:val="00B84E90"/>
    <w:rsid w:val="00B8562A"/>
    <w:rsid w:val="00B872E2"/>
    <w:rsid w:val="00B87AEB"/>
    <w:rsid w:val="00B91AC7"/>
    <w:rsid w:val="00B93E0C"/>
    <w:rsid w:val="00B93F5B"/>
    <w:rsid w:val="00B94133"/>
    <w:rsid w:val="00B9450C"/>
    <w:rsid w:val="00B9508D"/>
    <w:rsid w:val="00B95673"/>
    <w:rsid w:val="00B9686C"/>
    <w:rsid w:val="00B97104"/>
    <w:rsid w:val="00B9745D"/>
    <w:rsid w:val="00B97D7A"/>
    <w:rsid w:val="00BA02A0"/>
    <w:rsid w:val="00BA09F8"/>
    <w:rsid w:val="00BA0D01"/>
    <w:rsid w:val="00BA15A4"/>
    <w:rsid w:val="00BA300F"/>
    <w:rsid w:val="00BA309D"/>
    <w:rsid w:val="00BA575D"/>
    <w:rsid w:val="00BA65F1"/>
    <w:rsid w:val="00BA702C"/>
    <w:rsid w:val="00BA7354"/>
    <w:rsid w:val="00BA7BF8"/>
    <w:rsid w:val="00BB0358"/>
    <w:rsid w:val="00BB1E4D"/>
    <w:rsid w:val="00BB2527"/>
    <w:rsid w:val="00BB3782"/>
    <w:rsid w:val="00BB3CA1"/>
    <w:rsid w:val="00BB4043"/>
    <w:rsid w:val="00BB467C"/>
    <w:rsid w:val="00BB53B0"/>
    <w:rsid w:val="00BC2285"/>
    <w:rsid w:val="00BC2483"/>
    <w:rsid w:val="00BC26B4"/>
    <w:rsid w:val="00BC26FB"/>
    <w:rsid w:val="00BC2788"/>
    <w:rsid w:val="00BC45EB"/>
    <w:rsid w:val="00BC4D0D"/>
    <w:rsid w:val="00BC536E"/>
    <w:rsid w:val="00BC77E5"/>
    <w:rsid w:val="00BC7CC9"/>
    <w:rsid w:val="00BD07F5"/>
    <w:rsid w:val="00BD0A3B"/>
    <w:rsid w:val="00BD17CC"/>
    <w:rsid w:val="00BD2652"/>
    <w:rsid w:val="00BD3558"/>
    <w:rsid w:val="00BD3ED0"/>
    <w:rsid w:val="00BD4076"/>
    <w:rsid w:val="00BD5D02"/>
    <w:rsid w:val="00BD781E"/>
    <w:rsid w:val="00BE068C"/>
    <w:rsid w:val="00BE0ABD"/>
    <w:rsid w:val="00BE16B9"/>
    <w:rsid w:val="00BE219A"/>
    <w:rsid w:val="00BE2A62"/>
    <w:rsid w:val="00BE55C6"/>
    <w:rsid w:val="00BE5967"/>
    <w:rsid w:val="00BE69A8"/>
    <w:rsid w:val="00BE6BFC"/>
    <w:rsid w:val="00BE7CB2"/>
    <w:rsid w:val="00BF012E"/>
    <w:rsid w:val="00BF08FF"/>
    <w:rsid w:val="00BF11F2"/>
    <w:rsid w:val="00BF197B"/>
    <w:rsid w:val="00BF27BE"/>
    <w:rsid w:val="00BF34FC"/>
    <w:rsid w:val="00BF37E3"/>
    <w:rsid w:val="00BF3A08"/>
    <w:rsid w:val="00BF3D28"/>
    <w:rsid w:val="00BF41A5"/>
    <w:rsid w:val="00BF43F6"/>
    <w:rsid w:val="00BF453E"/>
    <w:rsid w:val="00BF4EE8"/>
    <w:rsid w:val="00BF5090"/>
    <w:rsid w:val="00BF5BA8"/>
    <w:rsid w:val="00BF785F"/>
    <w:rsid w:val="00C012E3"/>
    <w:rsid w:val="00C013DA"/>
    <w:rsid w:val="00C01D92"/>
    <w:rsid w:val="00C02097"/>
    <w:rsid w:val="00C02C05"/>
    <w:rsid w:val="00C035F5"/>
    <w:rsid w:val="00C05921"/>
    <w:rsid w:val="00C06B1B"/>
    <w:rsid w:val="00C0732F"/>
    <w:rsid w:val="00C1105A"/>
    <w:rsid w:val="00C11BE0"/>
    <w:rsid w:val="00C12AEC"/>
    <w:rsid w:val="00C12BB6"/>
    <w:rsid w:val="00C13415"/>
    <w:rsid w:val="00C135CF"/>
    <w:rsid w:val="00C14883"/>
    <w:rsid w:val="00C14A7E"/>
    <w:rsid w:val="00C14ACE"/>
    <w:rsid w:val="00C14EEB"/>
    <w:rsid w:val="00C15897"/>
    <w:rsid w:val="00C15A11"/>
    <w:rsid w:val="00C1679E"/>
    <w:rsid w:val="00C1682C"/>
    <w:rsid w:val="00C169B3"/>
    <w:rsid w:val="00C169E2"/>
    <w:rsid w:val="00C1759B"/>
    <w:rsid w:val="00C2038D"/>
    <w:rsid w:val="00C2129F"/>
    <w:rsid w:val="00C2196C"/>
    <w:rsid w:val="00C220BF"/>
    <w:rsid w:val="00C22C2B"/>
    <w:rsid w:val="00C233D0"/>
    <w:rsid w:val="00C243D3"/>
    <w:rsid w:val="00C25FBE"/>
    <w:rsid w:val="00C2760B"/>
    <w:rsid w:val="00C2777E"/>
    <w:rsid w:val="00C30BED"/>
    <w:rsid w:val="00C31458"/>
    <w:rsid w:val="00C31806"/>
    <w:rsid w:val="00C3263F"/>
    <w:rsid w:val="00C32730"/>
    <w:rsid w:val="00C32B72"/>
    <w:rsid w:val="00C33114"/>
    <w:rsid w:val="00C33142"/>
    <w:rsid w:val="00C33CAE"/>
    <w:rsid w:val="00C3515B"/>
    <w:rsid w:val="00C351CF"/>
    <w:rsid w:val="00C35339"/>
    <w:rsid w:val="00C3574C"/>
    <w:rsid w:val="00C357C3"/>
    <w:rsid w:val="00C35CBC"/>
    <w:rsid w:val="00C365B2"/>
    <w:rsid w:val="00C366E9"/>
    <w:rsid w:val="00C3754B"/>
    <w:rsid w:val="00C37DF7"/>
    <w:rsid w:val="00C40A98"/>
    <w:rsid w:val="00C41239"/>
    <w:rsid w:val="00C41364"/>
    <w:rsid w:val="00C41764"/>
    <w:rsid w:val="00C42FE5"/>
    <w:rsid w:val="00C431A6"/>
    <w:rsid w:val="00C43E0C"/>
    <w:rsid w:val="00C445E8"/>
    <w:rsid w:val="00C44D5E"/>
    <w:rsid w:val="00C45541"/>
    <w:rsid w:val="00C45AEA"/>
    <w:rsid w:val="00C45EAB"/>
    <w:rsid w:val="00C47201"/>
    <w:rsid w:val="00C4745C"/>
    <w:rsid w:val="00C47B43"/>
    <w:rsid w:val="00C47EEA"/>
    <w:rsid w:val="00C5054D"/>
    <w:rsid w:val="00C52BE5"/>
    <w:rsid w:val="00C53B3D"/>
    <w:rsid w:val="00C5491F"/>
    <w:rsid w:val="00C55C3E"/>
    <w:rsid w:val="00C56004"/>
    <w:rsid w:val="00C56580"/>
    <w:rsid w:val="00C60384"/>
    <w:rsid w:val="00C60D4B"/>
    <w:rsid w:val="00C614FC"/>
    <w:rsid w:val="00C619D3"/>
    <w:rsid w:val="00C61B14"/>
    <w:rsid w:val="00C622A8"/>
    <w:rsid w:val="00C62996"/>
    <w:rsid w:val="00C63DE2"/>
    <w:rsid w:val="00C64CCD"/>
    <w:rsid w:val="00C651E5"/>
    <w:rsid w:val="00C677D2"/>
    <w:rsid w:val="00C67B22"/>
    <w:rsid w:val="00C70F01"/>
    <w:rsid w:val="00C711A3"/>
    <w:rsid w:val="00C72E37"/>
    <w:rsid w:val="00C73C37"/>
    <w:rsid w:val="00C74966"/>
    <w:rsid w:val="00C7533A"/>
    <w:rsid w:val="00C75583"/>
    <w:rsid w:val="00C75F9B"/>
    <w:rsid w:val="00C76C72"/>
    <w:rsid w:val="00C771E5"/>
    <w:rsid w:val="00C776A7"/>
    <w:rsid w:val="00C77E5B"/>
    <w:rsid w:val="00C80100"/>
    <w:rsid w:val="00C81D07"/>
    <w:rsid w:val="00C825E4"/>
    <w:rsid w:val="00C82B5B"/>
    <w:rsid w:val="00C82D94"/>
    <w:rsid w:val="00C83075"/>
    <w:rsid w:val="00C83310"/>
    <w:rsid w:val="00C83319"/>
    <w:rsid w:val="00C845E4"/>
    <w:rsid w:val="00C8468A"/>
    <w:rsid w:val="00C84BA1"/>
    <w:rsid w:val="00C85A27"/>
    <w:rsid w:val="00C860EA"/>
    <w:rsid w:val="00C86491"/>
    <w:rsid w:val="00C869FC"/>
    <w:rsid w:val="00C8747D"/>
    <w:rsid w:val="00C87A6D"/>
    <w:rsid w:val="00C87DF1"/>
    <w:rsid w:val="00C905E3"/>
    <w:rsid w:val="00C90E24"/>
    <w:rsid w:val="00C916BA"/>
    <w:rsid w:val="00C930F2"/>
    <w:rsid w:val="00C938E1"/>
    <w:rsid w:val="00C94BED"/>
    <w:rsid w:val="00C963F3"/>
    <w:rsid w:val="00CA0B67"/>
    <w:rsid w:val="00CA0E41"/>
    <w:rsid w:val="00CA1265"/>
    <w:rsid w:val="00CA1C8A"/>
    <w:rsid w:val="00CA339C"/>
    <w:rsid w:val="00CA46E0"/>
    <w:rsid w:val="00CA57D3"/>
    <w:rsid w:val="00CA62AC"/>
    <w:rsid w:val="00CA6C08"/>
    <w:rsid w:val="00CB0E48"/>
    <w:rsid w:val="00CB22E0"/>
    <w:rsid w:val="00CB3BBC"/>
    <w:rsid w:val="00CB4536"/>
    <w:rsid w:val="00CB7280"/>
    <w:rsid w:val="00CB770F"/>
    <w:rsid w:val="00CC0217"/>
    <w:rsid w:val="00CC158E"/>
    <w:rsid w:val="00CC1D07"/>
    <w:rsid w:val="00CC2215"/>
    <w:rsid w:val="00CC257A"/>
    <w:rsid w:val="00CC5715"/>
    <w:rsid w:val="00CC5817"/>
    <w:rsid w:val="00CD0107"/>
    <w:rsid w:val="00CD0427"/>
    <w:rsid w:val="00CD0C94"/>
    <w:rsid w:val="00CD1B0A"/>
    <w:rsid w:val="00CD2E6A"/>
    <w:rsid w:val="00CD407C"/>
    <w:rsid w:val="00CD495F"/>
    <w:rsid w:val="00CD5F7D"/>
    <w:rsid w:val="00CD672E"/>
    <w:rsid w:val="00CD6823"/>
    <w:rsid w:val="00CD7245"/>
    <w:rsid w:val="00CE0F4E"/>
    <w:rsid w:val="00CE129A"/>
    <w:rsid w:val="00CE2262"/>
    <w:rsid w:val="00CE2376"/>
    <w:rsid w:val="00CE37FF"/>
    <w:rsid w:val="00CE398F"/>
    <w:rsid w:val="00CE3C2E"/>
    <w:rsid w:val="00CE4017"/>
    <w:rsid w:val="00CE43BB"/>
    <w:rsid w:val="00CE4750"/>
    <w:rsid w:val="00CE50D7"/>
    <w:rsid w:val="00CE72D0"/>
    <w:rsid w:val="00CE7387"/>
    <w:rsid w:val="00CE7F57"/>
    <w:rsid w:val="00CF16B4"/>
    <w:rsid w:val="00CF3631"/>
    <w:rsid w:val="00CF3CF0"/>
    <w:rsid w:val="00CF62CE"/>
    <w:rsid w:val="00CF666C"/>
    <w:rsid w:val="00CF7492"/>
    <w:rsid w:val="00CF79B1"/>
    <w:rsid w:val="00D00CF5"/>
    <w:rsid w:val="00D01127"/>
    <w:rsid w:val="00D01692"/>
    <w:rsid w:val="00D036AA"/>
    <w:rsid w:val="00D0438B"/>
    <w:rsid w:val="00D04F10"/>
    <w:rsid w:val="00D05AE3"/>
    <w:rsid w:val="00D05B9F"/>
    <w:rsid w:val="00D06118"/>
    <w:rsid w:val="00D061C2"/>
    <w:rsid w:val="00D06343"/>
    <w:rsid w:val="00D068E0"/>
    <w:rsid w:val="00D072E6"/>
    <w:rsid w:val="00D07D4A"/>
    <w:rsid w:val="00D110E8"/>
    <w:rsid w:val="00D11343"/>
    <w:rsid w:val="00D1194B"/>
    <w:rsid w:val="00D129C4"/>
    <w:rsid w:val="00D12FE5"/>
    <w:rsid w:val="00D14266"/>
    <w:rsid w:val="00D15AB9"/>
    <w:rsid w:val="00D1782C"/>
    <w:rsid w:val="00D231D2"/>
    <w:rsid w:val="00D23625"/>
    <w:rsid w:val="00D250A0"/>
    <w:rsid w:val="00D25C1C"/>
    <w:rsid w:val="00D25FC0"/>
    <w:rsid w:val="00D266D2"/>
    <w:rsid w:val="00D26941"/>
    <w:rsid w:val="00D27057"/>
    <w:rsid w:val="00D306D0"/>
    <w:rsid w:val="00D30DE1"/>
    <w:rsid w:val="00D315DF"/>
    <w:rsid w:val="00D34615"/>
    <w:rsid w:val="00D35411"/>
    <w:rsid w:val="00D354B9"/>
    <w:rsid w:val="00D354C4"/>
    <w:rsid w:val="00D370BD"/>
    <w:rsid w:val="00D4106F"/>
    <w:rsid w:val="00D4119C"/>
    <w:rsid w:val="00D411D4"/>
    <w:rsid w:val="00D41D3E"/>
    <w:rsid w:val="00D432C3"/>
    <w:rsid w:val="00D4777E"/>
    <w:rsid w:val="00D47919"/>
    <w:rsid w:val="00D504F4"/>
    <w:rsid w:val="00D50893"/>
    <w:rsid w:val="00D50B3F"/>
    <w:rsid w:val="00D51A56"/>
    <w:rsid w:val="00D51B54"/>
    <w:rsid w:val="00D51C2A"/>
    <w:rsid w:val="00D5461F"/>
    <w:rsid w:val="00D5508C"/>
    <w:rsid w:val="00D552A8"/>
    <w:rsid w:val="00D555ED"/>
    <w:rsid w:val="00D55D6B"/>
    <w:rsid w:val="00D56FB5"/>
    <w:rsid w:val="00D574A4"/>
    <w:rsid w:val="00D57759"/>
    <w:rsid w:val="00D6024E"/>
    <w:rsid w:val="00D606F0"/>
    <w:rsid w:val="00D6192F"/>
    <w:rsid w:val="00D621C7"/>
    <w:rsid w:val="00D62528"/>
    <w:rsid w:val="00D62E71"/>
    <w:rsid w:val="00D64625"/>
    <w:rsid w:val="00D655D5"/>
    <w:rsid w:val="00D655F9"/>
    <w:rsid w:val="00D66502"/>
    <w:rsid w:val="00D672BD"/>
    <w:rsid w:val="00D675A9"/>
    <w:rsid w:val="00D70276"/>
    <w:rsid w:val="00D706C3"/>
    <w:rsid w:val="00D721DD"/>
    <w:rsid w:val="00D739F3"/>
    <w:rsid w:val="00D73AE2"/>
    <w:rsid w:val="00D74370"/>
    <w:rsid w:val="00D74B79"/>
    <w:rsid w:val="00D75C0D"/>
    <w:rsid w:val="00D771D3"/>
    <w:rsid w:val="00D7728A"/>
    <w:rsid w:val="00D778B3"/>
    <w:rsid w:val="00D80118"/>
    <w:rsid w:val="00D80FE9"/>
    <w:rsid w:val="00D816C5"/>
    <w:rsid w:val="00D8174E"/>
    <w:rsid w:val="00D857FF"/>
    <w:rsid w:val="00D85A5E"/>
    <w:rsid w:val="00D90864"/>
    <w:rsid w:val="00D90884"/>
    <w:rsid w:val="00D91BD4"/>
    <w:rsid w:val="00D94158"/>
    <w:rsid w:val="00D9418F"/>
    <w:rsid w:val="00D944D5"/>
    <w:rsid w:val="00D955E2"/>
    <w:rsid w:val="00D95F71"/>
    <w:rsid w:val="00DA0075"/>
    <w:rsid w:val="00DA0931"/>
    <w:rsid w:val="00DA15D1"/>
    <w:rsid w:val="00DA250C"/>
    <w:rsid w:val="00DA2AA3"/>
    <w:rsid w:val="00DA3C4F"/>
    <w:rsid w:val="00DA3E36"/>
    <w:rsid w:val="00DA4A01"/>
    <w:rsid w:val="00DA4E5A"/>
    <w:rsid w:val="00DA542F"/>
    <w:rsid w:val="00DA5E88"/>
    <w:rsid w:val="00DB0D70"/>
    <w:rsid w:val="00DB1095"/>
    <w:rsid w:val="00DB1A8F"/>
    <w:rsid w:val="00DB28C6"/>
    <w:rsid w:val="00DB33EF"/>
    <w:rsid w:val="00DB3E4D"/>
    <w:rsid w:val="00DB484D"/>
    <w:rsid w:val="00DB5D13"/>
    <w:rsid w:val="00DB67C8"/>
    <w:rsid w:val="00DB6E4E"/>
    <w:rsid w:val="00DB75A7"/>
    <w:rsid w:val="00DC1040"/>
    <w:rsid w:val="00DC1565"/>
    <w:rsid w:val="00DC15E2"/>
    <w:rsid w:val="00DC2003"/>
    <w:rsid w:val="00DC2B04"/>
    <w:rsid w:val="00DC2E50"/>
    <w:rsid w:val="00DC32DA"/>
    <w:rsid w:val="00DC3F65"/>
    <w:rsid w:val="00DC5C46"/>
    <w:rsid w:val="00DC5DA7"/>
    <w:rsid w:val="00DC62D3"/>
    <w:rsid w:val="00DC694C"/>
    <w:rsid w:val="00DC6E98"/>
    <w:rsid w:val="00DC734A"/>
    <w:rsid w:val="00DC74C9"/>
    <w:rsid w:val="00DD04C4"/>
    <w:rsid w:val="00DD0E74"/>
    <w:rsid w:val="00DD14FE"/>
    <w:rsid w:val="00DD26AF"/>
    <w:rsid w:val="00DD3EF2"/>
    <w:rsid w:val="00DD4478"/>
    <w:rsid w:val="00DD5735"/>
    <w:rsid w:val="00DD67EB"/>
    <w:rsid w:val="00DE3696"/>
    <w:rsid w:val="00DE3ADA"/>
    <w:rsid w:val="00DE4068"/>
    <w:rsid w:val="00DE43EB"/>
    <w:rsid w:val="00DE5641"/>
    <w:rsid w:val="00DE679E"/>
    <w:rsid w:val="00DE6FB4"/>
    <w:rsid w:val="00DF0D07"/>
    <w:rsid w:val="00DF0DD9"/>
    <w:rsid w:val="00DF1A02"/>
    <w:rsid w:val="00DF1F05"/>
    <w:rsid w:val="00DF2039"/>
    <w:rsid w:val="00DF241B"/>
    <w:rsid w:val="00DF2B6E"/>
    <w:rsid w:val="00DF2D96"/>
    <w:rsid w:val="00DF4083"/>
    <w:rsid w:val="00DF4E22"/>
    <w:rsid w:val="00DF5C75"/>
    <w:rsid w:val="00DF5D6C"/>
    <w:rsid w:val="00DF6514"/>
    <w:rsid w:val="00E006D0"/>
    <w:rsid w:val="00E029FC"/>
    <w:rsid w:val="00E0385A"/>
    <w:rsid w:val="00E03C1E"/>
    <w:rsid w:val="00E04558"/>
    <w:rsid w:val="00E04B2F"/>
    <w:rsid w:val="00E071FD"/>
    <w:rsid w:val="00E10587"/>
    <w:rsid w:val="00E11692"/>
    <w:rsid w:val="00E13C9D"/>
    <w:rsid w:val="00E152EA"/>
    <w:rsid w:val="00E154BA"/>
    <w:rsid w:val="00E1686A"/>
    <w:rsid w:val="00E169F4"/>
    <w:rsid w:val="00E1708D"/>
    <w:rsid w:val="00E1720E"/>
    <w:rsid w:val="00E17525"/>
    <w:rsid w:val="00E17648"/>
    <w:rsid w:val="00E202F7"/>
    <w:rsid w:val="00E224B7"/>
    <w:rsid w:val="00E233E7"/>
    <w:rsid w:val="00E244EE"/>
    <w:rsid w:val="00E24780"/>
    <w:rsid w:val="00E25209"/>
    <w:rsid w:val="00E27763"/>
    <w:rsid w:val="00E31739"/>
    <w:rsid w:val="00E31AFE"/>
    <w:rsid w:val="00E32098"/>
    <w:rsid w:val="00E350B6"/>
    <w:rsid w:val="00E35526"/>
    <w:rsid w:val="00E3610A"/>
    <w:rsid w:val="00E367D6"/>
    <w:rsid w:val="00E36A50"/>
    <w:rsid w:val="00E370F7"/>
    <w:rsid w:val="00E37875"/>
    <w:rsid w:val="00E40A4B"/>
    <w:rsid w:val="00E42CA6"/>
    <w:rsid w:val="00E43FED"/>
    <w:rsid w:val="00E446A8"/>
    <w:rsid w:val="00E45183"/>
    <w:rsid w:val="00E45337"/>
    <w:rsid w:val="00E45A15"/>
    <w:rsid w:val="00E46B2D"/>
    <w:rsid w:val="00E47887"/>
    <w:rsid w:val="00E47ABB"/>
    <w:rsid w:val="00E512CC"/>
    <w:rsid w:val="00E51B93"/>
    <w:rsid w:val="00E51EE6"/>
    <w:rsid w:val="00E52B27"/>
    <w:rsid w:val="00E53979"/>
    <w:rsid w:val="00E5462A"/>
    <w:rsid w:val="00E547FB"/>
    <w:rsid w:val="00E54BC0"/>
    <w:rsid w:val="00E54DD8"/>
    <w:rsid w:val="00E55227"/>
    <w:rsid w:val="00E56D4E"/>
    <w:rsid w:val="00E56F62"/>
    <w:rsid w:val="00E57966"/>
    <w:rsid w:val="00E57E05"/>
    <w:rsid w:val="00E60FE6"/>
    <w:rsid w:val="00E61342"/>
    <w:rsid w:val="00E616C0"/>
    <w:rsid w:val="00E627B1"/>
    <w:rsid w:val="00E63D0B"/>
    <w:rsid w:val="00E65E15"/>
    <w:rsid w:val="00E674B3"/>
    <w:rsid w:val="00E705CA"/>
    <w:rsid w:val="00E72B70"/>
    <w:rsid w:val="00E7454A"/>
    <w:rsid w:val="00E749F4"/>
    <w:rsid w:val="00E75336"/>
    <w:rsid w:val="00E7582F"/>
    <w:rsid w:val="00E7630D"/>
    <w:rsid w:val="00E76DF8"/>
    <w:rsid w:val="00E77A80"/>
    <w:rsid w:val="00E77EDD"/>
    <w:rsid w:val="00E77EFD"/>
    <w:rsid w:val="00E81994"/>
    <w:rsid w:val="00E81DE0"/>
    <w:rsid w:val="00E831A0"/>
    <w:rsid w:val="00E85EF2"/>
    <w:rsid w:val="00E871C7"/>
    <w:rsid w:val="00E87236"/>
    <w:rsid w:val="00E90825"/>
    <w:rsid w:val="00E913F2"/>
    <w:rsid w:val="00E9144E"/>
    <w:rsid w:val="00E926BF"/>
    <w:rsid w:val="00E9308B"/>
    <w:rsid w:val="00E945E1"/>
    <w:rsid w:val="00E948FB"/>
    <w:rsid w:val="00E95167"/>
    <w:rsid w:val="00E951E9"/>
    <w:rsid w:val="00E95503"/>
    <w:rsid w:val="00E95548"/>
    <w:rsid w:val="00E958E2"/>
    <w:rsid w:val="00E9739F"/>
    <w:rsid w:val="00E97A00"/>
    <w:rsid w:val="00EA0197"/>
    <w:rsid w:val="00EA07C7"/>
    <w:rsid w:val="00EA0A6D"/>
    <w:rsid w:val="00EA12C9"/>
    <w:rsid w:val="00EA1F59"/>
    <w:rsid w:val="00EA27C9"/>
    <w:rsid w:val="00EA2F3B"/>
    <w:rsid w:val="00EA4813"/>
    <w:rsid w:val="00EA5212"/>
    <w:rsid w:val="00EA5A12"/>
    <w:rsid w:val="00EA623C"/>
    <w:rsid w:val="00EB0047"/>
    <w:rsid w:val="00EB0C59"/>
    <w:rsid w:val="00EB2001"/>
    <w:rsid w:val="00EB30D2"/>
    <w:rsid w:val="00EB3913"/>
    <w:rsid w:val="00EB4C84"/>
    <w:rsid w:val="00EB5412"/>
    <w:rsid w:val="00EB5622"/>
    <w:rsid w:val="00EB5B32"/>
    <w:rsid w:val="00EB632C"/>
    <w:rsid w:val="00EC0315"/>
    <w:rsid w:val="00EC0E37"/>
    <w:rsid w:val="00EC3599"/>
    <w:rsid w:val="00EC391B"/>
    <w:rsid w:val="00EC3B0F"/>
    <w:rsid w:val="00EC6C56"/>
    <w:rsid w:val="00EC6EB6"/>
    <w:rsid w:val="00EC74F8"/>
    <w:rsid w:val="00ED07C4"/>
    <w:rsid w:val="00ED0EBC"/>
    <w:rsid w:val="00ED1295"/>
    <w:rsid w:val="00ED12FC"/>
    <w:rsid w:val="00ED1616"/>
    <w:rsid w:val="00ED1C0F"/>
    <w:rsid w:val="00ED1DC9"/>
    <w:rsid w:val="00ED549B"/>
    <w:rsid w:val="00ED5ABB"/>
    <w:rsid w:val="00ED6872"/>
    <w:rsid w:val="00ED6CA2"/>
    <w:rsid w:val="00ED7E12"/>
    <w:rsid w:val="00EE16BB"/>
    <w:rsid w:val="00EE1F1C"/>
    <w:rsid w:val="00EE2196"/>
    <w:rsid w:val="00EE2596"/>
    <w:rsid w:val="00EE283E"/>
    <w:rsid w:val="00EE4AFF"/>
    <w:rsid w:val="00EE4D09"/>
    <w:rsid w:val="00EE5082"/>
    <w:rsid w:val="00EE678D"/>
    <w:rsid w:val="00EE6BC7"/>
    <w:rsid w:val="00EF0654"/>
    <w:rsid w:val="00EF08D2"/>
    <w:rsid w:val="00EF2B37"/>
    <w:rsid w:val="00EF31B0"/>
    <w:rsid w:val="00EF48E5"/>
    <w:rsid w:val="00EF54F5"/>
    <w:rsid w:val="00EF6A2E"/>
    <w:rsid w:val="00EF7E51"/>
    <w:rsid w:val="00EF7F8F"/>
    <w:rsid w:val="00F01153"/>
    <w:rsid w:val="00F012E9"/>
    <w:rsid w:val="00F02ABD"/>
    <w:rsid w:val="00F02BDB"/>
    <w:rsid w:val="00F04757"/>
    <w:rsid w:val="00F05142"/>
    <w:rsid w:val="00F06AEC"/>
    <w:rsid w:val="00F073E8"/>
    <w:rsid w:val="00F075E4"/>
    <w:rsid w:val="00F0770D"/>
    <w:rsid w:val="00F07838"/>
    <w:rsid w:val="00F07922"/>
    <w:rsid w:val="00F10136"/>
    <w:rsid w:val="00F10141"/>
    <w:rsid w:val="00F10380"/>
    <w:rsid w:val="00F1042D"/>
    <w:rsid w:val="00F10B0E"/>
    <w:rsid w:val="00F10F3C"/>
    <w:rsid w:val="00F11398"/>
    <w:rsid w:val="00F11EB5"/>
    <w:rsid w:val="00F12950"/>
    <w:rsid w:val="00F13699"/>
    <w:rsid w:val="00F142EE"/>
    <w:rsid w:val="00F15127"/>
    <w:rsid w:val="00F15921"/>
    <w:rsid w:val="00F15DDF"/>
    <w:rsid w:val="00F16EF6"/>
    <w:rsid w:val="00F200F1"/>
    <w:rsid w:val="00F20686"/>
    <w:rsid w:val="00F207C5"/>
    <w:rsid w:val="00F20B1B"/>
    <w:rsid w:val="00F21D32"/>
    <w:rsid w:val="00F236D1"/>
    <w:rsid w:val="00F23A75"/>
    <w:rsid w:val="00F24728"/>
    <w:rsid w:val="00F2498C"/>
    <w:rsid w:val="00F24CC8"/>
    <w:rsid w:val="00F254DB"/>
    <w:rsid w:val="00F26301"/>
    <w:rsid w:val="00F26F06"/>
    <w:rsid w:val="00F278EF"/>
    <w:rsid w:val="00F309F0"/>
    <w:rsid w:val="00F30D2E"/>
    <w:rsid w:val="00F3160C"/>
    <w:rsid w:val="00F321B1"/>
    <w:rsid w:val="00F32FCD"/>
    <w:rsid w:val="00F33093"/>
    <w:rsid w:val="00F35A74"/>
    <w:rsid w:val="00F35FAA"/>
    <w:rsid w:val="00F366C9"/>
    <w:rsid w:val="00F374AA"/>
    <w:rsid w:val="00F408DD"/>
    <w:rsid w:val="00F43B24"/>
    <w:rsid w:val="00F4626F"/>
    <w:rsid w:val="00F4747B"/>
    <w:rsid w:val="00F501FB"/>
    <w:rsid w:val="00F50D0B"/>
    <w:rsid w:val="00F51799"/>
    <w:rsid w:val="00F51AF5"/>
    <w:rsid w:val="00F51C36"/>
    <w:rsid w:val="00F5260C"/>
    <w:rsid w:val="00F52D90"/>
    <w:rsid w:val="00F5361D"/>
    <w:rsid w:val="00F53985"/>
    <w:rsid w:val="00F53C9F"/>
    <w:rsid w:val="00F546B4"/>
    <w:rsid w:val="00F558CB"/>
    <w:rsid w:val="00F56151"/>
    <w:rsid w:val="00F56C06"/>
    <w:rsid w:val="00F56ED1"/>
    <w:rsid w:val="00F60B65"/>
    <w:rsid w:val="00F62742"/>
    <w:rsid w:val="00F654A7"/>
    <w:rsid w:val="00F667A9"/>
    <w:rsid w:val="00F66974"/>
    <w:rsid w:val="00F66AAF"/>
    <w:rsid w:val="00F66E28"/>
    <w:rsid w:val="00F67304"/>
    <w:rsid w:val="00F673DF"/>
    <w:rsid w:val="00F67B96"/>
    <w:rsid w:val="00F7015D"/>
    <w:rsid w:val="00F70244"/>
    <w:rsid w:val="00F70C29"/>
    <w:rsid w:val="00F70EBB"/>
    <w:rsid w:val="00F72404"/>
    <w:rsid w:val="00F72C11"/>
    <w:rsid w:val="00F72E4B"/>
    <w:rsid w:val="00F73519"/>
    <w:rsid w:val="00F738E4"/>
    <w:rsid w:val="00F743E4"/>
    <w:rsid w:val="00F74549"/>
    <w:rsid w:val="00F753B3"/>
    <w:rsid w:val="00F75BCA"/>
    <w:rsid w:val="00F768D5"/>
    <w:rsid w:val="00F76F60"/>
    <w:rsid w:val="00F77312"/>
    <w:rsid w:val="00F80599"/>
    <w:rsid w:val="00F81A67"/>
    <w:rsid w:val="00F8245C"/>
    <w:rsid w:val="00F836CB"/>
    <w:rsid w:val="00F852AA"/>
    <w:rsid w:val="00F85464"/>
    <w:rsid w:val="00F8592E"/>
    <w:rsid w:val="00F85B2A"/>
    <w:rsid w:val="00F90360"/>
    <w:rsid w:val="00F90A53"/>
    <w:rsid w:val="00F92377"/>
    <w:rsid w:val="00F945D9"/>
    <w:rsid w:val="00F94AA7"/>
    <w:rsid w:val="00F9557F"/>
    <w:rsid w:val="00F96FC1"/>
    <w:rsid w:val="00F978A5"/>
    <w:rsid w:val="00FA045C"/>
    <w:rsid w:val="00FA07A9"/>
    <w:rsid w:val="00FA26A0"/>
    <w:rsid w:val="00FA354D"/>
    <w:rsid w:val="00FA4438"/>
    <w:rsid w:val="00FA4E43"/>
    <w:rsid w:val="00FA5367"/>
    <w:rsid w:val="00FA5D14"/>
    <w:rsid w:val="00FA6B7E"/>
    <w:rsid w:val="00FA74E8"/>
    <w:rsid w:val="00FA7628"/>
    <w:rsid w:val="00FA7B41"/>
    <w:rsid w:val="00FB29AC"/>
    <w:rsid w:val="00FB3FFD"/>
    <w:rsid w:val="00FB4D9B"/>
    <w:rsid w:val="00FB6C1C"/>
    <w:rsid w:val="00FC0939"/>
    <w:rsid w:val="00FC1536"/>
    <w:rsid w:val="00FC2B50"/>
    <w:rsid w:val="00FC382E"/>
    <w:rsid w:val="00FC4343"/>
    <w:rsid w:val="00FC4835"/>
    <w:rsid w:val="00FC4E8D"/>
    <w:rsid w:val="00FC59E6"/>
    <w:rsid w:val="00FC5A53"/>
    <w:rsid w:val="00FC61B2"/>
    <w:rsid w:val="00FC6763"/>
    <w:rsid w:val="00FD0E47"/>
    <w:rsid w:val="00FD26F0"/>
    <w:rsid w:val="00FD27BE"/>
    <w:rsid w:val="00FD3030"/>
    <w:rsid w:val="00FE0F97"/>
    <w:rsid w:val="00FE1DD3"/>
    <w:rsid w:val="00FE287E"/>
    <w:rsid w:val="00FE3201"/>
    <w:rsid w:val="00FE3693"/>
    <w:rsid w:val="00FE595A"/>
    <w:rsid w:val="00FE5C33"/>
    <w:rsid w:val="00FE61A6"/>
    <w:rsid w:val="00FE7272"/>
    <w:rsid w:val="00FE7BE1"/>
    <w:rsid w:val="00FE7F39"/>
    <w:rsid w:val="00FF117F"/>
    <w:rsid w:val="00FF1314"/>
    <w:rsid w:val="00FF161A"/>
    <w:rsid w:val="00FF1BB5"/>
    <w:rsid w:val="00FF1FA2"/>
    <w:rsid w:val="00FF25CC"/>
    <w:rsid w:val="00FF36D8"/>
    <w:rsid w:val="00FF4BA4"/>
    <w:rsid w:val="00FF56D6"/>
    <w:rsid w:val="00FF6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2700C7-A58F-400F-8C3D-A59A7CC76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8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qFormat/>
    <w:rsid w:val="00F978A5"/>
    <w:pPr>
      <w:spacing w:after="60"/>
      <w:outlineLvl w:val="1"/>
    </w:pPr>
    <w:rPr>
      <w:rFonts w:ascii="Tahoma" w:hAnsi="Tahoma"/>
      <w:sz w:val="22"/>
      <w:u w:val="single"/>
    </w:rPr>
  </w:style>
  <w:style w:type="character" w:customStyle="1" w:styleId="SubtitleChar">
    <w:name w:val="Subtitle Char"/>
    <w:basedOn w:val="DefaultParagraphFont"/>
    <w:link w:val="Subtitle"/>
    <w:rsid w:val="00F978A5"/>
    <w:rPr>
      <w:rFonts w:ascii="Tahoma" w:eastAsia="Times New Roman" w:hAnsi="Tahoma" w:cs="Times New Roman"/>
      <w:szCs w:val="24"/>
      <w:u w:val="single"/>
    </w:rPr>
  </w:style>
  <w:style w:type="paragraph" w:styleId="BalloonText">
    <w:name w:val="Balloon Text"/>
    <w:basedOn w:val="Normal"/>
    <w:link w:val="BalloonTextChar"/>
    <w:uiPriority w:val="99"/>
    <w:semiHidden/>
    <w:unhideWhenUsed/>
    <w:rsid w:val="00F978A5"/>
    <w:rPr>
      <w:rFonts w:ascii="Tahoma" w:hAnsi="Tahoma" w:cs="Tahoma"/>
      <w:sz w:val="16"/>
      <w:szCs w:val="16"/>
    </w:rPr>
  </w:style>
  <w:style w:type="character" w:customStyle="1" w:styleId="BalloonTextChar">
    <w:name w:val="Balloon Text Char"/>
    <w:basedOn w:val="DefaultParagraphFont"/>
    <w:link w:val="BalloonText"/>
    <w:uiPriority w:val="99"/>
    <w:semiHidden/>
    <w:rsid w:val="00F978A5"/>
    <w:rPr>
      <w:rFonts w:ascii="Tahoma" w:eastAsia="Times New Roman" w:hAnsi="Tahoma" w:cs="Tahoma"/>
      <w:sz w:val="16"/>
      <w:szCs w:val="16"/>
    </w:rPr>
  </w:style>
  <w:style w:type="paragraph" w:styleId="Header">
    <w:name w:val="header"/>
    <w:basedOn w:val="Normal"/>
    <w:link w:val="HeaderChar"/>
    <w:uiPriority w:val="99"/>
    <w:unhideWhenUsed/>
    <w:rsid w:val="00012B2C"/>
    <w:pPr>
      <w:tabs>
        <w:tab w:val="center" w:pos="4513"/>
        <w:tab w:val="right" w:pos="9026"/>
      </w:tabs>
    </w:pPr>
  </w:style>
  <w:style w:type="character" w:customStyle="1" w:styleId="HeaderChar">
    <w:name w:val="Header Char"/>
    <w:basedOn w:val="DefaultParagraphFont"/>
    <w:link w:val="Header"/>
    <w:uiPriority w:val="99"/>
    <w:rsid w:val="00012B2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2B2C"/>
    <w:pPr>
      <w:tabs>
        <w:tab w:val="center" w:pos="4513"/>
        <w:tab w:val="right" w:pos="9026"/>
      </w:tabs>
    </w:pPr>
  </w:style>
  <w:style w:type="character" w:customStyle="1" w:styleId="FooterChar">
    <w:name w:val="Footer Char"/>
    <w:basedOn w:val="DefaultParagraphFont"/>
    <w:link w:val="Footer"/>
    <w:uiPriority w:val="99"/>
    <w:rsid w:val="00012B2C"/>
    <w:rPr>
      <w:rFonts w:ascii="Times New Roman" w:eastAsia="Times New Roman" w:hAnsi="Times New Roman" w:cs="Times New Roman"/>
      <w:sz w:val="24"/>
      <w:szCs w:val="24"/>
    </w:rPr>
  </w:style>
  <w:style w:type="paragraph" w:styleId="ListParagraph">
    <w:name w:val="List Paragraph"/>
    <w:basedOn w:val="Normal"/>
    <w:uiPriority w:val="34"/>
    <w:qFormat/>
    <w:rsid w:val="00751B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1705</Words>
  <Characters>9720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dc:creator>
  <cp:lastModifiedBy>angela.koech</cp:lastModifiedBy>
  <cp:revision>2</cp:revision>
  <dcterms:created xsi:type="dcterms:W3CDTF">2020-04-26T18:41:00Z</dcterms:created>
  <dcterms:modified xsi:type="dcterms:W3CDTF">2020-04-26T18:41:00Z</dcterms:modified>
</cp:coreProperties>
</file>