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9EBADA" w14:textId="56B4A290" w:rsidR="009E62FE" w:rsidRPr="0057539F" w:rsidRDefault="009E62FE" w:rsidP="009E62FE">
      <w:pPr>
        <w:rPr>
          <w:b/>
          <w:lang w:val="en-GB"/>
        </w:rPr>
      </w:pPr>
      <w:r>
        <w:rPr>
          <w:b/>
          <w:lang w:val="en-GB"/>
        </w:rPr>
        <w:t xml:space="preserve">Additional file </w:t>
      </w:r>
      <w:r w:rsidR="000C6E78">
        <w:rPr>
          <w:b/>
          <w:lang w:val="en-GB"/>
        </w:rPr>
        <w:t>4</w:t>
      </w:r>
      <w:r>
        <w:rPr>
          <w:b/>
          <w:lang w:val="en-GB"/>
        </w:rPr>
        <w:t xml:space="preserve"> </w:t>
      </w:r>
      <w:r w:rsidRPr="0095416F">
        <w:rPr>
          <w:b/>
          <w:lang w:val="en-GB"/>
        </w:rPr>
        <w:t>Excluded studies: reason for exclusion</w:t>
      </w:r>
    </w:p>
    <w:p w14:paraId="4172DE50" w14:textId="77777777" w:rsidR="009E62FE" w:rsidRPr="0057539F" w:rsidRDefault="009E62FE" w:rsidP="009E62FE">
      <w:pPr>
        <w:spacing w:after="0" w:line="240" w:lineRule="auto"/>
        <w:rPr>
          <w:lang w:val="en-GB"/>
        </w:rPr>
      </w:pPr>
    </w:p>
    <w:tbl>
      <w:tblPr>
        <w:tblW w:w="14004"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561"/>
        <w:gridCol w:w="1571"/>
        <w:gridCol w:w="1756"/>
        <w:gridCol w:w="2180"/>
        <w:gridCol w:w="1969"/>
        <w:gridCol w:w="1224"/>
        <w:gridCol w:w="4743"/>
      </w:tblGrid>
      <w:tr w:rsidR="009E62FE" w:rsidRPr="0057539F" w14:paraId="1FB7460A" w14:textId="77777777" w:rsidTr="00BB4029">
        <w:trPr>
          <w:trHeight w:val="240"/>
        </w:trPr>
        <w:tc>
          <w:tcPr>
            <w:tcW w:w="561" w:type="dxa"/>
            <w:shd w:val="clear" w:color="auto" w:fill="auto"/>
            <w:noWrap/>
            <w:hideMark/>
          </w:tcPr>
          <w:p w14:paraId="6EC787D7" w14:textId="77777777" w:rsidR="009E62FE" w:rsidRPr="0057539F" w:rsidRDefault="009E62FE" w:rsidP="00BB4029">
            <w:pPr>
              <w:rPr>
                <w:lang w:val="en-US"/>
              </w:rPr>
            </w:pPr>
          </w:p>
        </w:tc>
        <w:tc>
          <w:tcPr>
            <w:tcW w:w="1571" w:type="dxa"/>
            <w:shd w:val="clear" w:color="auto" w:fill="auto"/>
            <w:noWrap/>
            <w:vAlign w:val="bottom"/>
            <w:hideMark/>
          </w:tcPr>
          <w:p w14:paraId="77B3342B" w14:textId="77777777" w:rsidR="009E62FE" w:rsidRPr="0057539F" w:rsidRDefault="009E62FE" w:rsidP="00BB4029">
            <w:pPr>
              <w:rPr>
                <w:rFonts w:ascii="Arial" w:hAnsi="Arial" w:cs="Arial"/>
                <w:b/>
                <w:bCs/>
                <w:color w:val="000000"/>
                <w:sz w:val="18"/>
                <w:szCs w:val="18"/>
              </w:rPr>
            </w:pPr>
            <w:r w:rsidRPr="0057539F">
              <w:rPr>
                <w:rFonts w:ascii="Arial" w:hAnsi="Arial" w:cs="Arial"/>
                <w:b/>
                <w:bCs/>
                <w:color w:val="000000"/>
                <w:sz w:val="18"/>
                <w:szCs w:val="18"/>
              </w:rPr>
              <w:t>Study ID</w:t>
            </w:r>
          </w:p>
        </w:tc>
        <w:tc>
          <w:tcPr>
            <w:tcW w:w="1756" w:type="dxa"/>
            <w:shd w:val="clear" w:color="auto" w:fill="auto"/>
            <w:noWrap/>
            <w:vAlign w:val="bottom"/>
            <w:hideMark/>
          </w:tcPr>
          <w:p w14:paraId="30E55992" w14:textId="77777777" w:rsidR="009E62FE" w:rsidRPr="0057539F" w:rsidRDefault="009E62FE" w:rsidP="00BB4029">
            <w:pPr>
              <w:rPr>
                <w:rFonts w:ascii="Arial" w:hAnsi="Arial" w:cs="Arial"/>
                <w:b/>
                <w:bCs/>
                <w:color w:val="000000"/>
                <w:sz w:val="18"/>
                <w:szCs w:val="18"/>
              </w:rPr>
            </w:pPr>
            <w:r w:rsidRPr="0057539F">
              <w:rPr>
                <w:rFonts w:ascii="Arial" w:hAnsi="Arial" w:cs="Arial"/>
                <w:b/>
                <w:bCs/>
                <w:color w:val="000000"/>
                <w:sz w:val="18"/>
                <w:szCs w:val="18"/>
              </w:rPr>
              <w:t>Reason for exclusion</w:t>
            </w:r>
          </w:p>
        </w:tc>
        <w:tc>
          <w:tcPr>
            <w:tcW w:w="2180" w:type="dxa"/>
            <w:shd w:val="clear" w:color="auto" w:fill="auto"/>
            <w:noWrap/>
            <w:vAlign w:val="bottom"/>
            <w:hideMark/>
          </w:tcPr>
          <w:p w14:paraId="69AA0AEE" w14:textId="77777777" w:rsidR="009E62FE" w:rsidRPr="0057539F" w:rsidRDefault="009E62FE" w:rsidP="00BB4029">
            <w:pPr>
              <w:rPr>
                <w:rFonts w:ascii="Arial" w:hAnsi="Arial" w:cs="Arial"/>
                <w:b/>
                <w:bCs/>
                <w:color w:val="000000"/>
                <w:sz w:val="18"/>
                <w:szCs w:val="18"/>
              </w:rPr>
            </w:pPr>
            <w:r w:rsidRPr="0057539F">
              <w:rPr>
                <w:rFonts w:ascii="Arial" w:hAnsi="Arial" w:cs="Arial"/>
                <w:b/>
                <w:bCs/>
                <w:color w:val="000000"/>
                <w:sz w:val="18"/>
                <w:szCs w:val="18"/>
              </w:rPr>
              <w:t>Patients/subjects</w:t>
            </w:r>
          </w:p>
        </w:tc>
        <w:tc>
          <w:tcPr>
            <w:tcW w:w="1969" w:type="dxa"/>
            <w:shd w:val="clear" w:color="auto" w:fill="auto"/>
            <w:noWrap/>
            <w:vAlign w:val="bottom"/>
            <w:hideMark/>
          </w:tcPr>
          <w:p w14:paraId="3B7244F2" w14:textId="77777777" w:rsidR="009E62FE" w:rsidRPr="0057539F" w:rsidRDefault="009E62FE" w:rsidP="00BB4029">
            <w:pPr>
              <w:rPr>
                <w:rFonts w:ascii="Arial" w:hAnsi="Arial" w:cs="Arial"/>
                <w:b/>
                <w:bCs/>
                <w:color w:val="000000"/>
                <w:sz w:val="18"/>
                <w:szCs w:val="18"/>
              </w:rPr>
            </w:pPr>
            <w:r w:rsidRPr="0057539F">
              <w:rPr>
                <w:rFonts w:ascii="Arial" w:hAnsi="Arial" w:cs="Arial"/>
                <w:b/>
                <w:bCs/>
                <w:color w:val="000000"/>
                <w:sz w:val="18"/>
                <w:szCs w:val="18"/>
              </w:rPr>
              <w:t>Study design</w:t>
            </w:r>
          </w:p>
        </w:tc>
        <w:tc>
          <w:tcPr>
            <w:tcW w:w="1224" w:type="dxa"/>
            <w:shd w:val="clear" w:color="auto" w:fill="auto"/>
            <w:noWrap/>
            <w:vAlign w:val="bottom"/>
            <w:hideMark/>
          </w:tcPr>
          <w:p w14:paraId="29CBD4C0" w14:textId="77777777" w:rsidR="009E62FE" w:rsidRPr="0057539F" w:rsidRDefault="009E62FE" w:rsidP="00BB4029">
            <w:pPr>
              <w:rPr>
                <w:rFonts w:ascii="Arial" w:hAnsi="Arial" w:cs="Arial"/>
                <w:b/>
                <w:bCs/>
                <w:color w:val="000000"/>
                <w:sz w:val="18"/>
                <w:szCs w:val="18"/>
              </w:rPr>
            </w:pPr>
            <w:r w:rsidRPr="0057539F">
              <w:rPr>
                <w:rFonts w:ascii="Arial" w:hAnsi="Arial" w:cs="Arial"/>
                <w:b/>
                <w:bCs/>
                <w:color w:val="000000"/>
                <w:sz w:val="18"/>
                <w:szCs w:val="18"/>
              </w:rPr>
              <w:t xml:space="preserve">Country </w:t>
            </w:r>
          </w:p>
        </w:tc>
        <w:tc>
          <w:tcPr>
            <w:tcW w:w="4743" w:type="dxa"/>
            <w:shd w:val="clear" w:color="auto" w:fill="auto"/>
            <w:noWrap/>
            <w:vAlign w:val="bottom"/>
            <w:hideMark/>
          </w:tcPr>
          <w:p w14:paraId="0BADA59E" w14:textId="77777777" w:rsidR="009E62FE" w:rsidRPr="0057539F" w:rsidRDefault="009E62FE" w:rsidP="00BB4029">
            <w:pPr>
              <w:rPr>
                <w:rFonts w:ascii="Arial" w:hAnsi="Arial" w:cs="Arial"/>
                <w:b/>
                <w:bCs/>
                <w:color w:val="000000"/>
                <w:sz w:val="18"/>
                <w:szCs w:val="18"/>
              </w:rPr>
            </w:pPr>
            <w:r w:rsidRPr="0057539F">
              <w:rPr>
                <w:rFonts w:ascii="Arial" w:hAnsi="Arial" w:cs="Arial"/>
                <w:b/>
                <w:bCs/>
                <w:color w:val="000000"/>
                <w:sz w:val="18"/>
                <w:szCs w:val="18"/>
              </w:rPr>
              <w:t>Outcomes</w:t>
            </w:r>
          </w:p>
        </w:tc>
      </w:tr>
      <w:tr w:rsidR="009E62FE" w:rsidRPr="000C6E78" w14:paraId="28361CFB" w14:textId="77777777" w:rsidTr="00BB4029">
        <w:trPr>
          <w:trHeight w:val="720"/>
        </w:trPr>
        <w:tc>
          <w:tcPr>
            <w:tcW w:w="561" w:type="dxa"/>
            <w:shd w:val="clear" w:color="auto" w:fill="auto"/>
            <w:noWrap/>
            <w:hideMark/>
          </w:tcPr>
          <w:p w14:paraId="5506A47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p>
        </w:tc>
        <w:tc>
          <w:tcPr>
            <w:tcW w:w="1571" w:type="dxa"/>
            <w:shd w:val="clear" w:color="auto" w:fill="auto"/>
            <w:noWrap/>
            <w:hideMark/>
          </w:tcPr>
          <w:p w14:paraId="7AE0DB0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Abou-Haidar H, et al. 2014</w:t>
            </w:r>
          </w:p>
        </w:tc>
        <w:tc>
          <w:tcPr>
            <w:tcW w:w="1756" w:type="dxa"/>
            <w:shd w:val="clear" w:color="auto" w:fill="auto"/>
            <w:hideMark/>
          </w:tcPr>
          <w:p w14:paraId="1F3F54F1"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BAA5A6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prostate cancer</w:t>
            </w:r>
          </w:p>
        </w:tc>
        <w:tc>
          <w:tcPr>
            <w:tcW w:w="1969" w:type="dxa"/>
            <w:shd w:val="clear" w:color="auto" w:fill="auto"/>
            <w:hideMark/>
          </w:tcPr>
          <w:p w14:paraId="315BB5E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265E428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Canada</w:t>
            </w:r>
          </w:p>
        </w:tc>
        <w:tc>
          <w:tcPr>
            <w:tcW w:w="4743" w:type="dxa"/>
            <w:shd w:val="clear" w:color="auto" w:fill="auto"/>
            <w:hideMark/>
          </w:tcPr>
          <w:p w14:paraId="0929EB5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Duration of hospital stay, complications, post-discharge emergency department visits and readmissions</w:t>
            </w:r>
          </w:p>
        </w:tc>
      </w:tr>
      <w:tr w:rsidR="009E62FE" w:rsidRPr="0057539F" w14:paraId="526BEB34" w14:textId="77777777" w:rsidTr="00BB4029">
        <w:trPr>
          <w:trHeight w:val="240"/>
        </w:trPr>
        <w:tc>
          <w:tcPr>
            <w:tcW w:w="561" w:type="dxa"/>
            <w:shd w:val="clear" w:color="auto" w:fill="auto"/>
            <w:noWrap/>
            <w:hideMark/>
          </w:tcPr>
          <w:p w14:paraId="3F02A1C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2</w:t>
            </w:r>
          </w:p>
        </w:tc>
        <w:tc>
          <w:tcPr>
            <w:tcW w:w="1571" w:type="dxa"/>
            <w:shd w:val="clear" w:color="auto" w:fill="auto"/>
            <w:noWrap/>
            <w:hideMark/>
          </w:tcPr>
          <w:p w14:paraId="6304110C" w14:textId="77777777" w:rsidR="009E62FE" w:rsidRPr="0057539F" w:rsidRDefault="009E62FE" w:rsidP="00BB4029">
            <w:pPr>
              <w:rPr>
                <w:rFonts w:ascii="Arial" w:hAnsi="Arial" w:cs="Arial"/>
                <w:sz w:val="18"/>
                <w:szCs w:val="18"/>
              </w:rPr>
            </w:pPr>
            <w:r w:rsidRPr="0057539F">
              <w:rPr>
                <w:rFonts w:ascii="Arial" w:hAnsi="Arial" w:cs="Arial"/>
                <w:sz w:val="18"/>
                <w:szCs w:val="18"/>
              </w:rPr>
              <w:t>Adams J. 2000.</w:t>
            </w:r>
          </w:p>
        </w:tc>
        <w:tc>
          <w:tcPr>
            <w:tcW w:w="1756" w:type="dxa"/>
            <w:shd w:val="clear" w:color="auto" w:fill="auto"/>
            <w:hideMark/>
          </w:tcPr>
          <w:p w14:paraId="2E0EF27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Unavailable full-text</w:t>
            </w:r>
          </w:p>
        </w:tc>
        <w:tc>
          <w:tcPr>
            <w:tcW w:w="2180" w:type="dxa"/>
            <w:shd w:val="clear" w:color="auto" w:fill="auto"/>
            <w:hideMark/>
          </w:tcPr>
          <w:p w14:paraId="0E77C746" w14:textId="77777777" w:rsidR="009E62FE" w:rsidRPr="0057539F" w:rsidRDefault="009E62FE" w:rsidP="00BB4029">
            <w:pPr>
              <w:rPr>
                <w:rFonts w:ascii="Arial" w:hAnsi="Arial" w:cs="Arial"/>
                <w:color w:val="000000"/>
                <w:sz w:val="18"/>
                <w:szCs w:val="18"/>
              </w:rPr>
            </w:pPr>
          </w:p>
        </w:tc>
        <w:tc>
          <w:tcPr>
            <w:tcW w:w="1969" w:type="dxa"/>
            <w:shd w:val="clear" w:color="auto" w:fill="auto"/>
            <w:hideMark/>
          </w:tcPr>
          <w:p w14:paraId="24248353" w14:textId="77777777" w:rsidR="009E62FE" w:rsidRPr="0057539F" w:rsidRDefault="009E62FE" w:rsidP="00BB4029">
            <w:pPr>
              <w:rPr>
                <w:sz w:val="20"/>
                <w:szCs w:val="20"/>
              </w:rPr>
            </w:pPr>
          </w:p>
        </w:tc>
        <w:tc>
          <w:tcPr>
            <w:tcW w:w="1224" w:type="dxa"/>
            <w:shd w:val="clear" w:color="auto" w:fill="auto"/>
            <w:hideMark/>
          </w:tcPr>
          <w:p w14:paraId="27CED827" w14:textId="77777777" w:rsidR="009E62FE" w:rsidRPr="0057539F" w:rsidRDefault="009E62FE" w:rsidP="00BB4029">
            <w:pPr>
              <w:rPr>
                <w:sz w:val="20"/>
                <w:szCs w:val="20"/>
              </w:rPr>
            </w:pPr>
          </w:p>
        </w:tc>
        <w:tc>
          <w:tcPr>
            <w:tcW w:w="4743" w:type="dxa"/>
            <w:shd w:val="clear" w:color="auto" w:fill="auto"/>
            <w:hideMark/>
          </w:tcPr>
          <w:p w14:paraId="45471135" w14:textId="77777777" w:rsidR="009E62FE" w:rsidRPr="0057539F" w:rsidRDefault="009E62FE" w:rsidP="00BB4029">
            <w:pPr>
              <w:rPr>
                <w:sz w:val="20"/>
                <w:szCs w:val="20"/>
              </w:rPr>
            </w:pPr>
          </w:p>
        </w:tc>
      </w:tr>
      <w:tr w:rsidR="009E62FE" w:rsidRPr="000C6E78" w14:paraId="2733A64B" w14:textId="77777777" w:rsidTr="00BB4029">
        <w:trPr>
          <w:trHeight w:val="720"/>
        </w:trPr>
        <w:tc>
          <w:tcPr>
            <w:tcW w:w="561" w:type="dxa"/>
            <w:shd w:val="clear" w:color="auto" w:fill="auto"/>
            <w:noWrap/>
            <w:hideMark/>
          </w:tcPr>
          <w:p w14:paraId="112B18A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3</w:t>
            </w:r>
          </w:p>
        </w:tc>
        <w:tc>
          <w:tcPr>
            <w:tcW w:w="1571" w:type="dxa"/>
            <w:shd w:val="clear" w:color="auto" w:fill="auto"/>
            <w:noWrap/>
            <w:hideMark/>
          </w:tcPr>
          <w:p w14:paraId="3D5CEA8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Afonso A, et al. 2017</w:t>
            </w:r>
          </w:p>
        </w:tc>
        <w:tc>
          <w:tcPr>
            <w:tcW w:w="1756" w:type="dxa"/>
            <w:shd w:val="clear" w:color="auto" w:fill="auto"/>
            <w:hideMark/>
          </w:tcPr>
          <w:p w14:paraId="309DF13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Not cancer patients</w:t>
            </w:r>
          </w:p>
        </w:tc>
        <w:tc>
          <w:tcPr>
            <w:tcW w:w="2180" w:type="dxa"/>
            <w:shd w:val="clear" w:color="auto" w:fill="auto"/>
            <w:hideMark/>
          </w:tcPr>
          <w:p w14:paraId="363ACED3"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undergoing microsurgical breast reconstruction (not cancer patients)</w:t>
            </w:r>
          </w:p>
        </w:tc>
        <w:tc>
          <w:tcPr>
            <w:tcW w:w="1969" w:type="dxa"/>
            <w:shd w:val="clear" w:color="auto" w:fill="auto"/>
            <w:hideMark/>
          </w:tcPr>
          <w:p w14:paraId="091D4F5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cohort study</w:t>
            </w:r>
          </w:p>
        </w:tc>
        <w:tc>
          <w:tcPr>
            <w:tcW w:w="1224" w:type="dxa"/>
            <w:shd w:val="clear" w:color="auto" w:fill="auto"/>
            <w:hideMark/>
          </w:tcPr>
          <w:p w14:paraId="4478A80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63D2C09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Hospital length of stay and total postoperative opioid consumption</w:t>
            </w:r>
          </w:p>
        </w:tc>
      </w:tr>
      <w:tr w:rsidR="009E62FE" w:rsidRPr="000C6E78" w14:paraId="6DC6C3EB" w14:textId="77777777" w:rsidTr="00BB4029">
        <w:trPr>
          <w:trHeight w:val="720"/>
        </w:trPr>
        <w:tc>
          <w:tcPr>
            <w:tcW w:w="561" w:type="dxa"/>
            <w:shd w:val="clear" w:color="auto" w:fill="auto"/>
            <w:noWrap/>
            <w:hideMark/>
          </w:tcPr>
          <w:p w14:paraId="037F56A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4</w:t>
            </w:r>
          </w:p>
        </w:tc>
        <w:tc>
          <w:tcPr>
            <w:tcW w:w="1571" w:type="dxa"/>
            <w:shd w:val="clear" w:color="auto" w:fill="auto"/>
            <w:noWrap/>
            <w:hideMark/>
          </w:tcPr>
          <w:p w14:paraId="472B07A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Aggarwal R, et al. 2014</w:t>
            </w:r>
          </w:p>
        </w:tc>
        <w:tc>
          <w:tcPr>
            <w:tcW w:w="1756" w:type="dxa"/>
            <w:shd w:val="clear" w:color="auto" w:fill="auto"/>
            <w:hideMark/>
          </w:tcPr>
          <w:p w14:paraId="58D05440"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4B3CEDE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esophageal cancer surgery</w:t>
            </w:r>
          </w:p>
        </w:tc>
        <w:tc>
          <w:tcPr>
            <w:tcW w:w="1969" w:type="dxa"/>
            <w:shd w:val="clear" w:color="auto" w:fill="auto"/>
            <w:hideMark/>
          </w:tcPr>
          <w:p w14:paraId="7B7F517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systematic review</w:t>
            </w:r>
          </w:p>
        </w:tc>
        <w:tc>
          <w:tcPr>
            <w:tcW w:w="1224" w:type="dxa"/>
            <w:shd w:val="clear" w:color="auto" w:fill="auto"/>
            <w:hideMark/>
          </w:tcPr>
          <w:p w14:paraId="5E64416D" w14:textId="28DA7678"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472EE9A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Pre-, intra-, and post-operative measures: epidural analgesia, early catheter and tube removal, and early post-operative mobilization</w:t>
            </w:r>
          </w:p>
        </w:tc>
      </w:tr>
      <w:tr w:rsidR="009E62FE" w:rsidRPr="000C6E78" w14:paraId="3117CC3E" w14:textId="77777777" w:rsidTr="00BB4029">
        <w:trPr>
          <w:trHeight w:val="480"/>
        </w:trPr>
        <w:tc>
          <w:tcPr>
            <w:tcW w:w="561" w:type="dxa"/>
            <w:shd w:val="clear" w:color="auto" w:fill="auto"/>
            <w:noWrap/>
            <w:hideMark/>
          </w:tcPr>
          <w:p w14:paraId="7D57122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5</w:t>
            </w:r>
          </w:p>
        </w:tc>
        <w:tc>
          <w:tcPr>
            <w:tcW w:w="1571" w:type="dxa"/>
            <w:shd w:val="clear" w:color="auto" w:fill="auto"/>
            <w:noWrap/>
            <w:hideMark/>
          </w:tcPr>
          <w:p w14:paraId="1060E8F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Andtbacka RH, et al. 2006</w:t>
            </w:r>
          </w:p>
        </w:tc>
        <w:tc>
          <w:tcPr>
            <w:tcW w:w="1756" w:type="dxa"/>
            <w:shd w:val="clear" w:color="auto" w:fill="auto"/>
            <w:hideMark/>
          </w:tcPr>
          <w:p w14:paraId="70D53FF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 control</w:t>
            </w:r>
          </w:p>
        </w:tc>
        <w:tc>
          <w:tcPr>
            <w:tcW w:w="2180" w:type="dxa"/>
            <w:shd w:val="clear" w:color="auto" w:fill="auto"/>
            <w:hideMark/>
          </w:tcPr>
          <w:p w14:paraId="4004AFF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breast cancer surgery</w:t>
            </w:r>
          </w:p>
        </w:tc>
        <w:tc>
          <w:tcPr>
            <w:tcW w:w="1969" w:type="dxa"/>
            <w:shd w:val="clear" w:color="auto" w:fill="auto"/>
            <w:hideMark/>
          </w:tcPr>
          <w:p w14:paraId="0EDF75A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retrospective and rospective cohort study?</w:t>
            </w:r>
          </w:p>
        </w:tc>
        <w:tc>
          <w:tcPr>
            <w:tcW w:w="1224" w:type="dxa"/>
            <w:shd w:val="clear" w:color="auto" w:fill="auto"/>
            <w:hideMark/>
          </w:tcPr>
          <w:p w14:paraId="2DB1D9E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1B01DA13"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Postoperative venous thromboembolism (VTE) within 60 days</w:t>
            </w:r>
          </w:p>
        </w:tc>
      </w:tr>
      <w:tr w:rsidR="009E62FE" w:rsidRPr="000C6E78" w14:paraId="7142EDE9" w14:textId="77777777" w:rsidTr="00BB4029">
        <w:trPr>
          <w:trHeight w:val="1200"/>
        </w:trPr>
        <w:tc>
          <w:tcPr>
            <w:tcW w:w="561" w:type="dxa"/>
            <w:shd w:val="clear" w:color="auto" w:fill="auto"/>
            <w:noWrap/>
            <w:hideMark/>
          </w:tcPr>
          <w:p w14:paraId="790328F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6</w:t>
            </w:r>
          </w:p>
        </w:tc>
        <w:tc>
          <w:tcPr>
            <w:tcW w:w="1571" w:type="dxa"/>
            <w:shd w:val="clear" w:color="auto" w:fill="auto"/>
            <w:noWrap/>
            <w:hideMark/>
          </w:tcPr>
          <w:p w14:paraId="094829C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Baade PD, et al. 2010</w:t>
            </w:r>
          </w:p>
        </w:tc>
        <w:tc>
          <w:tcPr>
            <w:tcW w:w="1756" w:type="dxa"/>
            <w:shd w:val="clear" w:color="auto" w:fill="auto"/>
            <w:hideMark/>
          </w:tcPr>
          <w:p w14:paraId="3078B12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Protocol only</w:t>
            </w:r>
          </w:p>
        </w:tc>
        <w:tc>
          <w:tcPr>
            <w:tcW w:w="2180" w:type="dxa"/>
            <w:shd w:val="clear" w:color="auto" w:fill="auto"/>
            <w:hideMark/>
          </w:tcPr>
          <w:p w14:paraId="213125E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prostate cancer</w:t>
            </w:r>
          </w:p>
        </w:tc>
        <w:tc>
          <w:tcPr>
            <w:tcW w:w="1969" w:type="dxa"/>
            <w:shd w:val="clear" w:color="auto" w:fill="auto"/>
            <w:hideMark/>
          </w:tcPr>
          <w:p w14:paraId="75879E46"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longitudinal epidemiological study without a control group</w:t>
            </w:r>
          </w:p>
        </w:tc>
        <w:tc>
          <w:tcPr>
            <w:tcW w:w="1224" w:type="dxa"/>
            <w:shd w:val="clear" w:color="auto" w:fill="auto"/>
            <w:hideMark/>
          </w:tcPr>
          <w:p w14:paraId="6ECFECB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Australia</w:t>
            </w:r>
          </w:p>
        </w:tc>
        <w:tc>
          <w:tcPr>
            <w:tcW w:w="4743" w:type="dxa"/>
            <w:shd w:val="clear" w:color="auto" w:fill="auto"/>
            <w:hideMark/>
          </w:tcPr>
          <w:p w14:paraId="39B85FE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Demographics, medical history, patterns of care, disease and treatment characteristics, quality of life and psychological adjustment, detailed treatment information, road travel distances from patients’ residences to treatment centres</w:t>
            </w:r>
          </w:p>
        </w:tc>
      </w:tr>
      <w:tr w:rsidR="009E62FE" w:rsidRPr="000C6E78" w14:paraId="30F5E622" w14:textId="77777777" w:rsidTr="00BB4029">
        <w:trPr>
          <w:trHeight w:val="960"/>
        </w:trPr>
        <w:tc>
          <w:tcPr>
            <w:tcW w:w="561" w:type="dxa"/>
            <w:shd w:val="clear" w:color="auto" w:fill="auto"/>
            <w:noWrap/>
            <w:hideMark/>
          </w:tcPr>
          <w:p w14:paraId="2FAE062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7</w:t>
            </w:r>
          </w:p>
        </w:tc>
        <w:tc>
          <w:tcPr>
            <w:tcW w:w="1571" w:type="dxa"/>
            <w:shd w:val="clear" w:color="auto" w:fill="auto"/>
            <w:noWrap/>
            <w:hideMark/>
          </w:tcPr>
          <w:p w14:paraId="422F89A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Bae HW, et al. 2017</w:t>
            </w:r>
          </w:p>
        </w:tc>
        <w:tc>
          <w:tcPr>
            <w:tcW w:w="1756" w:type="dxa"/>
            <w:shd w:val="clear" w:color="auto" w:fill="auto"/>
            <w:hideMark/>
          </w:tcPr>
          <w:p w14:paraId="34C0599B"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23A60E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 patient</w:t>
            </w:r>
          </w:p>
        </w:tc>
        <w:tc>
          <w:tcPr>
            <w:tcW w:w="1969" w:type="dxa"/>
            <w:shd w:val="clear" w:color="auto" w:fill="auto"/>
            <w:hideMark/>
          </w:tcPr>
          <w:p w14:paraId="24A476B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546AA9B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Korea</w:t>
            </w:r>
          </w:p>
        </w:tc>
        <w:tc>
          <w:tcPr>
            <w:tcW w:w="4743" w:type="dxa"/>
            <w:shd w:val="clear" w:color="auto" w:fill="auto"/>
            <w:hideMark/>
          </w:tcPr>
          <w:p w14:paraId="1AFE830A"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hospital stay, incidence of postoperative complication, the value of preoperative prognostic nutritional index (PNI), disease free survival (DFS), overall survival (OS)</w:t>
            </w:r>
          </w:p>
        </w:tc>
      </w:tr>
      <w:tr w:rsidR="009E62FE" w:rsidRPr="000C6E78" w14:paraId="5A9D184A" w14:textId="77777777" w:rsidTr="00BB4029">
        <w:trPr>
          <w:trHeight w:val="720"/>
        </w:trPr>
        <w:tc>
          <w:tcPr>
            <w:tcW w:w="561" w:type="dxa"/>
            <w:shd w:val="clear" w:color="auto" w:fill="auto"/>
            <w:noWrap/>
            <w:hideMark/>
          </w:tcPr>
          <w:p w14:paraId="648A757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8</w:t>
            </w:r>
          </w:p>
        </w:tc>
        <w:tc>
          <w:tcPr>
            <w:tcW w:w="1571" w:type="dxa"/>
            <w:shd w:val="clear" w:color="auto" w:fill="auto"/>
            <w:noWrap/>
            <w:hideMark/>
          </w:tcPr>
          <w:p w14:paraId="2EC99BF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Baffert S, et al. 2015</w:t>
            </w:r>
          </w:p>
        </w:tc>
        <w:tc>
          <w:tcPr>
            <w:tcW w:w="1756" w:type="dxa"/>
            <w:shd w:val="clear" w:color="auto" w:fill="auto"/>
            <w:hideMark/>
          </w:tcPr>
          <w:p w14:paraId="077139F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Protocol only</w:t>
            </w:r>
          </w:p>
        </w:tc>
        <w:tc>
          <w:tcPr>
            <w:tcW w:w="2180" w:type="dxa"/>
            <w:shd w:val="clear" w:color="auto" w:fill="auto"/>
            <w:hideMark/>
          </w:tcPr>
          <w:p w14:paraId="1DCA379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breast cancer</w:t>
            </w:r>
          </w:p>
        </w:tc>
        <w:tc>
          <w:tcPr>
            <w:tcW w:w="1969" w:type="dxa"/>
            <w:shd w:val="clear" w:color="auto" w:fill="auto"/>
            <w:hideMark/>
          </w:tcPr>
          <w:p w14:paraId="71C25FE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 xml:space="preserve">observational, prospective, multicenter </w:t>
            </w:r>
            <w:r w:rsidRPr="0057539F">
              <w:rPr>
                <w:rFonts w:ascii="Arial" w:hAnsi="Arial" w:cs="Arial"/>
                <w:color w:val="000000"/>
                <w:sz w:val="18"/>
                <w:szCs w:val="18"/>
              </w:rPr>
              <w:lastRenderedPageBreak/>
              <w:t>study</w:t>
            </w:r>
          </w:p>
        </w:tc>
        <w:tc>
          <w:tcPr>
            <w:tcW w:w="1224" w:type="dxa"/>
            <w:shd w:val="clear" w:color="auto" w:fill="auto"/>
            <w:hideMark/>
          </w:tcPr>
          <w:p w14:paraId="48E73EB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France</w:t>
            </w:r>
          </w:p>
        </w:tc>
        <w:tc>
          <w:tcPr>
            <w:tcW w:w="4743" w:type="dxa"/>
            <w:shd w:val="clear" w:color="auto" w:fill="auto"/>
            <w:hideMark/>
          </w:tcPr>
          <w:p w14:paraId="6A5F0704"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Cost of pathway, patient satisfaction and work reintegration, quality, coordination and access to innovation</w:t>
            </w:r>
          </w:p>
        </w:tc>
      </w:tr>
      <w:tr w:rsidR="009E62FE" w:rsidRPr="0057539F" w14:paraId="64547570" w14:textId="77777777" w:rsidTr="00BB4029">
        <w:trPr>
          <w:trHeight w:val="480"/>
        </w:trPr>
        <w:tc>
          <w:tcPr>
            <w:tcW w:w="561" w:type="dxa"/>
            <w:shd w:val="clear" w:color="auto" w:fill="auto"/>
            <w:noWrap/>
            <w:hideMark/>
          </w:tcPr>
          <w:p w14:paraId="57B9C80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9</w:t>
            </w:r>
          </w:p>
        </w:tc>
        <w:tc>
          <w:tcPr>
            <w:tcW w:w="1571" w:type="dxa"/>
            <w:shd w:val="clear" w:color="auto" w:fill="auto"/>
            <w:noWrap/>
            <w:hideMark/>
          </w:tcPr>
          <w:p w14:paraId="0D3C1CD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Bakens MJAM, et al. 2016</w:t>
            </w:r>
          </w:p>
        </w:tc>
        <w:tc>
          <w:tcPr>
            <w:tcW w:w="1756" w:type="dxa"/>
            <w:shd w:val="clear" w:color="auto" w:fill="auto"/>
            <w:hideMark/>
          </w:tcPr>
          <w:p w14:paraId="562A816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Abstract only</w:t>
            </w:r>
          </w:p>
        </w:tc>
        <w:tc>
          <w:tcPr>
            <w:tcW w:w="2180" w:type="dxa"/>
            <w:shd w:val="clear" w:color="auto" w:fill="auto"/>
            <w:hideMark/>
          </w:tcPr>
          <w:p w14:paraId="37B403F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pancreatic cancer</w:t>
            </w:r>
          </w:p>
        </w:tc>
        <w:tc>
          <w:tcPr>
            <w:tcW w:w="1969" w:type="dxa"/>
            <w:shd w:val="clear" w:color="auto" w:fill="auto"/>
            <w:hideMark/>
          </w:tcPr>
          <w:p w14:paraId="100924FA"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retrospective study, with before and after pathway groups</w:t>
            </w:r>
          </w:p>
        </w:tc>
        <w:tc>
          <w:tcPr>
            <w:tcW w:w="1224" w:type="dxa"/>
            <w:shd w:val="clear" w:color="auto" w:fill="auto"/>
            <w:hideMark/>
          </w:tcPr>
          <w:p w14:paraId="49DC432B" w14:textId="77777777" w:rsidR="009E62FE" w:rsidRPr="0057539F" w:rsidRDefault="009E62FE" w:rsidP="00BB4029">
            <w:pPr>
              <w:rPr>
                <w:rFonts w:ascii="Arial" w:hAnsi="Arial" w:cs="Arial"/>
                <w:color w:val="000000"/>
                <w:sz w:val="18"/>
                <w:szCs w:val="18"/>
                <w:lang w:val="en-US"/>
              </w:rPr>
            </w:pPr>
          </w:p>
        </w:tc>
        <w:tc>
          <w:tcPr>
            <w:tcW w:w="4743" w:type="dxa"/>
            <w:shd w:val="clear" w:color="auto" w:fill="auto"/>
            <w:hideMark/>
          </w:tcPr>
          <w:p w14:paraId="220992E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r>
      <w:tr w:rsidR="009F7793" w:rsidRPr="000C6E78" w14:paraId="210C6EC1" w14:textId="77777777" w:rsidTr="00BB4029">
        <w:trPr>
          <w:trHeight w:val="480"/>
        </w:trPr>
        <w:tc>
          <w:tcPr>
            <w:tcW w:w="561" w:type="dxa"/>
            <w:shd w:val="clear" w:color="auto" w:fill="auto"/>
            <w:noWrap/>
          </w:tcPr>
          <w:p w14:paraId="32099DB8" w14:textId="5D28B1AC" w:rsidR="009F7793" w:rsidRPr="0057539F" w:rsidRDefault="009F7793" w:rsidP="00BB4029">
            <w:pPr>
              <w:rPr>
                <w:rFonts w:ascii="Arial" w:hAnsi="Arial" w:cs="Arial"/>
                <w:color w:val="000000"/>
                <w:sz w:val="18"/>
                <w:szCs w:val="18"/>
              </w:rPr>
            </w:pPr>
            <w:r>
              <w:rPr>
                <w:rFonts w:ascii="Arial" w:hAnsi="Arial" w:cs="Arial"/>
                <w:color w:val="000000"/>
                <w:sz w:val="18"/>
                <w:szCs w:val="18"/>
              </w:rPr>
              <w:t>10</w:t>
            </w:r>
          </w:p>
        </w:tc>
        <w:tc>
          <w:tcPr>
            <w:tcW w:w="1571" w:type="dxa"/>
            <w:shd w:val="clear" w:color="auto" w:fill="auto"/>
            <w:noWrap/>
          </w:tcPr>
          <w:p w14:paraId="35F46A25" w14:textId="49C6B88B" w:rsidR="009F7793" w:rsidRPr="009F7793" w:rsidRDefault="009F7793" w:rsidP="00BB4029">
            <w:pPr>
              <w:rPr>
                <w:rFonts w:ascii="Arial" w:hAnsi="Arial" w:cs="Arial"/>
                <w:color w:val="000000"/>
                <w:sz w:val="18"/>
                <w:szCs w:val="18"/>
                <w:lang w:val="en-US"/>
              </w:rPr>
            </w:pPr>
            <w:r w:rsidRPr="009F7793">
              <w:rPr>
                <w:rFonts w:ascii="Arial" w:hAnsi="Arial" w:cs="Arial"/>
                <w:color w:val="000000"/>
                <w:sz w:val="18"/>
                <w:szCs w:val="18"/>
              </w:rPr>
              <w:t xml:space="preserve">Bao H, </w:t>
            </w:r>
            <w:r>
              <w:rPr>
                <w:rFonts w:ascii="Arial" w:hAnsi="Arial" w:cs="Arial"/>
                <w:color w:val="000000"/>
                <w:sz w:val="18"/>
                <w:szCs w:val="18"/>
              </w:rPr>
              <w:t xml:space="preserve">et al. </w:t>
            </w:r>
            <w:r w:rsidRPr="009F7793">
              <w:rPr>
                <w:rFonts w:ascii="Arial" w:hAnsi="Arial" w:cs="Arial"/>
                <w:color w:val="000000"/>
                <w:sz w:val="18"/>
                <w:szCs w:val="18"/>
                <w:lang w:val="en-US"/>
              </w:rPr>
              <w:t xml:space="preserve"> 2016</w:t>
            </w:r>
          </w:p>
        </w:tc>
        <w:tc>
          <w:tcPr>
            <w:tcW w:w="1756" w:type="dxa"/>
            <w:shd w:val="clear" w:color="auto" w:fill="auto"/>
          </w:tcPr>
          <w:p w14:paraId="7C98E029" w14:textId="63FE08E2" w:rsidR="009F7793" w:rsidRPr="009F7793" w:rsidRDefault="00E204BE" w:rsidP="00BB4029">
            <w:pPr>
              <w:rPr>
                <w:rFonts w:ascii="Arial" w:hAnsi="Arial" w:cs="Arial"/>
                <w:color w:val="000000"/>
                <w:sz w:val="18"/>
                <w:szCs w:val="18"/>
                <w:lang w:val="en-US"/>
              </w:rPr>
            </w:pPr>
            <w:r>
              <w:rPr>
                <w:rFonts w:ascii="Arial" w:hAnsi="Arial" w:cs="Arial"/>
                <w:color w:val="000000"/>
                <w:sz w:val="18"/>
                <w:szCs w:val="18"/>
                <w:lang w:val="en-US"/>
              </w:rPr>
              <w:t>No information about CP</w:t>
            </w:r>
          </w:p>
        </w:tc>
        <w:tc>
          <w:tcPr>
            <w:tcW w:w="2180" w:type="dxa"/>
            <w:shd w:val="clear" w:color="auto" w:fill="auto"/>
          </w:tcPr>
          <w:p w14:paraId="0FDC731E" w14:textId="5B9F1EA9" w:rsidR="009F7793" w:rsidRPr="009F7793" w:rsidRDefault="009F7793" w:rsidP="00BB4029">
            <w:pPr>
              <w:rPr>
                <w:rFonts w:ascii="Arial" w:hAnsi="Arial" w:cs="Arial"/>
                <w:color w:val="000000"/>
                <w:sz w:val="18"/>
                <w:szCs w:val="18"/>
                <w:lang w:val="en-US"/>
              </w:rPr>
            </w:pPr>
            <w:r w:rsidRPr="009F7793">
              <w:rPr>
                <w:rFonts w:ascii="Arial" w:hAnsi="Arial" w:cs="Arial"/>
                <w:color w:val="000000"/>
                <w:sz w:val="18"/>
                <w:szCs w:val="18"/>
                <w:lang w:val="en-US"/>
              </w:rPr>
              <w:t>Breast, colon and rectal cancer</w:t>
            </w:r>
          </w:p>
        </w:tc>
        <w:tc>
          <w:tcPr>
            <w:tcW w:w="1969" w:type="dxa"/>
            <w:shd w:val="clear" w:color="auto" w:fill="auto"/>
          </w:tcPr>
          <w:p w14:paraId="173900DF" w14:textId="615CD2B5" w:rsidR="009F7793" w:rsidRPr="0057539F" w:rsidRDefault="004D4C5B" w:rsidP="00BB4029">
            <w:pPr>
              <w:rPr>
                <w:rFonts w:ascii="Arial" w:hAnsi="Arial" w:cs="Arial"/>
                <w:color w:val="000000"/>
                <w:sz w:val="18"/>
                <w:szCs w:val="18"/>
                <w:lang w:val="en-US"/>
              </w:rPr>
            </w:pPr>
            <w:r w:rsidRPr="004D4C5B">
              <w:rPr>
                <w:rFonts w:ascii="Arial" w:hAnsi="Arial" w:cs="Arial"/>
                <w:color w:val="000000"/>
                <w:sz w:val="18"/>
                <w:szCs w:val="18"/>
                <w:lang w:val="en-US"/>
              </w:rPr>
              <w:t>Interrupted time series study</w:t>
            </w:r>
          </w:p>
        </w:tc>
        <w:tc>
          <w:tcPr>
            <w:tcW w:w="1224" w:type="dxa"/>
            <w:shd w:val="clear" w:color="auto" w:fill="auto"/>
          </w:tcPr>
          <w:p w14:paraId="00E31C9E" w14:textId="542BC0C7" w:rsidR="009F7793" w:rsidRPr="0057539F" w:rsidRDefault="004D4C5B" w:rsidP="00BB4029">
            <w:pPr>
              <w:rPr>
                <w:rFonts w:ascii="Arial" w:hAnsi="Arial" w:cs="Arial"/>
                <w:color w:val="000000"/>
                <w:sz w:val="18"/>
                <w:szCs w:val="18"/>
                <w:lang w:val="en-US"/>
              </w:rPr>
            </w:pPr>
            <w:r>
              <w:rPr>
                <w:rFonts w:ascii="Arial" w:hAnsi="Arial" w:cs="Arial"/>
                <w:color w:val="000000"/>
                <w:sz w:val="18"/>
                <w:szCs w:val="18"/>
                <w:lang w:val="en-US"/>
              </w:rPr>
              <w:t>China</w:t>
            </w:r>
          </w:p>
        </w:tc>
        <w:tc>
          <w:tcPr>
            <w:tcW w:w="4743" w:type="dxa"/>
            <w:shd w:val="clear" w:color="auto" w:fill="auto"/>
          </w:tcPr>
          <w:p w14:paraId="23CD9651" w14:textId="20F509C5" w:rsidR="009F7793" w:rsidRPr="009F7793" w:rsidRDefault="004D4C5B" w:rsidP="004D4C5B">
            <w:pPr>
              <w:rPr>
                <w:rFonts w:ascii="Arial" w:hAnsi="Arial" w:cs="Arial"/>
                <w:color w:val="000000"/>
                <w:sz w:val="18"/>
                <w:szCs w:val="18"/>
                <w:lang w:val="en-US"/>
              </w:rPr>
            </w:pPr>
            <w:r w:rsidRPr="004D4C5B">
              <w:rPr>
                <w:rFonts w:ascii="Arial" w:hAnsi="Arial" w:cs="Arial"/>
                <w:color w:val="000000"/>
                <w:sz w:val="18"/>
                <w:szCs w:val="18"/>
                <w:lang w:val="en-US"/>
              </w:rPr>
              <w:t>Length of hospital stay (median, IQR)</w:t>
            </w:r>
            <w:r>
              <w:rPr>
                <w:rFonts w:ascii="Arial" w:hAnsi="Arial" w:cs="Arial"/>
                <w:color w:val="000000"/>
                <w:sz w:val="18"/>
                <w:szCs w:val="18"/>
                <w:lang w:val="en-US"/>
              </w:rPr>
              <w:t>, c</w:t>
            </w:r>
            <w:r w:rsidRPr="004D4C5B">
              <w:rPr>
                <w:rFonts w:ascii="Arial" w:hAnsi="Arial" w:cs="Arial"/>
                <w:color w:val="000000"/>
                <w:sz w:val="18"/>
                <w:szCs w:val="18"/>
                <w:lang w:val="en-US"/>
              </w:rPr>
              <w:t>omplications</w:t>
            </w:r>
            <w:r>
              <w:rPr>
                <w:rFonts w:ascii="Arial" w:hAnsi="Arial" w:cs="Arial"/>
                <w:color w:val="000000"/>
                <w:sz w:val="18"/>
                <w:szCs w:val="18"/>
                <w:lang w:val="en-US"/>
              </w:rPr>
              <w:t>, q</w:t>
            </w:r>
            <w:r w:rsidRPr="004D4C5B">
              <w:rPr>
                <w:rFonts w:ascii="Arial" w:hAnsi="Arial" w:cs="Arial"/>
                <w:color w:val="000000"/>
                <w:sz w:val="18"/>
                <w:szCs w:val="18"/>
                <w:lang w:val="en-US"/>
              </w:rPr>
              <w:t>uality indicators about the compliance with the care process</w:t>
            </w:r>
          </w:p>
        </w:tc>
      </w:tr>
      <w:tr w:rsidR="009E62FE" w:rsidRPr="000C6E78" w14:paraId="180C0B44" w14:textId="77777777" w:rsidTr="00BB4029">
        <w:trPr>
          <w:trHeight w:val="240"/>
        </w:trPr>
        <w:tc>
          <w:tcPr>
            <w:tcW w:w="561" w:type="dxa"/>
            <w:shd w:val="clear" w:color="auto" w:fill="auto"/>
            <w:noWrap/>
            <w:hideMark/>
          </w:tcPr>
          <w:p w14:paraId="172A3044" w14:textId="240D442D"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BB4029">
              <w:rPr>
                <w:rFonts w:ascii="Arial" w:hAnsi="Arial" w:cs="Arial"/>
                <w:color w:val="000000"/>
                <w:sz w:val="18"/>
                <w:szCs w:val="18"/>
              </w:rPr>
              <w:t>1</w:t>
            </w:r>
          </w:p>
        </w:tc>
        <w:tc>
          <w:tcPr>
            <w:tcW w:w="1571" w:type="dxa"/>
            <w:shd w:val="clear" w:color="auto" w:fill="auto"/>
            <w:noWrap/>
            <w:hideMark/>
          </w:tcPr>
          <w:p w14:paraId="488A6DB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Barrett J, et al. 2008</w:t>
            </w:r>
          </w:p>
        </w:tc>
        <w:tc>
          <w:tcPr>
            <w:tcW w:w="1756" w:type="dxa"/>
            <w:shd w:val="clear" w:color="auto" w:fill="auto"/>
            <w:hideMark/>
          </w:tcPr>
          <w:p w14:paraId="01A06E49"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02B3A7B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lung cancer</w:t>
            </w:r>
          </w:p>
        </w:tc>
        <w:tc>
          <w:tcPr>
            <w:tcW w:w="1969" w:type="dxa"/>
            <w:shd w:val="clear" w:color="auto" w:fill="auto"/>
            <w:hideMark/>
          </w:tcPr>
          <w:p w14:paraId="4135A5A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case-control study</w:t>
            </w:r>
          </w:p>
        </w:tc>
        <w:tc>
          <w:tcPr>
            <w:tcW w:w="1224" w:type="dxa"/>
            <w:shd w:val="clear" w:color="auto" w:fill="auto"/>
            <w:hideMark/>
          </w:tcPr>
          <w:p w14:paraId="4220769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UK</w:t>
            </w:r>
          </w:p>
        </w:tc>
        <w:tc>
          <w:tcPr>
            <w:tcW w:w="4743" w:type="dxa"/>
            <w:shd w:val="clear" w:color="auto" w:fill="auto"/>
            <w:hideMark/>
          </w:tcPr>
          <w:p w14:paraId="7271EFD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Referral and time to diagnosis</w:t>
            </w:r>
          </w:p>
        </w:tc>
      </w:tr>
      <w:tr w:rsidR="009E62FE" w:rsidRPr="000C6E78" w14:paraId="40A8937D" w14:textId="77777777" w:rsidTr="00BB4029">
        <w:trPr>
          <w:trHeight w:val="1200"/>
        </w:trPr>
        <w:tc>
          <w:tcPr>
            <w:tcW w:w="561" w:type="dxa"/>
            <w:shd w:val="clear" w:color="auto" w:fill="auto"/>
            <w:noWrap/>
            <w:hideMark/>
          </w:tcPr>
          <w:p w14:paraId="2118EDAC" w14:textId="2CDF9BF3"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BB4029">
              <w:rPr>
                <w:rFonts w:ascii="Arial" w:hAnsi="Arial" w:cs="Arial"/>
                <w:color w:val="000000"/>
                <w:sz w:val="18"/>
                <w:szCs w:val="18"/>
              </w:rPr>
              <w:t>2</w:t>
            </w:r>
          </w:p>
        </w:tc>
        <w:tc>
          <w:tcPr>
            <w:tcW w:w="1571" w:type="dxa"/>
            <w:shd w:val="clear" w:color="auto" w:fill="auto"/>
            <w:noWrap/>
            <w:hideMark/>
          </w:tcPr>
          <w:p w14:paraId="54629B4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Barrett J, et al. 2006</w:t>
            </w:r>
          </w:p>
        </w:tc>
        <w:tc>
          <w:tcPr>
            <w:tcW w:w="1756" w:type="dxa"/>
            <w:shd w:val="clear" w:color="auto" w:fill="auto"/>
            <w:hideMark/>
          </w:tcPr>
          <w:p w14:paraId="65EBCAAF"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21CB77E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w:t>
            </w:r>
          </w:p>
        </w:tc>
        <w:tc>
          <w:tcPr>
            <w:tcW w:w="1969" w:type="dxa"/>
            <w:shd w:val="clear" w:color="auto" w:fill="auto"/>
            <w:hideMark/>
          </w:tcPr>
          <w:p w14:paraId="15C310E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observation study</w:t>
            </w:r>
          </w:p>
        </w:tc>
        <w:tc>
          <w:tcPr>
            <w:tcW w:w="1224" w:type="dxa"/>
            <w:shd w:val="clear" w:color="auto" w:fill="auto"/>
            <w:hideMark/>
          </w:tcPr>
          <w:p w14:paraId="776CA57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UK</w:t>
            </w:r>
          </w:p>
        </w:tc>
        <w:tc>
          <w:tcPr>
            <w:tcW w:w="4743" w:type="dxa"/>
            <w:shd w:val="clear" w:color="auto" w:fill="auto"/>
            <w:hideMark/>
          </w:tcPr>
          <w:p w14:paraId="1E15AD5D"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7 clinical features: diarrhoea, cons</w:t>
            </w:r>
            <w:r>
              <w:rPr>
                <w:rFonts w:ascii="Arial" w:hAnsi="Arial" w:cs="Arial"/>
                <w:color w:val="000000"/>
                <w:sz w:val="18"/>
                <w:szCs w:val="18"/>
                <w:lang w:val="en-US"/>
              </w:rPr>
              <w:t>t</w:t>
            </w:r>
            <w:r w:rsidRPr="0057539F">
              <w:rPr>
                <w:rFonts w:ascii="Arial" w:hAnsi="Arial" w:cs="Arial"/>
                <w:color w:val="000000"/>
                <w:sz w:val="18"/>
                <w:szCs w:val="18"/>
                <w:lang w:val="en-US"/>
              </w:rPr>
              <w:t>ipation, rectal bleeding, abdominal pain, the finding of an abdominal or rectal mass on examination, anaemia, positive faecal occult blood tests. And time intervals: first consultation to first referral, first referral to diagnosis</w:t>
            </w:r>
          </w:p>
        </w:tc>
      </w:tr>
      <w:tr w:rsidR="009E62FE" w:rsidRPr="000C6E78" w14:paraId="11A2B7E4" w14:textId="77777777" w:rsidTr="00BB4029">
        <w:trPr>
          <w:trHeight w:val="480"/>
        </w:trPr>
        <w:tc>
          <w:tcPr>
            <w:tcW w:w="561" w:type="dxa"/>
            <w:shd w:val="clear" w:color="auto" w:fill="auto"/>
            <w:noWrap/>
            <w:hideMark/>
          </w:tcPr>
          <w:p w14:paraId="1E2EFFEC" w14:textId="41BB5B52"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BB4029">
              <w:rPr>
                <w:rFonts w:ascii="Arial" w:hAnsi="Arial" w:cs="Arial"/>
                <w:color w:val="000000"/>
                <w:sz w:val="18"/>
                <w:szCs w:val="18"/>
              </w:rPr>
              <w:t>3</w:t>
            </w:r>
          </w:p>
        </w:tc>
        <w:tc>
          <w:tcPr>
            <w:tcW w:w="1571" w:type="dxa"/>
            <w:shd w:val="clear" w:color="auto" w:fill="auto"/>
            <w:noWrap/>
            <w:hideMark/>
          </w:tcPr>
          <w:p w14:paraId="0C1CCE9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Barrett J, et al. 2010</w:t>
            </w:r>
          </w:p>
        </w:tc>
        <w:tc>
          <w:tcPr>
            <w:tcW w:w="1756" w:type="dxa"/>
            <w:shd w:val="clear" w:color="auto" w:fill="auto"/>
            <w:hideMark/>
          </w:tcPr>
          <w:p w14:paraId="482E1FC4"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2C8582C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ovarian cancer</w:t>
            </w:r>
          </w:p>
        </w:tc>
        <w:tc>
          <w:tcPr>
            <w:tcW w:w="1969" w:type="dxa"/>
            <w:shd w:val="clear" w:color="auto" w:fill="auto"/>
            <w:hideMark/>
          </w:tcPr>
          <w:p w14:paraId="18F7380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cohort study</w:t>
            </w:r>
          </w:p>
        </w:tc>
        <w:tc>
          <w:tcPr>
            <w:tcW w:w="1224" w:type="dxa"/>
            <w:shd w:val="clear" w:color="auto" w:fill="auto"/>
            <w:hideMark/>
          </w:tcPr>
          <w:p w14:paraId="5F2D4AA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UK</w:t>
            </w:r>
          </w:p>
        </w:tc>
        <w:tc>
          <w:tcPr>
            <w:tcW w:w="4743" w:type="dxa"/>
            <w:shd w:val="clear" w:color="auto" w:fill="auto"/>
            <w:hideMark/>
          </w:tcPr>
          <w:p w14:paraId="6796721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taking specific routes to diagnosis, together with the time taken to diagnosis</w:t>
            </w:r>
          </w:p>
        </w:tc>
      </w:tr>
      <w:tr w:rsidR="009E62FE" w:rsidRPr="0057539F" w14:paraId="1ABF9AC8" w14:textId="77777777" w:rsidTr="00BB4029">
        <w:trPr>
          <w:trHeight w:val="240"/>
        </w:trPr>
        <w:tc>
          <w:tcPr>
            <w:tcW w:w="561" w:type="dxa"/>
            <w:shd w:val="clear" w:color="auto" w:fill="auto"/>
            <w:noWrap/>
            <w:hideMark/>
          </w:tcPr>
          <w:p w14:paraId="2A7564C5" w14:textId="025A754F"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BB4029">
              <w:rPr>
                <w:rFonts w:ascii="Arial" w:hAnsi="Arial" w:cs="Arial"/>
                <w:color w:val="000000"/>
                <w:sz w:val="18"/>
                <w:szCs w:val="18"/>
              </w:rPr>
              <w:t>4</w:t>
            </w:r>
          </w:p>
        </w:tc>
        <w:tc>
          <w:tcPr>
            <w:tcW w:w="1571" w:type="dxa"/>
            <w:shd w:val="clear" w:color="auto" w:fill="auto"/>
            <w:noWrap/>
            <w:hideMark/>
          </w:tcPr>
          <w:p w14:paraId="74A7A33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Bosch C, et al. 2010</w:t>
            </w:r>
          </w:p>
        </w:tc>
        <w:tc>
          <w:tcPr>
            <w:tcW w:w="1756" w:type="dxa"/>
            <w:shd w:val="clear" w:color="auto" w:fill="auto"/>
            <w:hideMark/>
          </w:tcPr>
          <w:p w14:paraId="5E2D8A6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Abstract only</w:t>
            </w:r>
          </w:p>
        </w:tc>
        <w:tc>
          <w:tcPr>
            <w:tcW w:w="2180" w:type="dxa"/>
            <w:shd w:val="clear" w:color="auto" w:fill="auto"/>
            <w:hideMark/>
          </w:tcPr>
          <w:p w14:paraId="1422D94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breast cancer</w:t>
            </w:r>
          </w:p>
        </w:tc>
        <w:tc>
          <w:tcPr>
            <w:tcW w:w="1969" w:type="dxa"/>
            <w:shd w:val="clear" w:color="auto" w:fill="auto"/>
            <w:hideMark/>
          </w:tcPr>
          <w:p w14:paraId="17F7109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w:t>
            </w:r>
          </w:p>
        </w:tc>
        <w:tc>
          <w:tcPr>
            <w:tcW w:w="1224" w:type="dxa"/>
            <w:shd w:val="clear" w:color="auto" w:fill="auto"/>
            <w:hideMark/>
          </w:tcPr>
          <w:p w14:paraId="7C43BAA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Germany</w:t>
            </w:r>
          </w:p>
        </w:tc>
        <w:tc>
          <w:tcPr>
            <w:tcW w:w="4743" w:type="dxa"/>
            <w:shd w:val="clear" w:color="auto" w:fill="auto"/>
            <w:hideMark/>
          </w:tcPr>
          <w:p w14:paraId="4D5D98E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Hospitalization</w:t>
            </w:r>
          </w:p>
        </w:tc>
      </w:tr>
      <w:tr w:rsidR="009E62FE" w:rsidRPr="000C6E78" w14:paraId="730CB5FB" w14:textId="77777777" w:rsidTr="00BB4029">
        <w:trPr>
          <w:trHeight w:val="480"/>
        </w:trPr>
        <w:tc>
          <w:tcPr>
            <w:tcW w:w="561" w:type="dxa"/>
            <w:shd w:val="clear" w:color="auto" w:fill="auto"/>
            <w:noWrap/>
            <w:hideMark/>
          </w:tcPr>
          <w:p w14:paraId="43A19B5C" w14:textId="05929B7F"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BB4029">
              <w:rPr>
                <w:rFonts w:ascii="Arial" w:hAnsi="Arial" w:cs="Arial"/>
                <w:color w:val="000000"/>
                <w:sz w:val="18"/>
                <w:szCs w:val="18"/>
              </w:rPr>
              <w:t>5</w:t>
            </w:r>
          </w:p>
        </w:tc>
        <w:tc>
          <w:tcPr>
            <w:tcW w:w="1571" w:type="dxa"/>
            <w:shd w:val="clear" w:color="auto" w:fill="auto"/>
            <w:noWrap/>
            <w:hideMark/>
          </w:tcPr>
          <w:p w14:paraId="29D1F4C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Brannstrom M, et al. 2016</w:t>
            </w:r>
          </w:p>
        </w:tc>
        <w:tc>
          <w:tcPr>
            <w:tcW w:w="1756" w:type="dxa"/>
            <w:shd w:val="clear" w:color="auto" w:fill="auto"/>
            <w:hideMark/>
          </w:tcPr>
          <w:p w14:paraId="76A9819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Not cancer patients only</w:t>
            </w:r>
          </w:p>
        </w:tc>
        <w:tc>
          <w:tcPr>
            <w:tcW w:w="2180" w:type="dxa"/>
            <w:shd w:val="clear" w:color="auto" w:fill="auto"/>
            <w:hideMark/>
          </w:tcPr>
          <w:p w14:paraId="5FDE4AC3"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in the last days of their lives</w:t>
            </w:r>
          </w:p>
        </w:tc>
        <w:tc>
          <w:tcPr>
            <w:tcW w:w="1969" w:type="dxa"/>
            <w:shd w:val="clear" w:color="auto" w:fill="auto"/>
            <w:hideMark/>
          </w:tcPr>
          <w:p w14:paraId="6DE6F5E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exploratory, controlled before-after study</w:t>
            </w:r>
          </w:p>
        </w:tc>
        <w:tc>
          <w:tcPr>
            <w:tcW w:w="1224" w:type="dxa"/>
            <w:shd w:val="clear" w:color="auto" w:fill="auto"/>
            <w:hideMark/>
          </w:tcPr>
          <w:p w14:paraId="507386D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Sweden</w:t>
            </w:r>
          </w:p>
        </w:tc>
        <w:tc>
          <w:tcPr>
            <w:tcW w:w="4743" w:type="dxa"/>
            <w:shd w:val="clear" w:color="auto" w:fill="auto"/>
            <w:hideMark/>
          </w:tcPr>
          <w:p w14:paraId="7B07BDE3"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symptoms: distress and well being during the last days of life</w:t>
            </w:r>
          </w:p>
        </w:tc>
      </w:tr>
      <w:tr w:rsidR="009E62FE" w:rsidRPr="000C6E78" w14:paraId="35C752BB" w14:textId="77777777" w:rsidTr="00BB4029">
        <w:trPr>
          <w:trHeight w:val="1680"/>
        </w:trPr>
        <w:tc>
          <w:tcPr>
            <w:tcW w:w="561" w:type="dxa"/>
            <w:shd w:val="clear" w:color="auto" w:fill="auto"/>
            <w:noWrap/>
            <w:hideMark/>
          </w:tcPr>
          <w:p w14:paraId="49AE5C96" w14:textId="6F146264"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BB4029">
              <w:rPr>
                <w:rFonts w:ascii="Arial" w:hAnsi="Arial" w:cs="Arial"/>
                <w:color w:val="000000"/>
                <w:sz w:val="18"/>
                <w:szCs w:val="18"/>
              </w:rPr>
              <w:t>6</w:t>
            </w:r>
          </w:p>
        </w:tc>
        <w:tc>
          <w:tcPr>
            <w:tcW w:w="1571" w:type="dxa"/>
            <w:shd w:val="clear" w:color="auto" w:fill="auto"/>
            <w:noWrap/>
            <w:hideMark/>
          </w:tcPr>
          <w:p w14:paraId="4122D0D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Chan RJ, et al. 2016</w:t>
            </w:r>
          </w:p>
        </w:tc>
        <w:tc>
          <w:tcPr>
            <w:tcW w:w="1756" w:type="dxa"/>
            <w:shd w:val="clear" w:color="auto" w:fill="auto"/>
            <w:hideMark/>
          </w:tcPr>
          <w:p w14:paraId="6FB1B219"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0F0A509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in the last days of their lives</w:t>
            </w:r>
          </w:p>
        </w:tc>
        <w:tc>
          <w:tcPr>
            <w:tcW w:w="1969" w:type="dxa"/>
            <w:shd w:val="clear" w:color="auto" w:fill="auto"/>
            <w:hideMark/>
          </w:tcPr>
          <w:p w14:paraId="19C151F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systematic review</w:t>
            </w:r>
          </w:p>
        </w:tc>
        <w:tc>
          <w:tcPr>
            <w:tcW w:w="1224" w:type="dxa"/>
            <w:shd w:val="clear" w:color="auto" w:fill="auto"/>
            <w:hideMark/>
          </w:tcPr>
          <w:p w14:paraId="28717C25" w14:textId="3B475D66"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24B4590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 xml:space="preserve">Primairy outcomes: physical symptom severity, psychological symptom severity, harms. Secondary outcomes: advanced care planning, communication between healthcare teams and families, carers’ well-being, grief and bereavement, patient/staff/carers’ satisfaction, staff confidence, cost of intervention, cost of care, </w:t>
            </w:r>
            <w:r w:rsidRPr="0057539F">
              <w:rPr>
                <w:rFonts w:ascii="Arial" w:hAnsi="Arial" w:cs="Arial"/>
                <w:color w:val="000000"/>
                <w:sz w:val="18"/>
                <w:szCs w:val="18"/>
                <w:lang w:val="en-US"/>
              </w:rPr>
              <w:lastRenderedPageBreak/>
              <w:t>medication/treatment use, spiritual needs</w:t>
            </w:r>
          </w:p>
        </w:tc>
      </w:tr>
      <w:tr w:rsidR="009E62FE" w:rsidRPr="000C6E78" w14:paraId="391D6703" w14:textId="77777777" w:rsidTr="00BB4029">
        <w:trPr>
          <w:trHeight w:val="720"/>
        </w:trPr>
        <w:tc>
          <w:tcPr>
            <w:tcW w:w="561" w:type="dxa"/>
            <w:shd w:val="clear" w:color="auto" w:fill="auto"/>
            <w:noWrap/>
            <w:hideMark/>
          </w:tcPr>
          <w:p w14:paraId="3ABDA1D5" w14:textId="7BDDFEDC"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1</w:t>
            </w:r>
            <w:r w:rsidR="00BB4029">
              <w:rPr>
                <w:rFonts w:ascii="Arial" w:hAnsi="Arial" w:cs="Arial"/>
                <w:color w:val="000000"/>
                <w:sz w:val="18"/>
                <w:szCs w:val="18"/>
              </w:rPr>
              <w:t>7</w:t>
            </w:r>
          </w:p>
        </w:tc>
        <w:tc>
          <w:tcPr>
            <w:tcW w:w="1571" w:type="dxa"/>
            <w:shd w:val="clear" w:color="auto" w:fill="auto"/>
            <w:noWrap/>
            <w:hideMark/>
          </w:tcPr>
          <w:p w14:paraId="17F6305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Chang PL, et al. 2002</w:t>
            </w:r>
          </w:p>
        </w:tc>
        <w:tc>
          <w:tcPr>
            <w:tcW w:w="1756" w:type="dxa"/>
            <w:shd w:val="clear" w:color="auto" w:fill="auto"/>
            <w:hideMark/>
          </w:tcPr>
          <w:p w14:paraId="5AA82EEC"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011D06F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renal cell carcinoma</w:t>
            </w:r>
          </w:p>
        </w:tc>
        <w:tc>
          <w:tcPr>
            <w:tcW w:w="1969" w:type="dxa"/>
            <w:shd w:val="clear" w:color="auto" w:fill="auto"/>
            <w:hideMark/>
          </w:tcPr>
          <w:p w14:paraId="51A1663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w:t>
            </w:r>
          </w:p>
        </w:tc>
        <w:tc>
          <w:tcPr>
            <w:tcW w:w="1224" w:type="dxa"/>
            <w:shd w:val="clear" w:color="auto" w:fill="auto"/>
            <w:hideMark/>
          </w:tcPr>
          <w:p w14:paraId="37DBD53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Taiwan/UK</w:t>
            </w:r>
          </w:p>
        </w:tc>
        <w:tc>
          <w:tcPr>
            <w:tcW w:w="4743" w:type="dxa"/>
            <w:shd w:val="clear" w:color="auto" w:fill="auto"/>
            <w:hideMark/>
          </w:tcPr>
          <w:p w14:paraId="078FF7AD"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w:t>
            </w:r>
            <w:r>
              <w:rPr>
                <w:rFonts w:ascii="Arial" w:hAnsi="Arial" w:cs="Arial"/>
                <w:color w:val="000000"/>
                <w:sz w:val="18"/>
                <w:szCs w:val="18"/>
                <w:lang w:val="en-US"/>
              </w:rPr>
              <w:t>t</w:t>
            </w:r>
            <w:r w:rsidRPr="0057539F">
              <w:rPr>
                <w:rFonts w:ascii="Arial" w:hAnsi="Arial" w:cs="Arial"/>
                <w:color w:val="000000"/>
                <w:sz w:val="18"/>
                <w:szCs w:val="18"/>
                <w:lang w:val="en-US"/>
              </w:rPr>
              <w:t xml:space="preserve">h of stay, admission charges, six quality indicators and the advantages of the web based pathway. </w:t>
            </w:r>
          </w:p>
        </w:tc>
      </w:tr>
      <w:tr w:rsidR="009E62FE" w:rsidRPr="000C6E78" w14:paraId="209317DE" w14:textId="77777777" w:rsidTr="00BB4029">
        <w:trPr>
          <w:trHeight w:val="480"/>
        </w:trPr>
        <w:tc>
          <w:tcPr>
            <w:tcW w:w="561" w:type="dxa"/>
            <w:shd w:val="clear" w:color="auto" w:fill="auto"/>
            <w:noWrap/>
            <w:hideMark/>
          </w:tcPr>
          <w:p w14:paraId="3805BCA6" w14:textId="72DD8099"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BB4029">
              <w:rPr>
                <w:rFonts w:ascii="Arial" w:hAnsi="Arial" w:cs="Arial"/>
                <w:color w:val="000000"/>
                <w:sz w:val="18"/>
                <w:szCs w:val="18"/>
              </w:rPr>
              <w:t>8</w:t>
            </w:r>
          </w:p>
        </w:tc>
        <w:tc>
          <w:tcPr>
            <w:tcW w:w="1571" w:type="dxa"/>
            <w:shd w:val="clear" w:color="auto" w:fill="auto"/>
            <w:noWrap/>
            <w:hideMark/>
          </w:tcPr>
          <w:p w14:paraId="4F230EF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Chang PL, et al. 2000</w:t>
            </w:r>
          </w:p>
        </w:tc>
        <w:tc>
          <w:tcPr>
            <w:tcW w:w="1756" w:type="dxa"/>
            <w:shd w:val="clear" w:color="auto" w:fill="auto"/>
            <w:hideMark/>
          </w:tcPr>
          <w:p w14:paraId="0F02BBDB"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76ED800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renal cell carcinoma</w:t>
            </w:r>
          </w:p>
        </w:tc>
        <w:tc>
          <w:tcPr>
            <w:tcW w:w="1969" w:type="dxa"/>
            <w:shd w:val="clear" w:color="auto" w:fill="auto"/>
            <w:hideMark/>
          </w:tcPr>
          <w:p w14:paraId="10553A4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cohort study</w:t>
            </w:r>
          </w:p>
        </w:tc>
        <w:tc>
          <w:tcPr>
            <w:tcW w:w="1224" w:type="dxa"/>
            <w:shd w:val="clear" w:color="auto" w:fill="auto"/>
            <w:hideMark/>
          </w:tcPr>
          <w:p w14:paraId="30A87B9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Taiwan</w:t>
            </w:r>
          </w:p>
        </w:tc>
        <w:tc>
          <w:tcPr>
            <w:tcW w:w="4743" w:type="dxa"/>
            <w:shd w:val="clear" w:color="auto" w:fill="auto"/>
            <w:hideMark/>
          </w:tcPr>
          <w:p w14:paraId="4A9A67F6"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w:t>
            </w:r>
            <w:r>
              <w:rPr>
                <w:rFonts w:ascii="Arial" w:hAnsi="Arial" w:cs="Arial"/>
                <w:color w:val="000000"/>
                <w:sz w:val="18"/>
                <w:szCs w:val="18"/>
                <w:lang w:val="en-US"/>
              </w:rPr>
              <w:t>t</w:t>
            </w:r>
            <w:r w:rsidRPr="0057539F">
              <w:rPr>
                <w:rFonts w:ascii="Arial" w:hAnsi="Arial" w:cs="Arial"/>
                <w:color w:val="000000"/>
                <w:sz w:val="18"/>
                <w:szCs w:val="18"/>
                <w:lang w:val="en-US"/>
              </w:rPr>
              <w:t>h of stay, average admission charges, and 8 quality indicators</w:t>
            </w:r>
          </w:p>
        </w:tc>
      </w:tr>
      <w:tr w:rsidR="009E62FE" w:rsidRPr="000C6E78" w14:paraId="3CC91FA8" w14:textId="77777777" w:rsidTr="00BB4029">
        <w:trPr>
          <w:trHeight w:val="480"/>
        </w:trPr>
        <w:tc>
          <w:tcPr>
            <w:tcW w:w="561" w:type="dxa"/>
            <w:shd w:val="clear" w:color="auto" w:fill="auto"/>
            <w:noWrap/>
            <w:hideMark/>
          </w:tcPr>
          <w:p w14:paraId="46076EC6" w14:textId="00A20E4B"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BB4029">
              <w:rPr>
                <w:rFonts w:ascii="Arial" w:hAnsi="Arial" w:cs="Arial"/>
                <w:color w:val="000000"/>
                <w:sz w:val="18"/>
                <w:szCs w:val="18"/>
              </w:rPr>
              <w:t>9</w:t>
            </w:r>
          </w:p>
        </w:tc>
        <w:tc>
          <w:tcPr>
            <w:tcW w:w="1571" w:type="dxa"/>
            <w:shd w:val="clear" w:color="auto" w:fill="auto"/>
            <w:noWrap/>
            <w:hideMark/>
          </w:tcPr>
          <w:p w14:paraId="2631749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Chang SS, et al. 2002</w:t>
            </w:r>
          </w:p>
        </w:tc>
        <w:tc>
          <w:tcPr>
            <w:tcW w:w="1756" w:type="dxa"/>
            <w:shd w:val="clear" w:color="auto" w:fill="auto"/>
            <w:hideMark/>
          </w:tcPr>
          <w:p w14:paraId="525212A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Not cancer patients</w:t>
            </w:r>
          </w:p>
        </w:tc>
        <w:tc>
          <w:tcPr>
            <w:tcW w:w="2180" w:type="dxa"/>
            <w:shd w:val="clear" w:color="auto" w:fill="auto"/>
            <w:hideMark/>
          </w:tcPr>
          <w:p w14:paraId="31A2760C"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radical cystectomy (no oncology patients)</w:t>
            </w:r>
          </w:p>
        </w:tc>
        <w:tc>
          <w:tcPr>
            <w:tcW w:w="1969" w:type="dxa"/>
            <w:shd w:val="clear" w:color="auto" w:fill="auto"/>
            <w:hideMark/>
          </w:tcPr>
          <w:p w14:paraId="40977AF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w:t>
            </w:r>
          </w:p>
        </w:tc>
        <w:tc>
          <w:tcPr>
            <w:tcW w:w="1224" w:type="dxa"/>
            <w:shd w:val="clear" w:color="auto" w:fill="auto"/>
            <w:hideMark/>
          </w:tcPr>
          <w:p w14:paraId="0E55DA1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0E9D1F5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Complication rate, postoperative ileus, blood los, mortality rate</w:t>
            </w:r>
          </w:p>
        </w:tc>
      </w:tr>
      <w:tr w:rsidR="009E62FE" w:rsidRPr="000C6E78" w14:paraId="48306470" w14:textId="77777777" w:rsidTr="00BB4029">
        <w:trPr>
          <w:trHeight w:val="480"/>
        </w:trPr>
        <w:tc>
          <w:tcPr>
            <w:tcW w:w="561" w:type="dxa"/>
            <w:shd w:val="clear" w:color="auto" w:fill="auto"/>
            <w:noWrap/>
            <w:hideMark/>
          </w:tcPr>
          <w:p w14:paraId="0AD046F4" w14:textId="302A09C7" w:rsidR="009E62FE" w:rsidRPr="0057539F" w:rsidRDefault="00BB4029" w:rsidP="00BB4029">
            <w:pPr>
              <w:rPr>
                <w:rFonts w:ascii="Arial" w:hAnsi="Arial" w:cs="Arial"/>
                <w:color w:val="000000"/>
                <w:sz w:val="18"/>
                <w:szCs w:val="18"/>
              </w:rPr>
            </w:pPr>
            <w:r>
              <w:rPr>
                <w:rFonts w:ascii="Arial" w:hAnsi="Arial" w:cs="Arial"/>
                <w:color w:val="000000"/>
                <w:sz w:val="18"/>
                <w:szCs w:val="18"/>
              </w:rPr>
              <w:t>20</w:t>
            </w:r>
          </w:p>
        </w:tc>
        <w:tc>
          <w:tcPr>
            <w:tcW w:w="1571" w:type="dxa"/>
            <w:shd w:val="clear" w:color="auto" w:fill="auto"/>
            <w:noWrap/>
            <w:hideMark/>
          </w:tcPr>
          <w:p w14:paraId="733EA6B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Chang SS, et al. 2002</w:t>
            </w:r>
          </w:p>
        </w:tc>
        <w:tc>
          <w:tcPr>
            <w:tcW w:w="1756" w:type="dxa"/>
            <w:shd w:val="clear" w:color="auto" w:fill="auto"/>
            <w:hideMark/>
          </w:tcPr>
          <w:p w14:paraId="458F0E3A"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1C21AD3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germ cell carcinoma</w:t>
            </w:r>
          </w:p>
        </w:tc>
        <w:tc>
          <w:tcPr>
            <w:tcW w:w="1969" w:type="dxa"/>
            <w:shd w:val="clear" w:color="auto" w:fill="auto"/>
            <w:hideMark/>
          </w:tcPr>
          <w:p w14:paraId="52FE471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retrospectieve study</w:t>
            </w:r>
          </w:p>
        </w:tc>
        <w:tc>
          <w:tcPr>
            <w:tcW w:w="1224" w:type="dxa"/>
            <w:shd w:val="clear" w:color="auto" w:fill="auto"/>
            <w:hideMark/>
          </w:tcPr>
          <w:p w14:paraId="7FFABEE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5179C96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Clinical/pathological stage, hospital stay, postoperative care and complications rate</w:t>
            </w:r>
          </w:p>
        </w:tc>
      </w:tr>
      <w:tr w:rsidR="009E62FE" w:rsidRPr="000C6E78" w14:paraId="74CF6016" w14:textId="77777777" w:rsidTr="00BB4029">
        <w:trPr>
          <w:trHeight w:val="960"/>
        </w:trPr>
        <w:tc>
          <w:tcPr>
            <w:tcW w:w="561" w:type="dxa"/>
            <w:shd w:val="clear" w:color="auto" w:fill="auto"/>
            <w:noWrap/>
            <w:hideMark/>
          </w:tcPr>
          <w:p w14:paraId="0389E55F" w14:textId="5F58FBAD"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2</w:t>
            </w:r>
            <w:r w:rsidR="00BB4029">
              <w:rPr>
                <w:rFonts w:ascii="Arial" w:hAnsi="Arial" w:cs="Arial"/>
                <w:color w:val="000000"/>
                <w:sz w:val="18"/>
                <w:szCs w:val="18"/>
              </w:rPr>
              <w:t>1</w:t>
            </w:r>
          </w:p>
        </w:tc>
        <w:tc>
          <w:tcPr>
            <w:tcW w:w="1571" w:type="dxa"/>
            <w:shd w:val="clear" w:color="auto" w:fill="auto"/>
            <w:noWrap/>
            <w:hideMark/>
          </w:tcPr>
          <w:p w14:paraId="5C31285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Chang WC, et al. 2003</w:t>
            </w:r>
          </w:p>
        </w:tc>
        <w:tc>
          <w:tcPr>
            <w:tcW w:w="1756" w:type="dxa"/>
            <w:shd w:val="clear" w:color="auto" w:fill="auto"/>
            <w:hideMark/>
          </w:tcPr>
          <w:p w14:paraId="64E50EE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Not cancer patients only</w:t>
            </w:r>
          </w:p>
        </w:tc>
        <w:tc>
          <w:tcPr>
            <w:tcW w:w="2180" w:type="dxa"/>
            <w:shd w:val="clear" w:color="auto" w:fill="auto"/>
            <w:hideMark/>
          </w:tcPr>
          <w:p w14:paraId="4279C5C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who recieved laparoscopy assisted vaginal hysterectomy (mostly patients with myoma uteri)</w:t>
            </w:r>
          </w:p>
        </w:tc>
        <w:tc>
          <w:tcPr>
            <w:tcW w:w="1969" w:type="dxa"/>
            <w:shd w:val="clear" w:color="auto" w:fill="auto"/>
            <w:hideMark/>
          </w:tcPr>
          <w:p w14:paraId="54A63C6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08687A6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Taiwan</w:t>
            </w:r>
          </w:p>
        </w:tc>
        <w:tc>
          <w:tcPr>
            <w:tcW w:w="4743" w:type="dxa"/>
            <w:shd w:val="clear" w:color="auto" w:fill="auto"/>
            <w:hideMark/>
          </w:tcPr>
          <w:p w14:paraId="2B2CE80F"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Delay of operation, blood transfusion, duartion of post-operative antibiotics, patient mortality, complications, readmissions, leng</w:t>
            </w:r>
            <w:r>
              <w:rPr>
                <w:rFonts w:ascii="Arial" w:hAnsi="Arial" w:cs="Arial"/>
                <w:color w:val="000000"/>
                <w:sz w:val="18"/>
                <w:szCs w:val="18"/>
                <w:lang w:val="en-US"/>
              </w:rPr>
              <w:t>t</w:t>
            </w:r>
            <w:r w:rsidRPr="0057539F">
              <w:rPr>
                <w:rFonts w:ascii="Arial" w:hAnsi="Arial" w:cs="Arial"/>
                <w:color w:val="000000"/>
                <w:sz w:val="18"/>
                <w:szCs w:val="18"/>
                <w:lang w:val="en-US"/>
              </w:rPr>
              <w:t>h of stay, duration of operation, duration of anesthesia</w:t>
            </w:r>
          </w:p>
        </w:tc>
      </w:tr>
      <w:tr w:rsidR="009E62FE" w:rsidRPr="000C6E78" w14:paraId="17A287A9" w14:textId="77777777" w:rsidTr="00BB4029">
        <w:trPr>
          <w:trHeight w:val="480"/>
        </w:trPr>
        <w:tc>
          <w:tcPr>
            <w:tcW w:w="561" w:type="dxa"/>
            <w:shd w:val="clear" w:color="auto" w:fill="auto"/>
            <w:noWrap/>
            <w:hideMark/>
          </w:tcPr>
          <w:p w14:paraId="52A627A0" w14:textId="11B839F8"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2</w:t>
            </w:r>
            <w:r w:rsidR="00BB4029">
              <w:rPr>
                <w:rFonts w:ascii="Arial" w:hAnsi="Arial" w:cs="Arial"/>
                <w:color w:val="000000"/>
                <w:sz w:val="18"/>
                <w:szCs w:val="18"/>
              </w:rPr>
              <w:t>2</w:t>
            </w:r>
          </w:p>
        </w:tc>
        <w:tc>
          <w:tcPr>
            <w:tcW w:w="1571" w:type="dxa"/>
            <w:shd w:val="clear" w:color="auto" w:fill="auto"/>
            <w:noWrap/>
            <w:hideMark/>
          </w:tcPr>
          <w:p w14:paraId="4B4AF3E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Chang WC, et al. 2003</w:t>
            </w:r>
          </w:p>
        </w:tc>
        <w:tc>
          <w:tcPr>
            <w:tcW w:w="1756" w:type="dxa"/>
            <w:shd w:val="clear" w:color="auto" w:fill="auto"/>
            <w:hideMark/>
          </w:tcPr>
          <w:p w14:paraId="157AAE8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Not cancer patients only</w:t>
            </w:r>
          </w:p>
        </w:tc>
        <w:tc>
          <w:tcPr>
            <w:tcW w:w="2180" w:type="dxa"/>
            <w:shd w:val="clear" w:color="auto" w:fill="auto"/>
            <w:hideMark/>
          </w:tcPr>
          <w:p w14:paraId="1E86DFF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most patients with myoma uturi (a few patients with cancer)</w:t>
            </w:r>
          </w:p>
        </w:tc>
        <w:tc>
          <w:tcPr>
            <w:tcW w:w="1969" w:type="dxa"/>
            <w:shd w:val="clear" w:color="auto" w:fill="auto"/>
            <w:hideMark/>
          </w:tcPr>
          <w:p w14:paraId="374BD06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728754B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Taiwan</w:t>
            </w:r>
          </w:p>
        </w:tc>
        <w:tc>
          <w:tcPr>
            <w:tcW w:w="4743" w:type="dxa"/>
            <w:shd w:val="clear" w:color="auto" w:fill="auto"/>
            <w:hideMark/>
          </w:tcPr>
          <w:p w14:paraId="4CCAB585"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Costs, operation time, length of stay</w:t>
            </w:r>
          </w:p>
        </w:tc>
      </w:tr>
      <w:tr w:rsidR="009E62FE" w:rsidRPr="0057539F" w14:paraId="11EF22D4" w14:textId="77777777" w:rsidTr="00BB4029">
        <w:trPr>
          <w:trHeight w:val="480"/>
        </w:trPr>
        <w:tc>
          <w:tcPr>
            <w:tcW w:w="561" w:type="dxa"/>
            <w:shd w:val="clear" w:color="auto" w:fill="auto"/>
            <w:noWrap/>
            <w:hideMark/>
          </w:tcPr>
          <w:p w14:paraId="513B17CA" w14:textId="556BC0D9"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2</w:t>
            </w:r>
            <w:r w:rsidR="00BB4029">
              <w:rPr>
                <w:rFonts w:ascii="Arial" w:hAnsi="Arial" w:cs="Arial"/>
                <w:color w:val="000000"/>
                <w:sz w:val="18"/>
                <w:szCs w:val="18"/>
              </w:rPr>
              <w:t>3</w:t>
            </w:r>
          </w:p>
        </w:tc>
        <w:tc>
          <w:tcPr>
            <w:tcW w:w="1571" w:type="dxa"/>
            <w:shd w:val="clear" w:color="auto" w:fill="auto"/>
            <w:noWrap/>
            <w:hideMark/>
          </w:tcPr>
          <w:p w14:paraId="630C7F7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Chase DM, et al. 2008</w:t>
            </w:r>
          </w:p>
        </w:tc>
        <w:tc>
          <w:tcPr>
            <w:tcW w:w="1756" w:type="dxa"/>
            <w:shd w:val="clear" w:color="auto" w:fill="auto"/>
            <w:hideMark/>
          </w:tcPr>
          <w:p w14:paraId="7182E553"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45A48CF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gynaecologic oncology patients</w:t>
            </w:r>
          </w:p>
        </w:tc>
        <w:tc>
          <w:tcPr>
            <w:tcW w:w="1969" w:type="dxa"/>
            <w:shd w:val="clear" w:color="auto" w:fill="auto"/>
            <w:hideMark/>
          </w:tcPr>
          <w:p w14:paraId="54C114F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retrospective study (without control group)</w:t>
            </w:r>
          </w:p>
        </w:tc>
        <w:tc>
          <w:tcPr>
            <w:tcW w:w="1224" w:type="dxa"/>
            <w:shd w:val="clear" w:color="auto" w:fill="auto"/>
            <w:hideMark/>
          </w:tcPr>
          <w:p w14:paraId="0E4EC9F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7FA5AD1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Readmissions, mortality, complication rates</w:t>
            </w:r>
          </w:p>
        </w:tc>
      </w:tr>
      <w:tr w:rsidR="009E62FE" w:rsidRPr="0057539F" w14:paraId="44EEE285" w14:textId="77777777" w:rsidTr="00BB4029">
        <w:trPr>
          <w:trHeight w:val="240"/>
        </w:trPr>
        <w:tc>
          <w:tcPr>
            <w:tcW w:w="561" w:type="dxa"/>
            <w:shd w:val="clear" w:color="auto" w:fill="auto"/>
            <w:noWrap/>
            <w:hideMark/>
          </w:tcPr>
          <w:p w14:paraId="1E17EB12" w14:textId="176221F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2</w:t>
            </w:r>
            <w:r w:rsidR="00BB4029">
              <w:rPr>
                <w:rFonts w:ascii="Arial" w:hAnsi="Arial" w:cs="Arial"/>
                <w:color w:val="000000"/>
                <w:sz w:val="18"/>
                <w:szCs w:val="18"/>
              </w:rPr>
              <w:t>4</w:t>
            </w:r>
          </w:p>
        </w:tc>
        <w:tc>
          <w:tcPr>
            <w:tcW w:w="1571" w:type="dxa"/>
            <w:shd w:val="clear" w:color="auto" w:fill="auto"/>
            <w:noWrap/>
            <w:hideMark/>
          </w:tcPr>
          <w:p w14:paraId="16A1D30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Choi JW, et al. 2013</w:t>
            </w:r>
          </w:p>
        </w:tc>
        <w:tc>
          <w:tcPr>
            <w:tcW w:w="1756" w:type="dxa"/>
            <w:shd w:val="clear" w:color="auto" w:fill="auto"/>
            <w:hideMark/>
          </w:tcPr>
          <w:p w14:paraId="592983F1"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28B78A9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gastric cancer</w:t>
            </w:r>
          </w:p>
        </w:tc>
        <w:tc>
          <w:tcPr>
            <w:tcW w:w="1969" w:type="dxa"/>
            <w:shd w:val="clear" w:color="auto" w:fill="auto"/>
            <w:hideMark/>
          </w:tcPr>
          <w:p w14:paraId="244BCA9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0AA814F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Korea</w:t>
            </w:r>
          </w:p>
        </w:tc>
        <w:tc>
          <w:tcPr>
            <w:tcW w:w="4743" w:type="dxa"/>
            <w:shd w:val="clear" w:color="auto" w:fill="auto"/>
            <w:hideMark/>
          </w:tcPr>
          <w:p w14:paraId="6D39293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Discharge</w:t>
            </w:r>
            <w:r>
              <w:rPr>
                <w:rFonts w:ascii="Arial" w:hAnsi="Arial" w:cs="Arial"/>
                <w:color w:val="000000"/>
                <w:sz w:val="18"/>
                <w:szCs w:val="18"/>
              </w:rPr>
              <w:t xml:space="preserve">, </w:t>
            </w:r>
            <w:r w:rsidRPr="0057539F">
              <w:rPr>
                <w:rFonts w:ascii="Arial" w:hAnsi="Arial" w:cs="Arial"/>
                <w:color w:val="000000"/>
                <w:sz w:val="18"/>
                <w:szCs w:val="18"/>
              </w:rPr>
              <w:t>readmission, complications</w:t>
            </w:r>
          </w:p>
        </w:tc>
      </w:tr>
      <w:tr w:rsidR="009E62FE" w:rsidRPr="0057539F" w14:paraId="5FECB8F9" w14:textId="77777777" w:rsidTr="00BB4029">
        <w:trPr>
          <w:trHeight w:val="480"/>
        </w:trPr>
        <w:tc>
          <w:tcPr>
            <w:tcW w:w="561" w:type="dxa"/>
            <w:shd w:val="clear" w:color="auto" w:fill="auto"/>
            <w:noWrap/>
            <w:hideMark/>
          </w:tcPr>
          <w:p w14:paraId="1B74E35B" w14:textId="58D6C75E"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2</w:t>
            </w:r>
            <w:r w:rsidR="00BB4029">
              <w:rPr>
                <w:rFonts w:ascii="Arial" w:hAnsi="Arial" w:cs="Arial"/>
                <w:color w:val="000000"/>
                <w:sz w:val="18"/>
                <w:szCs w:val="18"/>
              </w:rPr>
              <w:t>5</w:t>
            </w:r>
          </w:p>
        </w:tc>
        <w:tc>
          <w:tcPr>
            <w:tcW w:w="1571" w:type="dxa"/>
            <w:shd w:val="clear" w:color="auto" w:fill="auto"/>
            <w:noWrap/>
            <w:hideMark/>
          </w:tcPr>
          <w:p w14:paraId="6E42E82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Choi JY. 2011</w:t>
            </w:r>
          </w:p>
        </w:tc>
        <w:tc>
          <w:tcPr>
            <w:tcW w:w="1756" w:type="dxa"/>
            <w:shd w:val="clear" w:color="auto" w:fill="auto"/>
            <w:hideMark/>
          </w:tcPr>
          <w:p w14:paraId="17D04489"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2BE1E9B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hepatocelluar carcinoma</w:t>
            </w:r>
          </w:p>
        </w:tc>
        <w:tc>
          <w:tcPr>
            <w:tcW w:w="1969" w:type="dxa"/>
            <w:shd w:val="clear" w:color="auto" w:fill="auto"/>
            <w:hideMark/>
          </w:tcPr>
          <w:p w14:paraId="14CF5F2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descriptive article about treatment algorithm</w:t>
            </w:r>
          </w:p>
        </w:tc>
        <w:tc>
          <w:tcPr>
            <w:tcW w:w="1224" w:type="dxa"/>
            <w:shd w:val="clear" w:color="auto" w:fill="auto"/>
            <w:hideMark/>
          </w:tcPr>
          <w:p w14:paraId="72814C6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Korea</w:t>
            </w:r>
          </w:p>
        </w:tc>
        <w:tc>
          <w:tcPr>
            <w:tcW w:w="4743" w:type="dxa"/>
            <w:shd w:val="clear" w:color="auto" w:fill="auto"/>
            <w:hideMark/>
          </w:tcPr>
          <w:p w14:paraId="655DF0D3" w14:textId="77777777" w:rsidR="009E62FE" w:rsidRPr="0057539F" w:rsidRDefault="009E62FE" w:rsidP="00BB4029">
            <w:pPr>
              <w:rPr>
                <w:rFonts w:ascii="Arial" w:hAnsi="Arial" w:cs="Arial"/>
                <w:color w:val="000000"/>
                <w:sz w:val="18"/>
                <w:szCs w:val="18"/>
              </w:rPr>
            </w:pPr>
          </w:p>
        </w:tc>
      </w:tr>
      <w:tr w:rsidR="009E62FE" w:rsidRPr="000C6E78" w14:paraId="123B5AF9" w14:textId="77777777" w:rsidTr="00BB4029">
        <w:trPr>
          <w:trHeight w:val="480"/>
        </w:trPr>
        <w:tc>
          <w:tcPr>
            <w:tcW w:w="561" w:type="dxa"/>
            <w:shd w:val="clear" w:color="auto" w:fill="auto"/>
            <w:noWrap/>
            <w:hideMark/>
          </w:tcPr>
          <w:p w14:paraId="17811EFF" w14:textId="422A5DBB"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2</w:t>
            </w:r>
            <w:r w:rsidR="00BB4029">
              <w:rPr>
                <w:rFonts w:ascii="Arial" w:hAnsi="Arial" w:cs="Arial"/>
                <w:color w:val="000000"/>
                <w:sz w:val="18"/>
                <w:szCs w:val="18"/>
              </w:rPr>
              <w:t>6</w:t>
            </w:r>
          </w:p>
        </w:tc>
        <w:tc>
          <w:tcPr>
            <w:tcW w:w="1571" w:type="dxa"/>
            <w:shd w:val="clear" w:color="auto" w:fill="auto"/>
            <w:noWrap/>
            <w:hideMark/>
          </w:tcPr>
          <w:p w14:paraId="4F8EDDC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Cohen J, et al. 1997</w:t>
            </w:r>
          </w:p>
        </w:tc>
        <w:tc>
          <w:tcPr>
            <w:tcW w:w="1756" w:type="dxa"/>
            <w:shd w:val="clear" w:color="auto" w:fill="auto"/>
            <w:hideMark/>
          </w:tcPr>
          <w:p w14:paraId="36DDE2AC"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794DA4B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head and neck cancer</w:t>
            </w:r>
          </w:p>
        </w:tc>
        <w:tc>
          <w:tcPr>
            <w:tcW w:w="1969" w:type="dxa"/>
            <w:shd w:val="clear" w:color="auto" w:fill="auto"/>
            <w:hideMark/>
          </w:tcPr>
          <w:p w14:paraId="32B5F91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before-after trial</w:t>
            </w:r>
          </w:p>
        </w:tc>
        <w:tc>
          <w:tcPr>
            <w:tcW w:w="1224" w:type="dxa"/>
            <w:shd w:val="clear" w:color="auto" w:fill="auto"/>
            <w:hideMark/>
          </w:tcPr>
          <w:p w14:paraId="0A20FEA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2ED73C9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stay, costs of hospitalization, and variance tracking</w:t>
            </w:r>
          </w:p>
        </w:tc>
      </w:tr>
      <w:tr w:rsidR="009E62FE" w:rsidRPr="0057539F" w14:paraId="7DDB6A8C" w14:textId="77777777" w:rsidTr="00BB4029">
        <w:trPr>
          <w:trHeight w:val="240"/>
        </w:trPr>
        <w:tc>
          <w:tcPr>
            <w:tcW w:w="561" w:type="dxa"/>
            <w:shd w:val="clear" w:color="auto" w:fill="auto"/>
            <w:noWrap/>
            <w:hideMark/>
          </w:tcPr>
          <w:p w14:paraId="0A1DC333" w14:textId="286DF591"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2</w:t>
            </w:r>
            <w:r w:rsidR="00BB4029">
              <w:rPr>
                <w:rFonts w:ascii="Arial" w:hAnsi="Arial" w:cs="Arial"/>
                <w:color w:val="000000"/>
                <w:sz w:val="18"/>
                <w:szCs w:val="18"/>
              </w:rPr>
              <w:t>7</w:t>
            </w:r>
          </w:p>
        </w:tc>
        <w:tc>
          <w:tcPr>
            <w:tcW w:w="1571" w:type="dxa"/>
            <w:shd w:val="clear" w:color="auto" w:fill="auto"/>
            <w:noWrap/>
            <w:hideMark/>
          </w:tcPr>
          <w:p w14:paraId="32D62C9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Costantini M, et al. 2011</w:t>
            </w:r>
          </w:p>
        </w:tc>
        <w:tc>
          <w:tcPr>
            <w:tcW w:w="1756" w:type="dxa"/>
            <w:shd w:val="clear" w:color="auto" w:fill="auto"/>
            <w:hideMark/>
          </w:tcPr>
          <w:p w14:paraId="5D7A0F2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Protocol only</w:t>
            </w:r>
          </w:p>
        </w:tc>
        <w:tc>
          <w:tcPr>
            <w:tcW w:w="2180" w:type="dxa"/>
            <w:shd w:val="clear" w:color="auto" w:fill="auto"/>
            <w:hideMark/>
          </w:tcPr>
          <w:p w14:paraId="2EA4F529" w14:textId="77777777" w:rsidR="009E62FE" w:rsidRPr="0057539F" w:rsidRDefault="009E62FE" w:rsidP="00BB4029">
            <w:pPr>
              <w:rPr>
                <w:rFonts w:ascii="Arial" w:hAnsi="Arial" w:cs="Arial"/>
                <w:color w:val="000000"/>
                <w:sz w:val="18"/>
                <w:szCs w:val="18"/>
              </w:rPr>
            </w:pPr>
          </w:p>
        </w:tc>
        <w:tc>
          <w:tcPr>
            <w:tcW w:w="1969" w:type="dxa"/>
            <w:shd w:val="clear" w:color="auto" w:fill="auto"/>
            <w:hideMark/>
          </w:tcPr>
          <w:p w14:paraId="095DE82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Randomized cluster trial</w:t>
            </w:r>
          </w:p>
        </w:tc>
        <w:tc>
          <w:tcPr>
            <w:tcW w:w="1224" w:type="dxa"/>
            <w:shd w:val="clear" w:color="auto" w:fill="auto"/>
            <w:hideMark/>
          </w:tcPr>
          <w:p w14:paraId="729F29B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Italy</w:t>
            </w:r>
          </w:p>
        </w:tc>
        <w:tc>
          <w:tcPr>
            <w:tcW w:w="4743" w:type="dxa"/>
            <w:shd w:val="clear" w:color="auto" w:fill="auto"/>
            <w:hideMark/>
          </w:tcPr>
          <w:p w14:paraId="5F0FD7E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Overall quality of life</w:t>
            </w:r>
          </w:p>
        </w:tc>
      </w:tr>
      <w:tr w:rsidR="009E62FE" w:rsidRPr="000C6E78" w14:paraId="0F0C5A5D" w14:textId="77777777" w:rsidTr="00BB4029">
        <w:trPr>
          <w:trHeight w:val="240"/>
        </w:trPr>
        <w:tc>
          <w:tcPr>
            <w:tcW w:w="561" w:type="dxa"/>
            <w:shd w:val="clear" w:color="auto" w:fill="auto"/>
            <w:noWrap/>
            <w:hideMark/>
          </w:tcPr>
          <w:p w14:paraId="659379B0" w14:textId="4DFBD05A"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2</w:t>
            </w:r>
            <w:r w:rsidR="00BB4029">
              <w:rPr>
                <w:rFonts w:ascii="Arial" w:hAnsi="Arial" w:cs="Arial"/>
                <w:color w:val="000000"/>
                <w:sz w:val="18"/>
                <w:szCs w:val="18"/>
              </w:rPr>
              <w:t>8</w:t>
            </w:r>
          </w:p>
        </w:tc>
        <w:tc>
          <w:tcPr>
            <w:tcW w:w="1571" w:type="dxa"/>
            <w:shd w:val="clear" w:color="auto" w:fill="auto"/>
            <w:noWrap/>
            <w:hideMark/>
          </w:tcPr>
          <w:p w14:paraId="65B0467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Costantini M, et al. 2014</w:t>
            </w:r>
          </w:p>
        </w:tc>
        <w:tc>
          <w:tcPr>
            <w:tcW w:w="1756" w:type="dxa"/>
            <w:shd w:val="clear" w:color="auto" w:fill="auto"/>
            <w:hideMark/>
          </w:tcPr>
          <w:p w14:paraId="368BB119"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outcomes</w:t>
            </w:r>
          </w:p>
        </w:tc>
        <w:tc>
          <w:tcPr>
            <w:tcW w:w="2180" w:type="dxa"/>
            <w:shd w:val="clear" w:color="auto" w:fill="auto"/>
            <w:hideMark/>
          </w:tcPr>
          <w:p w14:paraId="2815E79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cancer patients</w:t>
            </w:r>
          </w:p>
        </w:tc>
        <w:tc>
          <w:tcPr>
            <w:tcW w:w="1969" w:type="dxa"/>
            <w:shd w:val="clear" w:color="auto" w:fill="auto"/>
            <w:hideMark/>
          </w:tcPr>
          <w:p w14:paraId="6B619D8F"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before after cluster phase II trials</w:t>
            </w:r>
          </w:p>
        </w:tc>
        <w:tc>
          <w:tcPr>
            <w:tcW w:w="1224" w:type="dxa"/>
            <w:shd w:val="clear" w:color="auto" w:fill="auto"/>
            <w:hideMark/>
          </w:tcPr>
          <w:p w14:paraId="1AE668C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Italy</w:t>
            </w:r>
          </w:p>
        </w:tc>
        <w:tc>
          <w:tcPr>
            <w:tcW w:w="4743" w:type="dxa"/>
            <w:shd w:val="clear" w:color="auto" w:fill="auto"/>
            <w:hideMark/>
          </w:tcPr>
          <w:p w14:paraId="144DFDC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Outcomes reported by family members</w:t>
            </w:r>
          </w:p>
        </w:tc>
      </w:tr>
      <w:tr w:rsidR="009E62FE" w:rsidRPr="0057539F" w14:paraId="0E1F4D9D" w14:textId="77777777" w:rsidTr="00BB4029">
        <w:trPr>
          <w:trHeight w:val="480"/>
        </w:trPr>
        <w:tc>
          <w:tcPr>
            <w:tcW w:w="561" w:type="dxa"/>
            <w:shd w:val="clear" w:color="auto" w:fill="auto"/>
            <w:noWrap/>
            <w:hideMark/>
          </w:tcPr>
          <w:p w14:paraId="67F34A52" w14:textId="66D967EC" w:rsidR="009E62FE" w:rsidRPr="0057539F" w:rsidRDefault="00BB4029" w:rsidP="00BB4029">
            <w:pPr>
              <w:rPr>
                <w:rFonts w:ascii="Arial" w:hAnsi="Arial" w:cs="Arial"/>
                <w:color w:val="000000"/>
                <w:sz w:val="18"/>
                <w:szCs w:val="18"/>
              </w:rPr>
            </w:pPr>
            <w:r>
              <w:rPr>
                <w:rFonts w:ascii="Arial" w:hAnsi="Arial" w:cs="Arial"/>
                <w:color w:val="000000"/>
                <w:sz w:val="18"/>
                <w:szCs w:val="18"/>
              </w:rPr>
              <w:t>29</w:t>
            </w:r>
          </w:p>
        </w:tc>
        <w:tc>
          <w:tcPr>
            <w:tcW w:w="1571" w:type="dxa"/>
            <w:shd w:val="clear" w:color="auto" w:fill="auto"/>
            <w:noWrap/>
            <w:hideMark/>
          </w:tcPr>
          <w:p w14:paraId="7B770FE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Costantini M, et al. 2014</w:t>
            </w:r>
          </w:p>
        </w:tc>
        <w:tc>
          <w:tcPr>
            <w:tcW w:w="1756" w:type="dxa"/>
            <w:shd w:val="clear" w:color="auto" w:fill="auto"/>
            <w:hideMark/>
          </w:tcPr>
          <w:p w14:paraId="21A9917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Does not meet CP definition</w:t>
            </w:r>
          </w:p>
        </w:tc>
        <w:tc>
          <w:tcPr>
            <w:tcW w:w="2180" w:type="dxa"/>
            <w:shd w:val="clear" w:color="auto" w:fill="auto"/>
            <w:hideMark/>
          </w:tcPr>
          <w:p w14:paraId="013D806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cancer patients</w:t>
            </w:r>
          </w:p>
        </w:tc>
        <w:tc>
          <w:tcPr>
            <w:tcW w:w="1969" w:type="dxa"/>
            <w:shd w:val="clear" w:color="auto" w:fill="auto"/>
            <w:hideMark/>
          </w:tcPr>
          <w:p w14:paraId="2F72EB6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pragmatic cluster randomised trial</w:t>
            </w:r>
          </w:p>
        </w:tc>
        <w:tc>
          <w:tcPr>
            <w:tcW w:w="1224" w:type="dxa"/>
            <w:shd w:val="clear" w:color="auto" w:fill="auto"/>
            <w:hideMark/>
          </w:tcPr>
          <w:p w14:paraId="66BD599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Italy</w:t>
            </w:r>
          </w:p>
        </w:tc>
        <w:tc>
          <w:tcPr>
            <w:tcW w:w="4743" w:type="dxa"/>
            <w:shd w:val="clear" w:color="auto" w:fill="auto"/>
            <w:hideMark/>
          </w:tcPr>
          <w:p w14:paraId="092290F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Overall quality of life</w:t>
            </w:r>
          </w:p>
        </w:tc>
      </w:tr>
      <w:tr w:rsidR="009E62FE" w:rsidRPr="000C6E78" w14:paraId="0E7662E8" w14:textId="77777777" w:rsidTr="00BB4029">
        <w:trPr>
          <w:trHeight w:val="1181"/>
        </w:trPr>
        <w:tc>
          <w:tcPr>
            <w:tcW w:w="561" w:type="dxa"/>
            <w:shd w:val="clear" w:color="auto" w:fill="auto"/>
            <w:noWrap/>
          </w:tcPr>
          <w:p w14:paraId="61F12E44" w14:textId="4430B227" w:rsidR="009E62FE" w:rsidRPr="0057539F" w:rsidRDefault="00BB4029" w:rsidP="00BB4029">
            <w:pPr>
              <w:rPr>
                <w:rFonts w:ascii="Arial" w:hAnsi="Arial" w:cs="Arial"/>
                <w:color w:val="000000"/>
                <w:sz w:val="18"/>
                <w:szCs w:val="18"/>
              </w:rPr>
            </w:pPr>
            <w:r>
              <w:rPr>
                <w:rFonts w:ascii="Arial" w:hAnsi="Arial" w:cs="Arial"/>
                <w:color w:val="000000"/>
                <w:sz w:val="18"/>
                <w:szCs w:val="18"/>
              </w:rPr>
              <w:t>30</w:t>
            </w:r>
          </w:p>
        </w:tc>
        <w:tc>
          <w:tcPr>
            <w:tcW w:w="1571" w:type="dxa"/>
            <w:shd w:val="clear" w:color="auto" w:fill="auto"/>
            <w:noWrap/>
          </w:tcPr>
          <w:p w14:paraId="7C88C350"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Dautremont JF, et al. 2016</w:t>
            </w:r>
          </w:p>
        </w:tc>
        <w:tc>
          <w:tcPr>
            <w:tcW w:w="1756" w:type="dxa"/>
            <w:shd w:val="clear" w:color="auto" w:fill="auto"/>
          </w:tcPr>
          <w:p w14:paraId="25B9C163" w14:textId="77777777" w:rsidR="009E62FE" w:rsidRPr="0095416F" w:rsidRDefault="009E62FE" w:rsidP="00BB4029">
            <w:pPr>
              <w:rPr>
                <w:rFonts w:ascii="Arial" w:hAnsi="Arial" w:cs="Arial"/>
                <w:color w:val="000000"/>
                <w:sz w:val="18"/>
                <w:szCs w:val="18"/>
                <w:lang w:val="en-US"/>
              </w:rPr>
            </w:pPr>
            <w:r w:rsidRPr="00197CB5">
              <w:rPr>
                <w:rFonts w:ascii="Arial" w:hAnsi="Arial" w:cs="Arial"/>
                <w:color w:val="000000"/>
                <w:sz w:val="18"/>
                <w:szCs w:val="18"/>
                <w:lang w:val="en-US"/>
              </w:rPr>
              <w:t>Study did not meet Cochrane EPOC study design criteria</w:t>
            </w:r>
          </w:p>
        </w:tc>
        <w:tc>
          <w:tcPr>
            <w:tcW w:w="2180" w:type="dxa"/>
            <w:shd w:val="clear" w:color="auto" w:fill="auto"/>
          </w:tcPr>
          <w:p w14:paraId="623CA70A" w14:textId="77777777" w:rsidR="009E62FE" w:rsidRPr="0057539F" w:rsidRDefault="009E62FE" w:rsidP="00BB4029">
            <w:pPr>
              <w:rPr>
                <w:rFonts w:ascii="Arial" w:hAnsi="Arial" w:cs="Arial"/>
                <w:color w:val="000000"/>
                <w:sz w:val="18"/>
                <w:szCs w:val="18"/>
                <w:lang w:val="en-US"/>
              </w:rPr>
            </w:pPr>
            <w:r>
              <w:rPr>
                <w:rFonts w:ascii="Arial" w:hAnsi="Arial" w:cs="Arial"/>
                <w:color w:val="000000"/>
                <w:sz w:val="18"/>
                <w:szCs w:val="18"/>
                <w:lang w:val="en-US"/>
              </w:rPr>
              <w:t>Head and neck oncologic surgery</w:t>
            </w:r>
          </w:p>
        </w:tc>
        <w:tc>
          <w:tcPr>
            <w:tcW w:w="1969" w:type="dxa"/>
            <w:shd w:val="clear" w:color="auto" w:fill="auto"/>
          </w:tcPr>
          <w:p w14:paraId="4BE10DB0" w14:textId="77777777" w:rsidR="009E62FE" w:rsidRPr="00197CB5" w:rsidRDefault="009E62FE" w:rsidP="00BB4029">
            <w:pPr>
              <w:rPr>
                <w:rFonts w:ascii="Arial" w:hAnsi="Arial" w:cs="Arial"/>
                <w:color w:val="000000"/>
                <w:sz w:val="18"/>
                <w:szCs w:val="18"/>
                <w:lang w:val="en-US"/>
              </w:rPr>
            </w:pPr>
            <w:r>
              <w:rPr>
                <w:rFonts w:ascii="Arial" w:hAnsi="Arial" w:cs="Arial"/>
                <w:color w:val="000000"/>
                <w:sz w:val="18"/>
                <w:szCs w:val="18"/>
                <w:lang w:val="en-US"/>
              </w:rPr>
              <w:t>before-after study</w:t>
            </w:r>
          </w:p>
        </w:tc>
        <w:tc>
          <w:tcPr>
            <w:tcW w:w="1224" w:type="dxa"/>
            <w:shd w:val="clear" w:color="auto" w:fill="auto"/>
          </w:tcPr>
          <w:p w14:paraId="13D6F7BA" w14:textId="77777777" w:rsidR="009E62FE" w:rsidRPr="00197CB5" w:rsidRDefault="009E62FE" w:rsidP="00BB4029">
            <w:pPr>
              <w:rPr>
                <w:rFonts w:ascii="Arial" w:hAnsi="Arial" w:cs="Arial"/>
                <w:color w:val="000000"/>
                <w:sz w:val="18"/>
                <w:szCs w:val="18"/>
                <w:lang w:val="en-US"/>
              </w:rPr>
            </w:pPr>
            <w:r>
              <w:rPr>
                <w:rFonts w:ascii="Arial" w:hAnsi="Arial" w:cs="Arial"/>
                <w:color w:val="000000"/>
                <w:sz w:val="18"/>
                <w:szCs w:val="18"/>
                <w:lang w:val="en-US"/>
              </w:rPr>
              <w:t>Canada</w:t>
            </w:r>
          </w:p>
        </w:tc>
        <w:tc>
          <w:tcPr>
            <w:tcW w:w="4743" w:type="dxa"/>
            <w:shd w:val="clear" w:color="auto" w:fill="auto"/>
          </w:tcPr>
          <w:p w14:paraId="38EA456E" w14:textId="77777777" w:rsidR="009E62FE" w:rsidRPr="0057539F" w:rsidRDefault="009E62FE" w:rsidP="00BB4029">
            <w:pPr>
              <w:rPr>
                <w:rFonts w:ascii="Arial" w:hAnsi="Arial" w:cs="Arial"/>
                <w:color w:val="000000"/>
                <w:sz w:val="18"/>
                <w:szCs w:val="18"/>
                <w:lang w:val="en-US"/>
              </w:rPr>
            </w:pPr>
            <w:r>
              <w:rPr>
                <w:rFonts w:ascii="Arial" w:hAnsi="Arial" w:cs="Arial"/>
                <w:color w:val="000000"/>
                <w:sz w:val="18"/>
                <w:szCs w:val="18"/>
                <w:lang w:val="en-US"/>
              </w:rPr>
              <w:t>Emergency department visits, outpatient visits, inpatients admissions, physician claims, post discharge costs: impatient costs, outpatients costs, emergency department costs, medical doctor claims costs</w:t>
            </w:r>
          </w:p>
        </w:tc>
      </w:tr>
      <w:tr w:rsidR="009E62FE" w:rsidRPr="000C6E78" w14:paraId="530AF8C5" w14:textId="77777777" w:rsidTr="00BB4029">
        <w:trPr>
          <w:trHeight w:val="971"/>
        </w:trPr>
        <w:tc>
          <w:tcPr>
            <w:tcW w:w="561" w:type="dxa"/>
            <w:shd w:val="clear" w:color="auto" w:fill="auto"/>
            <w:noWrap/>
          </w:tcPr>
          <w:p w14:paraId="6EBD1EDE" w14:textId="03458644" w:rsidR="009E62FE" w:rsidRPr="0057539F" w:rsidRDefault="009E62FE" w:rsidP="00BB4029">
            <w:pPr>
              <w:rPr>
                <w:rFonts w:ascii="Arial" w:hAnsi="Arial" w:cs="Arial"/>
                <w:color w:val="000000"/>
                <w:sz w:val="18"/>
                <w:szCs w:val="18"/>
              </w:rPr>
            </w:pPr>
            <w:r>
              <w:rPr>
                <w:rFonts w:ascii="Arial" w:hAnsi="Arial" w:cs="Arial"/>
                <w:color w:val="000000"/>
                <w:sz w:val="18"/>
                <w:szCs w:val="18"/>
              </w:rPr>
              <w:t>3</w:t>
            </w:r>
            <w:r w:rsidR="00BB4029">
              <w:rPr>
                <w:rFonts w:ascii="Arial" w:hAnsi="Arial" w:cs="Arial"/>
                <w:color w:val="000000"/>
                <w:sz w:val="18"/>
                <w:szCs w:val="18"/>
              </w:rPr>
              <w:t>1</w:t>
            </w:r>
          </w:p>
        </w:tc>
        <w:tc>
          <w:tcPr>
            <w:tcW w:w="1571" w:type="dxa"/>
            <w:shd w:val="clear" w:color="auto" w:fill="auto"/>
            <w:noWrap/>
          </w:tcPr>
          <w:p w14:paraId="68561A84"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Dautremont JF, et al 2013</w:t>
            </w:r>
          </w:p>
        </w:tc>
        <w:tc>
          <w:tcPr>
            <w:tcW w:w="1756" w:type="dxa"/>
            <w:shd w:val="clear" w:color="auto" w:fill="auto"/>
          </w:tcPr>
          <w:p w14:paraId="4A441B23" w14:textId="77777777" w:rsidR="009E62FE" w:rsidRPr="0095416F" w:rsidRDefault="009E62FE" w:rsidP="00BB4029">
            <w:pPr>
              <w:rPr>
                <w:rFonts w:ascii="Arial" w:hAnsi="Arial" w:cs="Arial"/>
                <w:color w:val="000000"/>
                <w:sz w:val="18"/>
                <w:szCs w:val="18"/>
                <w:lang w:val="en-US"/>
              </w:rPr>
            </w:pPr>
            <w:r w:rsidRPr="00197CB5">
              <w:rPr>
                <w:rFonts w:ascii="Arial" w:hAnsi="Arial" w:cs="Arial"/>
                <w:color w:val="000000"/>
                <w:sz w:val="18"/>
                <w:szCs w:val="18"/>
                <w:lang w:val="en-US"/>
              </w:rPr>
              <w:t>Study did not meet Cochrane EPOC study design criteria</w:t>
            </w:r>
          </w:p>
        </w:tc>
        <w:tc>
          <w:tcPr>
            <w:tcW w:w="2180" w:type="dxa"/>
            <w:shd w:val="clear" w:color="auto" w:fill="auto"/>
          </w:tcPr>
          <w:p w14:paraId="31D1D7BF" w14:textId="77777777" w:rsidR="009E62FE" w:rsidRPr="0057539F" w:rsidRDefault="009E62FE" w:rsidP="00BB4029">
            <w:pPr>
              <w:rPr>
                <w:rFonts w:ascii="Arial" w:hAnsi="Arial" w:cs="Arial"/>
                <w:color w:val="000000"/>
                <w:sz w:val="18"/>
                <w:szCs w:val="18"/>
                <w:lang w:val="en-US"/>
              </w:rPr>
            </w:pPr>
            <w:r>
              <w:rPr>
                <w:rFonts w:ascii="Arial" w:hAnsi="Arial" w:cs="Arial"/>
                <w:color w:val="000000"/>
                <w:sz w:val="18"/>
                <w:szCs w:val="18"/>
                <w:lang w:val="en-US"/>
              </w:rPr>
              <w:t>Head and neck surgery</w:t>
            </w:r>
          </w:p>
        </w:tc>
        <w:tc>
          <w:tcPr>
            <w:tcW w:w="1969" w:type="dxa"/>
            <w:shd w:val="clear" w:color="auto" w:fill="auto"/>
          </w:tcPr>
          <w:p w14:paraId="5A4E7F8B" w14:textId="77777777" w:rsidR="009E62FE" w:rsidRPr="00197CB5" w:rsidRDefault="009E62FE" w:rsidP="00BB4029">
            <w:pPr>
              <w:rPr>
                <w:rFonts w:ascii="Arial" w:hAnsi="Arial" w:cs="Arial"/>
                <w:color w:val="000000"/>
                <w:sz w:val="18"/>
                <w:szCs w:val="18"/>
                <w:lang w:val="en-US"/>
              </w:rPr>
            </w:pPr>
            <w:r>
              <w:rPr>
                <w:rFonts w:ascii="Arial" w:hAnsi="Arial" w:cs="Arial"/>
                <w:color w:val="000000"/>
                <w:sz w:val="18"/>
                <w:szCs w:val="18"/>
                <w:lang w:val="en-US"/>
              </w:rPr>
              <w:t>before-after study</w:t>
            </w:r>
          </w:p>
        </w:tc>
        <w:tc>
          <w:tcPr>
            <w:tcW w:w="1224" w:type="dxa"/>
            <w:shd w:val="clear" w:color="auto" w:fill="auto"/>
          </w:tcPr>
          <w:p w14:paraId="107FEA70" w14:textId="77777777" w:rsidR="009E62FE" w:rsidRPr="00197CB5" w:rsidRDefault="009E62FE" w:rsidP="00BB4029">
            <w:pPr>
              <w:rPr>
                <w:rFonts w:ascii="Arial" w:hAnsi="Arial" w:cs="Arial"/>
                <w:color w:val="000000"/>
                <w:sz w:val="18"/>
                <w:szCs w:val="18"/>
                <w:lang w:val="en-US"/>
              </w:rPr>
            </w:pPr>
            <w:r>
              <w:rPr>
                <w:rFonts w:ascii="Arial" w:hAnsi="Arial" w:cs="Arial"/>
                <w:color w:val="000000"/>
                <w:sz w:val="18"/>
                <w:szCs w:val="18"/>
                <w:lang w:val="en-US"/>
              </w:rPr>
              <w:t>Canada</w:t>
            </w:r>
          </w:p>
        </w:tc>
        <w:tc>
          <w:tcPr>
            <w:tcW w:w="4743" w:type="dxa"/>
            <w:shd w:val="clear" w:color="auto" w:fill="auto"/>
          </w:tcPr>
          <w:p w14:paraId="16519698" w14:textId="77777777" w:rsidR="009E62FE" w:rsidRPr="0057539F" w:rsidRDefault="009E62FE" w:rsidP="00BB4029">
            <w:pPr>
              <w:rPr>
                <w:rFonts w:ascii="Arial" w:hAnsi="Arial" w:cs="Arial"/>
                <w:color w:val="000000"/>
                <w:sz w:val="18"/>
                <w:szCs w:val="18"/>
                <w:lang w:val="en-US"/>
              </w:rPr>
            </w:pPr>
            <w:r>
              <w:rPr>
                <w:rFonts w:ascii="Arial" w:hAnsi="Arial" w:cs="Arial"/>
                <w:color w:val="000000"/>
                <w:sz w:val="18"/>
                <w:szCs w:val="18"/>
                <w:lang w:val="en-US"/>
              </w:rPr>
              <w:t>Length of stay, return to operation room, readmission to Intensive Care Unit, time to decannulation, pneumonia</w:t>
            </w:r>
          </w:p>
        </w:tc>
      </w:tr>
      <w:tr w:rsidR="009E62FE" w:rsidRPr="000C6E78" w14:paraId="744CAC0E" w14:textId="77777777" w:rsidTr="00BB4029">
        <w:trPr>
          <w:trHeight w:val="1440"/>
        </w:trPr>
        <w:tc>
          <w:tcPr>
            <w:tcW w:w="561" w:type="dxa"/>
            <w:shd w:val="clear" w:color="auto" w:fill="auto"/>
            <w:noWrap/>
            <w:hideMark/>
          </w:tcPr>
          <w:p w14:paraId="66F67634" w14:textId="352B9E22" w:rsidR="009E62FE" w:rsidRPr="0057539F" w:rsidRDefault="009E62FE" w:rsidP="00BB4029">
            <w:pPr>
              <w:rPr>
                <w:rFonts w:ascii="Arial" w:hAnsi="Arial" w:cs="Arial"/>
                <w:color w:val="000000"/>
                <w:sz w:val="18"/>
                <w:szCs w:val="18"/>
              </w:rPr>
            </w:pPr>
            <w:r>
              <w:rPr>
                <w:rFonts w:ascii="Arial" w:hAnsi="Arial" w:cs="Arial"/>
                <w:color w:val="000000"/>
                <w:sz w:val="18"/>
                <w:szCs w:val="18"/>
              </w:rPr>
              <w:t>3</w:t>
            </w:r>
            <w:r w:rsidR="00BB4029">
              <w:rPr>
                <w:rFonts w:ascii="Arial" w:hAnsi="Arial" w:cs="Arial"/>
                <w:color w:val="000000"/>
                <w:sz w:val="18"/>
                <w:szCs w:val="18"/>
              </w:rPr>
              <w:t>2</w:t>
            </w:r>
          </w:p>
        </w:tc>
        <w:tc>
          <w:tcPr>
            <w:tcW w:w="1571" w:type="dxa"/>
            <w:shd w:val="clear" w:color="auto" w:fill="auto"/>
            <w:noWrap/>
            <w:hideMark/>
          </w:tcPr>
          <w:p w14:paraId="1821A48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de Luc K. 2000</w:t>
            </w:r>
          </w:p>
        </w:tc>
        <w:tc>
          <w:tcPr>
            <w:tcW w:w="1756" w:type="dxa"/>
            <w:shd w:val="clear" w:color="auto" w:fill="auto"/>
            <w:hideMark/>
          </w:tcPr>
          <w:p w14:paraId="5DB17747"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7C39CD6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breast disease patients (including cancer patients as subgroup)</w:t>
            </w:r>
          </w:p>
        </w:tc>
        <w:tc>
          <w:tcPr>
            <w:tcW w:w="1969" w:type="dxa"/>
            <w:shd w:val="clear" w:color="auto" w:fill="auto"/>
            <w:hideMark/>
          </w:tcPr>
          <w:p w14:paraId="50892CB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quasi experimental case study</w:t>
            </w:r>
          </w:p>
        </w:tc>
        <w:tc>
          <w:tcPr>
            <w:tcW w:w="1224" w:type="dxa"/>
            <w:shd w:val="clear" w:color="auto" w:fill="auto"/>
            <w:hideMark/>
          </w:tcPr>
          <w:p w14:paraId="3984B1D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UK</w:t>
            </w:r>
          </w:p>
        </w:tc>
        <w:tc>
          <w:tcPr>
            <w:tcW w:w="4743" w:type="dxa"/>
            <w:shd w:val="clear" w:color="auto" w:fill="auto"/>
            <w:hideMark/>
          </w:tcPr>
          <w:p w14:paraId="32A80ECD"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Waiting times, diagnostic procedures performed. For cancer patients: discussion in multidisciplinary meeting, seeing the specialist breast nurse, first seeing specialist breast nurse in the outpatients, number of times patients seeing specialist breast nurse.</w:t>
            </w:r>
          </w:p>
        </w:tc>
      </w:tr>
      <w:tr w:rsidR="009E62FE" w:rsidRPr="0057539F" w14:paraId="437AAF5E" w14:textId="77777777" w:rsidTr="00BB4029">
        <w:trPr>
          <w:trHeight w:val="240"/>
        </w:trPr>
        <w:tc>
          <w:tcPr>
            <w:tcW w:w="561" w:type="dxa"/>
            <w:shd w:val="clear" w:color="auto" w:fill="auto"/>
            <w:noWrap/>
            <w:hideMark/>
          </w:tcPr>
          <w:p w14:paraId="3C719045" w14:textId="6B5C7028"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3</w:t>
            </w:r>
            <w:r w:rsidR="00BB4029">
              <w:rPr>
                <w:rFonts w:ascii="Arial" w:hAnsi="Arial" w:cs="Arial"/>
                <w:color w:val="000000"/>
                <w:sz w:val="18"/>
                <w:szCs w:val="18"/>
              </w:rPr>
              <w:t>3</w:t>
            </w:r>
          </w:p>
        </w:tc>
        <w:tc>
          <w:tcPr>
            <w:tcW w:w="1571" w:type="dxa"/>
            <w:shd w:val="clear" w:color="auto" w:fill="auto"/>
            <w:noWrap/>
            <w:hideMark/>
          </w:tcPr>
          <w:p w14:paraId="6BB8723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Delgado A, et al. 2013</w:t>
            </w:r>
          </w:p>
        </w:tc>
        <w:tc>
          <w:tcPr>
            <w:tcW w:w="1756" w:type="dxa"/>
            <w:shd w:val="clear" w:color="auto" w:fill="auto"/>
            <w:hideMark/>
          </w:tcPr>
          <w:p w14:paraId="1E02AF4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 control</w:t>
            </w:r>
          </w:p>
        </w:tc>
        <w:tc>
          <w:tcPr>
            <w:tcW w:w="2180" w:type="dxa"/>
            <w:shd w:val="clear" w:color="auto" w:fill="auto"/>
            <w:hideMark/>
          </w:tcPr>
          <w:p w14:paraId="680BF89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oncology patients</w:t>
            </w:r>
          </w:p>
        </w:tc>
        <w:tc>
          <w:tcPr>
            <w:tcW w:w="1969" w:type="dxa"/>
            <w:shd w:val="clear" w:color="auto" w:fill="auto"/>
            <w:hideMark/>
          </w:tcPr>
          <w:p w14:paraId="2E4D582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c>
          <w:tcPr>
            <w:tcW w:w="1224" w:type="dxa"/>
            <w:shd w:val="clear" w:color="auto" w:fill="auto"/>
            <w:hideMark/>
          </w:tcPr>
          <w:p w14:paraId="683AD38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33D3128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r>
      <w:tr w:rsidR="009E62FE" w:rsidRPr="000C6E78" w14:paraId="5EA1BBF3" w14:textId="77777777" w:rsidTr="00BB4029">
        <w:trPr>
          <w:trHeight w:val="480"/>
        </w:trPr>
        <w:tc>
          <w:tcPr>
            <w:tcW w:w="561" w:type="dxa"/>
            <w:shd w:val="clear" w:color="auto" w:fill="auto"/>
            <w:noWrap/>
            <w:hideMark/>
          </w:tcPr>
          <w:p w14:paraId="54A67952" w14:textId="5BB1235B"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3</w:t>
            </w:r>
            <w:r w:rsidR="00BB4029">
              <w:rPr>
                <w:rFonts w:ascii="Arial" w:hAnsi="Arial" w:cs="Arial"/>
                <w:color w:val="000000"/>
                <w:sz w:val="18"/>
                <w:szCs w:val="18"/>
              </w:rPr>
              <w:t>4</w:t>
            </w:r>
          </w:p>
        </w:tc>
        <w:tc>
          <w:tcPr>
            <w:tcW w:w="1571" w:type="dxa"/>
            <w:shd w:val="clear" w:color="auto" w:fill="auto"/>
            <w:noWrap/>
            <w:hideMark/>
          </w:tcPr>
          <w:p w14:paraId="1189264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Dyrop HB, et al. 2013</w:t>
            </w:r>
          </w:p>
        </w:tc>
        <w:tc>
          <w:tcPr>
            <w:tcW w:w="1756" w:type="dxa"/>
            <w:shd w:val="clear" w:color="auto" w:fill="auto"/>
            <w:hideMark/>
          </w:tcPr>
          <w:p w14:paraId="558DD29F"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3CD60863"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bone and soft tissue sarcomas</w:t>
            </w:r>
          </w:p>
        </w:tc>
        <w:tc>
          <w:tcPr>
            <w:tcW w:w="1969" w:type="dxa"/>
            <w:shd w:val="clear" w:color="auto" w:fill="auto"/>
            <w:hideMark/>
          </w:tcPr>
          <w:p w14:paraId="7A0C83A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4D234E4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Denmark</w:t>
            </w:r>
          </w:p>
        </w:tc>
        <w:tc>
          <w:tcPr>
            <w:tcW w:w="4743" w:type="dxa"/>
            <w:shd w:val="clear" w:color="auto" w:fill="auto"/>
            <w:hideMark/>
          </w:tcPr>
          <w:p w14:paraId="5E7F8F1A"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 xml:space="preserve">Milestones, time intervals, performed diagnostics, and </w:t>
            </w:r>
            <w:r>
              <w:rPr>
                <w:rFonts w:ascii="Arial" w:hAnsi="Arial" w:cs="Arial"/>
                <w:color w:val="000000"/>
                <w:sz w:val="18"/>
                <w:szCs w:val="18"/>
                <w:lang w:val="en-US"/>
              </w:rPr>
              <w:t>tumor</w:t>
            </w:r>
            <w:r w:rsidRPr="0057539F">
              <w:rPr>
                <w:rFonts w:ascii="Arial" w:hAnsi="Arial" w:cs="Arial"/>
                <w:color w:val="000000"/>
                <w:sz w:val="18"/>
                <w:szCs w:val="18"/>
                <w:lang w:val="en-US"/>
              </w:rPr>
              <w:t xml:space="preserve"> size</w:t>
            </w:r>
          </w:p>
        </w:tc>
      </w:tr>
      <w:tr w:rsidR="009E62FE" w:rsidRPr="0057539F" w14:paraId="0A26CE12" w14:textId="77777777" w:rsidTr="00BB4029">
        <w:trPr>
          <w:trHeight w:val="240"/>
        </w:trPr>
        <w:tc>
          <w:tcPr>
            <w:tcW w:w="561" w:type="dxa"/>
            <w:shd w:val="clear" w:color="auto" w:fill="auto"/>
            <w:noWrap/>
            <w:hideMark/>
          </w:tcPr>
          <w:p w14:paraId="7DB43B81" w14:textId="48913D25"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3</w:t>
            </w:r>
            <w:r w:rsidR="00BB4029">
              <w:rPr>
                <w:rFonts w:ascii="Arial" w:hAnsi="Arial" w:cs="Arial"/>
                <w:color w:val="000000"/>
                <w:sz w:val="18"/>
                <w:szCs w:val="18"/>
              </w:rPr>
              <w:t>5</w:t>
            </w:r>
          </w:p>
        </w:tc>
        <w:tc>
          <w:tcPr>
            <w:tcW w:w="1571" w:type="dxa"/>
            <w:shd w:val="clear" w:color="auto" w:fill="auto"/>
            <w:noWrap/>
            <w:hideMark/>
          </w:tcPr>
          <w:p w14:paraId="065BC91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Fackler-Schwalbe I, et al. 2014</w:t>
            </w:r>
          </w:p>
        </w:tc>
        <w:tc>
          <w:tcPr>
            <w:tcW w:w="1756" w:type="dxa"/>
            <w:shd w:val="clear" w:color="auto" w:fill="auto"/>
            <w:hideMark/>
          </w:tcPr>
          <w:p w14:paraId="0A3E295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Abstract only</w:t>
            </w:r>
          </w:p>
        </w:tc>
        <w:tc>
          <w:tcPr>
            <w:tcW w:w="2180" w:type="dxa"/>
            <w:shd w:val="clear" w:color="auto" w:fill="auto"/>
            <w:hideMark/>
          </w:tcPr>
          <w:p w14:paraId="0DC481A4" w14:textId="77777777" w:rsidR="009E62FE" w:rsidRPr="0057539F" w:rsidRDefault="009E62FE" w:rsidP="00BB4029">
            <w:pPr>
              <w:rPr>
                <w:rFonts w:ascii="Arial" w:hAnsi="Arial" w:cs="Arial"/>
                <w:color w:val="000000"/>
                <w:sz w:val="18"/>
                <w:szCs w:val="18"/>
              </w:rPr>
            </w:pPr>
          </w:p>
        </w:tc>
        <w:tc>
          <w:tcPr>
            <w:tcW w:w="1969" w:type="dxa"/>
            <w:shd w:val="clear" w:color="auto" w:fill="auto"/>
            <w:hideMark/>
          </w:tcPr>
          <w:p w14:paraId="46AE294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c>
          <w:tcPr>
            <w:tcW w:w="1224" w:type="dxa"/>
            <w:shd w:val="clear" w:color="auto" w:fill="auto"/>
            <w:hideMark/>
          </w:tcPr>
          <w:p w14:paraId="227335B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Germany</w:t>
            </w:r>
          </w:p>
        </w:tc>
        <w:tc>
          <w:tcPr>
            <w:tcW w:w="4743" w:type="dxa"/>
            <w:shd w:val="clear" w:color="auto" w:fill="auto"/>
            <w:hideMark/>
          </w:tcPr>
          <w:p w14:paraId="38E0263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r>
      <w:tr w:rsidR="009E62FE" w:rsidRPr="0057539F" w14:paraId="4B63EF95" w14:textId="77777777" w:rsidTr="00BB4029">
        <w:trPr>
          <w:trHeight w:val="240"/>
        </w:trPr>
        <w:tc>
          <w:tcPr>
            <w:tcW w:w="561" w:type="dxa"/>
            <w:shd w:val="clear" w:color="auto" w:fill="auto"/>
            <w:noWrap/>
            <w:hideMark/>
          </w:tcPr>
          <w:p w14:paraId="0DBC43F6" w14:textId="6049AF2F"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3</w:t>
            </w:r>
            <w:r w:rsidR="00BB4029">
              <w:rPr>
                <w:rFonts w:ascii="Arial" w:hAnsi="Arial" w:cs="Arial"/>
                <w:color w:val="000000"/>
                <w:sz w:val="18"/>
                <w:szCs w:val="18"/>
              </w:rPr>
              <w:t>6</w:t>
            </w:r>
          </w:p>
        </w:tc>
        <w:tc>
          <w:tcPr>
            <w:tcW w:w="1571" w:type="dxa"/>
            <w:shd w:val="clear" w:color="auto" w:fill="auto"/>
            <w:noWrap/>
            <w:hideMark/>
          </w:tcPr>
          <w:p w14:paraId="0A87E96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Fields KK, et al. 2017</w:t>
            </w:r>
          </w:p>
        </w:tc>
        <w:tc>
          <w:tcPr>
            <w:tcW w:w="1756" w:type="dxa"/>
            <w:shd w:val="clear" w:color="auto" w:fill="auto"/>
            <w:hideMark/>
          </w:tcPr>
          <w:p w14:paraId="1B12786D"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2EA2BD2C" w14:textId="77777777" w:rsidR="009E62FE" w:rsidRPr="0057539F" w:rsidRDefault="009E62FE" w:rsidP="00BB4029">
            <w:pPr>
              <w:rPr>
                <w:rFonts w:ascii="Arial" w:hAnsi="Arial" w:cs="Arial"/>
                <w:color w:val="000000"/>
                <w:sz w:val="18"/>
                <w:szCs w:val="18"/>
              </w:rPr>
            </w:pPr>
          </w:p>
        </w:tc>
        <w:tc>
          <w:tcPr>
            <w:tcW w:w="1969" w:type="dxa"/>
            <w:shd w:val="clear" w:color="auto" w:fill="auto"/>
            <w:hideMark/>
          </w:tcPr>
          <w:p w14:paraId="3440171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adherence to pathways</w:t>
            </w:r>
          </w:p>
        </w:tc>
        <w:tc>
          <w:tcPr>
            <w:tcW w:w="1224" w:type="dxa"/>
            <w:shd w:val="clear" w:color="auto" w:fill="auto"/>
            <w:hideMark/>
          </w:tcPr>
          <w:p w14:paraId="19C228CB" w14:textId="77777777" w:rsidR="009E62FE" w:rsidRPr="0057539F" w:rsidRDefault="009E62FE" w:rsidP="00BB4029">
            <w:pPr>
              <w:rPr>
                <w:rFonts w:ascii="Arial" w:hAnsi="Arial" w:cs="Arial"/>
                <w:color w:val="000000"/>
                <w:sz w:val="18"/>
                <w:szCs w:val="18"/>
              </w:rPr>
            </w:pPr>
          </w:p>
        </w:tc>
        <w:tc>
          <w:tcPr>
            <w:tcW w:w="4743" w:type="dxa"/>
            <w:shd w:val="clear" w:color="auto" w:fill="auto"/>
            <w:hideMark/>
          </w:tcPr>
          <w:p w14:paraId="48A3B50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r>
      <w:tr w:rsidR="009E62FE" w:rsidRPr="000C6E78" w14:paraId="45AF5614" w14:textId="77777777" w:rsidTr="00BB4029">
        <w:trPr>
          <w:trHeight w:val="720"/>
        </w:trPr>
        <w:tc>
          <w:tcPr>
            <w:tcW w:w="561" w:type="dxa"/>
            <w:shd w:val="clear" w:color="auto" w:fill="auto"/>
            <w:noWrap/>
            <w:hideMark/>
          </w:tcPr>
          <w:p w14:paraId="53EB0982" w14:textId="787424FA"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3</w:t>
            </w:r>
            <w:r w:rsidR="00BB4029">
              <w:rPr>
                <w:rFonts w:ascii="Arial" w:hAnsi="Arial" w:cs="Arial"/>
                <w:color w:val="000000"/>
                <w:sz w:val="18"/>
                <w:szCs w:val="18"/>
              </w:rPr>
              <w:t>7</w:t>
            </w:r>
          </w:p>
        </w:tc>
        <w:tc>
          <w:tcPr>
            <w:tcW w:w="1571" w:type="dxa"/>
            <w:shd w:val="clear" w:color="auto" w:fill="auto"/>
            <w:noWrap/>
            <w:hideMark/>
          </w:tcPr>
          <w:p w14:paraId="7AD8AD0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Fiore JF, et al. 2016</w:t>
            </w:r>
          </w:p>
        </w:tc>
        <w:tc>
          <w:tcPr>
            <w:tcW w:w="1756" w:type="dxa"/>
            <w:shd w:val="clear" w:color="auto" w:fill="auto"/>
            <w:hideMark/>
          </w:tcPr>
          <w:p w14:paraId="65728F20"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76E9B7A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undergoing elective lung resection</w:t>
            </w:r>
          </w:p>
        </w:tc>
        <w:tc>
          <w:tcPr>
            <w:tcW w:w="1969" w:type="dxa"/>
            <w:shd w:val="clear" w:color="auto" w:fill="auto"/>
            <w:hideMark/>
          </w:tcPr>
          <w:p w14:paraId="7F36A91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systematic review</w:t>
            </w:r>
          </w:p>
        </w:tc>
        <w:tc>
          <w:tcPr>
            <w:tcW w:w="1224" w:type="dxa"/>
            <w:shd w:val="clear" w:color="auto" w:fill="auto"/>
            <w:hideMark/>
          </w:tcPr>
          <w:p w14:paraId="6F022FF8" w14:textId="2E07D263"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41F7421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LOS (ie, time from surgery until first discharge), postoperative complications, readmissions, mortality rates, and patient-reported outcomes (PROs)</w:t>
            </w:r>
          </w:p>
        </w:tc>
      </w:tr>
      <w:tr w:rsidR="009E62FE" w:rsidRPr="009F7793" w14:paraId="0F36A9EB" w14:textId="77777777" w:rsidTr="00BB4029">
        <w:trPr>
          <w:trHeight w:val="480"/>
        </w:trPr>
        <w:tc>
          <w:tcPr>
            <w:tcW w:w="561" w:type="dxa"/>
            <w:shd w:val="clear" w:color="auto" w:fill="auto"/>
            <w:noWrap/>
            <w:hideMark/>
          </w:tcPr>
          <w:p w14:paraId="7286226B" w14:textId="24C639E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3</w:t>
            </w:r>
            <w:r w:rsidR="00BB4029">
              <w:rPr>
                <w:rFonts w:ascii="Arial" w:hAnsi="Arial" w:cs="Arial"/>
                <w:color w:val="000000"/>
                <w:sz w:val="18"/>
                <w:szCs w:val="18"/>
              </w:rPr>
              <w:t>8</w:t>
            </w:r>
          </w:p>
        </w:tc>
        <w:tc>
          <w:tcPr>
            <w:tcW w:w="1571" w:type="dxa"/>
            <w:shd w:val="clear" w:color="auto" w:fill="auto"/>
            <w:noWrap/>
            <w:hideMark/>
          </w:tcPr>
          <w:p w14:paraId="1EE344F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Forrest LF, et al. 2017</w:t>
            </w:r>
          </w:p>
        </w:tc>
        <w:tc>
          <w:tcPr>
            <w:tcW w:w="1756" w:type="dxa"/>
            <w:shd w:val="clear" w:color="auto" w:fill="auto"/>
            <w:hideMark/>
          </w:tcPr>
          <w:p w14:paraId="0FD915A4"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161FF59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lung cancer</w:t>
            </w:r>
          </w:p>
        </w:tc>
        <w:tc>
          <w:tcPr>
            <w:tcW w:w="1969" w:type="dxa"/>
            <w:shd w:val="clear" w:color="auto" w:fill="auto"/>
            <w:hideMark/>
          </w:tcPr>
          <w:p w14:paraId="631E7B5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systematic review and meta-analysis</w:t>
            </w:r>
          </w:p>
        </w:tc>
        <w:tc>
          <w:tcPr>
            <w:tcW w:w="1224" w:type="dxa"/>
            <w:shd w:val="clear" w:color="auto" w:fill="auto"/>
            <w:hideMark/>
          </w:tcPr>
          <w:p w14:paraId="236EF414" w14:textId="42802D3E"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7296689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Stage at diagnosis or the length of time spent within an interval on the care pathway, socio-economic position</w:t>
            </w:r>
          </w:p>
        </w:tc>
      </w:tr>
      <w:tr w:rsidR="009E62FE" w:rsidRPr="009F7793" w14:paraId="58AA6FF7" w14:textId="77777777" w:rsidTr="00BB4029">
        <w:trPr>
          <w:trHeight w:val="480"/>
        </w:trPr>
        <w:tc>
          <w:tcPr>
            <w:tcW w:w="561" w:type="dxa"/>
            <w:shd w:val="clear" w:color="auto" w:fill="auto"/>
            <w:noWrap/>
            <w:hideMark/>
          </w:tcPr>
          <w:p w14:paraId="3F216008" w14:textId="409CBBC5"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3</w:t>
            </w:r>
            <w:r w:rsidR="00BB4029">
              <w:rPr>
                <w:rFonts w:ascii="Arial" w:hAnsi="Arial" w:cs="Arial"/>
                <w:color w:val="000000"/>
                <w:sz w:val="18"/>
                <w:szCs w:val="18"/>
              </w:rPr>
              <w:t>9</w:t>
            </w:r>
          </w:p>
        </w:tc>
        <w:tc>
          <w:tcPr>
            <w:tcW w:w="1571" w:type="dxa"/>
            <w:shd w:val="clear" w:color="auto" w:fill="auto"/>
            <w:noWrap/>
            <w:hideMark/>
          </w:tcPr>
          <w:p w14:paraId="7E6DED9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Gasbarrini A, et al. 2010</w:t>
            </w:r>
          </w:p>
        </w:tc>
        <w:tc>
          <w:tcPr>
            <w:tcW w:w="1756" w:type="dxa"/>
            <w:shd w:val="clear" w:color="auto" w:fill="auto"/>
            <w:hideMark/>
          </w:tcPr>
          <w:p w14:paraId="5A3FCBA2"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5C73FEB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spinal metastases.</w:t>
            </w:r>
          </w:p>
        </w:tc>
        <w:tc>
          <w:tcPr>
            <w:tcW w:w="1969" w:type="dxa"/>
            <w:shd w:val="clear" w:color="auto" w:fill="auto"/>
            <w:hideMark/>
          </w:tcPr>
          <w:p w14:paraId="68FF656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semiprospective clinical study</w:t>
            </w:r>
          </w:p>
        </w:tc>
        <w:tc>
          <w:tcPr>
            <w:tcW w:w="1224" w:type="dxa"/>
            <w:shd w:val="clear" w:color="auto" w:fill="auto"/>
            <w:hideMark/>
          </w:tcPr>
          <w:p w14:paraId="28E31A9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Italy</w:t>
            </w:r>
          </w:p>
        </w:tc>
        <w:tc>
          <w:tcPr>
            <w:tcW w:w="4743" w:type="dxa"/>
            <w:shd w:val="clear" w:color="auto" w:fill="auto"/>
            <w:hideMark/>
          </w:tcPr>
          <w:p w14:paraId="2B7F960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Neurologic function, local recurrence/development rate comparison, postoperative survival time</w:t>
            </w:r>
          </w:p>
        </w:tc>
      </w:tr>
      <w:tr w:rsidR="009E62FE" w:rsidRPr="009F7793" w14:paraId="22E1758B" w14:textId="77777777" w:rsidTr="00BB4029">
        <w:trPr>
          <w:trHeight w:val="720"/>
        </w:trPr>
        <w:tc>
          <w:tcPr>
            <w:tcW w:w="561" w:type="dxa"/>
            <w:shd w:val="clear" w:color="auto" w:fill="auto"/>
            <w:noWrap/>
            <w:hideMark/>
          </w:tcPr>
          <w:p w14:paraId="1D963B23" w14:textId="6EA160BC" w:rsidR="009E62FE" w:rsidRPr="0057539F" w:rsidRDefault="00BB4029" w:rsidP="00BB4029">
            <w:pPr>
              <w:rPr>
                <w:rFonts w:ascii="Arial" w:hAnsi="Arial" w:cs="Arial"/>
                <w:color w:val="000000"/>
                <w:sz w:val="18"/>
                <w:szCs w:val="18"/>
              </w:rPr>
            </w:pPr>
            <w:r>
              <w:rPr>
                <w:rFonts w:ascii="Arial" w:hAnsi="Arial" w:cs="Arial"/>
                <w:color w:val="000000"/>
                <w:sz w:val="18"/>
                <w:szCs w:val="18"/>
              </w:rPr>
              <w:t>40</w:t>
            </w:r>
          </w:p>
        </w:tc>
        <w:tc>
          <w:tcPr>
            <w:tcW w:w="1571" w:type="dxa"/>
            <w:shd w:val="clear" w:color="auto" w:fill="auto"/>
            <w:noWrap/>
            <w:hideMark/>
          </w:tcPr>
          <w:p w14:paraId="2767707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Gerardi MA, et al. 2008</w:t>
            </w:r>
          </w:p>
        </w:tc>
        <w:tc>
          <w:tcPr>
            <w:tcW w:w="1756" w:type="dxa"/>
            <w:shd w:val="clear" w:color="auto" w:fill="auto"/>
            <w:hideMark/>
          </w:tcPr>
          <w:p w14:paraId="4652CC1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Does not meet CP definition</w:t>
            </w:r>
          </w:p>
        </w:tc>
        <w:tc>
          <w:tcPr>
            <w:tcW w:w="2180" w:type="dxa"/>
            <w:shd w:val="clear" w:color="auto" w:fill="auto"/>
            <w:hideMark/>
          </w:tcPr>
          <w:p w14:paraId="716C6B0A"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advanced ovarian and primary peritoneal cancers</w:t>
            </w:r>
          </w:p>
        </w:tc>
        <w:tc>
          <w:tcPr>
            <w:tcW w:w="1969" w:type="dxa"/>
            <w:shd w:val="clear" w:color="auto" w:fill="auto"/>
            <w:hideMark/>
          </w:tcPr>
          <w:p w14:paraId="675352E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case–control methodology</w:t>
            </w:r>
          </w:p>
        </w:tc>
        <w:tc>
          <w:tcPr>
            <w:tcW w:w="1224" w:type="dxa"/>
            <w:shd w:val="clear" w:color="auto" w:fill="auto"/>
            <w:hideMark/>
          </w:tcPr>
          <w:p w14:paraId="02A0FDF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753C3C4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The median time to flatus, median time to tolerance of diet, length of hospital stay, 30-day post-operative hospital cost, 30-day readmission rate, hospital cost</w:t>
            </w:r>
          </w:p>
        </w:tc>
      </w:tr>
      <w:tr w:rsidR="009E62FE" w:rsidRPr="009F7793" w14:paraId="73A4E7F7" w14:textId="77777777" w:rsidTr="00BB4029">
        <w:trPr>
          <w:trHeight w:val="480"/>
        </w:trPr>
        <w:tc>
          <w:tcPr>
            <w:tcW w:w="561" w:type="dxa"/>
            <w:shd w:val="clear" w:color="auto" w:fill="auto"/>
            <w:noWrap/>
            <w:hideMark/>
          </w:tcPr>
          <w:p w14:paraId="3E6728BE" w14:textId="345151C5" w:rsidR="009E62FE" w:rsidRPr="0057539F" w:rsidRDefault="009E62FE" w:rsidP="00BB4029">
            <w:pPr>
              <w:rPr>
                <w:rFonts w:ascii="Arial" w:hAnsi="Arial" w:cs="Arial"/>
                <w:color w:val="000000"/>
                <w:sz w:val="18"/>
                <w:szCs w:val="18"/>
              </w:rPr>
            </w:pPr>
            <w:r>
              <w:rPr>
                <w:rFonts w:ascii="Arial" w:hAnsi="Arial" w:cs="Arial"/>
                <w:color w:val="000000"/>
                <w:sz w:val="18"/>
                <w:szCs w:val="18"/>
              </w:rPr>
              <w:t>4</w:t>
            </w:r>
            <w:r w:rsidR="00BB4029">
              <w:rPr>
                <w:rFonts w:ascii="Arial" w:hAnsi="Arial" w:cs="Arial"/>
                <w:color w:val="000000"/>
                <w:sz w:val="18"/>
                <w:szCs w:val="18"/>
              </w:rPr>
              <w:t>1</w:t>
            </w:r>
          </w:p>
        </w:tc>
        <w:tc>
          <w:tcPr>
            <w:tcW w:w="1571" w:type="dxa"/>
            <w:shd w:val="clear" w:color="auto" w:fill="auto"/>
            <w:noWrap/>
            <w:hideMark/>
          </w:tcPr>
          <w:p w14:paraId="1692D34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Gordon SA, et al. 2016</w:t>
            </w:r>
          </w:p>
        </w:tc>
        <w:tc>
          <w:tcPr>
            <w:tcW w:w="1756" w:type="dxa"/>
            <w:shd w:val="clear" w:color="auto" w:fill="auto"/>
            <w:hideMark/>
          </w:tcPr>
          <w:p w14:paraId="19C0CF06"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14D2C67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head and neck cancer surgery</w:t>
            </w:r>
          </w:p>
        </w:tc>
        <w:tc>
          <w:tcPr>
            <w:tcW w:w="1969" w:type="dxa"/>
            <w:shd w:val="clear" w:color="auto" w:fill="auto"/>
            <w:hideMark/>
          </w:tcPr>
          <w:p w14:paraId="7513856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 systematic review</w:t>
            </w:r>
          </w:p>
        </w:tc>
        <w:tc>
          <w:tcPr>
            <w:tcW w:w="1224" w:type="dxa"/>
            <w:shd w:val="clear" w:color="auto" w:fill="auto"/>
            <w:hideMark/>
          </w:tcPr>
          <w:p w14:paraId="08F2EFDC" w14:textId="3D5E3C66"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6AE87A33"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Setting, length of stay, complications, readmission, costs, and case length</w:t>
            </w:r>
          </w:p>
        </w:tc>
      </w:tr>
      <w:tr w:rsidR="009E62FE" w:rsidRPr="009F7793" w14:paraId="1BB78836" w14:textId="77777777" w:rsidTr="00BB4029">
        <w:trPr>
          <w:trHeight w:val="720"/>
        </w:trPr>
        <w:tc>
          <w:tcPr>
            <w:tcW w:w="561" w:type="dxa"/>
            <w:shd w:val="clear" w:color="auto" w:fill="auto"/>
            <w:noWrap/>
            <w:hideMark/>
          </w:tcPr>
          <w:p w14:paraId="1863EF3C" w14:textId="4ED6283D" w:rsidR="009E62FE" w:rsidRPr="0057539F" w:rsidRDefault="009E62FE" w:rsidP="00BB4029">
            <w:pPr>
              <w:rPr>
                <w:rFonts w:ascii="Arial" w:hAnsi="Arial" w:cs="Arial"/>
                <w:color w:val="000000"/>
                <w:sz w:val="18"/>
                <w:szCs w:val="18"/>
              </w:rPr>
            </w:pPr>
            <w:r>
              <w:rPr>
                <w:rFonts w:ascii="Arial" w:hAnsi="Arial" w:cs="Arial"/>
                <w:color w:val="000000"/>
                <w:sz w:val="18"/>
                <w:szCs w:val="18"/>
              </w:rPr>
              <w:t>4</w:t>
            </w:r>
            <w:r w:rsidR="00BB4029">
              <w:rPr>
                <w:rFonts w:ascii="Arial" w:hAnsi="Arial" w:cs="Arial"/>
                <w:color w:val="000000"/>
                <w:sz w:val="18"/>
                <w:szCs w:val="18"/>
              </w:rPr>
              <w:t>2</w:t>
            </w:r>
          </w:p>
        </w:tc>
        <w:tc>
          <w:tcPr>
            <w:tcW w:w="1571" w:type="dxa"/>
            <w:shd w:val="clear" w:color="auto" w:fill="auto"/>
            <w:noWrap/>
            <w:hideMark/>
          </w:tcPr>
          <w:p w14:paraId="4CDD980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 xml:space="preserve">Grau C, et al. 2011. </w:t>
            </w:r>
          </w:p>
        </w:tc>
        <w:tc>
          <w:tcPr>
            <w:tcW w:w="1756" w:type="dxa"/>
            <w:shd w:val="clear" w:color="auto" w:fill="auto"/>
            <w:hideMark/>
          </w:tcPr>
          <w:p w14:paraId="6C1F20F5"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014048F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with squamous cell carcinoma of the oral cavity, pharynx, and larynx</w:t>
            </w:r>
          </w:p>
        </w:tc>
        <w:tc>
          <w:tcPr>
            <w:tcW w:w="1969" w:type="dxa"/>
            <w:shd w:val="clear" w:color="auto" w:fill="auto"/>
            <w:hideMark/>
          </w:tcPr>
          <w:p w14:paraId="1A3C369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13066F2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Denmark</w:t>
            </w:r>
          </w:p>
        </w:tc>
        <w:tc>
          <w:tcPr>
            <w:tcW w:w="4743" w:type="dxa"/>
            <w:shd w:val="clear" w:color="auto" w:fill="auto"/>
            <w:hideMark/>
          </w:tcPr>
          <w:p w14:paraId="78E2468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Total time from first healthcare contact to start of definitive treatment, median time used for diagnosis, median time from diagnosis to treatment start</w:t>
            </w:r>
          </w:p>
        </w:tc>
      </w:tr>
      <w:tr w:rsidR="009E62FE" w:rsidRPr="009F7793" w14:paraId="7E650C31" w14:textId="77777777" w:rsidTr="00BB4029">
        <w:trPr>
          <w:trHeight w:val="960"/>
        </w:trPr>
        <w:tc>
          <w:tcPr>
            <w:tcW w:w="561" w:type="dxa"/>
            <w:shd w:val="clear" w:color="auto" w:fill="auto"/>
            <w:noWrap/>
          </w:tcPr>
          <w:p w14:paraId="6AF14A78" w14:textId="0F34E222" w:rsidR="009E62FE" w:rsidRPr="0057539F" w:rsidRDefault="009E62FE" w:rsidP="00BB4029">
            <w:pPr>
              <w:rPr>
                <w:rFonts w:ascii="Arial" w:hAnsi="Arial" w:cs="Arial"/>
                <w:color w:val="000000"/>
                <w:sz w:val="18"/>
                <w:szCs w:val="18"/>
              </w:rPr>
            </w:pPr>
            <w:r>
              <w:rPr>
                <w:rFonts w:ascii="Arial" w:hAnsi="Arial" w:cs="Arial"/>
                <w:color w:val="000000"/>
                <w:sz w:val="18"/>
                <w:szCs w:val="18"/>
              </w:rPr>
              <w:t>4</w:t>
            </w:r>
            <w:r w:rsidR="00BB4029">
              <w:rPr>
                <w:rFonts w:ascii="Arial" w:hAnsi="Arial" w:cs="Arial"/>
                <w:color w:val="000000"/>
                <w:sz w:val="18"/>
                <w:szCs w:val="18"/>
              </w:rPr>
              <w:t>3</w:t>
            </w:r>
          </w:p>
        </w:tc>
        <w:tc>
          <w:tcPr>
            <w:tcW w:w="1571" w:type="dxa"/>
            <w:shd w:val="clear" w:color="auto" w:fill="auto"/>
            <w:noWrap/>
          </w:tcPr>
          <w:p w14:paraId="45C2C90A"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Gustafsson UO et al. 2011</w:t>
            </w:r>
          </w:p>
        </w:tc>
        <w:tc>
          <w:tcPr>
            <w:tcW w:w="1756" w:type="dxa"/>
            <w:shd w:val="clear" w:color="auto" w:fill="auto"/>
          </w:tcPr>
          <w:p w14:paraId="5CA770C1" w14:textId="77777777" w:rsidR="009E62FE" w:rsidRPr="0095416F" w:rsidRDefault="009E62FE" w:rsidP="00BB4029">
            <w:pPr>
              <w:rPr>
                <w:rFonts w:ascii="Arial" w:hAnsi="Arial" w:cs="Arial"/>
                <w:color w:val="000000"/>
                <w:sz w:val="18"/>
                <w:szCs w:val="18"/>
                <w:lang w:val="en-US"/>
              </w:rPr>
            </w:pPr>
            <w:r w:rsidRPr="00197CB5">
              <w:rPr>
                <w:rFonts w:ascii="Arial" w:hAnsi="Arial" w:cs="Arial"/>
                <w:color w:val="000000"/>
                <w:sz w:val="18"/>
                <w:szCs w:val="18"/>
                <w:lang w:val="en-US"/>
              </w:rPr>
              <w:t>Study did not meet Cochrane EPOC study design criteria</w:t>
            </w:r>
          </w:p>
        </w:tc>
        <w:tc>
          <w:tcPr>
            <w:tcW w:w="2180" w:type="dxa"/>
            <w:shd w:val="clear" w:color="auto" w:fill="auto"/>
          </w:tcPr>
          <w:p w14:paraId="1E9D7A13" w14:textId="77777777" w:rsidR="009E62FE" w:rsidRPr="00197CB5" w:rsidRDefault="009E62FE" w:rsidP="00BB4029">
            <w:pPr>
              <w:rPr>
                <w:rFonts w:ascii="Arial" w:hAnsi="Arial" w:cs="Arial"/>
                <w:color w:val="000000"/>
                <w:sz w:val="18"/>
                <w:szCs w:val="18"/>
                <w:lang w:val="en-US"/>
              </w:rPr>
            </w:pPr>
            <w:r>
              <w:rPr>
                <w:rFonts w:ascii="Arial" w:hAnsi="Arial" w:cs="Arial"/>
                <w:color w:val="000000"/>
                <w:sz w:val="18"/>
                <w:szCs w:val="18"/>
                <w:lang w:val="en-US"/>
              </w:rPr>
              <w:t>colorectal cancer surgery</w:t>
            </w:r>
          </w:p>
        </w:tc>
        <w:tc>
          <w:tcPr>
            <w:tcW w:w="1969" w:type="dxa"/>
            <w:shd w:val="clear" w:color="auto" w:fill="auto"/>
          </w:tcPr>
          <w:p w14:paraId="1A60FC34" w14:textId="77777777" w:rsidR="009E62FE" w:rsidRPr="00197CB5" w:rsidRDefault="009E62FE" w:rsidP="00BB4029">
            <w:pPr>
              <w:rPr>
                <w:rFonts w:ascii="Arial" w:hAnsi="Arial" w:cs="Arial"/>
                <w:color w:val="000000"/>
                <w:sz w:val="18"/>
                <w:szCs w:val="18"/>
                <w:lang w:val="en-US"/>
              </w:rPr>
            </w:pPr>
            <w:r>
              <w:rPr>
                <w:rFonts w:ascii="Arial" w:hAnsi="Arial" w:cs="Arial"/>
                <w:color w:val="000000"/>
                <w:sz w:val="18"/>
                <w:szCs w:val="18"/>
                <w:lang w:val="en-US"/>
              </w:rPr>
              <w:t>before-after study</w:t>
            </w:r>
          </w:p>
        </w:tc>
        <w:tc>
          <w:tcPr>
            <w:tcW w:w="1224" w:type="dxa"/>
            <w:shd w:val="clear" w:color="auto" w:fill="auto"/>
          </w:tcPr>
          <w:p w14:paraId="15B80D71" w14:textId="77777777" w:rsidR="009E62FE" w:rsidRPr="00197CB5" w:rsidRDefault="009E62FE" w:rsidP="00BB4029">
            <w:pPr>
              <w:rPr>
                <w:rFonts w:ascii="Arial" w:hAnsi="Arial" w:cs="Arial"/>
                <w:color w:val="000000"/>
                <w:sz w:val="18"/>
                <w:szCs w:val="18"/>
                <w:lang w:val="en-US"/>
              </w:rPr>
            </w:pPr>
            <w:r>
              <w:rPr>
                <w:rFonts w:ascii="Arial" w:hAnsi="Arial" w:cs="Arial"/>
                <w:color w:val="000000"/>
                <w:sz w:val="18"/>
                <w:szCs w:val="18"/>
                <w:lang w:val="en-US"/>
              </w:rPr>
              <w:t>Sweden</w:t>
            </w:r>
          </w:p>
        </w:tc>
        <w:tc>
          <w:tcPr>
            <w:tcW w:w="4743" w:type="dxa"/>
            <w:shd w:val="clear" w:color="auto" w:fill="auto"/>
          </w:tcPr>
          <w:p w14:paraId="50E86484" w14:textId="77777777" w:rsidR="009E62FE" w:rsidRPr="0057539F" w:rsidRDefault="009E62FE" w:rsidP="00BB4029">
            <w:pPr>
              <w:rPr>
                <w:rFonts w:ascii="Arial" w:hAnsi="Arial" w:cs="Arial"/>
                <w:color w:val="000000"/>
                <w:sz w:val="18"/>
                <w:szCs w:val="18"/>
                <w:lang w:val="en-US"/>
              </w:rPr>
            </w:pPr>
            <w:r w:rsidRPr="00197CB5">
              <w:rPr>
                <w:rFonts w:ascii="Arial" w:hAnsi="Arial" w:cs="Arial"/>
                <w:color w:val="000000"/>
                <w:sz w:val="18"/>
                <w:szCs w:val="18"/>
                <w:lang w:val="en-US"/>
              </w:rPr>
              <w:t>Postoperative symptoms</w:t>
            </w:r>
            <w:r>
              <w:rPr>
                <w:rFonts w:ascii="Arial" w:hAnsi="Arial" w:cs="Arial"/>
                <w:color w:val="000000"/>
                <w:sz w:val="18"/>
                <w:szCs w:val="18"/>
                <w:lang w:val="en-US"/>
              </w:rPr>
              <w:t>, c</w:t>
            </w:r>
            <w:r w:rsidRPr="00197CB5">
              <w:rPr>
                <w:rFonts w:ascii="Arial" w:hAnsi="Arial" w:cs="Arial"/>
                <w:color w:val="000000"/>
                <w:sz w:val="18"/>
                <w:szCs w:val="18"/>
                <w:lang w:val="en-US"/>
              </w:rPr>
              <w:t>omplications</w:t>
            </w:r>
            <w:r>
              <w:rPr>
                <w:rFonts w:ascii="Arial" w:hAnsi="Arial" w:cs="Arial"/>
                <w:color w:val="000000"/>
                <w:sz w:val="18"/>
                <w:szCs w:val="18"/>
                <w:lang w:val="en-US"/>
              </w:rPr>
              <w:t>, l</w:t>
            </w:r>
            <w:r w:rsidRPr="00197CB5">
              <w:rPr>
                <w:rFonts w:ascii="Arial" w:hAnsi="Arial" w:cs="Arial"/>
                <w:color w:val="000000"/>
                <w:sz w:val="18"/>
                <w:szCs w:val="18"/>
                <w:lang w:val="en-US"/>
              </w:rPr>
              <w:t>ength of stay</w:t>
            </w:r>
            <w:r>
              <w:rPr>
                <w:rFonts w:ascii="Arial" w:hAnsi="Arial" w:cs="Arial"/>
                <w:color w:val="000000"/>
                <w:sz w:val="18"/>
                <w:szCs w:val="18"/>
                <w:lang w:val="en-US"/>
              </w:rPr>
              <w:t xml:space="preserve">, </w:t>
            </w:r>
            <w:r w:rsidRPr="00197CB5">
              <w:rPr>
                <w:rFonts w:ascii="Arial" w:hAnsi="Arial" w:cs="Arial"/>
                <w:color w:val="000000"/>
                <w:sz w:val="18"/>
                <w:szCs w:val="18"/>
                <w:lang w:val="en-US"/>
              </w:rPr>
              <w:t>30-day morbidity</w:t>
            </w:r>
            <w:r>
              <w:rPr>
                <w:rFonts w:ascii="Arial" w:hAnsi="Arial" w:cs="Arial"/>
                <w:color w:val="000000"/>
                <w:sz w:val="18"/>
                <w:szCs w:val="18"/>
                <w:lang w:val="en-US"/>
              </w:rPr>
              <w:t>, m</w:t>
            </w:r>
            <w:r w:rsidRPr="00197CB5">
              <w:rPr>
                <w:rFonts w:ascii="Arial" w:hAnsi="Arial" w:cs="Arial"/>
                <w:color w:val="000000"/>
                <w:sz w:val="18"/>
                <w:szCs w:val="18"/>
                <w:lang w:val="en-US"/>
              </w:rPr>
              <w:t>ortality</w:t>
            </w:r>
          </w:p>
        </w:tc>
      </w:tr>
      <w:tr w:rsidR="009E62FE" w:rsidRPr="009F7793" w14:paraId="1314C6CD" w14:textId="77777777" w:rsidTr="00BB4029">
        <w:trPr>
          <w:trHeight w:val="960"/>
        </w:trPr>
        <w:tc>
          <w:tcPr>
            <w:tcW w:w="561" w:type="dxa"/>
            <w:shd w:val="clear" w:color="auto" w:fill="auto"/>
            <w:noWrap/>
            <w:hideMark/>
          </w:tcPr>
          <w:p w14:paraId="0591B7C1" w14:textId="2E4FE5C0"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4</w:t>
            </w:r>
            <w:r w:rsidR="00BB4029">
              <w:rPr>
                <w:rFonts w:ascii="Arial" w:hAnsi="Arial" w:cs="Arial"/>
                <w:color w:val="000000"/>
                <w:sz w:val="18"/>
                <w:szCs w:val="18"/>
              </w:rPr>
              <w:t>4</w:t>
            </w:r>
          </w:p>
        </w:tc>
        <w:tc>
          <w:tcPr>
            <w:tcW w:w="1571" w:type="dxa"/>
            <w:shd w:val="clear" w:color="auto" w:fill="auto"/>
            <w:noWrap/>
            <w:hideMark/>
          </w:tcPr>
          <w:p w14:paraId="424315A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Hingh IDE, et al. 2014</w:t>
            </w:r>
          </w:p>
        </w:tc>
        <w:tc>
          <w:tcPr>
            <w:tcW w:w="1756" w:type="dxa"/>
            <w:shd w:val="clear" w:color="auto" w:fill="auto"/>
            <w:hideMark/>
          </w:tcPr>
          <w:p w14:paraId="22A22D11"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42A79BA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pancreatic cancer</w:t>
            </w:r>
          </w:p>
        </w:tc>
        <w:tc>
          <w:tcPr>
            <w:tcW w:w="1969" w:type="dxa"/>
            <w:shd w:val="clear" w:color="auto" w:fill="auto"/>
            <w:hideMark/>
          </w:tcPr>
          <w:p w14:paraId="330B0B2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49B83E9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Netherlands</w:t>
            </w:r>
          </w:p>
        </w:tc>
        <w:tc>
          <w:tcPr>
            <w:tcW w:w="4743" w:type="dxa"/>
            <w:shd w:val="clear" w:color="auto" w:fill="auto"/>
            <w:hideMark/>
          </w:tcPr>
          <w:p w14:paraId="3C4736F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Proportion of patients without pre-operative biliary drainage, duration of referral to surgery, duration of 1st outpatient visit to final treatment and the number of preoperative outpatient visits prior to treatment</w:t>
            </w:r>
          </w:p>
        </w:tc>
      </w:tr>
      <w:tr w:rsidR="009E62FE" w:rsidRPr="009F7793" w14:paraId="6646E843" w14:textId="77777777" w:rsidTr="00BB4029">
        <w:trPr>
          <w:trHeight w:val="720"/>
        </w:trPr>
        <w:tc>
          <w:tcPr>
            <w:tcW w:w="561" w:type="dxa"/>
            <w:shd w:val="clear" w:color="auto" w:fill="auto"/>
            <w:noWrap/>
            <w:hideMark/>
          </w:tcPr>
          <w:p w14:paraId="1F1B5FDF" w14:textId="5715EBA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4</w:t>
            </w:r>
            <w:r w:rsidR="00BB4029">
              <w:rPr>
                <w:rFonts w:ascii="Arial" w:hAnsi="Arial" w:cs="Arial"/>
                <w:color w:val="000000"/>
                <w:sz w:val="18"/>
                <w:szCs w:val="18"/>
              </w:rPr>
              <w:t>5</w:t>
            </w:r>
          </w:p>
        </w:tc>
        <w:tc>
          <w:tcPr>
            <w:tcW w:w="1571" w:type="dxa"/>
            <w:shd w:val="clear" w:color="auto" w:fill="auto"/>
            <w:noWrap/>
            <w:hideMark/>
          </w:tcPr>
          <w:p w14:paraId="7839A6B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Hirasaki S, et al. 2004</w:t>
            </w:r>
          </w:p>
        </w:tc>
        <w:tc>
          <w:tcPr>
            <w:tcW w:w="1756" w:type="dxa"/>
            <w:shd w:val="clear" w:color="auto" w:fill="auto"/>
            <w:hideMark/>
          </w:tcPr>
          <w:p w14:paraId="56BE4107"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BD1955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mucosal gastric carcinoma</w:t>
            </w:r>
          </w:p>
        </w:tc>
        <w:tc>
          <w:tcPr>
            <w:tcW w:w="1969" w:type="dxa"/>
            <w:shd w:val="clear" w:color="auto" w:fill="auto"/>
            <w:hideMark/>
          </w:tcPr>
          <w:p w14:paraId="125BF93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6D75549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Japan</w:t>
            </w:r>
          </w:p>
        </w:tc>
        <w:tc>
          <w:tcPr>
            <w:tcW w:w="4743" w:type="dxa"/>
            <w:shd w:val="clear" w:color="auto" w:fill="auto"/>
            <w:hideMark/>
          </w:tcPr>
          <w:p w14:paraId="493A8D2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Total length of hospitalization, preoperative stay, postoperative stay, hospital costs, total costs, the number of endoscopic examination, operation times</w:t>
            </w:r>
          </w:p>
        </w:tc>
      </w:tr>
      <w:tr w:rsidR="009E62FE" w:rsidRPr="009F7793" w14:paraId="5A894D57" w14:textId="77777777" w:rsidTr="00BB4029">
        <w:trPr>
          <w:trHeight w:val="480"/>
        </w:trPr>
        <w:tc>
          <w:tcPr>
            <w:tcW w:w="561" w:type="dxa"/>
            <w:shd w:val="clear" w:color="auto" w:fill="auto"/>
            <w:noWrap/>
            <w:hideMark/>
          </w:tcPr>
          <w:p w14:paraId="49494847" w14:textId="7BB1A611"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4</w:t>
            </w:r>
            <w:r w:rsidR="00BB4029">
              <w:rPr>
                <w:rFonts w:ascii="Arial" w:hAnsi="Arial" w:cs="Arial"/>
                <w:color w:val="000000"/>
                <w:sz w:val="18"/>
                <w:szCs w:val="18"/>
              </w:rPr>
              <w:t>6</w:t>
            </w:r>
          </w:p>
        </w:tc>
        <w:tc>
          <w:tcPr>
            <w:tcW w:w="1571" w:type="dxa"/>
            <w:shd w:val="clear" w:color="auto" w:fill="auto"/>
            <w:noWrap/>
            <w:hideMark/>
          </w:tcPr>
          <w:p w14:paraId="1B66A1E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Hoverman JR, et al. 2011</w:t>
            </w:r>
          </w:p>
        </w:tc>
        <w:tc>
          <w:tcPr>
            <w:tcW w:w="1756" w:type="dxa"/>
            <w:shd w:val="clear" w:color="auto" w:fill="auto"/>
            <w:hideMark/>
          </w:tcPr>
          <w:p w14:paraId="4B5D4FFD"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5D2848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colon cancer</w:t>
            </w:r>
          </w:p>
        </w:tc>
        <w:tc>
          <w:tcPr>
            <w:tcW w:w="1969" w:type="dxa"/>
            <w:shd w:val="clear" w:color="auto" w:fill="auto"/>
            <w:hideMark/>
          </w:tcPr>
          <w:p w14:paraId="08335DA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cohort design</w:t>
            </w:r>
          </w:p>
        </w:tc>
        <w:tc>
          <w:tcPr>
            <w:tcW w:w="1224" w:type="dxa"/>
            <w:shd w:val="clear" w:color="auto" w:fill="auto"/>
            <w:hideMark/>
          </w:tcPr>
          <w:p w14:paraId="359BA58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2F2932A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Disease-free survival in patients receiving adjuvant treatment and overall survival and costs</w:t>
            </w:r>
          </w:p>
        </w:tc>
      </w:tr>
      <w:tr w:rsidR="009E62FE" w:rsidRPr="009F7793" w14:paraId="47FAC3D8" w14:textId="77777777" w:rsidTr="00BB4029">
        <w:trPr>
          <w:trHeight w:val="240"/>
        </w:trPr>
        <w:tc>
          <w:tcPr>
            <w:tcW w:w="561" w:type="dxa"/>
            <w:shd w:val="clear" w:color="auto" w:fill="auto"/>
            <w:noWrap/>
            <w:hideMark/>
          </w:tcPr>
          <w:p w14:paraId="6068FB8A" w14:textId="5D95985D"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4</w:t>
            </w:r>
            <w:r w:rsidR="00BB4029">
              <w:rPr>
                <w:rFonts w:ascii="Arial" w:hAnsi="Arial" w:cs="Arial"/>
                <w:color w:val="000000"/>
                <w:sz w:val="18"/>
                <w:szCs w:val="18"/>
              </w:rPr>
              <w:t>7</w:t>
            </w:r>
          </w:p>
        </w:tc>
        <w:tc>
          <w:tcPr>
            <w:tcW w:w="1571" w:type="dxa"/>
            <w:shd w:val="clear" w:color="auto" w:fill="auto"/>
            <w:noWrap/>
            <w:hideMark/>
          </w:tcPr>
          <w:p w14:paraId="3686BD6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Hsu YC, et al. 2008</w:t>
            </w:r>
          </w:p>
        </w:tc>
        <w:tc>
          <w:tcPr>
            <w:tcW w:w="1756" w:type="dxa"/>
            <w:shd w:val="clear" w:color="auto" w:fill="auto"/>
            <w:hideMark/>
          </w:tcPr>
          <w:p w14:paraId="6A1D7501"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071E9DF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localized prostate cancer</w:t>
            </w:r>
          </w:p>
        </w:tc>
        <w:tc>
          <w:tcPr>
            <w:tcW w:w="1969" w:type="dxa"/>
            <w:shd w:val="clear" w:color="auto" w:fill="auto"/>
            <w:hideMark/>
          </w:tcPr>
          <w:p w14:paraId="3C9F47E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459638B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Taiwan</w:t>
            </w:r>
          </w:p>
        </w:tc>
        <w:tc>
          <w:tcPr>
            <w:tcW w:w="4743" w:type="dxa"/>
            <w:shd w:val="clear" w:color="auto" w:fill="auto"/>
            <w:hideMark/>
          </w:tcPr>
          <w:p w14:paraId="2F0AAF7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Pathway variations and length of hospital stay</w:t>
            </w:r>
          </w:p>
        </w:tc>
      </w:tr>
      <w:tr w:rsidR="009E62FE" w:rsidRPr="009F7793" w14:paraId="1D587E91" w14:textId="77777777" w:rsidTr="00BB4029">
        <w:trPr>
          <w:trHeight w:val="960"/>
        </w:trPr>
        <w:tc>
          <w:tcPr>
            <w:tcW w:w="561" w:type="dxa"/>
            <w:shd w:val="clear" w:color="auto" w:fill="auto"/>
            <w:noWrap/>
            <w:hideMark/>
          </w:tcPr>
          <w:p w14:paraId="7A381E37" w14:textId="44F71F8B"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4</w:t>
            </w:r>
            <w:r w:rsidR="00BB4029">
              <w:rPr>
                <w:rFonts w:ascii="Arial" w:hAnsi="Arial" w:cs="Arial"/>
                <w:color w:val="000000"/>
                <w:sz w:val="18"/>
                <w:szCs w:val="18"/>
              </w:rPr>
              <w:t>8</w:t>
            </w:r>
          </w:p>
        </w:tc>
        <w:tc>
          <w:tcPr>
            <w:tcW w:w="1571" w:type="dxa"/>
            <w:shd w:val="clear" w:color="auto" w:fill="auto"/>
            <w:noWrap/>
            <w:hideMark/>
          </w:tcPr>
          <w:p w14:paraId="55EC21A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Hubner M, et al. 2015</w:t>
            </w:r>
          </w:p>
        </w:tc>
        <w:tc>
          <w:tcPr>
            <w:tcW w:w="1756" w:type="dxa"/>
            <w:shd w:val="clear" w:color="auto" w:fill="auto"/>
            <w:hideMark/>
          </w:tcPr>
          <w:p w14:paraId="5ED33537"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67AD785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surgery</w:t>
            </w:r>
          </w:p>
        </w:tc>
        <w:tc>
          <w:tcPr>
            <w:tcW w:w="1969" w:type="dxa"/>
            <w:shd w:val="clear" w:color="auto" w:fill="auto"/>
            <w:hideMark/>
          </w:tcPr>
          <w:p w14:paraId="04EF6B8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 retrospective cohort study</w:t>
            </w:r>
          </w:p>
        </w:tc>
        <w:tc>
          <w:tcPr>
            <w:tcW w:w="1224" w:type="dxa"/>
            <w:shd w:val="clear" w:color="auto" w:fill="auto"/>
            <w:hideMark/>
          </w:tcPr>
          <w:p w14:paraId="6FFC77B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Switzerland</w:t>
            </w:r>
          </w:p>
        </w:tc>
        <w:tc>
          <w:tcPr>
            <w:tcW w:w="4743" w:type="dxa"/>
            <w:shd w:val="clear" w:color="auto" w:fill="auto"/>
            <w:hideMark/>
          </w:tcPr>
          <w:p w14:paraId="4389ED1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Return of bowel function (flatus/stool), postoperative complications, length of stay, total hospital stay, number of preoperative days, early readmissions within 30 days after surgery</w:t>
            </w:r>
          </w:p>
        </w:tc>
      </w:tr>
      <w:tr w:rsidR="009E62FE" w:rsidRPr="009F7793" w14:paraId="2D5651E4" w14:textId="77777777" w:rsidTr="00BB4029">
        <w:trPr>
          <w:trHeight w:val="960"/>
        </w:trPr>
        <w:tc>
          <w:tcPr>
            <w:tcW w:w="561" w:type="dxa"/>
            <w:shd w:val="clear" w:color="auto" w:fill="auto"/>
            <w:noWrap/>
          </w:tcPr>
          <w:p w14:paraId="66FC4EE6" w14:textId="2D793469" w:rsidR="009E62FE" w:rsidRPr="0057539F" w:rsidRDefault="009E62FE" w:rsidP="00BB4029">
            <w:pPr>
              <w:rPr>
                <w:rFonts w:ascii="Arial" w:hAnsi="Arial" w:cs="Arial"/>
                <w:color w:val="000000"/>
                <w:sz w:val="18"/>
                <w:szCs w:val="18"/>
              </w:rPr>
            </w:pPr>
            <w:r>
              <w:rPr>
                <w:rFonts w:ascii="Arial" w:hAnsi="Arial" w:cs="Arial"/>
                <w:color w:val="000000"/>
                <w:sz w:val="18"/>
                <w:szCs w:val="18"/>
              </w:rPr>
              <w:t>4</w:t>
            </w:r>
            <w:r w:rsidR="00BB4029">
              <w:rPr>
                <w:rFonts w:ascii="Arial" w:hAnsi="Arial" w:cs="Arial"/>
                <w:color w:val="000000"/>
                <w:sz w:val="18"/>
                <w:szCs w:val="18"/>
              </w:rPr>
              <w:t>9</w:t>
            </w:r>
          </w:p>
        </w:tc>
        <w:tc>
          <w:tcPr>
            <w:tcW w:w="1571" w:type="dxa"/>
            <w:shd w:val="clear" w:color="auto" w:fill="auto"/>
            <w:noWrap/>
          </w:tcPr>
          <w:p w14:paraId="786BBFAB"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 xml:space="preserve">Husbands JM, et al. 1999 </w:t>
            </w:r>
          </w:p>
        </w:tc>
        <w:tc>
          <w:tcPr>
            <w:tcW w:w="1756" w:type="dxa"/>
            <w:shd w:val="clear" w:color="auto" w:fill="auto"/>
          </w:tcPr>
          <w:p w14:paraId="58A4F576" w14:textId="77777777" w:rsidR="009E62FE" w:rsidRPr="0095416F" w:rsidRDefault="009E62FE" w:rsidP="00BB4029">
            <w:pPr>
              <w:rPr>
                <w:rFonts w:ascii="Arial" w:hAnsi="Arial" w:cs="Arial"/>
                <w:color w:val="000000"/>
                <w:sz w:val="18"/>
                <w:szCs w:val="18"/>
                <w:lang w:val="en-US"/>
              </w:rPr>
            </w:pPr>
            <w:r w:rsidRPr="00197CB5">
              <w:rPr>
                <w:rFonts w:ascii="Arial" w:hAnsi="Arial" w:cs="Arial"/>
                <w:color w:val="000000"/>
                <w:sz w:val="18"/>
                <w:szCs w:val="18"/>
                <w:lang w:val="en-US"/>
              </w:rPr>
              <w:t>Study did not meet Cochrane EPOC study design criteria</w:t>
            </w:r>
          </w:p>
        </w:tc>
        <w:tc>
          <w:tcPr>
            <w:tcW w:w="2180" w:type="dxa"/>
            <w:shd w:val="clear" w:color="auto" w:fill="auto"/>
          </w:tcPr>
          <w:p w14:paraId="4B6990E6" w14:textId="77777777" w:rsidR="009E62FE" w:rsidRPr="00197CB5" w:rsidRDefault="009E62FE" w:rsidP="00BB4029">
            <w:pPr>
              <w:rPr>
                <w:rFonts w:ascii="Arial" w:hAnsi="Arial" w:cs="Arial"/>
                <w:color w:val="000000"/>
                <w:sz w:val="18"/>
                <w:szCs w:val="18"/>
                <w:lang w:val="en-US"/>
              </w:rPr>
            </w:pPr>
            <w:r>
              <w:rPr>
                <w:rFonts w:ascii="Arial" w:hAnsi="Arial" w:cs="Arial"/>
                <w:color w:val="000000"/>
                <w:sz w:val="18"/>
                <w:szCs w:val="18"/>
                <w:lang w:val="en-US"/>
              </w:rPr>
              <w:t>h</w:t>
            </w:r>
            <w:r w:rsidRPr="00197CB5">
              <w:rPr>
                <w:rFonts w:ascii="Arial" w:hAnsi="Arial" w:cs="Arial"/>
                <w:color w:val="000000"/>
                <w:sz w:val="18"/>
                <w:szCs w:val="18"/>
                <w:lang w:val="en-US"/>
              </w:rPr>
              <w:t>ead and neck oncologic surgery</w:t>
            </w:r>
          </w:p>
        </w:tc>
        <w:tc>
          <w:tcPr>
            <w:tcW w:w="1969" w:type="dxa"/>
            <w:shd w:val="clear" w:color="auto" w:fill="auto"/>
          </w:tcPr>
          <w:p w14:paraId="2BE8AA03" w14:textId="77777777" w:rsidR="009E62FE" w:rsidRPr="00197CB5" w:rsidRDefault="009E62FE" w:rsidP="00BB4029">
            <w:pPr>
              <w:rPr>
                <w:rFonts w:ascii="Arial" w:hAnsi="Arial" w:cs="Arial"/>
                <w:color w:val="000000"/>
                <w:sz w:val="18"/>
                <w:szCs w:val="18"/>
                <w:lang w:val="en-US"/>
              </w:rPr>
            </w:pPr>
            <w:r>
              <w:rPr>
                <w:rFonts w:ascii="Arial" w:hAnsi="Arial" w:cs="Arial"/>
                <w:color w:val="000000"/>
                <w:sz w:val="18"/>
                <w:szCs w:val="18"/>
                <w:lang w:val="en-US"/>
              </w:rPr>
              <w:t>before-after study</w:t>
            </w:r>
          </w:p>
        </w:tc>
        <w:tc>
          <w:tcPr>
            <w:tcW w:w="1224" w:type="dxa"/>
            <w:shd w:val="clear" w:color="auto" w:fill="auto"/>
          </w:tcPr>
          <w:p w14:paraId="17CF027E" w14:textId="77777777" w:rsidR="009E62FE" w:rsidRPr="00197CB5" w:rsidRDefault="009E62FE" w:rsidP="00BB4029">
            <w:pPr>
              <w:rPr>
                <w:rFonts w:ascii="Arial" w:hAnsi="Arial" w:cs="Arial"/>
                <w:color w:val="000000"/>
                <w:sz w:val="18"/>
                <w:szCs w:val="18"/>
                <w:lang w:val="en-US"/>
              </w:rPr>
            </w:pPr>
            <w:r>
              <w:rPr>
                <w:rFonts w:ascii="Arial" w:hAnsi="Arial" w:cs="Arial"/>
                <w:color w:val="000000"/>
                <w:sz w:val="18"/>
                <w:szCs w:val="18"/>
                <w:lang w:val="en-US"/>
              </w:rPr>
              <w:t>USA</w:t>
            </w:r>
          </w:p>
        </w:tc>
        <w:tc>
          <w:tcPr>
            <w:tcW w:w="4743" w:type="dxa"/>
            <w:shd w:val="clear" w:color="auto" w:fill="auto"/>
          </w:tcPr>
          <w:p w14:paraId="7B9F6799" w14:textId="77777777" w:rsidR="009E62FE" w:rsidRPr="0057539F" w:rsidRDefault="009E62FE" w:rsidP="00BB4029">
            <w:pPr>
              <w:rPr>
                <w:rFonts w:ascii="Arial" w:hAnsi="Arial" w:cs="Arial"/>
                <w:color w:val="000000"/>
                <w:sz w:val="18"/>
                <w:szCs w:val="18"/>
                <w:lang w:val="en-US"/>
              </w:rPr>
            </w:pPr>
            <w:r w:rsidRPr="00197CB5">
              <w:rPr>
                <w:rFonts w:ascii="Arial" w:hAnsi="Arial" w:cs="Arial"/>
                <w:color w:val="000000"/>
                <w:sz w:val="18"/>
                <w:szCs w:val="18"/>
                <w:lang w:val="en-US"/>
              </w:rPr>
              <w:t>Median charge per patient</w:t>
            </w:r>
            <w:r>
              <w:rPr>
                <w:rFonts w:ascii="Arial" w:hAnsi="Arial" w:cs="Arial"/>
                <w:color w:val="000000"/>
                <w:sz w:val="18"/>
                <w:szCs w:val="18"/>
                <w:lang w:val="en-US"/>
              </w:rPr>
              <w:t>, l</w:t>
            </w:r>
            <w:r w:rsidRPr="00197CB5">
              <w:rPr>
                <w:rFonts w:ascii="Arial" w:hAnsi="Arial" w:cs="Arial"/>
                <w:color w:val="000000"/>
                <w:sz w:val="18"/>
                <w:szCs w:val="18"/>
                <w:lang w:val="en-US"/>
              </w:rPr>
              <w:t>ength of stay</w:t>
            </w:r>
            <w:r>
              <w:rPr>
                <w:rFonts w:ascii="Arial" w:hAnsi="Arial" w:cs="Arial"/>
                <w:color w:val="000000"/>
                <w:sz w:val="18"/>
                <w:szCs w:val="18"/>
                <w:lang w:val="en-US"/>
              </w:rPr>
              <w:t>, r</w:t>
            </w:r>
            <w:r w:rsidRPr="00197CB5">
              <w:rPr>
                <w:rFonts w:ascii="Arial" w:hAnsi="Arial" w:cs="Arial"/>
                <w:color w:val="000000"/>
                <w:sz w:val="18"/>
                <w:szCs w:val="18"/>
                <w:lang w:val="en-US"/>
              </w:rPr>
              <w:t>eadmission rate</w:t>
            </w:r>
            <w:r>
              <w:rPr>
                <w:rFonts w:ascii="Arial" w:hAnsi="Arial" w:cs="Arial"/>
                <w:color w:val="000000"/>
                <w:sz w:val="18"/>
                <w:szCs w:val="18"/>
                <w:lang w:val="en-US"/>
              </w:rPr>
              <w:t>, c</w:t>
            </w:r>
            <w:r w:rsidRPr="00197CB5">
              <w:rPr>
                <w:rFonts w:ascii="Arial" w:hAnsi="Arial" w:cs="Arial"/>
                <w:color w:val="000000"/>
                <w:sz w:val="18"/>
                <w:szCs w:val="18"/>
                <w:lang w:val="en-US"/>
              </w:rPr>
              <w:t>omplication rate</w:t>
            </w:r>
            <w:r>
              <w:rPr>
                <w:rFonts w:ascii="Arial" w:hAnsi="Arial" w:cs="Arial"/>
                <w:color w:val="000000"/>
                <w:sz w:val="18"/>
                <w:szCs w:val="18"/>
                <w:lang w:val="en-US"/>
              </w:rPr>
              <w:t>, m</w:t>
            </w:r>
            <w:r w:rsidRPr="00197CB5">
              <w:rPr>
                <w:rFonts w:ascii="Arial" w:hAnsi="Arial" w:cs="Arial"/>
                <w:color w:val="000000"/>
                <w:sz w:val="18"/>
                <w:szCs w:val="18"/>
                <w:lang w:val="en-US"/>
              </w:rPr>
              <w:t>ortality rate</w:t>
            </w:r>
          </w:p>
        </w:tc>
      </w:tr>
      <w:tr w:rsidR="009E62FE" w:rsidRPr="009F7793" w14:paraId="0AD04A5C" w14:textId="77777777" w:rsidTr="00BB4029">
        <w:trPr>
          <w:trHeight w:val="960"/>
        </w:trPr>
        <w:tc>
          <w:tcPr>
            <w:tcW w:w="561" w:type="dxa"/>
            <w:shd w:val="clear" w:color="auto" w:fill="auto"/>
            <w:noWrap/>
            <w:hideMark/>
          </w:tcPr>
          <w:p w14:paraId="639074AA" w14:textId="3B382A00" w:rsidR="009E62FE" w:rsidRPr="0057539F" w:rsidRDefault="00BB4029" w:rsidP="00BB4029">
            <w:pPr>
              <w:rPr>
                <w:rFonts w:ascii="Arial" w:hAnsi="Arial" w:cs="Arial"/>
                <w:color w:val="000000"/>
                <w:sz w:val="18"/>
                <w:szCs w:val="18"/>
              </w:rPr>
            </w:pPr>
            <w:r>
              <w:rPr>
                <w:rFonts w:ascii="Arial" w:hAnsi="Arial" w:cs="Arial"/>
                <w:color w:val="000000"/>
                <w:sz w:val="18"/>
                <w:szCs w:val="18"/>
              </w:rPr>
              <w:t>50</w:t>
            </w:r>
          </w:p>
        </w:tc>
        <w:tc>
          <w:tcPr>
            <w:tcW w:w="1571" w:type="dxa"/>
            <w:shd w:val="clear" w:color="auto" w:fill="auto"/>
            <w:noWrap/>
            <w:hideMark/>
          </w:tcPr>
          <w:p w14:paraId="37D8799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Iijima K, et al. 2003</w:t>
            </w:r>
          </w:p>
        </w:tc>
        <w:tc>
          <w:tcPr>
            <w:tcW w:w="1756" w:type="dxa"/>
            <w:shd w:val="clear" w:color="auto" w:fill="auto"/>
            <w:hideMark/>
          </w:tcPr>
          <w:p w14:paraId="06BE96C4"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8AA940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patients with neoplastic diseases</w:t>
            </w:r>
          </w:p>
        </w:tc>
        <w:tc>
          <w:tcPr>
            <w:tcW w:w="1969" w:type="dxa"/>
            <w:shd w:val="clear" w:color="auto" w:fill="auto"/>
            <w:hideMark/>
          </w:tcPr>
          <w:p w14:paraId="22FE8F1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1AC3389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Japan</w:t>
            </w:r>
          </w:p>
        </w:tc>
        <w:tc>
          <w:tcPr>
            <w:tcW w:w="4743" w:type="dxa"/>
            <w:shd w:val="clear" w:color="auto" w:fill="auto"/>
            <w:hideMark/>
          </w:tcPr>
          <w:p w14:paraId="4E5E181F"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 xml:space="preserve">Differences in procedures </w:t>
            </w:r>
            <w:r>
              <w:rPr>
                <w:rFonts w:ascii="Arial" w:hAnsi="Arial" w:cs="Arial"/>
                <w:color w:val="000000"/>
                <w:sz w:val="18"/>
                <w:szCs w:val="18"/>
                <w:lang w:val="en-US"/>
              </w:rPr>
              <w:t>and</w:t>
            </w:r>
            <w:r w:rsidRPr="0057539F">
              <w:rPr>
                <w:rFonts w:ascii="Arial" w:hAnsi="Arial" w:cs="Arial"/>
                <w:color w:val="000000"/>
                <w:sz w:val="18"/>
                <w:szCs w:val="18"/>
                <w:lang w:val="en-US"/>
              </w:rPr>
              <w:t xml:space="preserve"> therapy between the pathway group and control group, postoperative complications, readmissions, or overall deaths for one year</w:t>
            </w:r>
          </w:p>
        </w:tc>
      </w:tr>
      <w:tr w:rsidR="009E62FE" w:rsidRPr="009F7793" w14:paraId="3D9493A2" w14:textId="77777777" w:rsidTr="00BB4029">
        <w:trPr>
          <w:trHeight w:val="480"/>
        </w:trPr>
        <w:tc>
          <w:tcPr>
            <w:tcW w:w="561" w:type="dxa"/>
            <w:shd w:val="clear" w:color="auto" w:fill="auto"/>
            <w:noWrap/>
            <w:hideMark/>
          </w:tcPr>
          <w:p w14:paraId="73C170E1" w14:textId="2450EB75" w:rsidR="009E62FE" w:rsidRPr="0057539F" w:rsidRDefault="009E62FE" w:rsidP="00BB4029">
            <w:pPr>
              <w:rPr>
                <w:rFonts w:ascii="Arial" w:hAnsi="Arial" w:cs="Arial"/>
                <w:color w:val="000000"/>
                <w:sz w:val="18"/>
                <w:szCs w:val="18"/>
              </w:rPr>
            </w:pPr>
            <w:r>
              <w:rPr>
                <w:rFonts w:ascii="Arial" w:hAnsi="Arial" w:cs="Arial"/>
                <w:color w:val="000000"/>
                <w:sz w:val="18"/>
                <w:szCs w:val="18"/>
              </w:rPr>
              <w:t>5</w:t>
            </w:r>
            <w:r w:rsidR="00BB4029">
              <w:rPr>
                <w:rFonts w:ascii="Arial" w:hAnsi="Arial" w:cs="Arial"/>
                <w:color w:val="000000"/>
                <w:sz w:val="18"/>
                <w:szCs w:val="18"/>
              </w:rPr>
              <w:t>1</w:t>
            </w:r>
          </w:p>
        </w:tc>
        <w:tc>
          <w:tcPr>
            <w:tcW w:w="1571" w:type="dxa"/>
            <w:shd w:val="clear" w:color="auto" w:fill="auto"/>
            <w:noWrap/>
            <w:hideMark/>
          </w:tcPr>
          <w:p w14:paraId="5F14503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Ise Y, et al. 2003</w:t>
            </w:r>
          </w:p>
        </w:tc>
        <w:tc>
          <w:tcPr>
            <w:tcW w:w="1756" w:type="dxa"/>
            <w:shd w:val="clear" w:color="auto" w:fill="auto"/>
            <w:hideMark/>
          </w:tcPr>
          <w:p w14:paraId="2955235F"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423AB67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stomach cancer</w:t>
            </w:r>
          </w:p>
        </w:tc>
        <w:tc>
          <w:tcPr>
            <w:tcW w:w="1969" w:type="dxa"/>
            <w:shd w:val="clear" w:color="auto" w:fill="auto"/>
            <w:hideMark/>
          </w:tcPr>
          <w:p w14:paraId="61780EC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cost-effectiveness analysis.</w:t>
            </w:r>
          </w:p>
        </w:tc>
        <w:tc>
          <w:tcPr>
            <w:tcW w:w="1224" w:type="dxa"/>
            <w:shd w:val="clear" w:color="auto" w:fill="auto"/>
            <w:hideMark/>
          </w:tcPr>
          <w:p w14:paraId="55DD11E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Japan</w:t>
            </w:r>
          </w:p>
        </w:tc>
        <w:tc>
          <w:tcPr>
            <w:tcW w:w="4743" w:type="dxa"/>
            <w:shd w:val="clear" w:color="auto" w:fill="auto"/>
            <w:hideMark/>
          </w:tcPr>
          <w:p w14:paraId="1D040084"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Pre- and postoperative stay at the hospital, length of stay, costs</w:t>
            </w:r>
          </w:p>
        </w:tc>
      </w:tr>
      <w:tr w:rsidR="009E62FE" w:rsidRPr="009F7793" w14:paraId="574B8F31" w14:textId="77777777" w:rsidTr="00BB4029">
        <w:trPr>
          <w:trHeight w:val="480"/>
        </w:trPr>
        <w:tc>
          <w:tcPr>
            <w:tcW w:w="561" w:type="dxa"/>
            <w:shd w:val="clear" w:color="auto" w:fill="auto"/>
            <w:noWrap/>
            <w:hideMark/>
          </w:tcPr>
          <w:p w14:paraId="07F072DD" w14:textId="0D49E38F" w:rsidR="009E62FE" w:rsidRPr="0057539F" w:rsidRDefault="009E62FE" w:rsidP="00BB4029">
            <w:pPr>
              <w:rPr>
                <w:rFonts w:ascii="Arial" w:hAnsi="Arial" w:cs="Arial"/>
                <w:color w:val="000000"/>
                <w:sz w:val="18"/>
                <w:szCs w:val="18"/>
              </w:rPr>
            </w:pPr>
            <w:r>
              <w:rPr>
                <w:rFonts w:ascii="Arial" w:hAnsi="Arial" w:cs="Arial"/>
                <w:color w:val="000000"/>
                <w:sz w:val="18"/>
                <w:szCs w:val="18"/>
              </w:rPr>
              <w:t>5</w:t>
            </w:r>
            <w:r w:rsidR="00BB4029">
              <w:rPr>
                <w:rFonts w:ascii="Arial" w:hAnsi="Arial" w:cs="Arial"/>
                <w:color w:val="000000"/>
                <w:sz w:val="18"/>
                <w:szCs w:val="18"/>
              </w:rPr>
              <w:t>2</w:t>
            </w:r>
          </w:p>
        </w:tc>
        <w:tc>
          <w:tcPr>
            <w:tcW w:w="1571" w:type="dxa"/>
            <w:shd w:val="clear" w:color="auto" w:fill="auto"/>
            <w:noWrap/>
            <w:hideMark/>
          </w:tcPr>
          <w:p w14:paraId="2E7346E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Ishiguro S, et al. 2008</w:t>
            </w:r>
          </w:p>
        </w:tc>
        <w:tc>
          <w:tcPr>
            <w:tcW w:w="1756" w:type="dxa"/>
            <w:shd w:val="clear" w:color="auto" w:fill="auto"/>
            <w:hideMark/>
          </w:tcPr>
          <w:p w14:paraId="1774C63F"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75E611A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w:t>
            </w:r>
          </w:p>
        </w:tc>
        <w:tc>
          <w:tcPr>
            <w:tcW w:w="1969" w:type="dxa"/>
            <w:shd w:val="clear" w:color="auto" w:fill="auto"/>
            <w:hideMark/>
          </w:tcPr>
          <w:p w14:paraId="16416CA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66F0E7F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Japan</w:t>
            </w:r>
          </w:p>
        </w:tc>
        <w:tc>
          <w:tcPr>
            <w:tcW w:w="4743" w:type="dxa"/>
            <w:shd w:val="clear" w:color="auto" w:fill="auto"/>
            <w:hideMark/>
          </w:tcPr>
          <w:p w14:paraId="42FF4D76"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Hospital stay, mortality, morbidity, reoperati</w:t>
            </w:r>
            <w:r>
              <w:rPr>
                <w:rFonts w:ascii="Arial" w:hAnsi="Arial" w:cs="Arial"/>
                <w:color w:val="000000"/>
                <w:sz w:val="18"/>
                <w:szCs w:val="18"/>
                <w:lang w:val="en-US"/>
              </w:rPr>
              <w:t>on</w:t>
            </w:r>
            <w:r w:rsidRPr="0057539F">
              <w:rPr>
                <w:rFonts w:ascii="Arial" w:hAnsi="Arial" w:cs="Arial"/>
                <w:color w:val="000000"/>
                <w:sz w:val="18"/>
                <w:szCs w:val="18"/>
                <w:lang w:val="en-US"/>
              </w:rPr>
              <w:t>, readmission</w:t>
            </w:r>
          </w:p>
        </w:tc>
      </w:tr>
      <w:tr w:rsidR="009E62FE" w:rsidRPr="009F7793" w14:paraId="0AC376A6" w14:textId="77777777" w:rsidTr="00BB4029">
        <w:trPr>
          <w:trHeight w:val="480"/>
        </w:trPr>
        <w:tc>
          <w:tcPr>
            <w:tcW w:w="561" w:type="dxa"/>
            <w:shd w:val="clear" w:color="auto" w:fill="auto"/>
            <w:noWrap/>
          </w:tcPr>
          <w:p w14:paraId="08C13727" w14:textId="606ADA9D" w:rsidR="009E62FE" w:rsidRPr="0057539F" w:rsidRDefault="009E62FE" w:rsidP="00BB4029">
            <w:pPr>
              <w:rPr>
                <w:rFonts w:ascii="Arial" w:hAnsi="Arial" w:cs="Arial"/>
                <w:color w:val="000000"/>
                <w:sz w:val="18"/>
                <w:szCs w:val="18"/>
              </w:rPr>
            </w:pPr>
            <w:r>
              <w:rPr>
                <w:rFonts w:ascii="Arial" w:hAnsi="Arial" w:cs="Arial"/>
                <w:color w:val="000000"/>
                <w:sz w:val="18"/>
                <w:szCs w:val="18"/>
              </w:rPr>
              <w:t>5</w:t>
            </w:r>
            <w:r w:rsidR="00BB4029">
              <w:rPr>
                <w:rFonts w:ascii="Arial" w:hAnsi="Arial" w:cs="Arial"/>
                <w:color w:val="000000"/>
                <w:sz w:val="18"/>
                <w:szCs w:val="18"/>
              </w:rPr>
              <w:t>3</w:t>
            </w:r>
          </w:p>
        </w:tc>
        <w:tc>
          <w:tcPr>
            <w:tcW w:w="1571" w:type="dxa"/>
            <w:shd w:val="clear" w:color="auto" w:fill="auto"/>
            <w:noWrap/>
          </w:tcPr>
          <w:p w14:paraId="776D794E"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Jackman DM, et al. 2017</w:t>
            </w:r>
          </w:p>
        </w:tc>
        <w:tc>
          <w:tcPr>
            <w:tcW w:w="1756" w:type="dxa"/>
            <w:shd w:val="clear" w:color="auto" w:fill="auto"/>
          </w:tcPr>
          <w:p w14:paraId="3DD390A2" w14:textId="77777777" w:rsidR="009E62FE" w:rsidRPr="0095416F" w:rsidRDefault="009E62FE" w:rsidP="00BB4029">
            <w:pPr>
              <w:rPr>
                <w:rFonts w:ascii="Arial" w:hAnsi="Arial" w:cs="Arial"/>
                <w:color w:val="000000"/>
                <w:sz w:val="18"/>
                <w:szCs w:val="18"/>
                <w:lang w:val="en-US"/>
              </w:rPr>
            </w:pPr>
            <w:r w:rsidRPr="00944219">
              <w:rPr>
                <w:rFonts w:ascii="Arial" w:hAnsi="Arial" w:cs="Arial"/>
                <w:color w:val="000000"/>
                <w:sz w:val="18"/>
                <w:szCs w:val="18"/>
                <w:lang w:val="en-US"/>
              </w:rPr>
              <w:t>Study did not meet Cochrane EPOC study design criteria</w:t>
            </w:r>
          </w:p>
        </w:tc>
        <w:tc>
          <w:tcPr>
            <w:tcW w:w="2180" w:type="dxa"/>
            <w:shd w:val="clear" w:color="auto" w:fill="auto"/>
          </w:tcPr>
          <w:p w14:paraId="786074E2" w14:textId="77777777" w:rsidR="009E62FE" w:rsidRPr="00944219" w:rsidRDefault="009E62FE" w:rsidP="00BB4029">
            <w:pPr>
              <w:rPr>
                <w:rFonts w:ascii="Arial" w:hAnsi="Arial" w:cs="Arial"/>
                <w:color w:val="000000"/>
                <w:sz w:val="18"/>
                <w:szCs w:val="18"/>
                <w:lang w:val="en-US"/>
              </w:rPr>
            </w:pPr>
            <w:r>
              <w:rPr>
                <w:rFonts w:ascii="Arial" w:hAnsi="Arial" w:cs="Arial"/>
                <w:color w:val="000000"/>
                <w:sz w:val="18"/>
                <w:szCs w:val="18"/>
                <w:lang w:val="en-US"/>
              </w:rPr>
              <w:t>lung cancer</w:t>
            </w:r>
          </w:p>
        </w:tc>
        <w:tc>
          <w:tcPr>
            <w:tcW w:w="1969" w:type="dxa"/>
            <w:shd w:val="clear" w:color="auto" w:fill="auto"/>
          </w:tcPr>
          <w:p w14:paraId="277100BB" w14:textId="77777777" w:rsidR="009E62FE" w:rsidRPr="00944219" w:rsidRDefault="009E62FE" w:rsidP="00BB4029">
            <w:pPr>
              <w:rPr>
                <w:rFonts w:ascii="Arial" w:hAnsi="Arial" w:cs="Arial"/>
                <w:color w:val="000000"/>
                <w:sz w:val="18"/>
                <w:szCs w:val="18"/>
                <w:lang w:val="en-US"/>
              </w:rPr>
            </w:pPr>
            <w:r>
              <w:rPr>
                <w:rFonts w:ascii="Arial" w:hAnsi="Arial" w:cs="Arial"/>
                <w:color w:val="000000"/>
                <w:sz w:val="18"/>
                <w:szCs w:val="18"/>
                <w:lang w:val="en-US"/>
              </w:rPr>
              <w:t>before-after study</w:t>
            </w:r>
          </w:p>
        </w:tc>
        <w:tc>
          <w:tcPr>
            <w:tcW w:w="1224" w:type="dxa"/>
            <w:shd w:val="clear" w:color="auto" w:fill="auto"/>
          </w:tcPr>
          <w:p w14:paraId="3535DEE0" w14:textId="77777777" w:rsidR="009E62FE" w:rsidRPr="00944219" w:rsidRDefault="009E62FE" w:rsidP="00BB4029">
            <w:pPr>
              <w:rPr>
                <w:rFonts w:ascii="Arial" w:hAnsi="Arial" w:cs="Arial"/>
                <w:color w:val="000000"/>
                <w:sz w:val="18"/>
                <w:szCs w:val="18"/>
                <w:lang w:val="en-US"/>
              </w:rPr>
            </w:pPr>
            <w:r>
              <w:rPr>
                <w:rFonts w:ascii="Arial" w:hAnsi="Arial" w:cs="Arial"/>
                <w:color w:val="000000"/>
                <w:sz w:val="18"/>
                <w:szCs w:val="18"/>
                <w:lang w:val="en-US"/>
              </w:rPr>
              <w:t>USA</w:t>
            </w:r>
          </w:p>
        </w:tc>
        <w:tc>
          <w:tcPr>
            <w:tcW w:w="4743" w:type="dxa"/>
            <w:shd w:val="clear" w:color="auto" w:fill="auto"/>
          </w:tcPr>
          <w:p w14:paraId="6EB40227" w14:textId="77777777" w:rsidR="009E62FE" w:rsidRPr="0057539F" w:rsidRDefault="009E62FE" w:rsidP="00BB4029">
            <w:pPr>
              <w:rPr>
                <w:rFonts w:ascii="Arial" w:hAnsi="Arial" w:cs="Arial"/>
                <w:color w:val="000000"/>
                <w:sz w:val="18"/>
                <w:szCs w:val="18"/>
                <w:lang w:val="en-US"/>
              </w:rPr>
            </w:pPr>
            <w:r w:rsidRPr="00944219">
              <w:rPr>
                <w:rFonts w:ascii="Arial" w:hAnsi="Arial" w:cs="Arial"/>
                <w:color w:val="000000"/>
                <w:sz w:val="18"/>
                <w:szCs w:val="18"/>
                <w:lang w:val="en-US"/>
              </w:rPr>
              <w:t>Costs of care &amp; clinical outcomes (survival times)</w:t>
            </w:r>
          </w:p>
        </w:tc>
      </w:tr>
      <w:tr w:rsidR="009E62FE" w:rsidRPr="009F7793" w14:paraId="1DA5CFA9" w14:textId="77777777" w:rsidTr="00BB4029">
        <w:trPr>
          <w:trHeight w:val="480"/>
        </w:trPr>
        <w:tc>
          <w:tcPr>
            <w:tcW w:w="561" w:type="dxa"/>
            <w:shd w:val="clear" w:color="auto" w:fill="auto"/>
            <w:noWrap/>
            <w:hideMark/>
          </w:tcPr>
          <w:p w14:paraId="07AB881D" w14:textId="1B2EA508" w:rsidR="009E62FE" w:rsidRPr="0057539F" w:rsidRDefault="009E62FE" w:rsidP="00BB4029">
            <w:pPr>
              <w:rPr>
                <w:rFonts w:ascii="Arial" w:hAnsi="Arial" w:cs="Arial"/>
                <w:color w:val="000000"/>
                <w:sz w:val="18"/>
                <w:szCs w:val="18"/>
              </w:rPr>
            </w:pPr>
            <w:r>
              <w:rPr>
                <w:rFonts w:ascii="Arial" w:hAnsi="Arial" w:cs="Arial"/>
                <w:color w:val="000000"/>
                <w:sz w:val="18"/>
                <w:szCs w:val="18"/>
              </w:rPr>
              <w:t>5</w:t>
            </w:r>
            <w:r w:rsidR="00BB4029">
              <w:rPr>
                <w:rFonts w:ascii="Arial" w:hAnsi="Arial" w:cs="Arial"/>
                <w:color w:val="000000"/>
                <w:sz w:val="18"/>
                <w:szCs w:val="18"/>
              </w:rPr>
              <w:t>4</w:t>
            </w:r>
          </w:p>
        </w:tc>
        <w:tc>
          <w:tcPr>
            <w:tcW w:w="1571" w:type="dxa"/>
            <w:shd w:val="clear" w:color="auto" w:fill="auto"/>
            <w:noWrap/>
            <w:hideMark/>
          </w:tcPr>
          <w:p w14:paraId="5A9170C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 xml:space="preserve">Jakobsen JK, et al. </w:t>
            </w:r>
            <w:r w:rsidRPr="0057539F">
              <w:rPr>
                <w:rFonts w:ascii="Arial" w:hAnsi="Arial" w:cs="Arial"/>
                <w:color w:val="000000"/>
                <w:sz w:val="18"/>
                <w:szCs w:val="18"/>
              </w:rPr>
              <w:lastRenderedPageBreak/>
              <w:t>2016</w:t>
            </w:r>
          </w:p>
        </w:tc>
        <w:tc>
          <w:tcPr>
            <w:tcW w:w="1756" w:type="dxa"/>
            <w:shd w:val="clear" w:color="auto" w:fill="auto"/>
            <w:hideMark/>
          </w:tcPr>
          <w:p w14:paraId="18A0CE53"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lastRenderedPageBreak/>
              <w:t xml:space="preserve">Study did not meet Cochrane EPOC </w:t>
            </w:r>
            <w:r w:rsidRPr="0095416F">
              <w:rPr>
                <w:rFonts w:ascii="Arial" w:hAnsi="Arial" w:cs="Arial"/>
                <w:color w:val="000000"/>
                <w:sz w:val="18"/>
                <w:szCs w:val="18"/>
                <w:lang w:val="en-US"/>
              </w:rPr>
              <w:lastRenderedPageBreak/>
              <w:t>study design criteria</w:t>
            </w:r>
          </w:p>
        </w:tc>
        <w:tc>
          <w:tcPr>
            <w:tcW w:w="2180" w:type="dxa"/>
            <w:shd w:val="clear" w:color="auto" w:fill="auto"/>
            <w:hideMark/>
          </w:tcPr>
          <w:p w14:paraId="6C1810E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penile cancer</w:t>
            </w:r>
          </w:p>
        </w:tc>
        <w:tc>
          <w:tcPr>
            <w:tcW w:w="1969" w:type="dxa"/>
            <w:shd w:val="clear" w:color="auto" w:fill="auto"/>
            <w:hideMark/>
          </w:tcPr>
          <w:p w14:paraId="724E5EF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observational study</w:t>
            </w:r>
          </w:p>
        </w:tc>
        <w:tc>
          <w:tcPr>
            <w:tcW w:w="1224" w:type="dxa"/>
            <w:shd w:val="clear" w:color="auto" w:fill="auto"/>
            <w:hideMark/>
          </w:tcPr>
          <w:p w14:paraId="439D0D5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Denmark</w:t>
            </w:r>
          </w:p>
        </w:tc>
        <w:tc>
          <w:tcPr>
            <w:tcW w:w="4743" w:type="dxa"/>
            <w:shd w:val="clear" w:color="auto" w:fill="auto"/>
            <w:hideMark/>
          </w:tcPr>
          <w:p w14:paraId="7B1632BF"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 xml:space="preserve">Median time intervals (in calendar days) with interquartile </w:t>
            </w:r>
            <w:r w:rsidRPr="0057539F">
              <w:rPr>
                <w:rFonts w:ascii="Arial" w:hAnsi="Arial" w:cs="Arial"/>
                <w:color w:val="000000"/>
                <w:sz w:val="18"/>
                <w:szCs w:val="18"/>
                <w:lang w:val="en-US"/>
              </w:rPr>
              <w:lastRenderedPageBreak/>
              <w:t>range were the main outcome measure</w:t>
            </w:r>
          </w:p>
        </w:tc>
      </w:tr>
      <w:tr w:rsidR="009E62FE" w:rsidRPr="009F7793" w14:paraId="1A162FD4" w14:textId="77777777" w:rsidTr="00BB4029">
        <w:trPr>
          <w:trHeight w:val="480"/>
        </w:trPr>
        <w:tc>
          <w:tcPr>
            <w:tcW w:w="561" w:type="dxa"/>
            <w:shd w:val="clear" w:color="auto" w:fill="auto"/>
            <w:noWrap/>
            <w:hideMark/>
          </w:tcPr>
          <w:p w14:paraId="7D1C4D0C" w14:textId="639F868B" w:rsidR="009E62FE" w:rsidRPr="0057539F" w:rsidRDefault="009E62FE" w:rsidP="00BB4029">
            <w:pPr>
              <w:rPr>
                <w:rFonts w:ascii="Arial" w:hAnsi="Arial" w:cs="Arial"/>
                <w:color w:val="000000"/>
                <w:sz w:val="18"/>
                <w:szCs w:val="18"/>
              </w:rPr>
            </w:pPr>
            <w:r>
              <w:rPr>
                <w:rFonts w:ascii="Arial" w:hAnsi="Arial" w:cs="Arial"/>
                <w:color w:val="000000"/>
                <w:sz w:val="18"/>
                <w:szCs w:val="18"/>
              </w:rPr>
              <w:lastRenderedPageBreak/>
              <w:t>5</w:t>
            </w:r>
            <w:r w:rsidR="00BB4029">
              <w:rPr>
                <w:rFonts w:ascii="Arial" w:hAnsi="Arial" w:cs="Arial"/>
                <w:color w:val="000000"/>
                <w:sz w:val="18"/>
                <w:szCs w:val="18"/>
              </w:rPr>
              <w:t>5</w:t>
            </w:r>
          </w:p>
        </w:tc>
        <w:tc>
          <w:tcPr>
            <w:tcW w:w="1571" w:type="dxa"/>
            <w:shd w:val="clear" w:color="auto" w:fill="auto"/>
            <w:noWrap/>
            <w:hideMark/>
          </w:tcPr>
          <w:p w14:paraId="41C4D09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Jensen KH, et al. 2015</w:t>
            </w:r>
          </w:p>
        </w:tc>
        <w:tc>
          <w:tcPr>
            <w:tcW w:w="1756" w:type="dxa"/>
            <w:shd w:val="clear" w:color="auto" w:fill="auto"/>
            <w:hideMark/>
          </w:tcPr>
          <w:p w14:paraId="36828420"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4813889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w:t>
            </w:r>
            <w:r w:rsidRPr="0057539F">
              <w:rPr>
                <w:rFonts w:ascii="Arial" w:hAnsi="Arial" w:cs="Arial"/>
                <w:color w:val="000000"/>
                <w:sz w:val="18"/>
                <w:szCs w:val="18"/>
              </w:rPr>
              <w:br/>
              <w:t>cancer</w:t>
            </w:r>
          </w:p>
        </w:tc>
        <w:tc>
          <w:tcPr>
            <w:tcW w:w="1969" w:type="dxa"/>
            <w:shd w:val="clear" w:color="auto" w:fill="auto"/>
            <w:hideMark/>
          </w:tcPr>
          <w:p w14:paraId="306C790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cohort study</w:t>
            </w:r>
          </w:p>
        </w:tc>
        <w:tc>
          <w:tcPr>
            <w:tcW w:w="1224" w:type="dxa"/>
            <w:shd w:val="clear" w:color="auto" w:fill="auto"/>
            <w:hideMark/>
          </w:tcPr>
          <w:p w14:paraId="4C6AD4E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Denmark</w:t>
            </w:r>
          </w:p>
        </w:tc>
        <w:tc>
          <w:tcPr>
            <w:tcW w:w="4743" w:type="dxa"/>
            <w:shd w:val="clear" w:color="auto" w:fill="auto"/>
            <w:hideMark/>
          </w:tcPr>
          <w:p w14:paraId="3976B54D"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Median referral time from GP to endoscopy, time from referral to oncological treatment, long-term survival rate</w:t>
            </w:r>
          </w:p>
        </w:tc>
      </w:tr>
      <w:tr w:rsidR="009E62FE" w:rsidRPr="0057539F" w14:paraId="7EAF5F84" w14:textId="77777777" w:rsidTr="00BB4029">
        <w:trPr>
          <w:trHeight w:val="240"/>
        </w:trPr>
        <w:tc>
          <w:tcPr>
            <w:tcW w:w="561" w:type="dxa"/>
            <w:shd w:val="clear" w:color="auto" w:fill="auto"/>
            <w:noWrap/>
            <w:hideMark/>
          </w:tcPr>
          <w:p w14:paraId="60359E39" w14:textId="73C1A293"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5</w:t>
            </w:r>
            <w:r w:rsidR="00BB4029">
              <w:rPr>
                <w:rFonts w:ascii="Arial" w:hAnsi="Arial" w:cs="Arial"/>
                <w:color w:val="000000"/>
                <w:sz w:val="18"/>
                <w:szCs w:val="18"/>
              </w:rPr>
              <w:t>6</w:t>
            </w:r>
          </w:p>
        </w:tc>
        <w:tc>
          <w:tcPr>
            <w:tcW w:w="1571" w:type="dxa"/>
            <w:shd w:val="clear" w:color="auto" w:fill="auto"/>
            <w:noWrap/>
            <w:hideMark/>
          </w:tcPr>
          <w:p w14:paraId="0403D21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Kagan SH, et al. 2002</w:t>
            </w:r>
          </w:p>
        </w:tc>
        <w:tc>
          <w:tcPr>
            <w:tcW w:w="1756" w:type="dxa"/>
            <w:shd w:val="clear" w:color="auto" w:fill="auto"/>
            <w:hideMark/>
          </w:tcPr>
          <w:p w14:paraId="21A0817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 control</w:t>
            </w:r>
          </w:p>
        </w:tc>
        <w:tc>
          <w:tcPr>
            <w:tcW w:w="2180" w:type="dxa"/>
            <w:shd w:val="clear" w:color="auto" w:fill="auto"/>
            <w:hideMark/>
          </w:tcPr>
          <w:p w14:paraId="2593B7C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head and neck surgery</w:t>
            </w:r>
          </w:p>
        </w:tc>
        <w:tc>
          <w:tcPr>
            <w:tcW w:w="1969" w:type="dxa"/>
            <w:shd w:val="clear" w:color="auto" w:fill="auto"/>
            <w:hideMark/>
          </w:tcPr>
          <w:p w14:paraId="2EFD34D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42DFF74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251DAE2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LOS and age</w:t>
            </w:r>
          </w:p>
        </w:tc>
      </w:tr>
      <w:tr w:rsidR="009E62FE" w:rsidRPr="0057539F" w14:paraId="5A5EDD5F" w14:textId="77777777" w:rsidTr="00BB4029">
        <w:trPr>
          <w:trHeight w:val="240"/>
        </w:trPr>
        <w:tc>
          <w:tcPr>
            <w:tcW w:w="561" w:type="dxa"/>
            <w:shd w:val="clear" w:color="auto" w:fill="auto"/>
            <w:noWrap/>
            <w:hideMark/>
          </w:tcPr>
          <w:p w14:paraId="28F03820" w14:textId="60C03B16"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5</w:t>
            </w:r>
            <w:r w:rsidR="00BB4029">
              <w:rPr>
                <w:rFonts w:ascii="Arial" w:hAnsi="Arial" w:cs="Arial"/>
                <w:color w:val="000000"/>
                <w:sz w:val="18"/>
                <w:szCs w:val="18"/>
              </w:rPr>
              <w:t>7</w:t>
            </w:r>
          </w:p>
        </w:tc>
        <w:tc>
          <w:tcPr>
            <w:tcW w:w="1571" w:type="dxa"/>
            <w:shd w:val="clear" w:color="auto" w:fill="auto"/>
            <w:noWrap/>
            <w:hideMark/>
          </w:tcPr>
          <w:p w14:paraId="22A5F02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Kardos SV, et al. 2016</w:t>
            </w:r>
          </w:p>
        </w:tc>
        <w:tc>
          <w:tcPr>
            <w:tcW w:w="1756" w:type="dxa"/>
            <w:shd w:val="clear" w:color="auto" w:fill="auto"/>
            <w:hideMark/>
          </w:tcPr>
          <w:p w14:paraId="52F9E6E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Abstract only</w:t>
            </w:r>
          </w:p>
        </w:tc>
        <w:tc>
          <w:tcPr>
            <w:tcW w:w="2180" w:type="dxa"/>
            <w:shd w:val="clear" w:color="auto" w:fill="auto"/>
            <w:hideMark/>
          </w:tcPr>
          <w:p w14:paraId="581CC9C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bladder cancer</w:t>
            </w:r>
          </w:p>
        </w:tc>
        <w:tc>
          <w:tcPr>
            <w:tcW w:w="1969" w:type="dxa"/>
            <w:shd w:val="clear" w:color="auto" w:fill="auto"/>
            <w:hideMark/>
          </w:tcPr>
          <w:p w14:paraId="637562D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c>
          <w:tcPr>
            <w:tcW w:w="1224" w:type="dxa"/>
            <w:shd w:val="clear" w:color="auto" w:fill="auto"/>
            <w:hideMark/>
          </w:tcPr>
          <w:p w14:paraId="295D5E2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7DF27AD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LOS, complications, readmissions</w:t>
            </w:r>
          </w:p>
        </w:tc>
      </w:tr>
      <w:tr w:rsidR="009E62FE" w:rsidRPr="0057539F" w14:paraId="1B18B989" w14:textId="77777777" w:rsidTr="00BB4029">
        <w:trPr>
          <w:trHeight w:val="240"/>
        </w:trPr>
        <w:tc>
          <w:tcPr>
            <w:tcW w:w="561" w:type="dxa"/>
            <w:shd w:val="clear" w:color="auto" w:fill="auto"/>
            <w:noWrap/>
            <w:hideMark/>
          </w:tcPr>
          <w:p w14:paraId="045F74EF" w14:textId="4049FB6B"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5</w:t>
            </w:r>
            <w:r w:rsidR="00BB4029">
              <w:rPr>
                <w:rFonts w:ascii="Arial" w:hAnsi="Arial" w:cs="Arial"/>
                <w:color w:val="000000"/>
                <w:sz w:val="18"/>
                <w:szCs w:val="18"/>
              </w:rPr>
              <w:t>8</w:t>
            </w:r>
          </w:p>
        </w:tc>
        <w:tc>
          <w:tcPr>
            <w:tcW w:w="1571" w:type="dxa"/>
            <w:shd w:val="clear" w:color="auto" w:fill="auto"/>
            <w:noWrap/>
            <w:hideMark/>
          </w:tcPr>
          <w:p w14:paraId="5D15AC1F" w14:textId="77777777" w:rsidR="009E62FE" w:rsidRPr="0057539F" w:rsidRDefault="009E62FE" w:rsidP="00BB4029">
            <w:pPr>
              <w:rPr>
                <w:rFonts w:ascii="Arial" w:hAnsi="Arial" w:cs="Arial"/>
                <w:sz w:val="18"/>
                <w:szCs w:val="18"/>
              </w:rPr>
            </w:pPr>
            <w:r w:rsidRPr="0057539F">
              <w:rPr>
                <w:rFonts w:ascii="Arial" w:hAnsi="Arial" w:cs="Arial"/>
                <w:sz w:val="18"/>
                <w:szCs w:val="18"/>
              </w:rPr>
              <w:t>Katterhagen G. 1996</w:t>
            </w:r>
          </w:p>
        </w:tc>
        <w:tc>
          <w:tcPr>
            <w:tcW w:w="1756" w:type="dxa"/>
            <w:shd w:val="clear" w:color="auto" w:fill="auto"/>
            <w:hideMark/>
          </w:tcPr>
          <w:p w14:paraId="2378FD0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Unavailable full-text</w:t>
            </w:r>
          </w:p>
        </w:tc>
        <w:tc>
          <w:tcPr>
            <w:tcW w:w="2180" w:type="dxa"/>
            <w:shd w:val="clear" w:color="auto" w:fill="auto"/>
            <w:hideMark/>
          </w:tcPr>
          <w:p w14:paraId="7390A2C0" w14:textId="77777777" w:rsidR="009E62FE" w:rsidRPr="0057539F" w:rsidRDefault="009E62FE" w:rsidP="00BB4029">
            <w:pPr>
              <w:rPr>
                <w:rFonts w:ascii="Arial" w:hAnsi="Arial" w:cs="Arial"/>
                <w:color w:val="000000"/>
                <w:sz w:val="18"/>
                <w:szCs w:val="18"/>
              </w:rPr>
            </w:pPr>
          </w:p>
        </w:tc>
        <w:tc>
          <w:tcPr>
            <w:tcW w:w="1969" w:type="dxa"/>
            <w:shd w:val="clear" w:color="auto" w:fill="auto"/>
            <w:hideMark/>
          </w:tcPr>
          <w:p w14:paraId="0EC0A773" w14:textId="77777777" w:rsidR="009E62FE" w:rsidRPr="0057539F" w:rsidRDefault="009E62FE" w:rsidP="00BB4029">
            <w:pPr>
              <w:rPr>
                <w:sz w:val="20"/>
                <w:szCs w:val="20"/>
              </w:rPr>
            </w:pPr>
          </w:p>
        </w:tc>
        <w:tc>
          <w:tcPr>
            <w:tcW w:w="1224" w:type="dxa"/>
            <w:shd w:val="clear" w:color="auto" w:fill="auto"/>
            <w:hideMark/>
          </w:tcPr>
          <w:p w14:paraId="0FE49875" w14:textId="77777777" w:rsidR="009E62FE" w:rsidRPr="0057539F" w:rsidRDefault="009E62FE" w:rsidP="00BB4029">
            <w:pPr>
              <w:rPr>
                <w:sz w:val="20"/>
                <w:szCs w:val="20"/>
              </w:rPr>
            </w:pPr>
          </w:p>
        </w:tc>
        <w:tc>
          <w:tcPr>
            <w:tcW w:w="4743" w:type="dxa"/>
            <w:shd w:val="clear" w:color="auto" w:fill="auto"/>
            <w:hideMark/>
          </w:tcPr>
          <w:p w14:paraId="4FB98463" w14:textId="77777777" w:rsidR="009E62FE" w:rsidRPr="0057539F" w:rsidRDefault="009E62FE" w:rsidP="00BB4029">
            <w:pPr>
              <w:rPr>
                <w:sz w:val="20"/>
                <w:szCs w:val="20"/>
              </w:rPr>
            </w:pPr>
          </w:p>
        </w:tc>
      </w:tr>
      <w:tr w:rsidR="009E62FE" w:rsidRPr="0057539F" w14:paraId="4DDB9916" w14:textId="77777777" w:rsidTr="00BB4029">
        <w:trPr>
          <w:trHeight w:val="240"/>
        </w:trPr>
        <w:tc>
          <w:tcPr>
            <w:tcW w:w="561" w:type="dxa"/>
            <w:shd w:val="clear" w:color="auto" w:fill="auto"/>
            <w:noWrap/>
            <w:hideMark/>
          </w:tcPr>
          <w:p w14:paraId="1E928201" w14:textId="1A07B6C5"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5</w:t>
            </w:r>
            <w:r w:rsidR="00BB4029">
              <w:rPr>
                <w:rFonts w:ascii="Arial" w:hAnsi="Arial" w:cs="Arial"/>
                <w:color w:val="000000"/>
                <w:sz w:val="18"/>
                <w:szCs w:val="18"/>
              </w:rPr>
              <w:t>9</w:t>
            </w:r>
          </w:p>
        </w:tc>
        <w:tc>
          <w:tcPr>
            <w:tcW w:w="1571" w:type="dxa"/>
            <w:shd w:val="clear" w:color="auto" w:fill="auto"/>
            <w:noWrap/>
            <w:hideMark/>
          </w:tcPr>
          <w:p w14:paraId="759233E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Keetch DW, et al. 1998</w:t>
            </w:r>
          </w:p>
        </w:tc>
        <w:tc>
          <w:tcPr>
            <w:tcW w:w="1756" w:type="dxa"/>
            <w:shd w:val="clear" w:color="auto" w:fill="auto"/>
            <w:hideMark/>
          </w:tcPr>
          <w:p w14:paraId="04DE396E"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control</w:t>
            </w:r>
          </w:p>
        </w:tc>
        <w:tc>
          <w:tcPr>
            <w:tcW w:w="2180" w:type="dxa"/>
            <w:shd w:val="clear" w:color="auto" w:fill="auto"/>
            <w:hideMark/>
          </w:tcPr>
          <w:p w14:paraId="5C4DE50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adenocarcinoma of the prostate</w:t>
            </w:r>
          </w:p>
        </w:tc>
        <w:tc>
          <w:tcPr>
            <w:tcW w:w="1969" w:type="dxa"/>
            <w:shd w:val="clear" w:color="auto" w:fill="auto"/>
            <w:hideMark/>
          </w:tcPr>
          <w:p w14:paraId="33586D5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prospective study</w:t>
            </w:r>
          </w:p>
        </w:tc>
        <w:tc>
          <w:tcPr>
            <w:tcW w:w="1224" w:type="dxa"/>
            <w:shd w:val="clear" w:color="auto" w:fill="auto"/>
            <w:hideMark/>
          </w:tcPr>
          <w:p w14:paraId="6266E7E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20DCB36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Hospital stay, hospital costs</w:t>
            </w:r>
          </w:p>
        </w:tc>
      </w:tr>
      <w:tr w:rsidR="009E62FE" w:rsidRPr="009F7793" w14:paraId="0D071E39" w14:textId="77777777" w:rsidTr="00BB4029">
        <w:trPr>
          <w:trHeight w:val="960"/>
        </w:trPr>
        <w:tc>
          <w:tcPr>
            <w:tcW w:w="561" w:type="dxa"/>
            <w:shd w:val="clear" w:color="auto" w:fill="auto"/>
            <w:noWrap/>
            <w:hideMark/>
          </w:tcPr>
          <w:p w14:paraId="7C8CC7F1" w14:textId="793AFEB3" w:rsidR="009E62FE" w:rsidRPr="0057539F" w:rsidRDefault="00BB4029" w:rsidP="00BB4029">
            <w:pPr>
              <w:rPr>
                <w:rFonts w:ascii="Arial" w:hAnsi="Arial" w:cs="Arial"/>
                <w:color w:val="000000"/>
                <w:sz w:val="18"/>
                <w:szCs w:val="18"/>
              </w:rPr>
            </w:pPr>
            <w:r>
              <w:rPr>
                <w:rFonts w:ascii="Arial" w:hAnsi="Arial" w:cs="Arial"/>
                <w:color w:val="000000"/>
                <w:sz w:val="18"/>
                <w:szCs w:val="18"/>
              </w:rPr>
              <w:t>60</w:t>
            </w:r>
          </w:p>
        </w:tc>
        <w:tc>
          <w:tcPr>
            <w:tcW w:w="1571" w:type="dxa"/>
            <w:shd w:val="clear" w:color="auto" w:fill="auto"/>
            <w:noWrap/>
            <w:hideMark/>
          </w:tcPr>
          <w:p w14:paraId="3FDF586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Kennedy EP, et al. 2009</w:t>
            </w:r>
          </w:p>
        </w:tc>
        <w:tc>
          <w:tcPr>
            <w:tcW w:w="1756" w:type="dxa"/>
            <w:shd w:val="clear" w:color="auto" w:fill="auto"/>
            <w:hideMark/>
          </w:tcPr>
          <w:p w14:paraId="764FE20D"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patient population</w:t>
            </w:r>
          </w:p>
        </w:tc>
        <w:tc>
          <w:tcPr>
            <w:tcW w:w="2180" w:type="dxa"/>
            <w:shd w:val="clear" w:color="auto" w:fill="auto"/>
            <w:hideMark/>
          </w:tcPr>
          <w:p w14:paraId="719FFD1D"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underwent distal pancreatectomy (44% malignant in prepathway group and 56% in postpathway group)</w:t>
            </w:r>
          </w:p>
        </w:tc>
        <w:tc>
          <w:tcPr>
            <w:tcW w:w="1969" w:type="dxa"/>
            <w:shd w:val="clear" w:color="auto" w:fill="auto"/>
            <w:hideMark/>
          </w:tcPr>
          <w:p w14:paraId="21BE2D0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17D3651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23DA695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Operative length, postoperative complications, Perioperative mortality, length of postoperative hospital stay, readmission rate, hospital costs</w:t>
            </w:r>
          </w:p>
        </w:tc>
      </w:tr>
      <w:tr w:rsidR="009E62FE" w:rsidRPr="009F7793" w14:paraId="33C0C6B8" w14:textId="77777777" w:rsidTr="00BB4029">
        <w:trPr>
          <w:trHeight w:val="960"/>
        </w:trPr>
        <w:tc>
          <w:tcPr>
            <w:tcW w:w="561" w:type="dxa"/>
            <w:shd w:val="clear" w:color="auto" w:fill="auto"/>
            <w:noWrap/>
            <w:hideMark/>
          </w:tcPr>
          <w:p w14:paraId="651F235B" w14:textId="22772A02" w:rsidR="009E62FE" w:rsidRPr="0057539F" w:rsidRDefault="009E62FE" w:rsidP="00BB4029">
            <w:pPr>
              <w:rPr>
                <w:rFonts w:ascii="Arial" w:hAnsi="Arial" w:cs="Arial"/>
                <w:color w:val="000000"/>
                <w:sz w:val="18"/>
                <w:szCs w:val="18"/>
              </w:rPr>
            </w:pPr>
            <w:r>
              <w:rPr>
                <w:rFonts w:ascii="Arial" w:hAnsi="Arial" w:cs="Arial"/>
                <w:color w:val="000000"/>
                <w:sz w:val="18"/>
                <w:szCs w:val="18"/>
              </w:rPr>
              <w:t>6</w:t>
            </w:r>
            <w:r w:rsidR="00BB4029">
              <w:rPr>
                <w:rFonts w:ascii="Arial" w:hAnsi="Arial" w:cs="Arial"/>
                <w:color w:val="000000"/>
                <w:sz w:val="18"/>
                <w:szCs w:val="18"/>
              </w:rPr>
              <w:t>1</w:t>
            </w:r>
          </w:p>
        </w:tc>
        <w:tc>
          <w:tcPr>
            <w:tcW w:w="1571" w:type="dxa"/>
            <w:shd w:val="clear" w:color="auto" w:fill="auto"/>
            <w:noWrap/>
            <w:hideMark/>
          </w:tcPr>
          <w:p w14:paraId="769C522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Khan SA, et al. 2013</w:t>
            </w:r>
          </w:p>
        </w:tc>
        <w:tc>
          <w:tcPr>
            <w:tcW w:w="1756" w:type="dxa"/>
            <w:shd w:val="clear" w:color="auto" w:fill="auto"/>
            <w:hideMark/>
          </w:tcPr>
          <w:p w14:paraId="66091BFA"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0683367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undergoing elective colorectal surgery (83% colorectal cancer in laparascopic group, 76% in the open-ERAS group)</w:t>
            </w:r>
          </w:p>
        </w:tc>
        <w:tc>
          <w:tcPr>
            <w:tcW w:w="1969" w:type="dxa"/>
            <w:shd w:val="clear" w:color="auto" w:fill="auto"/>
            <w:hideMark/>
          </w:tcPr>
          <w:p w14:paraId="72CC40C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prospective observational study</w:t>
            </w:r>
          </w:p>
        </w:tc>
        <w:tc>
          <w:tcPr>
            <w:tcW w:w="1224" w:type="dxa"/>
            <w:shd w:val="clear" w:color="auto" w:fill="auto"/>
            <w:hideMark/>
          </w:tcPr>
          <w:p w14:paraId="20DCEC5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UK</w:t>
            </w:r>
          </w:p>
        </w:tc>
        <w:tc>
          <w:tcPr>
            <w:tcW w:w="4743" w:type="dxa"/>
            <w:shd w:val="clear" w:color="auto" w:fill="auto"/>
            <w:hideMark/>
          </w:tcPr>
          <w:p w14:paraId="56631F9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stay and quality of life (HQoL)</w:t>
            </w:r>
          </w:p>
        </w:tc>
      </w:tr>
      <w:tr w:rsidR="009E62FE" w:rsidRPr="009F7793" w14:paraId="5E14534B" w14:textId="77777777" w:rsidTr="00BB4029">
        <w:trPr>
          <w:trHeight w:val="720"/>
        </w:trPr>
        <w:tc>
          <w:tcPr>
            <w:tcW w:w="561" w:type="dxa"/>
            <w:shd w:val="clear" w:color="auto" w:fill="auto"/>
            <w:noWrap/>
            <w:hideMark/>
          </w:tcPr>
          <w:p w14:paraId="05943DEA" w14:textId="3EBE1B46" w:rsidR="009E62FE" w:rsidRPr="0057539F" w:rsidRDefault="009E62FE" w:rsidP="00BB4029">
            <w:pPr>
              <w:rPr>
                <w:rFonts w:ascii="Arial" w:hAnsi="Arial" w:cs="Arial"/>
                <w:color w:val="000000"/>
                <w:sz w:val="18"/>
                <w:szCs w:val="18"/>
              </w:rPr>
            </w:pPr>
            <w:r>
              <w:rPr>
                <w:rFonts w:ascii="Arial" w:hAnsi="Arial" w:cs="Arial"/>
                <w:color w:val="000000"/>
                <w:sz w:val="18"/>
                <w:szCs w:val="18"/>
              </w:rPr>
              <w:t>6</w:t>
            </w:r>
            <w:r w:rsidR="00BB4029">
              <w:rPr>
                <w:rFonts w:ascii="Arial" w:hAnsi="Arial" w:cs="Arial"/>
                <w:color w:val="000000"/>
                <w:sz w:val="18"/>
                <w:szCs w:val="18"/>
              </w:rPr>
              <w:t>2</w:t>
            </w:r>
          </w:p>
        </w:tc>
        <w:tc>
          <w:tcPr>
            <w:tcW w:w="1571" w:type="dxa"/>
            <w:shd w:val="clear" w:color="auto" w:fill="auto"/>
            <w:noWrap/>
            <w:hideMark/>
          </w:tcPr>
          <w:p w14:paraId="2317EEE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Khoo CK, et al. 2007</w:t>
            </w:r>
          </w:p>
        </w:tc>
        <w:tc>
          <w:tcPr>
            <w:tcW w:w="1756" w:type="dxa"/>
            <w:shd w:val="clear" w:color="auto" w:fill="auto"/>
            <w:hideMark/>
          </w:tcPr>
          <w:p w14:paraId="68351D42"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58B06B28"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undergoing elective resection for colorectal cancer</w:t>
            </w:r>
          </w:p>
        </w:tc>
        <w:tc>
          <w:tcPr>
            <w:tcW w:w="1969" w:type="dxa"/>
            <w:shd w:val="clear" w:color="auto" w:fill="auto"/>
            <w:hideMark/>
          </w:tcPr>
          <w:p w14:paraId="030BB2E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prospective randomized controlled trial (RCT)</w:t>
            </w:r>
          </w:p>
        </w:tc>
        <w:tc>
          <w:tcPr>
            <w:tcW w:w="1224" w:type="dxa"/>
            <w:shd w:val="clear" w:color="auto" w:fill="auto"/>
            <w:hideMark/>
          </w:tcPr>
          <w:p w14:paraId="72DA10F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UK</w:t>
            </w:r>
          </w:p>
        </w:tc>
        <w:tc>
          <w:tcPr>
            <w:tcW w:w="4743" w:type="dxa"/>
            <w:shd w:val="clear" w:color="auto" w:fill="auto"/>
            <w:hideMark/>
          </w:tcPr>
          <w:p w14:paraId="32C8D80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Postoperative stay, and achievement of independence milestones. Secondary endpoints were postoperative complications, readmission rates, and mortality.</w:t>
            </w:r>
          </w:p>
        </w:tc>
      </w:tr>
      <w:tr w:rsidR="009E62FE" w:rsidRPr="0057539F" w14:paraId="3D66C9C3" w14:textId="77777777" w:rsidTr="00BB4029">
        <w:trPr>
          <w:trHeight w:val="240"/>
        </w:trPr>
        <w:tc>
          <w:tcPr>
            <w:tcW w:w="561" w:type="dxa"/>
            <w:shd w:val="clear" w:color="auto" w:fill="auto"/>
            <w:noWrap/>
            <w:hideMark/>
          </w:tcPr>
          <w:p w14:paraId="4CCC3A6A" w14:textId="2D884167" w:rsidR="009E62FE" w:rsidRPr="0057539F" w:rsidRDefault="009E62FE" w:rsidP="00BB4029">
            <w:pPr>
              <w:rPr>
                <w:rFonts w:ascii="Arial" w:hAnsi="Arial" w:cs="Arial"/>
                <w:color w:val="000000"/>
                <w:sz w:val="18"/>
                <w:szCs w:val="18"/>
              </w:rPr>
            </w:pPr>
            <w:r>
              <w:rPr>
                <w:rFonts w:ascii="Arial" w:hAnsi="Arial" w:cs="Arial"/>
                <w:color w:val="000000"/>
                <w:sz w:val="18"/>
                <w:szCs w:val="18"/>
              </w:rPr>
              <w:t>6</w:t>
            </w:r>
            <w:r w:rsidR="00BB4029">
              <w:rPr>
                <w:rFonts w:ascii="Arial" w:hAnsi="Arial" w:cs="Arial"/>
                <w:color w:val="000000"/>
                <w:sz w:val="18"/>
                <w:szCs w:val="18"/>
              </w:rPr>
              <w:t>3</w:t>
            </w:r>
          </w:p>
        </w:tc>
        <w:tc>
          <w:tcPr>
            <w:tcW w:w="1571" w:type="dxa"/>
            <w:shd w:val="clear" w:color="auto" w:fill="auto"/>
            <w:noWrap/>
            <w:hideMark/>
          </w:tcPr>
          <w:p w14:paraId="51E9CA0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Kim HS, et al. 2015</w:t>
            </w:r>
          </w:p>
        </w:tc>
        <w:tc>
          <w:tcPr>
            <w:tcW w:w="1756" w:type="dxa"/>
            <w:shd w:val="clear" w:color="auto" w:fill="auto"/>
            <w:hideMark/>
          </w:tcPr>
          <w:p w14:paraId="10F74582"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7932481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gastric cancer</w:t>
            </w:r>
          </w:p>
        </w:tc>
        <w:tc>
          <w:tcPr>
            <w:tcW w:w="1969" w:type="dxa"/>
            <w:shd w:val="clear" w:color="auto" w:fill="auto"/>
            <w:hideMark/>
          </w:tcPr>
          <w:p w14:paraId="19049F9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616AC91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South Korea</w:t>
            </w:r>
          </w:p>
        </w:tc>
        <w:tc>
          <w:tcPr>
            <w:tcW w:w="4743" w:type="dxa"/>
            <w:shd w:val="clear" w:color="auto" w:fill="auto"/>
            <w:hideMark/>
          </w:tcPr>
          <w:p w14:paraId="58B1F09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r>
      <w:tr w:rsidR="009E62FE" w:rsidRPr="009F7793" w14:paraId="38C6914A" w14:textId="77777777" w:rsidTr="00BB4029">
        <w:trPr>
          <w:trHeight w:val="480"/>
        </w:trPr>
        <w:tc>
          <w:tcPr>
            <w:tcW w:w="561" w:type="dxa"/>
            <w:shd w:val="clear" w:color="auto" w:fill="auto"/>
            <w:noWrap/>
            <w:hideMark/>
          </w:tcPr>
          <w:p w14:paraId="2B570493" w14:textId="79EF9467" w:rsidR="009E62FE" w:rsidRPr="0057539F" w:rsidRDefault="009E62FE" w:rsidP="00BB4029">
            <w:pPr>
              <w:rPr>
                <w:rFonts w:ascii="Arial" w:hAnsi="Arial" w:cs="Arial"/>
                <w:color w:val="000000"/>
                <w:sz w:val="18"/>
                <w:szCs w:val="18"/>
              </w:rPr>
            </w:pPr>
            <w:r>
              <w:rPr>
                <w:rFonts w:ascii="Arial" w:hAnsi="Arial" w:cs="Arial"/>
                <w:color w:val="000000"/>
                <w:sz w:val="18"/>
                <w:szCs w:val="18"/>
              </w:rPr>
              <w:t>6</w:t>
            </w:r>
            <w:r w:rsidR="00BB4029">
              <w:rPr>
                <w:rFonts w:ascii="Arial" w:hAnsi="Arial" w:cs="Arial"/>
                <w:color w:val="000000"/>
                <w:sz w:val="18"/>
                <w:szCs w:val="18"/>
              </w:rPr>
              <w:t>4</w:t>
            </w:r>
          </w:p>
        </w:tc>
        <w:tc>
          <w:tcPr>
            <w:tcW w:w="1571" w:type="dxa"/>
            <w:shd w:val="clear" w:color="auto" w:fill="auto"/>
            <w:noWrap/>
            <w:hideMark/>
          </w:tcPr>
          <w:p w14:paraId="445740D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Kiyama T, et al. 2003</w:t>
            </w:r>
          </w:p>
        </w:tc>
        <w:tc>
          <w:tcPr>
            <w:tcW w:w="1756" w:type="dxa"/>
            <w:shd w:val="clear" w:color="auto" w:fill="auto"/>
            <w:hideMark/>
          </w:tcPr>
          <w:p w14:paraId="6260205F"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 xml:space="preserve">Study did not meet Cochrane EPOC </w:t>
            </w:r>
            <w:r w:rsidRPr="0095416F">
              <w:rPr>
                <w:rFonts w:ascii="Arial" w:hAnsi="Arial" w:cs="Arial"/>
                <w:color w:val="000000"/>
                <w:sz w:val="18"/>
                <w:szCs w:val="18"/>
                <w:lang w:val="en-US"/>
              </w:rPr>
              <w:lastRenderedPageBreak/>
              <w:t>study design criteria</w:t>
            </w:r>
          </w:p>
        </w:tc>
        <w:tc>
          <w:tcPr>
            <w:tcW w:w="2180" w:type="dxa"/>
            <w:shd w:val="clear" w:color="auto" w:fill="auto"/>
            <w:hideMark/>
          </w:tcPr>
          <w:p w14:paraId="1CC6BE4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gastrectomy patients</w:t>
            </w:r>
          </w:p>
        </w:tc>
        <w:tc>
          <w:tcPr>
            <w:tcW w:w="1969" w:type="dxa"/>
            <w:shd w:val="clear" w:color="auto" w:fill="auto"/>
            <w:hideMark/>
          </w:tcPr>
          <w:p w14:paraId="0F7F1EA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economic analysis</w:t>
            </w:r>
          </w:p>
        </w:tc>
        <w:tc>
          <w:tcPr>
            <w:tcW w:w="1224" w:type="dxa"/>
            <w:shd w:val="clear" w:color="auto" w:fill="auto"/>
            <w:hideMark/>
          </w:tcPr>
          <w:p w14:paraId="1AC803F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Japan</w:t>
            </w:r>
          </w:p>
        </w:tc>
        <w:tc>
          <w:tcPr>
            <w:tcW w:w="4743" w:type="dxa"/>
            <w:shd w:val="clear" w:color="auto" w:fill="auto"/>
            <w:hideMark/>
          </w:tcPr>
          <w:p w14:paraId="064C50D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hospital stay, costs of hospital stay: cost per bed</w:t>
            </w:r>
          </w:p>
        </w:tc>
      </w:tr>
      <w:tr w:rsidR="009E62FE" w:rsidRPr="009F7793" w14:paraId="55AA3531" w14:textId="77777777" w:rsidTr="00BB4029">
        <w:trPr>
          <w:trHeight w:val="480"/>
        </w:trPr>
        <w:tc>
          <w:tcPr>
            <w:tcW w:w="561" w:type="dxa"/>
            <w:shd w:val="clear" w:color="auto" w:fill="auto"/>
            <w:noWrap/>
            <w:hideMark/>
          </w:tcPr>
          <w:p w14:paraId="34C09269" w14:textId="335E2E73"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6</w:t>
            </w:r>
            <w:r w:rsidR="00BB4029">
              <w:rPr>
                <w:rFonts w:ascii="Arial" w:hAnsi="Arial" w:cs="Arial"/>
                <w:color w:val="000000"/>
                <w:sz w:val="18"/>
                <w:szCs w:val="18"/>
              </w:rPr>
              <w:t>5</w:t>
            </w:r>
          </w:p>
        </w:tc>
        <w:tc>
          <w:tcPr>
            <w:tcW w:w="1571" w:type="dxa"/>
            <w:shd w:val="clear" w:color="auto" w:fill="auto"/>
            <w:noWrap/>
            <w:hideMark/>
          </w:tcPr>
          <w:p w14:paraId="5ABD876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Klinkhammer-Schalke M, et al. 2012</w:t>
            </w:r>
          </w:p>
        </w:tc>
        <w:tc>
          <w:tcPr>
            <w:tcW w:w="1756" w:type="dxa"/>
            <w:shd w:val="clear" w:color="auto" w:fill="auto"/>
            <w:hideMark/>
          </w:tcPr>
          <w:p w14:paraId="340082A3"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12A0899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breast cancer</w:t>
            </w:r>
          </w:p>
        </w:tc>
        <w:tc>
          <w:tcPr>
            <w:tcW w:w="1969" w:type="dxa"/>
            <w:shd w:val="clear" w:color="auto" w:fill="auto"/>
            <w:hideMark/>
          </w:tcPr>
          <w:p w14:paraId="33CB790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randomised controlled trial (RCT)</w:t>
            </w:r>
          </w:p>
        </w:tc>
        <w:tc>
          <w:tcPr>
            <w:tcW w:w="1224" w:type="dxa"/>
            <w:shd w:val="clear" w:color="auto" w:fill="auto"/>
            <w:hideMark/>
          </w:tcPr>
          <w:p w14:paraId="1FEE5E6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Germany &amp; UK</w:t>
            </w:r>
          </w:p>
        </w:tc>
        <w:tc>
          <w:tcPr>
            <w:tcW w:w="4743" w:type="dxa"/>
            <w:shd w:val="clear" w:color="auto" w:fill="auto"/>
            <w:hideMark/>
          </w:tcPr>
          <w:p w14:paraId="16A867F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‘diseased’ QoL (any QoL measure below 50 points) using a QoL profile</w:t>
            </w:r>
          </w:p>
        </w:tc>
      </w:tr>
      <w:tr w:rsidR="009E62FE" w:rsidRPr="0057539F" w14:paraId="4C28EA88" w14:textId="77777777" w:rsidTr="00BB4029">
        <w:trPr>
          <w:trHeight w:val="240"/>
        </w:trPr>
        <w:tc>
          <w:tcPr>
            <w:tcW w:w="561" w:type="dxa"/>
            <w:shd w:val="clear" w:color="auto" w:fill="auto"/>
            <w:noWrap/>
            <w:hideMark/>
          </w:tcPr>
          <w:p w14:paraId="7DC7824C" w14:textId="16BCF040"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6</w:t>
            </w:r>
            <w:r w:rsidR="00BB4029">
              <w:rPr>
                <w:rFonts w:ascii="Arial" w:hAnsi="Arial" w:cs="Arial"/>
                <w:color w:val="000000"/>
                <w:sz w:val="18"/>
                <w:szCs w:val="18"/>
              </w:rPr>
              <w:t>6</w:t>
            </w:r>
          </w:p>
        </w:tc>
        <w:tc>
          <w:tcPr>
            <w:tcW w:w="1571" w:type="dxa"/>
            <w:shd w:val="clear" w:color="auto" w:fill="auto"/>
            <w:noWrap/>
            <w:hideMark/>
          </w:tcPr>
          <w:p w14:paraId="69DE943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Klinkhammer-Schalke M, et al. 2015</w:t>
            </w:r>
          </w:p>
        </w:tc>
        <w:tc>
          <w:tcPr>
            <w:tcW w:w="1756" w:type="dxa"/>
            <w:shd w:val="clear" w:color="auto" w:fill="auto"/>
            <w:hideMark/>
          </w:tcPr>
          <w:p w14:paraId="1AE916D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Protocol only</w:t>
            </w:r>
          </w:p>
        </w:tc>
        <w:tc>
          <w:tcPr>
            <w:tcW w:w="2180" w:type="dxa"/>
            <w:shd w:val="clear" w:color="auto" w:fill="auto"/>
            <w:hideMark/>
          </w:tcPr>
          <w:p w14:paraId="7B1EF30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 patients</w:t>
            </w:r>
          </w:p>
        </w:tc>
        <w:tc>
          <w:tcPr>
            <w:tcW w:w="1969" w:type="dxa"/>
            <w:shd w:val="clear" w:color="auto" w:fill="auto"/>
            <w:hideMark/>
          </w:tcPr>
          <w:p w14:paraId="6D5F209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RCT</w:t>
            </w:r>
          </w:p>
        </w:tc>
        <w:tc>
          <w:tcPr>
            <w:tcW w:w="1224" w:type="dxa"/>
            <w:shd w:val="clear" w:color="auto" w:fill="auto"/>
            <w:hideMark/>
          </w:tcPr>
          <w:p w14:paraId="7572768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Germany</w:t>
            </w:r>
          </w:p>
        </w:tc>
        <w:tc>
          <w:tcPr>
            <w:tcW w:w="4743" w:type="dxa"/>
            <w:shd w:val="clear" w:color="auto" w:fill="auto"/>
            <w:hideMark/>
          </w:tcPr>
          <w:p w14:paraId="433B11D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Quality of life</w:t>
            </w:r>
          </w:p>
        </w:tc>
      </w:tr>
      <w:tr w:rsidR="009E62FE" w:rsidRPr="009F7793" w14:paraId="78262696" w14:textId="77777777" w:rsidTr="00BB4029">
        <w:trPr>
          <w:trHeight w:val="1920"/>
        </w:trPr>
        <w:tc>
          <w:tcPr>
            <w:tcW w:w="561" w:type="dxa"/>
            <w:shd w:val="clear" w:color="auto" w:fill="auto"/>
            <w:noWrap/>
            <w:hideMark/>
          </w:tcPr>
          <w:p w14:paraId="58BA336E" w14:textId="2C9D1704"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6</w:t>
            </w:r>
            <w:r w:rsidR="00BB4029">
              <w:rPr>
                <w:rFonts w:ascii="Arial" w:hAnsi="Arial" w:cs="Arial"/>
                <w:color w:val="000000"/>
                <w:sz w:val="18"/>
                <w:szCs w:val="18"/>
              </w:rPr>
              <w:t>7</w:t>
            </w:r>
          </w:p>
        </w:tc>
        <w:tc>
          <w:tcPr>
            <w:tcW w:w="1571" w:type="dxa"/>
            <w:shd w:val="clear" w:color="auto" w:fill="auto"/>
            <w:noWrap/>
            <w:hideMark/>
          </w:tcPr>
          <w:p w14:paraId="7A53DC7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Kobayashi ST, et al. 2017</w:t>
            </w:r>
          </w:p>
        </w:tc>
        <w:tc>
          <w:tcPr>
            <w:tcW w:w="1756" w:type="dxa"/>
            <w:shd w:val="clear" w:color="auto" w:fill="auto"/>
            <w:hideMark/>
          </w:tcPr>
          <w:p w14:paraId="7E3EF6A9"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0899B6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rectal cancer</w:t>
            </w:r>
          </w:p>
        </w:tc>
        <w:tc>
          <w:tcPr>
            <w:tcW w:w="1969" w:type="dxa"/>
            <w:shd w:val="clear" w:color="auto" w:fill="auto"/>
            <w:hideMark/>
          </w:tcPr>
          <w:p w14:paraId="4A1C329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 retrospective study</w:t>
            </w:r>
          </w:p>
        </w:tc>
        <w:tc>
          <w:tcPr>
            <w:tcW w:w="1224" w:type="dxa"/>
            <w:shd w:val="clear" w:color="auto" w:fill="auto"/>
            <w:hideMark/>
          </w:tcPr>
          <w:p w14:paraId="36CE633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Brazil</w:t>
            </w:r>
          </w:p>
        </w:tc>
        <w:tc>
          <w:tcPr>
            <w:tcW w:w="4743" w:type="dxa"/>
            <w:shd w:val="clear" w:color="auto" w:fill="auto"/>
            <w:hideMark/>
          </w:tcPr>
          <w:p w14:paraId="26C1E976"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The interval between the first medical consultation date and postoperative day 30. The resources considered: consultations (medical, multidisciplinary, dental), computed tomography (CT) scans, MRI scans, colonoscopies, emergency room care, the chemotherapy regimen, radiotherapy sessions, and the surgery, as well as hospital stays, ICU stays, day hospital stays, and costs.</w:t>
            </w:r>
          </w:p>
        </w:tc>
      </w:tr>
      <w:tr w:rsidR="009E62FE" w:rsidRPr="009F7793" w14:paraId="777304D1" w14:textId="77777777" w:rsidTr="00BB4029">
        <w:trPr>
          <w:trHeight w:val="720"/>
        </w:trPr>
        <w:tc>
          <w:tcPr>
            <w:tcW w:w="561" w:type="dxa"/>
            <w:shd w:val="clear" w:color="auto" w:fill="auto"/>
            <w:noWrap/>
          </w:tcPr>
          <w:p w14:paraId="6AA336B6" w14:textId="140F1695" w:rsidR="009E62FE" w:rsidRPr="0057539F" w:rsidRDefault="009E62FE" w:rsidP="00BB4029">
            <w:pPr>
              <w:rPr>
                <w:rFonts w:ascii="Arial" w:hAnsi="Arial" w:cs="Arial"/>
                <w:color w:val="000000"/>
                <w:sz w:val="18"/>
                <w:szCs w:val="18"/>
              </w:rPr>
            </w:pPr>
            <w:r>
              <w:rPr>
                <w:rFonts w:ascii="Arial" w:hAnsi="Arial" w:cs="Arial"/>
                <w:color w:val="000000"/>
                <w:sz w:val="18"/>
                <w:szCs w:val="18"/>
              </w:rPr>
              <w:t>6</w:t>
            </w:r>
            <w:r w:rsidR="00BB4029">
              <w:rPr>
                <w:rFonts w:ascii="Arial" w:hAnsi="Arial" w:cs="Arial"/>
                <w:color w:val="000000"/>
                <w:sz w:val="18"/>
                <w:szCs w:val="18"/>
              </w:rPr>
              <w:t>8</w:t>
            </w:r>
          </w:p>
        </w:tc>
        <w:tc>
          <w:tcPr>
            <w:tcW w:w="1571" w:type="dxa"/>
            <w:shd w:val="clear" w:color="auto" w:fill="auto"/>
            <w:noWrap/>
          </w:tcPr>
          <w:p w14:paraId="1276C574"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Konety BR, et al. 1996</w:t>
            </w:r>
          </w:p>
        </w:tc>
        <w:tc>
          <w:tcPr>
            <w:tcW w:w="1756" w:type="dxa"/>
            <w:shd w:val="clear" w:color="auto" w:fill="auto"/>
          </w:tcPr>
          <w:p w14:paraId="7181A4BE" w14:textId="77777777" w:rsidR="009E62FE" w:rsidRPr="0095416F" w:rsidRDefault="009E62FE" w:rsidP="00BB4029">
            <w:pPr>
              <w:rPr>
                <w:rFonts w:ascii="Arial" w:hAnsi="Arial" w:cs="Arial"/>
                <w:color w:val="000000"/>
                <w:sz w:val="18"/>
                <w:szCs w:val="18"/>
                <w:lang w:val="en-US"/>
              </w:rPr>
            </w:pPr>
            <w:r w:rsidRPr="00944219">
              <w:rPr>
                <w:rFonts w:ascii="Arial" w:hAnsi="Arial" w:cs="Arial"/>
                <w:color w:val="000000"/>
                <w:sz w:val="18"/>
                <w:szCs w:val="18"/>
                <w:lang w:val="en-US"/>
              </w:rPr>
              <w:t>Study did not meet Cochrane EPOC study design criteria</w:t>
            </w:r>
          </w:p>
        </w:tc>
        <w:tc>
          <w:tcPr>
            <w:tcW w:w="2180" w:type="dxa"/>
            <w:shd w:val="clear" w:color="auto" w:fill="auto"/>
          </w:tcPr>
          <w:p w14:paraId="1599F04E" w14:textId="77777777" w:rsidR="009E62FE" w:rsidRPr="0057539F" w:rsidRDefault="009E62FE" w:rsidP="00BB4029">
            <w:pPr>
              <w:rPr>
                <w:rFonts w:ascii="Arial" w:hAnsi="Arial" w:cs="Arial"/>
                <w:color w:val="000000"/>
                <w:sz w:val="18"/>
                <w:szCs w:val="18"/>
                <w:lang w:val="en-US"/>
              </w:rPr>
            </w:pPr>
            <w:r>
              <w:rPr>
                <w:rFonts w:ascii="Arial" w:hAnsi="Arial" w:cs="Arial"/>
                <w:color w:val="000000"/>
                <w:sz w:val="18"/>
                <w:szCs w:val="18"/>
                <w:lang w:val="en-US"/>
              </w:rPr>
              <w:t>radical retropubic prostatectomy</w:t>
            </w:r>
          </w:p>
        </w:tc>
        <w:tc>
          <w:tcPr>
            <w:tcW w:w="1969" w:type="dxa"/>
            <w:shd w:val="clear" w:color="auto" w:fill="auto"/>
          </w:tcPr>
          <w:p w14:paraId="4DA4ADBD" w14:textId="77777777" w:rsidR="009E62FE" w:rsidRPr="0057539F" w:rsidRDefault="009E62FE" w:rsidP="00BB4029">
            <w:pPr>
              <w:rPr>
                <w:rFonts w:ascii="Arial" w:hAnsi="Arial" w:cs="Arial"/>
                <w:color w:val="000000"/>
                <w:sz w:val="18"/>
                <w:szCs w:val="18"/>
                <w:lang w:val="en-US"/>
              </w:rPr>
            </w:pPr>
            <w:r>
              <w:rPr>
                <w:rFonts w:ascii="Arial" w:hAnsi="Arial" w:cs="Arial"/>
                <w:color w:val="000000"/>
                <w:sz w:val="18"/>
                <w:szCs w:val="18"/>
                <w:lang w:val="en-US"/>
              </w:rPr>
              <w:t>before-after study</w:t>
            </w:r>
          </w:p>
        </w:tc>
        <w:tc>
          <w:tcPr>
            <w:tcW w:w="1224" w:type="dxa"/>
            <w:shd w:val="clear" w:color="auto" w:fill="auto"/>
          </w:tcPr>
          <w:p w14:paraId="41A9F77D" w14:textId="77777777" w:rsidR="009E62FE" w:rsidRPr="00944219" w:rsidRDefault="009E62FE" w:rsidP="00BB4029">
            <w:pPr>
              <w:rPr>
                <w:rFonts w:ascii="Arial" w:hAnsi="Arial" w:cs="Arial"/>
                <w:color w:val="000000"/>
                <w:sz w:val="18"/>
                <w:szCs w:val="18"/>
                <w:lang w:val="en-US"/>
              </w:rPr>
            </w:pPr>
            <w:r>
              <w:rPr>
                <w:rFonts w:ascii="Arial" w:hAnsi="Arial" w:cs="Arial"/>
                <w:color w:val="000000"/>
                <w:sz w:val="18"/>
                <w:szCs w:val="18"/>
                <w:lang w:val="en-US"/>
              </w:rPr>
              <w:t>USA</w:t>
            </w:r>
          </w:p>
        </w:tc>
        <w:tc>
          <w:tcPr>
            <w:tcW w:w="4743" w:type="dxa"/>
            <w:shd w:val="clear" w:color="auto" w:fill="auto"/>
          </w:tcPr>
          <w:p w14:paraId="3088495B" w14:textId="77777777" w:rsidR="009E62FE" w:rsidRPr="0057539F" w:rsidRDefault="009E62FE" w:rsidP="00BB4029">
            <w:pPr>
              <w:rPr>
                <w:rFonts w:ascii="Arial" w:hAnsi="Arial" w:cs="Arial"/>
                <w:color w:val="000000"/>
                <w:sz w:val="18"/>
                <w:szCs w:val="18"/>
                <w:lang w:val="en-US"/>
              </w:rPr>
            </w:pPr>
            <w:r w:rsidRPr="00944219">
              <w:rPr>
                <w:rFonts w:ascii="Arial" w:hAnsi="Arial" w:cs="Arial"/>
                <w:color w:val="000000"/>
                <w:sz w:val="18"/>
                <w:szCs w:val="18"/>
                <w:lang w:val="en-US"/>
              </w:rPr>
              <w:t>Hospital charges</w:t>
            </w:r>
            <w:r>
              <w:rPr>
                <w:rFonts w:ascii="Arial" w:hAnsi="Arial" w:cs="Arial"/>
                <w:color w:val="000000"/>
                <w:sz w:val="18"/>
                <w:szCs w:val="18"/>
                <w:lang w:val="en-US"/>
              </w:rPr>
              <w:t>, l</w:t>
            </w:r>
            <w:r w:rsidRPr="00944219">
              <w:rPr>
                <w:rFonts w:ascii="Arial" w:hAnsi="Arial" w:cs="Arial"/>
                <w:color w:val="000000"/>
                <w:sz w:val="18"/>
                <w:szCs w:val="18"/>
                <w:lang w:val="en-US"/>
              </w:rPr>
              <w:t>ength of stay</w:t>
            </w:r>
            <w:r>
              <w:rPr>
                <w:rFonts w:ascii="Arial" w:hAnsi="Arial" w:cs="Arial"/>
                <w:color w:val="000000"/>
                <w:sz w:val="18"/>
                <w:szCs w:val="18"/>
                <w:lang w:val="en-US"/>
              </w:rPr>
              <w:t>, o</w:t>
            </w:r>
            <w:r w:rsidRPr="00944219">
              <w:rPr>
                <w:rFonts w:ascii="Arial" w:hAnsi="Arial" w:cs="Arial"/>
                <w:color w:val="000000"/>
                <w:sz w:val="18"/>
                <w:szCs w:val="18"/>
                <w:lang w:val="en-US"/>
              </w:rPr>
              <w:t>perating room time</w:t>
            </w:r>
            <w:r>
              <w:rPr>
                <w:rFonts w:ascii="Arial" w:hAnsi="Arial" w:cs="Arial"/>
                <w:color w:val="000000"/>
                <w:sz w:val="18"/>
                <w:szCs w:val="18"/>
                <w:lang w:val="en-US"/>
              </w:rPr>
              <w:t>, u</w:t>
            </w:r>
            <w:r w:rsidRPr="00944219">
              <w:rPr>
                <w:rFonts w:ascii="Arial" w:hAnsi="Arial" w:cs="Arial"/>
                <w:color w:val="000000"/>
                <w:sz w:val="18"/>
                <w:szCs w:val="18"/>
                <w:lang w:val="en-US"/>
              </w:rPr>
              <w:t>nits of packed red cells transfused</w:t>
            </w:r>
            <w:r>
              <w:rPr>
                <w:rFonts w:ascii="Arial" w:hAnsi="Arial" w:cs="Arial"/>
                <w:color w:val="000000"/>
                <w:sz w:val="18"/>
                <w:szCs w:val="18"/>
                <w:lang w:val="en-US"/>
              </w:rPr>
              <w:t>, m</w:t>
            </w:r>
            <w:r w:rsidRPr="00944219">
              <w:rPr>
                <w:rFonts w:ascii="Arial" w:hAnsi="Arial" w:cs="Arial"/>
                <w:color w:val="000000"/>
                <w:sz w:val="18"/>
                <w:szCs w:val="18"/>
                <w:lang w:val="en-US"/>
              </w:rPr>
              <w:t>orbidity</w:t>
            </w:r>
            <w:r>
              <w:rPr>
                <w:rFonts w:ascii="Arial" w:hAnsi="Arial" w:cs="Arial"/>
                <w:color w:val="000000"/>
                <w:sz w:val="18"/>
                <w:szCs w:val="18"/>
                <w:lang w:val="en-US"/>
              </w:rPr>
              <w:t>, m</w:t>
            </w:r>
            <w:r w:rsidRPr="00944219">
              <w:rPr>
                <w:rFonts w:ascii="Arial" w:hAnsi="Arial" w:cs="Arial"/>
                <w:color w:val="000000"/>
                <w:sz w:val="18"/>
                <w:szCs w:val="18"/>
                <w:lang w:val="en-US"/>
              </w:rPr>
              <w:t>ortality</w:t>
            </w:r>
          </w:p>
        </w:tc>
      </w:tr>
      <w:tr w:rsidR="009E62FE" w:rsidRPr="009F7793" w14:paraId="4B2AC858" w14:textId="77777777" w:rsidTr="00BB4029">
        <w:trPr>
          <w:trHeight w:val="720"/>
        </w:trPr>
        <w:tc>
          <w:tcPr>
            <w:tcW w:w="561" w:type="dxa"/>
            <w:shd w:val="clear" w:color="auto" w:fill="auto"/>
            <w:noWrap/>
            <w:hideMark/>
          </w:tcPr>
          <w:p w14:paraId="128CC130" w14:textId="785C8D33"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6</w:t>
            </w:r>
            <w:r w:rsidR="00BB4029">
              <w:rPr>
                <w:rFonts w:ascii="Arial" w:hAnsi="Arial" w:cs="Arial"/>
                <w:color w:val="000000"/>
                <w:sz w:val="18"/>
                <w:szCs w:val="18"/>
              </w:rPr>
              <w:t>9</w:t>
            </w:r>
          </w:p>
        </w:tc>
        <w:tc>
          <w:tcPr>
            <w:tcW w:w="1571" w:type="dxa"/>
            <w:shd w:val="clear" w:color="auto" w:fill="auto"/>
            <w:noWrap/>
            <w:hideMark/>
          </w:tcPr>
          <w:p w14:paraId="3CDBFA4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Kreys ED, et al. 2013</w:t>
            </w:r>
          </w:p>
        </w:tc>
        <w:tc>
          <w:tcPr>
            <w:tcW w:w="1756" w:type="dxa"/>
            <w:shd w:val="clear" w:color="auto" w:fill="auto"/>
            <w:hideMark/>
          </w:tcPr>
          <w:p w14:paraId="5E1D0CDF"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1B839EC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breast, lung, or colorectal cancer treatment</w:t>
            </w:r>
          </w:p>
        </w:tc>
        <w:tc>
          <w:tcPr>
            <w:tcW w:w="1969" w:type="dxa"/>
            <w:shd w:val="clear" w:color="auto" w:fill="auto"/>
            <w:hideMark/>
          </w:tcPr>
          <w:p w14:paraId="236E207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a retrospective single-group, pre-test–post-test design.</w:t>
            </w:r>
          </w:p>
        </w:tc>
        <w:tc>
          <w:tcPr>
            <w:tcW w:w="1224" w:type="dxa"/>
            <w:shd w:val="clear" w:color="auto" w:fill="auto"/>
            <w:hideMark/>
          </w:tcPr>
          <w:p w14:paraId="52E1351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24BEEA2F"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Compliance rate for chemotherapy, supportive care site compliance, patient drug costs, hospitalization costs</w:t>
            </w:r>
          </w:p>
        </w:tc>
      </w:tr>
      <w:tr w:rsidR="009E62FE" w:rsidRPr="0057539F" w14:paraId="0CB6E3BB" w14:textId="77777777" w:rsidTr="00BB4029">
        <w:trPr>
          <w:trHeight w:val="240"/>
        </w:trPr>
        <w:tc>
          <w:tcPr>
            <w:tcW w:w="561" w:type="dxa"/>
            <w:shd w:val="clear" w:color="auto" w:fill="auto"/>
            <w:noWrap/>
            <w:hideMark/>
          </w:tcPr>
          <w:p w14:paraId="4354A572" w14:textId="511545FA" w:rsidR="009E62FE" w:rsidRPr="0057539F" w:rsidRDefault="00BB4029" w:rsidP="00BB4029">
            <w:pPr>
              <w:rPr>
                <w:rFonts w:ascii="Arial" w:hAnsi="Arial" w:cs="Arial"/>
                <w:color w:val="000000"/>
                <w:sz w:val="18"/>
                <w:szCs w:val="18"/>
              </w:rPr>
            </w:pPr>
            <w:r>
              <w:rPr>
                <w:rFonts w:ascii="Arial" w:hAnsi="Arial" w:cs="Arial"/>
                <w:color w:val="000000"/>
                <w:sz w:val="18"/>
                <w:szCs w:val="18"/>
              </w:rPr>
              <w:t>70</w:t>
            </w:r>
          </w:p>
        </w:tc>
        <w:tc>
          <w:tcPr>
            <w:tcW w:w="1571" w:type="dxa"/>
            <w:shd w:val="clear" w:color="auto" w:fill="auto"/>
            <w:noWrap/>
            <w:hideMark/>
          </w:tcPr>
          <w:p w14:paraId="215BD93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Langham J, et al. 2013</w:t>
            </w:r>
          </w:p>
        </w:tc>
        <w:tc>
          <w:tcPr>
            <w:tcW w:w="1756" w:type="dxa"/>
            <w:shd w:val="clear" w:color="auto" w:fill="auto"/>
            <w:hideMark/>
          </w:tcPr>
          <w:p w14:paraId="5BA8BB71"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732BBB2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diagnoses such as cancer</w:t>
            </w:r>
          </w:p>
        </w:tc>
        <w:tc>
          <w:tcPr>
            <w:tcW w:w="1969" w:type="dxa"/>
            <w:shd w:val="clear" w:color="auto" w:fill="auto"/>
            <w:hideMark/>
          </w:tcPr>
          <w:p w14:paraId="6FB8F1C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w:t>
            </w:r>
          </w:p>
        </w:tc>
        <w:tc>
          <w:tcPr>
            <w:tcW w:w="1224" w:type="dxa"/>
            <w:shd w:val="clear" w:color="auto" w:fill="auto"/>
            <w:hideMark/>
          </w:tcPr>
          <w:p w14:paraId="2521763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UK</w:t>
            </w:r>
          </w:p>
        </w:tc>
        <w:tc>
          <w:tcPr>
            <w:tcW w:w="4743" w:type="dxa"/>
            <w:shd w:val="clear" w:color="auto" w:fill="auto"/>
            <w:hideMark/>
          </w:tcPr>
          <w:p w14:paraId="0FC17BC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r>
      <w:tr w:rsidR="009E62FE" w:rsidRPr="009F7793" w14:paraId="13F92E54" w14:textId="77777777" w:rsidTr="00BB4029">
        <w:trPr>
          <w:trHeight w:val="960"/>
        </w:trPr>
        <w:tc>
          <w:tcPr>
            <w:tcW w:w="561" w:type="dxa"/>
            <w:shd w:val="clear" w:color="auto" w:fill="auto"/>
            <w:noWrap/>
          </w:tcPr>
          <w:p w14:paraId="5F4B2D43" w14:textId="4DD197FA" w:rsidR="009E62FE" w:rsidRPr="0057539F" w:rsidRDefault="009E62FE" w:rsidP="00BB4029">
            <w:pPr>
              <w:rPr>
                <w:rFonts w:ascii="Arial" w:hAnsi="Arial" w:cs="Arial"/>
                <w:color w:val="000000"/>
                <w:sz w:val="18"/>
                <w:szCs w:val="18"/>
              </w:rPr>
            </w:pPr>
            <w:r>
              <w:rPr>
                <w:rFonts w:ascii="Arial" w:hAnsi="Arial" w:cs="Arial"/>
                <w:color w:val="000000"/>
                <w:sz w:val="18"/>
                <w:szCs w:val="18"/>
              </w:rPr>
              <w:t>7</w:t>
            </w:r>
            <w:r w:rsidR="00BB4029">
              <w:rPr>
                <w:rFonts w:ascii="Arial" w:hAnsi="Arial" w:cs="Arial"/>
                <w:color w:val="000000"/>
                <w:sz w:val="18"/>
                <w:szCs w:val="18"/>
              </w:rPr>
              <w:t>1</w:t>
            </w:r>
          </w:p>
        </w:tc>
        <w:tc>
          <w:tcPr>
            <w:tcW w:w="1571" w:type="dxa"/>
            <w:shd w:val="clear" w:color="auto" w:fill="auto"/>
            <w:noWrap/>
          </w:tcPr>
          <w:p w14:paraId="6214433F"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Lee L, et al. 2013</w:t>
            </w:r>
          </w:p>
        </w:tc>
        <w:tc>
          <w:tcPr>
            <w:tcW w:w="1756" w:type="dxa"/>
            <w:shd w:val="clear" w:color="auto" w:fill="auto"/>
          </w:tcPr>
          <w:p w14:paraId="3E64B4E8" w14:textId="77777777" w:rsidR="009E62FE" w:rsidRPr="0057539F" w:rsidRDefault="009E62FE" w:rsidP="00BB4029">
            <w:pPr>
              <w:rPr>
                <w:rFonts w:ascii="Arial" w:hAnsi="Arial" w:cs="Arial"/>
                <w:color w:val="000000"/>
                <w:sz w:val="18"/>
                <w:szCs w:val="18"/>
                <w:lang w:val="en-US"/>
              </w:rPr>
            </w:pPr>
            <w:r w:rsidRPr="00944219">
              <w:rPr>
                <w:rFonts w:ascii="Arial" w:hAnsi="Arial" w:cs="Arial"/>
                <w:color w:val="000000"/>
                <w:sz w:val="18"/>
                <w:szCs w:val="18"/>
                <w:lang w:val="en-US"/>
              </w:rPr>
              <w:t>Study did not meet Cochrane EPOC study design criteria</w:t>
            </w:r>
          </w:p>
        </w:tc>
        <w:tc>
          <w:tcPr>
            <w:tcW w:w="2180" w:type="dxa"/>
            <w:shd w:val="clear" w:color="auto" w:fill="auto"/>
          </w:tcPr>
          <w:p w14:paraId="387D0D23" w14:textId="77777777" w:rsidR="009E62FE" w:rsidRPr="00944219" w:rsidRDefault="009E62FE" w:rsidP="00BB4029">
            <w:pPr>
              <w:rPr>
                <w:rFonts w:ascii="Arial" w:hAnsi="Arial" w:cs="Arial"/>
                <w:color w:val="000000"/>
                <w:sz w:val="18"/>
                <w:szCs w:val="18"/>
                <w:lang w:val="en-US"/>
              </w:rPr>
            </w:pPr>
            <w:r>
              <w:rPr>
                <w:rFonts w:ascii="Arial" w:hAnsi="Arial" w:cs="Arial"/>
                <w:color w:val="000000"/>
                <w:sz w:val="18"/>
                <w:szCs w:val="18"/>
                <w:lang w:val="en-US"/>
              </w:rPr>
              <w:t>e</w:t>
            </w:r>
            <w:r w:rsidRPr="00944219">
              <w:rPr>
                <w:rFonts w:ascii="Arial" w:hAnsi="Arial" w:cs="Arial"/>
                <w:color w:val="000000"/>
                <w:sz w:val="18"/>
                <w:szCs w:val="18"/>
                <w:lang w:val="en-US"/>
              </w:rPr>
              <w:t>lective oesophagectomy</w:t>
            </w:r>
          </w:p>
        </w:tc>
        <w:tc>
          <w:tcPr>
            <w:tcW w:w="1969" w:type="dxa"/>
            <w:shd w:val="clear" w:color="auto" w:fill="auto"/>
          </w:tcPr>
          <w:p w14:paraId="306DBDED" w14:textId="77777777" w:rsidR="009E62FE" w:rsidRPr="00944219" w:rsidRDefault="009E62FE" w:rsidP="00BB4029">
            <w:pPr>
              <w:rPr>
                <w:rFonts w:ascii="Arial" w:hAnsi="Arial" w:cs="Arial"/>
                <w:color w:val="000000"/>
                <w:sz w:val="18"/>
                <w:szCs w:val="18"/>
                <w:lang w:val="en-US"/>
              </w:rPr>
            </w:pPr>
            <w:r>
              <w:rPr>
                <w:rFonts w:ascii="Arial" w:hAnsi="Arial" w:cs="Arial"/>
                <w:color w:val="000000"/>
                <w:sz w:val="18"/>
                <w:szCs w:val="18"/>
                <w:lang w:val="en-US"/>
              </w:rPr>
              <w:t>before-after study</w:t>
            </w:r>
          </w:p>
        </w:tc>
        <w:tc>
          <w:tcPr>
            <w:tcW w:w="1224" w:type="dxa"/>
            <w:shd w:val="clear" w:color="auto" w:fill="auto"/>
          </w:tcPr>
          <w:p w14:paraId="7D1BE823" w14:textId="77777777" w:rsidR="009E62FE" w:rsidRPr="00944219" w:rsidRDefault="009E62FE" w:rsidP="00BB4029">
            <w:pPr>
              <w:rPr>
                <w:rFonts w:ascii="Arial" w:hAnsi="Arial" w:cs="Arial"/>
                <w:color w:val="000000"/>
                <w:sz w:val="18"/>
                <w:szCs w:val="18"/>
                <w:lang w:val="en-US"/>
              </w:rPr>
            </w:pPr>
            <w:r>
              <w:rPr>
                <w:rFonts w:ascii="Arial" w:hAnsi="Arial" w:cs="Arial"/>
                <w:color w:val="000000"/>
                <w:sz w:val="18"/>
                <w:szCs w:val="18"/>
                <w:lang w:val="en-US"/>
              </w:rPr>
              <w:t>Canada</w:t>
            </w:r>
          </w:p>
        </w:tc>
        <w:tc>
          <w:tcPr>
            <w:tcW w:w="4743" w:type="dxa"/>
            <w:shd w:val="clear" w:color="auto" w:fill="auto"/>
          </w:tcPr>
          <w:p w14:paraId="32A58C03" w14:textId="77777777" w:rsidR="009E62FE" w:rsidRPr="0057539F" w:rsidRDefault="009E62FE" w:rsidP="00BB4029">
            <w:pPr>
              <w:rPr>
                <w:rFonts w:ascii="Arial" w:hAnsi="Arial" w:cs="Arial"/>
                <w:color w:val="000000"/>
                <w:sz w:val="18"/>
                <w:szCs w:val="18"/>
                <w:lang w:val="en-US"/>
              </w:rPr>
            </w:pPr>
            <w:r w:rsidRPr="00944219">
              <w:rPr>
                <w:rFonts w:ascii="Arial" w:hAnsi="Arial" w:cs="Arial"/>
                <w:color w:val="000000"/>
                <w:sz w:val="18"/>
                <w:szCs w:val="18"/>
                <w:lang w:val="en-US"/>
              </w:rPr>
              <w:t>Length of hospital stay</w:t>
            </w:r>
            <w:r>
              <w:rPr>
                <w:rFonts w:ascii="Arial" w:hAnsi="Arial" w:cs="Arial"/>
                <w:color w:val="000000"/>
                <w:sz w:val="18"/>
                <w:szCs w:val="18"/>
                <w:lang w:val="en-US"/>
              </w:rPr>
              <w:t>, c</w:t>
            </w:r>
            <w:r w:rsidRPr="00944219">
              <w:rPr>
                <w:rFonts w:ascii="Arial" w:hAnsi="Arial" w:cs="Arial"/>
                <w:color w:val="000000"/>
                <w:sz w:val="18"/>
                <w:szCs w:val="18"/>
                <w:lang w:val="en-US"/>
              </w:rPr>
              <w:t>omplication rates</w:t>
            </w:r>
            <w:r>
              <w:rPr>
                <w:rFonts w:ascii="Arial" w:hAnsi="Arial" w:cs="Arial"/>
                <w:color w:val="000000"/>
                <w:sz w:val="18"/>
                <w:szCs w:val="18"/>
                <w:lang w:val="en-US"/>
              </w:rPr>
              <w:t>, r</w:t>
            </w:r>
            <w:r w:rsidRPr="00944219">
              <w:rPr>
                <w:rFonts w:ascii="Arial" w:hAnsi="Arial" w:cs="Arial"/>
                <w:color w:val="000000"/>
                <w:sz w:val="18"/>
                <w:szCs w:val="18"/>
                <w:lang w:val="en-US"/>
              </w:rPr>
              <w:t>eadmission within 30 days of surgery</w:t>
            </w:r>
            <w:r>
              <w:rPr>
                <w:rFonts w:ascii="Arial" w:hAnsi="Arial" w:cs="Arial"/>
                <w:color w:val="000000"/>
                <w:sz w:val="18"/>
                <w:szCs w:val="18"/>
                <w:lang w:val="en-US"/>
              </w:rPr>
              <w:t>, i</w:t>
            </w:r>
            <w:r w:rsidRPr="00944219">
              <w:rPr>
                <w:rFonts w:ascii="Arial" w:hAnsi="Arial" w:cs="Arial"/>
                <w:color w:val="000000"/>
                <w:sz w:val="18"/>
                <w:szCs w:val="18"/>
                <w:lang w:val="en-US"/>
              </w:rPr>
              <w:t>n-hospital mortality rate</w:t>
            </w:r>
            <w:r>
              <w:rPr>
                <w:rFonts w:ascii="Arial" w:hAnsi="Arial" w:cs="Arial"/>
                <w:color w:val="000000"/>
                <w:sz w:val="18"/>
                <w:szCs w:val="18"/>
                <w:lang w:val="en-US"/>
              </w:rPr>
              <w:t>, c</w:t>
            </w:r>
            <w:r w:rsidRPr="00944219">
              <w:rPr>
                <w:rFonts w:ascii="Arial" w:hAnsi="Arial" w:cs="Arial"/>
                <w:color w:val="000000"/>
                <w:sz w:val="18"/>
                <w:szCs w:val="18"/>
                <w:lang w:val="en-US"/>
              </w:rPr>
              <w:t>osts (pathway dependent &amp; total)</w:t>
            </w:r>
          </w:p>
        </w:tc>
      </w:tr>
      <w:tr w:rsidR="009E62FE" w:rsidRPr="009F7793" w14:paraId="7BB4A732" w14:textId="77777777" w:rsidTr="00BB4029">
        <w:trPr>
          <w:trHeight w:val="960"/>
        </w:trPr>
        <w:tc>
          <w:tcPr>
            <w:tcW w:w="561" w:type="dxa"/>
            <w:shd w:val="clear" w:color="auto" w:fill="auto"/>
            <w:noWrap/>
            <w:hideMark/>
          </w:tcPr>
          <w:p w14:paraId="5972FAD2" w14:textId="76D89BB7" w:rsidR="009E62FE" w:rsidRPr="0057539F" w:rsidRDefault="009E62FE" w:rsidP="00BB4029">
            <w:pPr>
              <w:rPr>
                <w:rFonts w:ascii="Arial" w:hAnsi="Arial" w:cs="Arial"/>
                <w:color w:val="000000"/>
                <w:sz w:val="18"/>
                <w:szCs w:val="18"/>
              </w:rPr>
            </w:pPr>
            <w:r>
              <w:rPr>
                <w:rFonts w:ascii="Arial" w:hAnsi="Arial" w:cs="Arial"/>
                <w:color w:val="000000"/>
                <w:sz w:val="18"/>
                <w:szCs w:val="18"/>
              </w:rPr>
              <w:t>7</w:t>
            </w:r>
            <w:r w:rsidR="00BB4029">
              <w:rPr>
                <w:rFonts w:ascii="Arial" w:hAnsi="Arial" w:cs="Arial"/>
                <w:color w:val="000000"/>
                <w:sz w:val="18"/>
                <w:szCs w:val="18"/>
              </w:rPr>
              <w:t>2</w:t>
            </w:r>
          </w:p>
        </w:tc>
        <w:tc>
          <w:tcPr>
            <w:tcW w:w="1571" w:type="dxa"/>
            <w:shd w:val="clear" w:color="auto" w:fill="auto"/>
            <w:noWrap/>
            <w:hideMark/>
          </w:tcPr>
          <w:p w14:paraId="2B0D2DD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Leibman BD, et al. 1998</w:t>
            </w:r>
          </w:p>
        </w:tc>
        <w:tc>
          <w:tcPr>
            <w:tcW w:w="1756" w:type="dxa"/>
            <w:shd w:val="clear" w:color="auto" w:fill="auto"/>
            <w:hideMark/>
          </w:tcPr>
          <w:p w14:paraId="33A586D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Does not meet CP definition</w:t>
            </w:r>
          </w:p>
        </w:tc>
        <w:tc>
          <w:tcPr>
            <w:tcW w:w="2180" w:type="dxa"/>
            <w:shd w:val="clear" w:color="auto" w:fill="auto"/>
            <w:hideMark/>
          </w:tcPr>
          <w:p w14:paraId="70330D9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prostate cancer</w:t>
            </w:r>
          </w:p>
        </w:tc>
        <w:tc>
          <w:tcPr>
            <w:tcW w:w="1969" w:type="dxa"/>
            <w:shd w:val="clear" w:color="auto" w:fill="auto"/>
            <w:hideMark/>
          </w:tcPr>
          <w:p w14:paraId="719C729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19E572C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12705D36"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 xml:space="preserve">Total hospital charges and length of stay, physician volume, patient satisfaction, Incidence of postoperative urinary tract infections, atelectesis, wound infection, and </w:t>
            </w:r>
            <w:r w:rsidRPr="0057539F">
              <w:rPr>
                <w:rFonts w:ascii="Arial" w:hAnsi="Arial" w:cs="Arial"/>
                <w:color w:val="000000"/>
                <w:sz w:val="18"/>
                <w:szCs w:val="18"/>
                <w:lang w:val="en-US"/>
              </w:rPr>
              <w:lastRenderedPageBreak/>
              <w:t>paralytic ileus</w:t>
            </w:r>
          </w:p>
        </w:tc>
      </w:tr>
      <w:tr w:rsidR="009E62FE" w:rsidRPr="0057539F" w14:paraId="3B85CE1F" w14:textId="77777777" w:rsidTr="00BB4029">
        <w:trPr>
          <w:trHeight w:val="480"/>
        </w:trPr>
        <w:tc>
          <w:tcPr>
            <w:tcW w:w="561" w:type="dxa"/>
            <w:shd w:val="clear" w:color="auto" w:fill="auto"/>
            <w:noWrap/>
            <w:hideMark/>
          </w:tcPr>
          <w:p w14:paraId="5C7F2D69" w14:textId="555C9CFB" w:rsidR="009E62FE" w:rsidRPr="0057539F" w:rsidRDefault="009E62FE" w:rsidP="00BB4029">
            <w:pPr>
              <w:rPr>
                <w:rFonts w:ascii="Arial" w:hAnsi="Arial" w:cs="Arial"/>
                <w:color w:val="000000"/>
                <w:sz w:val="18"/>
                <w:szCs w:val="18"/>
              </w:rPr>
            </w:pPr>
            <w:r>
              <w:rPr>
                <w:rFonts w:ascii="Arial" w:hAnsi="Arial" w:cs="Arial"/>
                <w:color w:val="000000"/>
                <w:sz w:val="18"/>
                <w:szCs w:val="18"/>
              </w:rPr>
              <w:lastRenderedPageBreak/>
              <w:t>7</w:t>
            </w:r>
            <w:r w:rsidR="00BB4029">
              <w:rPr>
                <w:rFonts w:ascii="Arial" w:hAnsi="Arial" w:cs="Arial"/>
                <w:color w:val="000000"/>
                <w:sz w:val="18"/>
                <w:szCs w:val="18"/>
              </w:rPr>
              <w:t>3</w:t>
            </w:r>
          </w:p>
        </w:tc>
        <w:tc>
          <w:tcPr>
            <w:tcW w:w="1571" w:type="dxa"/>
            <w:shd w:val="clear" w:color="auto" w:fill="auto"/>
            <w:noWrap/>
            <w:hideMark/>
          </w:tcPr>
          <w:p w14:paraId="15FE05E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Lemmens L, et al. 2009</w:t>
            </w:r>
          </w:p>
        </w:tc>
        <w:tc>
          <w:tcPr>
            <w:tcW w:w="1756" w:type="dxa"/>
            <w:shd w:val="clear" w:color="auto" w:fill="auto"/>
            <w:hideMark/>
          </w:tcPr>
          <w:p w14:paraId="4D35A3A5"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1DD3CF4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 undergoing oncology surgery of the gastrointestinal tract</w:t>
            </w:r>
          </w:p>
        </w:tc>
        <w:tc>
          <w:tcPr>
            <w:tcW w:w="1969" w:type="dxa"/>
            <w:shd w:val="clear" w:color="auto" w:fill="auto"/>
            <w:hideMark/>
          </w:tcPr>
          <w:p w14:paraId="61C3A49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systematic review</w:t>
            </w:r>
          </w:p>
        </w:tc>
        <w:tc>
          <w:tcPr>
            <w:tcW w:w="1224" w:type="dxa"/>
            <w:shd w:val="clear" w:color="auto" w:fill="auto"/>
            <w:hideMark/>
          </w:tcPr>
          <w:p w14:paraId="298D3D59" w14:textId="24676535"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2A773DA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Postoperative outcome measures</w:t>
            </w:r>
          </w:p>
        </w:tc>
      </w:tr>
      <w:tr w:rsidR="009E62FE" w:rsidRPr="009F7793" w14:paraId="6120DCAF" w14:textId="77777777" w:rsidTr="00BB4029">
        <w:trPr>
          <w:trHeight w:val="240"/>
        </w:trPr>
        <w:tc>
          <w:tcPr>
            <w:tcW w:w="561" w:type="dxa"/>
            <w:shd w:val="clear" w:color="auto" w:fill="auto"/>
            <w:noWrap/>
          </w:tcPr>
          <w:p w14:paraId="17413E8D" w14:textId="42B5F170" w:rsidR="009E62FE" w:rsidRPr="0057539F" w:rsidRDefault="009E62FE" w:rsidP="00BB4029">
            <w:pPr>
              <w:rPr>
                <w:rFonts w:ascii="Arial" w:hAnsi="Arial" w:cs="Arial"/>
                <w:color w:val="000000"/>
                <w:sz w:val="18"/>
                <w:szCs w:val="18"/>
              </w:rPr>
            </w:pPr>
            <w:r>
              <w:rPr>
                <w:rFonts w:ascii="Arial" w:hAnsi="Arial" w:cs="Arial"/>
                <w:color w:val="000000"/>
                <w:sz w:val="18"/>
                <w:szCs w:val="18"/>
              </w:rPr>
              <w:t>7</w:t>
            </w:r>
            <w:r w:rsidR="00BB4029">
              <w:rPr>
                <w:rFonts w:ascii="Arial" w:hAnsi="Arial" w:cs="Arial"/>
                <w:color w:val="000000"/>
                <w:sz w:val="18"/>
                <w:szCs w:val="18"/>
              </w:rPr>
              <w:t>4</w:t>
            </w:r>
          </w:p>
        </w:tc>
        <w:tc>
          <w:tcPr>
            <w:tcW w:w="1571" w:type="dxa"/>
            <w:shd w:val="clear" w:color="auto" w:fill="auto"/>
            <w:noWrap/>
          </w:tcPr>
          <w:p w14:paraId="3D095F0B"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Letton C, et al. 2013</w:t>
            </w:r>
          </w:p>
        </w:tc>
        <w:tc>
          <w:tcPr>
            <w:tcW w:w="1756" w:type="dxa"/>
            <w:shd w:val="clear" w:color="auto" w:fill="auto"/>
          </w:tcPr>
          <w:p w14:paraId="2B900F33" w14:textId="77777777" w:rsidR="009E62FE" w:rsidRDefault="009E62FE" w:rsidP="00BB4029">
            <w:pPr>
              <w:rPr>
                <w:rFonts w:ascii="Arial" w:hAnsi="Arial" w:cs="Arial"/>
                <w:color w:val="000000"/>
                <w:sz w:val="18"/>
                <w:szCs w:val="18"/>
              </w:rPr>
            </w:pPr>
            <w:r>
              <w:rPr>
                <w:rFonts w:ascii="Arial" w:hAnsi="Arial" w:cs="Arial"/>
                <w:color w:val="000000"/>
                <w:sz w:val="18"/>
                <w:szCs w:val="18"/>
              </w:rPr>
              <w:t>Abstract only</w:t>
            </w:r>
          </w:p>
        </w:tc>
        <w:tc>
          <w:tcPr>
            <w:tcW w:w="2180" w:type="dxa"/>
            <w:shd w:val="clear" w:color="auto" w:fill="auto"/>
          </w:tcPr>
          <w:p w14:paraId="50A3E813"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g</w:t>
            </w:r>
            <w:r w:rsidRPr="00944219">
              <w:rPr>
                <w:rFonts w:ascii="Arial" w:hAnsi="Arial" w:cs="Arial"/>
                <w:color w:val="000000"/>
                <w:sz w:val="18"/>
                <w:szCs w:val="18"/>
              </w:rPr>
              <w:t>ynaecological oncology</w:t>
            </w:r>
          </w:p>
        </w:tc>
        <w:tc>
          <w:tcPr>
            <w:tcW w:w="1969" w:type="dxa"/>
            <w:shd w:val="clear" w:color="auto" w:fill="auto"/>
          </w:tcPr>
          <w:p w14:paraId="3B0B04DB"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unclear</w:t>
            </w:r>
          </w:p>
        </w:tc>
        <w:tc>
          <w:tcPr>
            <w:tcW w:w="1224" w:type="dxa"/>
            <w:shd w:val="clear" w:color="auto" w:fill="auto"/>
          </w:tcPr>
          <w:p w14:paraId="30C62B3D"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UK</w:t>
            </w:r>
          </w:p>
        </w:tc>
        <w:tc>
          <w:tcPr>
            <w:tcW w:w="4743" w:type="dxa"/>
            <w:shd w:val="clear" w:color="auto" w:fill="auto"/>
          </w:tcPr>
          <w:p w14:paraId="3D75894B" w14:textId="77777777" w:rsidR="009E62FE" w:rsidRPr="00944219" w:rsidRDefault="009E62FE" w:rsidP="00BB4029">
            <w:pPr>
              <w:rPr>
                <w:rFonts w:ascii="Arial" w:hAnsi="Arial" w:cs="Arial"/>
                <w:color w:val="000000"/>
                <w:sz w:val="18"/>
                <w:szCs w:val="18"/>
                <w:lang w:val="en-US"/>
              </w:rPr>
            </w:pPr>
            <w:r w:rsidRPr="00944219">
              <w:rPr>
                <w:rFonts w:ascii="Arial" w:hAnsi="Arial" w:cs="Arial"/>
                <w:color w:val="000000"/>
                <w:sz w:val="18"/>
                <w:szCs w:val="18"/>
                <w:lang w:val="en-US"/>
              </w:rPr>
              <w:t>Duration of intraperitoneal drains, urethral catheters, intravenous fluids postoperatively, time to eat and drink, time to mobilization, length of hospital stay</w:t>
            </w:r>
          </w:p>
        </w:tc>
      </w:tr>
      <w:tr w:rsidR="009E62FE" w:rsidRPr="0057539F" w14:paraId="1F87A6BD" w14:textId="77777777" w:rsidTr="00BB4029">
        <w:trPr>
          <w:trHeight w:val="240"/>
        </w:trPr>
        <w:tc>
          <w:tcPr>
            <w:tcW w:w="561" w:type="dxa"/>
            <w:shd w:val="clear" w:color="auto" w:fill="auto"/>
            <w:noWrap/>
            <w:hideMark/>
          </w:tcPr>
          <w:p w14:paraId="44BF08A1" w14:textId="5E8156A9" w:rsidR="009E62FE" w:rsidRPr="0057539F" w:rsidRDefault="009E62FE" w:rsidP="00BB4029">
            <w:pPr>
              <w:rPr>
                <w:rFonts w:ascii="Arial" w:hAnsi="Arial" w:cs="Arial"/>
                <w:color w:val="000000"/>
                <w:sz w:val="18"/>
                <w:szCs w:val="18"/>
              </w:rPr>
            </w:pPr>
            <w:r>
              <w:rPr>
                <w:rFonts w:ascii="Arial" w:hAnsi="Arial" w:cs="Arial"/>
                <w:color w:val="000000"/>
                <w:sz w:val="18"/>
                <w:szCs w:val="18"/>
              </w:rPr>
              <w:t>7</w:t>
            </w:r>
            <w:r w:rsidR="00BB4029">
              <w:rPr>
                <w:rFonts w:ascii="Arial" w:hAnsi="Arial" w:cs="Arial"/>
                <w:color w:val="000000"/>
                <w:sz w:val="18"/>
                <w:szCs w:val="18"/>
              </w:rPr>
              <w:t>5</w:t>
            </w:r>
          </w:p>
        </w:tc>
        <w:tc>
          <w:tcPr>
            <w:tcW w:w="1571" w:type="dxa"/>
            <w:shd w:val="clear" w:color="auto" w:fill="auto"/>
            <w:noWrap/>
            <w:hideMark/>
          </w:tcPr>
          <w:p w14:paraId="6FBAE74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Lindberg P, et al. 2016</w:t>
            </w:r>
          </w:p>
        </w:tc>
        <w:tc>
          <w:tcPr>
            <w:tcW w:w="1756" w:type="dxa"/>
            <w:shd w:val="clear" w:color="auto" w:fill="auto"/>
            <w:hideMark/>
          </w:tcPr>
          <w:p w14:paraId="704739A6"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777B919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 patients</w:t>
            </w:r>
          </w:p>
        </w:tc>
        <w:tc>
          <w:tcPr>
            <w:tcW w:w="1969" w:type="dxa"/>
            <w:shd w:val="clear" w:color="auto" w:fill="auto"/>
            <w:hideMark/>
          </w:tcPr>
          <w:p w14:paraId="5A8DF4B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RCT</w:t>
            </w:r>
          </w:p>
        </w:tc>
        <w:tc>
          <w:tcPr>
            <w:tcW w:w="1224" w:type="dxa"/>
            <w:shd w:val="clear" w:color="auto" w:fill="auto"/>
            <w:hideMark/>
          </w:tcPr>
          <w:p w14:paraId="12F1479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Germany</w:t>
            </w:r>
          </w:p>
        </w:tc>
        <w:tc>
          <w:tcPr>
            <w:tcW w:w="4743" w:type="dxa"/>
            <w:shd w:val="clear" w:color="auto" w:fill="auto"/>
            <w:hideMark/>
          </w:tcPr>
          <w:p w14:paraId="4D53B65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Quality of life</w:t>
            </w:r>
          </w:p>
        </w:tc>
      </w:tr>
      <w:tr w:rsidR="009E62FE" w:rsidRPr="009F7793" w14:paraId="6A511EA1" w14:textId="77777777" w:rsidTr="00BB4029">
        <w:trPr>
          <w:trHeight w:val="960"/>
        </w:trPr>
        <w:tc>
          <w:tcPr>
            <w:tcW w:w="561" w:type="dxa"/>
            <w:shd w:val="clear" w:color="auto" w:fill="auto"/>
            <w:noWrap/>
            <w:hideMark/>
          </w:tcPr>
          <w:p w14:paraId="321466CB" w14:textId="7F5E8F6D" w:rsidR="009E62FE" w:rsidRPr="0057539F" w:rsidRDefault="009E62FE" w:rsidP="00BB4029">
            <w:pPr>
              <w:rPr>
                <w:rFonts w:ascii="Arial" w:hAnsi="Arial" w:cs="Arial"/>
                <w:color w:val="000000"/>
                <w:sz w:val="18"/>
                <w:szCs w:val="18"/>
              </w:rPr>
            </w:pPr>
            <w:r>
              <w:rPr>
                <w:rFonts w:ascii="Arial" w:hAnsi="Arial" w:cs="Arial"/>
                <w:color w:val="000000"/>
                <w:sz w:val="18"/>
                <w:szCs w:val="18"/>
              </w:rPr>
              <w:t>7</w:t>
            </w:r>
            <w:r w:rsidR="00BB4029">
              <w:rPr>
                <w:rFonts w:ascii="Arial" w:hAnsi="Arial" w:cs="Arial"/>
                <w:color w:val="000000"/>
                <w:sz w:val="18"/>
                <w:szCs w:val="18"/>
              </w:rPr>
              <w:t>6</w:t>
            </w:r>
          </w:p>
        </w:tc>
        <w:tc>
          <w:tcPr>
            <w:tcW w:w="1571" w:type="dxa"/>
            <w:shd w:val="clear" w:color="auto" w:fill="auto"/>
            <w:noWrap/>
            <w:hideMark/>
          </w:tcPr>
          <w:p w14:paraId="53B8542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Llobera J, et al. 2017</w:t>
            </w:r>
          </w:p>
        </w:tc>
        <w:tc>
          <w:tcPr>
            <w:tcW w:w="1756" w:type="dxa"/>
            <w:shd w:val="clear" w:color="auto" w:fill="auto"/>
            <w:hideMark/>
          </w:tcPr>
          <w:p w14:paraId="6182722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Protocol only</w:t>
            </w:r>
          </w:p>
        </w:tc>
        <w:tc>
          <w:tcPr>
            <w:tcW w:w="2180" w:type="dxa"/>
            <w:shd w:val="clear" w:color="auto" w:fill="auto"/>
            <w:hideMark/>
          </w:tcPr>
          <w:p w14:paraId="64613AC5"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palliative care patients (oncology and non-oncology)</w:t>
            </w:r>
          </w:p>
        </w:tc>
        <w:tc>
          <w:tcPr>
            <w:tcW w:w="1969" w:type="dxa"/>
            <w:shd w:val="clear" w:color="auto" w:fill="auto"/>
            <w:hideMark/>
          </w:tcPr>
          <w:p w14:paraId="01188F2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RCT</w:t>
            </w:r>
          </w:p>
        </w:tc>
        <w:tc>
          <w:tcPr>
            <w:tcW w:w="1224" w:type="dxa"/>
            <w:shd w:val="clear" w:color="auto" w:fill="auto"/>
            <w:hideMark/>
          </w:tcPr>
          <w:p w14:paraId="2638A11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Spain</w:t>
            </w:r>
          </w:p>
        </w:tc>
        <w:tc>
          <w:tcPr>
            <w:tcW w:w="4743" w:type="dxa"/>
            <w:shd w:val="clear" w:color="auto" w:fill="auto"/>
            <w:hideMark/>
          </w:tcPr>
          <w:p w14:paraId="6589961F"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Early identification, evaluation of case complexity, level of case complexity, use and cost of hospital and primary care services, and quality of life during the last month of life</w:t>
            </w:r>
          </w:p>
        </w:tc>
      </w:tr>
      <w:tr w:rsidR="009E62FE" w:rsidRPr="0057539F" w14:paraId="40804AA3" w14:textId="77777777" w:rsidTr="00BB4029">
        <w:trPr>
          <w:trHeight w:val="240"/>
        </w:trPr>
        <w:tc>
          <w:tcPr>
            <w:tcW w:w="561" w:type="dxa"/>
            <w:shd w:val="clear" w:color="auto" w:fill="auto"/>
            <w:noWrap/>
            <w:hideMark/>
          </w:tcPr>
          <w:p w14:paraId="4510F648" w14:textId="52736483" w:rsidR="009E62FE" w:rsidRPr="0057539F" w:rsidRDefault="009E62FE" w:rsidP="00BB4029">
            <w:pPr>
              <w:rPr>
                <w:rFonts w:ascii="Arial" w:hAnsi="Arial" w:cs="Arial"/>
                <w:color w:val="000000"/>
                <w:sz w:val="18"/>
                <w:szCs w:val="18"/>
              </w:rPr>
            </w:pPr>
            <w:r>
              <w:rPr>
                <w:rFonts w:ascii="Arial" w:hAnsi="Arial" w:cs="Arial"/>
                <w:color w:val="000000"/>
                <w:sz w:val="18"/>
                <w:szCs w:val="18"/>
              </w:rPr>
              <w:t>7</w:t>
            </w:r>
            <w:r w:rsidR="00BB4029">
              <w:rPr>
                <w:rFonts w:ascii="Arial" w:hAnsi="Arial" w:cs="Arial"/>
                <w:color w:val="000000"/>
                <w:sz w:val="18"/>
                <w:szCs w:val="18"/>
              </w:rPr>
              <w:t>7</w:t>
            </w:r>
          </w:p>
        </w:tc>
        <w:tc>
          <w:tcPr>
            <w:tcW w:w="1571" w:type="dxa"/>
            <w:shd w:val="clear" w:color="auto" w:fill="auto"/>
            <w:noWrap/>
            <w:hideMark/>
          </w:tcPr>
          <w:p w14:paraId="36C5024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Lorenz W, et al. 2005</w:t>
            </w:r>
          </w:p>
        </w:tc>
        <w:tc>
          <w:tcPr>
            <w:tcW w:w="1756" w:type="dxa"/>
            <w:shd w:val="clear" w:color="auto" w:fill="auto"/>
            <w:hideMark/>
          </w:tcPr>
          <w:p w14:paraId="3EF5E4C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Abstract only</w:t>
            </w:r>
          </w:p>
        </w:tc>
        <w:tc>
          <w:tcPr>
            <w:tcW w:w="2180" w:type="dxa"/>
            <w:shd w:val="clear" w:color="auto" w:fill="auto"/>
            <w:hideMark/>
          </w:tcPr>
          <w:p w14:paraId="7A5708A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breast cancer</w:t>
            </w:r>
          </w:p>
        </w:tc>
        <w:tc>
          <w:tcPr>
            <w:tcW w:w="1969" w:type="dxa"/>
            <w:shd w:val="clear" w:color="auto" w:fill="auto"/>
            <w:hideMark/>
          </w:tcPr>
          <w:p w14:paraId="77F3BE6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prospective trial</w:t>
            </w:r>
          </w:p>
        </w:tc>
        <w:tc>
          <w:tcPr>
            <w:tcW w:w="1224" w:type="dxa"/>
            <w:shd w:val="clear" w:color="auto" w:fill="auto"/>
            <w:hideMark/>
          </w:tcPr>
          <w:p w14:paraId="5CDBE65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Germany</w:t>
            </w:r>
          </w:p>
        </w:tc>
        <w:tc>
          <w:tcPr>
            <w:tcW w:w="4743" w:type="dxa"/>
            <w:shd w:val="clear" w:color="auto" w:fill="auto"/>
            <w:hideMark/>
          </w:tcPr>
          <w:p w14:paraId="7B211DC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r>
      <w:tr w:rsidR="009E62FE" w:rsidRPr="009F7793" w14:paraId="2897D8A2" w14:textId="77777777" w:rsidTr="00BB4029">
        <w:trPr>
          <w:trHeight w:val="2160"/>
        </w:trPr>
        <w:tc>
          <w:tcPr>
            <w:tcW w:w="561" w:type="dxa"/>
            <w:shd w:val="clear" w:color="auto" w:fill="auto"/>
            <w:noWrap/>
            <w:hideMark/>
          </w:tcPr>
          <w:p w14:paraId="14BC260F" w14:textId="505A6EFD"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7</w:t>
            </w:r>
            <w:r w:rsidR="00BB4029">
              <w:rPr>
                <w:rFonts w:ascii="Arial" w:hAnsi="Arial" w:cs="Arial"/>
                <w:color w:val="000000"/>
                <w:sz w:val="18"/>
                <w:szCs w:val="18"/>
              </w:rPr>
              <w:t>8</w:t>
            </w:r>
          </w:p>
        </w:tc>
        <w:tc>
          <w:tcPr>
            <w:tcW w:w="1571" w:type="dxa"/>
            <w:shd w:val="clear" w:color="auto" w:fill="auto"/>
            <w:noWrap/>
            <w:hideMark/>
          </w:tcPr>
          <w:p w14:paraId="110CD4E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Lyhne NM, et al. 2013</w:t>
            </w:r>
          </w:p>
        </w:tc>
        <w:tc>
          <w:tcPr>
            <w:tcW w:w="1756" w:type="dxa"/>
            <w:shd w:val="clear" w:color="auto" w:fill="auto"/>
            <w:hideMark/>
          </w:tcPr>
          <w:p w14:paraId="3451933E"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388A70C4"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head and neck cancer: patients with squamous cell carcinoma of the oral cavity, pharynx and larynx</w:t>
            </w:r>
          </w:p>
        </w:tc>
        <w:tc>
          <w:tcPr>
            <w:tcW w:w="1969" w:type="dxa"/>
            <w:shd w:val="clear" w:color="auto" w:fill="auto"/>
            <w:hideMark/>
          </w:tcPr>
          <w:p w14:paraId="3214CE5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633DCAB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Denmark</w:t>
            </w:r>
          </w:p>
        </w:tc>
        <w:tc>
          <w:tcPr>
            <w:tcW w:w="4743" w:type="dxa"/>
            <w:shd w:val="clear" w:color="auto" w:fill="auto"/>
            <w:hideMark/>
          </w:tcPr>
          <w:p w14:paraId="5496646F"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Time intervals: Time from first healthcare contact with a cancer suspicion until final histopathological diagnosis was presented to the patient; Time from diagnosis to first day of either RT or definitive surgery; Time from suspicion of cancer to start of definitive treatment. Number of diagnostic imaging procedures performed (ultra sound (US), CT, magnetic resonance imaging (MRI) and (MRI) and positron emission tomography (PET)-CT).</w:t>
            </w:r>
          </w:p>
        </w:tc>
      </w:tr>
      <w:tr w:rsidR="009E62FE" w:rsidRPr="009F7793" w14:paraId="42C38E11" w14:textId="77777777" w:rsidTr="00BB4029">
        <w:trPr>
          <w:trHeight w:val="960"/>
        </w:trPr>
        <w:tc>
          <w:tcPr>
            <w:tcW w:w="561" w:type="dxa"/>
            <w:shd w:val="clear" w:color="auto" w:fill="auto"/>
            <w:noWrap/>
            <w:hideMark/>
          </w:tcPr>
          <w:p w14:paraId="645E7E50" w14:textId="7141723D"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7</w:t>
            </w:r>
            <w:r w:rsidR="00BB4029">
              <w:rPr>
                <w:rFonts w:ascii="Arial" w:hAnsi="Arial" w:cs="Arial"/>
                <w:color w:val="000000"/>
                <w:sz w:val="18"/>
                <w:szCs w:val="18"/>
              </w:rPr>
              <w:t>9</w:t>
            </w:r>
          </w:p>
        </w:tc>
        <w:tc>
          <w:tcPr>
            <w:tcW w:w="1571" w:type="dxa"/>
            <w:shd w:val="clear" w:color="auto" w:fill="auto"/>
            <w:noWrap/>
            <w:hideMark/>
          </w:tcPr>
          <w:p w14:paraId="1820BD8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Markar SR, et al. 2015</w:t>
            </w:r>
          </w:p>
        </w:tc>
        <w:tc>
          <w:tcPr>
            <w:tcW w:w="1756" w:type="dxa"/>
            <w:shd w:val="clear" w:color="auto" w:fill="auto"/>
            <w:hideMark/>
          </w:tcPr>
          <w:p w14:paraId="3B128355"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04537A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oesophagus cancer</w:t>
            </w:r>
          </w:p>
        </w:tc>
        <w:tc>
          <w:tcPr>
            <w:tcW w:w="1969" w:type="dxa"/>
            <w:shd w:val="clear" w:color="auto" w:fill="auto"/>
            <w:hideMark/>
          </w:tcPr>
          <w:p w14:paraId="0A760C5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systematic review</w:t>
            </w:r>
          </w:p>
        </w:tc>
        <w:tc>
          <w:tcPr>
            <w:tcW w:w="1224" w:type="dxa"/>
            <w:shd w:val="clear" w:color="auto" w:fill="auto"/>
            <w:hideMark/>
          </w:tcPr>
          <w:p w14:paraId="6DC34DCC" w14:textId="420AA252"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788C8B2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Incidence of postoperative mortality, anastomotic leak and pulmonary complications, and secondary outcomes were length of hospital stay and the incidence of 30-day readmission.</w:t>
            </w:r>
          </w:p>
        </w:tc>
      </w:tr>
      <w:tr w:rsidR="009E62FE" w:rsidRPr="009F7793" w14:paraId="683BABE0" w14:textId="77777777" w:rsidTr="00BB4029">
        <w:trPr>
          <w:trHeight w:val="720"/>
        </w:trPr>
        <w:tc>
          <w:tcPr>
            <w:tcW w:w="561" w:type="dxa"/>
            <w:shd w:val="clear" w:color="auto" w:fill="auto"/>
            <w:noWrap/>
            <w:hideMark/>
          </w:tcPr>
          <w:p w14:paraId="632E0AD9" w14:textId="5DDA08D6" w:rsidR="009E62FE" w:rsidRPr="0057539F" w:rsidRDefault="00BB4029" w:rsidP="00BB4029">
            <w:pPr>
              <w:rPr>
                <w:rFonts w:ascii="Arial" w:hAnsi="Arial" w:cs="Arial"/>
                <w:color w:val="000000"/>
                <w:sz w:val="18"/>
                <w:szCs w:val="18"/>
              </w:rPr>
            </w:pPr>
            <w:r>
              <w:rPr>
                <w:rFonts w:ascii="Arial" w:hAnsi="Arial" w:cs="Arial"/>
                <w:color w:val="000000"/>
                <w:sz w:val="18"/>
                <w:szCs w:val="18"/>
              </w:rPr>
              <w:lastRenderedPageBreak/>
              <w:t>80</w:t>
            </w:r>
          </w:p>
        </w:tc>
        <w:tc>
          <w:tcPr>
            <w:tcW w:w="1571" w:type="dxa"/>
            <w:shd w:val="clear" w:color="auto" w:fill="auto"/>
            <w:noWrap/>
            <w:hideMark/>
          </w:tcPr>
          <w:p w14:paraId="78631D8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Markar SR, et al. 2014</w:t>
            </w:r>
          </w:p>
        </w:tc>
        <w:tc>
          <w:tcPr>
            <w:tcW w:w="1756" w:type="dxa"/>
            <w:shd w:val="clear" w:color="auto" w:fill="auto"/>
            <w:hideMark/>
          </w:tcPr>
          <w:p w14:paraId="0D70465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 control</w:t>
            </w:r>
          </w:p>
        </w:tc>
        <w:tc>
          <w:tcPr>
            <w:tcW w:w="2180" w:type="dxa"/>
            <w:shd w:val="clear" w:color="auto" w:fill="auto"/>
            <w:hideMark/>
          </w:tcPr>
          <w:p w14:paraId="27484FE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oesophagus cancer</w:t>
            </w:r>
          </w:p>
        </w:tc>
        <w:tc>
          <w:tcPr>
            <w:tcW w:w="1969" w:type="dxa"/>
            <w:shd w:val="clear" w:color="auto" w:fill="auto"/>
            <w:hideMark/>
          </w:tcPr>
          <w:p w14:paraId="1C2E1CE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prospective study?</w:t>
            </w:r>
          </w:p>
        </w:tc>
        <w:tc>
          <w:tcPr>
            <w:tcW w:w="1224" w:type="dxa"/>
            <w:shd w:val="clear" w:color="auto" w:fill="auto"/>
            <w:hideMark/>
          </w:tcPr>
          <w:p w14:paraId="30175E1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 &amp; UK</w:t>
            </w:r>
          </w:p>
        </w:tc>
        <w:tc>
          <w:tcPr>
            <w:tcW w:w="4743" w:type="dxa"/>
            <w:shd w:val="clear" w:color="auto" w:fill="auto"/>
            <w:hideMark/>
          </w:tcPr>
          <w:p w14:paraId="0B80D36D"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Use of neo-adjuvant therapy, blood loss, intraoperative fluid administration, ICU stay, leng</w:t>
            </w:r>
            <w:r>
              <w:rPr>
                <w:rFonts w:ascii="Arial" w:hAnsi="Arial" w:cs="Arial"/>
                <w:color w:val="000000"/>
                <w:sz w:val="18"/>
                <w:szCs w:val="18"/>
                <w:lang w:val="en-US"/>
              </w:rPr>
              <w:t>t</w:t>
            </w:r>
            <w:r w:rsidRPr="0057539F">
              <w:rPr>
                <w:rFonts w:ascii="Arial" w:hAnsi="Arial" w:cs="Arial"/>
                <w:color w:val="000000"/>
                <w:sz w:val="18"/>
                <w:szCs w:val="18"/>
                <w:lang w:val="en-US"/>
              </w:rPr>
              <w:t>h of hospital stay, post operative complications</w:t>
            </w:r>
          </w:p>
        </w:tc>
      </w:tr>
      <w:tr w:rsidR="009E62FE" w:rsidRPr="009F7793" w14:paraId="076D43B3" w14:textId="77777777" w:rsidTr="00BB4029">
        <w:trPr>
          <w:trHeight w:val="720"/>
        </w:trPr>
        <w:tc>
          <w:tcPr>
            <w:tcW w:w="561" w:type="dxa"/>
            <w:shd w:val="clear" w:color="auto" w:fill="auto"/>
            <w:noWrap/>
            <w:hideMark/>
          </w:tcPr>
          <w:p w14:paraId="543DA1D1" w14:textId="44C2548F" w:rsidR="009E62FE" w:rsidRPr="0057539F" w:rsidRDefault="009E62FE" w:rsidP="00BB4029">
            <w:pPr>
              <w:rPr>
                <w:rFonts w:ascii="Arial" w:hAnsi="Arial" w:cs="Arial"/>
                <w:color w:val="000000"/>
                <w:sz w:val="18"/>
                <w:szCs w:val="18"/>
              </w:rPr>
            </w:pPr>
            <w:r>
              <w:rPr>
                <w:rFonts w:ascii="Arial" w:hAnsi="Arial" w:cs="Arial"/>
                <w:color w:val="000000"/>
                <w:sz w:val="18"/>
                <w:szCs w:val="18"/>
              </w:rPr>
              <w:t>8</w:t>
            </w:r>
            <w:r w:rsidR="00BB4029">
              <w:rPr>
                <w:rFonts w:ascii="Arial" w:hAnsi="Arial" w:cs="Arial"/>
                <w:color w:val="000000"/>
                <w:sz w:val="18"/>
                <w:szCs w:val="18"/>
              </w:rPr>
              <w:t>1</w:t>
            </w:r>
          </w:p>
        </w:tc>
        <w:tc>
          <w:tcPr>
            <w:tcW w:w="1571" w:type="dxa"/>
            <w:shd w:val="clear" w:color="auto" w:fill="auto"/>
            <w:noWrap/>
            <w:hideMark/>
          </w:tcPr>
          <w:p w14:paraId="5B75A8E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Maruyama R, et al. 2006</w:t>
            </w:r>
          </w:p>
        </w:tc>
        <w:tc>
          <w:tcPr>
            <w:tcW w:w="1756" w:type="dxa"/>
            <w:shd w:val="clear" w:color="auto" w:fill="auto"/>
            <w:hideMark/>
          </w:tcPr>
          <w:p w14:paraId="4BDDF89E"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1D97968C"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lung cancer, metastatic lung cancer, or a nodule that was suspected to be malignant</w:t>
            </w:r>
          </w:p>
        </w:tc>
        <w:tc>
          <w:tcPr>
            <w:tcW w:w="1969" w:type="dxa"/>
            <w:shd w:val="clear" w:color="auto" w:fill="auto"/>
            <w:hideMark/>
          </w:tcPr>
          <w:p w14:paraId="5B7747D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0A0BA17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Japan</w:t>
            </w:r>
          </w:p>
        </w:tc>
        <w:tc>
          <w:tcPr>
            <w:tcW w:w="4743" w:type="dxa"/>
            <w:shd w:val="clear" w:color="auto" w:fill="auto"/>
            <w:hideMark/>
          </w:tcPr>
          <w:p w14:paraId="7B3DA844"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hospitalization, hospital charges, and the outcome for video-assisted thoracoscopic pulmonary resection (VATPR)</w:t>
            </w:r>
          </w:p>
        </w:tc>
      </w:tr>
      <w:tr w:rsidR="009E62FE" w:rsidRPr="009F7793" w14:paraId="21B83E25" w14:textId="77777777" w:rsidTr="00BB4029">
        <w:trPr>
          <w:trHeight w:val="480"/>
        </w:trPr>
        <w:tc>
          <w:tcPr>
            <w:tcW w:w="561" w:type="dxa"/>
            <w:shd w:val="clear" w:color="auto" w:fill="auto"/>
            <w:noWrap/>
            <w:hideMark/>
          </w:tcPr>
          <w:p w14:paraId="05CADB69" w14:textId="303EF958" w:rsidR="009E62FE" w:rsidRPr="0057539F" w:rsidRDefault="009E62FE" w:rsidP="00BB4029">
            <w:pPr>
              <w:rPr>
                <w:rFonts w:ascii="Arial" w:hAnsi="Arial" w:cs="Arial"/>
                <w:color w:val="000000"/>
                <w:sz w:val="18"/>
                <w:szCs w:val="18"/>
              </w:rPr>
            </w:pPr>
            <w:r>
              <w:rPr>
                <w:rFonts w:ascii="Arial" w:hAnsi="Arial" w:cs="Arial"/>
                <w:color w:val="000000"/>
                <w:sz w:val="18"/>
                <w:szCs w:val="18"/>
              </w:rPr>
              <w:t>8</w:t>
            </w:r>
            <w:r w:rsidR="00BB4029">
              <w:rPr>
                <w:rFonts w:ascii="Arial" w:hAnsi="Arial" w:cs="Arial"/>
                <w:color w:val="000000"/>
                <w:sz w:val="18"/>
                <w:szCs w:val="18"/>
              </w:rPr>
              <w:t>2</w:t>
            </w:r>
          </w:p>
        </w:tc>
        <w:tc>
          <w:tcPr>
            <w:tcW w:w="1571" w:type="dxa"/>
            <w:shd w:val="clear" w:color="auto" w:fill="auto"/>
            <w:noWrap/>
            <w:hideMark/>
          </w:tcPr>
          <w:p w14:paraId="524FF328"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Mashhad University of Medical S. 2014</w:t>
            </w:r>
          </w:p>
        </w:tc>
        <w:tc>
          <w:tcPr>
            <w:tcW w:w="1756" w:type="dxa"/>
            <w:shd w:val="clear" w:color="auto" w:fill="auto"/>
            <w:hideMark/>
          </w:tcPr>
          <w:p w14:paraId="60301F3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Protocol only</w:t>
            </w:r>
          </w:p>
        </w:tc>
        <w:tc>
          <w:tcPr>
            <w:tcW w:w="2180" w:type="dxa"/>
            <w:shd w:val="clear" w:color="auto" w:fill="auto"/>
            <w:hideMark/>
          </w:tcPr>
          <w:p w14:paraId="312A917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 patients</w:t>
            </w:r>
          </w:p>
        </w:tc>
        <w:tc>
          <w:tcPr>
            <w:tcW w:w="1969" w:type="dxa"/>
            <w:shd w:val="clear" w:color="auto" w:fill="auto"/>
            <w:hideMark/>
          </w:tcPr>
          <w:p w14:paraId="491A7DA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prospective randomized trial</w:t>
            </w:r>
          </w:p>
        </w:tc>
        <w:tc>
          <w:tcPr>
            <w:tcW w:w="1224" w:type="dxa"/>
            <w:shd w:val="clear" w:color="auto" w:fill="auto"/>
            <w:hideMark/>
          </w:tcPr>
          <w:p w14:paraId="1854700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Iran</w:t>
            </w:r>
          </w:p>
        </w:tc>
        <w:tc>
          <w:tcPr>
            <w:tcW w:w="4743" w:type="dxa"/>
            <w:shd w:val="clear" w:color="auto" w:fill="auto"/>
            <w:hideMark/>
          </w:tcPr>
          <w:p w14:paraId="7A5B7584"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stay, postoperative complications and patient satisfaction</w:t>
            </w:r>
          </w:p>
        </w:tc>
      </w:tr>
      <w:tr w:rsidR="009E62FE" w:rsidRPr="0057539F" w14:paraId="5880FC30" w14:textId="77777777" w:rsidTr="00BB4029">
        <w:trPr>
          <w:trHeight w:val="240"/>
        </w:trPr>
        <w:tc>
          <w:tcPr>
            <w:tcW w:w="561" w:type="dxa"/>
            <w:shd w:val="clear" w:color="auto" w:fill="auto"/>
            <w:noWrap/>
            <w:hideMark/>
          </w:tcPr>
          <w:p w14:paraId="3434C837" w14:textId="780C938E" w:rsidR="009E62FE" w:rsidRPr="0057539F" w:rsidRDefault="009E62FE" w:rsidP="00BB4029">
            <w:pPr>
              <w:rPr>
                <w:rFonts w:ascii="Arial" w:hAnsi="Arial" w:cs="Arial"/>
                <w:color w:val="000000"/>
                <w:sz w:val="18"/>
                <w:szCs w:val="18"/>
              </w:rPr>
            </w:pPr>
            <w:r>
              <w:rPr>
                <w:rFonts w:ascii="Arial" w:hAnsi="Arial" w:cs="Arial"/>
                <w:color w:val="000000"/>
                <w:sz w:val="18"/>
                <w:szCs w:val="18"/>
              </w:rPr>
              <w:t>8</w:t>
            </w:r>
            <w:r w:rsidR="00BB4029">
              <w:rPr>
                <w:rFonts w:ascii="Arial" w:hAnsi="Arial" w:cs="Arial"/>
                <w:color w:val="000000"/>
                <w:sz w:val="18"/>
                <w:szCs w:val="18"/>
              </w:rPr>
              <w:t>3</w:t>
            </w:r>
          </w:p>
        </w:tc>
        <w:tc>
          <w:tcPr>
            <w:tcW w:w="1571" w:type="dxa"/>
            <w:shd w:val="clear" w:color="auto" w:fill="auto"/>
            <w:noWrap/>
            <w:hideMark/>
          </w:tcPr>
          <w:p w14:paraId="67F1B75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McCray DK, et al. 2017</w:t>
            </w:r>
          </w:p>
        </w:tc>
        <w:tc>
          <w:tcPr>
            <w:tcW w:w="1756" w:type="dxa"/>
            <w:shd w:val="clear" w:color="auto" w:fill="auto"/>
            <w:hideMark/>
          </w:tcPr>
          <w:p w14:paraId="3F13DB93"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77DB751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 xml:space="preserve">breast cancer </w:t>
            </w:r>
          </w:p>
        </w:tc>
        <w:tc>
          <w:tcPr>
            <w:tcW w:w="1969" w:type="dxa"/>
            <w:shd w:val="clear" w:color="auto" w:fill="auto"/>
            <w:hideMark/>
          </w:tcPr>
          <w:p w14:paraId="3928A3C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review</w:t>
            </w:r>
          </w:p>
        </w:tc>
        <w:tc>
          <w:tcPr>
            <w:tcW w:w="1224" w:type="dxa"/>
            <w:shd w:val="clear" w:color="auto" w:fill="auto"/>
            <w:hideMark/>
          </w:tcPr>
          <w:p w14:paraId="6720568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5EA419D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Pre-operative MRI utilization</w:t>
            </w:r>
          </w:p>
        </w:tc>
      </w:tr>
      <w:tr w:rsidR="009E62FE" w:rsidRPr="009F7793" w14:paraId="6864273D" w14:textId="77777777" w:rsidTr="00BB4029">
        <w:trPr>
          <w:trHeight w:val="480"/>
        </w:trPr>
        <w:tc>
          <w:tcPr>
            <w:tcW w:w="561" w:type="dxa"/>
            <w:shd w:val="clear" w:color="auto" w:fill="auto"/>
            <w:noWrap/>
            <w:hideMark/>
          </w:tcPr>
          <w:p w14:paraId="6757B386" w14:textId="460ABC0F" w:rsidR="009E62FE" w:rsidRPr="0057539F" w:rsidRDefault="009E62FE" w:rsidP="00BB4029">
            <w:pPr>
              <w:rPr>
                <w:rFonts w:ascii="Arial" w:hAnsi="Arial" w:cs="Arial"/>
                <w:color w:val="000000"/>
                <w:sz w:val="18"/>
                <w:szCs w:val="18"/>
              </w:rPr>
            </w:pPr>
            <w:r>
              <w:rPr>
                <w:rFonts w:ascii="Arial" w:hAnsi="Arial" w:cs="Arial"/>
                <w:color w:val="000000"/>
                <w:sz w:val="18"/>
                <w:szCs w:val="18"/>
              </w:rPr>
              <w:t>8</w:t>
            </w:r>
            <w:r w:rsidR="00BB4029">
              <w:rPr>
                <w:rFonts w:ascii="Arial" w:hAnsi="Arial" w:cs="Arial"/>
                <w:color w:val="000000"/>
                <w:sz w:val="18"/>
                <w:szCs w:val="18"/>
              </w:rPr>
              <w:t>4</w:t>
            </w:r>
          </w:p>
        </w:tc>
        <w:tc>
          <w:tcPr>
            <w:tcW w:w="1571" w:type="dxa"/>
            <w:shd w:val="clear" w:color="auto" w:fill="auto"/>
            <w:noWrap/>
            <w:hideMark/>
          </w:tcPr>
          <w:p w14:paraId="2A8EFFB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Mori T, et al. 2017</w:t>
            </w:r>
          </w:p>
        </w:tc>
        <w:tc>
          <w:tcPr>
            <w:tcW w:w="1756" w:type="dxa"/>
            <w:shd w:val="clear" w:color="auto" w:fill="auto"/>
            <w:hideMark/>
          </w:tcPr>
          <w:p w14:paraId="4AF4AF66"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27F9C46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lung cancer</w:t>
            </w:r>
          </w:p>
        </w:tc>
        <w:tc>
          <w:tcPr>
            <w:tcW w:w="1969" w:type="dxa"/>
            <w:shd w:val="clear" w:color="auto" w:fill="auto"/>
            <w:hideMark/>
          </w:tcPr>
          <w:p w14:paraId="33F18AC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5465AD7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Japan</w:t>
            </w:r>
          </w:p>
        </w:tc>
        <w:tc>
          <w:tcPr>
            <w:tcW w:w="4743" w:type="dxa"/>
            <w:shd w:val="clear" w:color="auto" w:fill="auto"/>
            <w:hideMark/>
          </w:tcPr>
          <w:p w14:paraId="5BBC7868"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Mean duration of the pathway, mean distance between patients’ home and our hospital</w:t>
            </w:r>
          </w:p>
        </w:tc>
      </w:tr>
      <w:tr w:rsidR="00BB4029" w:rsidRPr="009F7793" w14:paraId="0BAF1278" w14:textId="77777777" w:rsidTr="00BB4029">
        <w:trPr>
          <w:trHeight w:val="480"/>
        </w:trPr>
        <w:tc>
          <w:tcPr>
            <w:tcW w:w="561" w:type="dxa"/>
            <w:shd w:val="clear" w:color="auto" w:fill="auto"/>
            <w:noWrap/>
          </w:tcPr>
          <w:p w14:paraId="3A0CF1DC" w14:textId="5E33361B" w:rsidR="00BB4029" w:rsidRDefault="00BB4029" w:rsidP="00BB4029">
            <w:pPr>
              <w:rPr>
                <w:rFonts w:ascii="Arial" w:hAnsi="Arial" w:cs="Arial"/>
                <w:color w:val="000000"/>
                <w:sz w:val="18"/>
                <w:szCs w:val="18"/>
              </w:rPr>
            </w:pPr>
            <w:r w:rsidRPr="0091387B">
              <w:rPr>
                <w:rFonts w:ascii="Arial" w:hAnsi="Arial" w:cs="Arial"/>
                <w:color w:val="000000"/>
                <w:sz w:val="18"/>
                <w:szCs w:val="18"/>
              </w:rPr>
              <w:t>85</w:t>
            </w:r>
          </w:p>
        </w:tc>
        <w:tc>
          <w:tcPr>
            <w:tcW w:w="1571" w:type="dxa"/>
            <w:shd w:val="clear" w:color="auto" w:fill="auto"/>
            <w:noWrap/>
          </w:tcPr>
          <w:p w14:paraId="1DA76AFA" w14:textId="2D9A0001" w:rsidR="00BB4029" w:rsidRPr="0057539F" w:rsidRDefault="00475242" w:rsidP="00BB4029">
            <w:pPr>
              <w:rPr>
                <w:rFonts w:ascii="Arial" w:hAnsi="Arial" w:cs="Arial"/>
                <w:color w:val="000000"/>
                <w:sz w:val="18"/>
                <w:szCs w:val="18"/>
              </w:rPr>
            </w:pPr>
            <w:r w:rsidRPr="00475242">
              <w:rPr>
                <w:rFonts w:ascii="Arial" w:hAnsi="Arial" w:cs="Arial"/>
                <w:color w:val="000000"/>
                <w:sz w:val="18"/>
                <w:szCs w:val="18"/>
              </w:rPr>
              <w:t>Muehling</w:t>
            </w:r>
            <w:r>
              <w:rPr>
                <w:rFonts w:ascii="Arial" w:hAnsi="Arial" w:cs="Arial"/>
                <w:color w:val="000000"/>
                <w:sz w:val="18"/>
                <w:szCs w:val="18"/>
              </w:rPr>
              <w:t xml:space="preserve"> BM,</w:t>
            </w:r>
            <w:r w:rsidRPr="00475242">
              <w:rPr>
                <w:rFonts w:ascii="Arial" w:hAnsi="Arial" w:cs="Arial"/>
                <w:color w:val="000000"/>
                <w:sz w:val="18"/>
                <w:szCs w:val="18"/>
              </w:rPr>
              <w:t xml:space="preserve"> et al. 2008</w:t>
            </w:r>
          </w:p>
        </w:tc>
        <w:tc>
          <w:tcPr>
            <w:tcW w:w="1756" w:type="dxa"/>
            <w:shd w:val="clear" w:color="auto" w:fill="auto"/>
          </w:tcPr>
          <w:p w14:paraId="3ABFBB6F" w14:textId="26694632" w:rsidR="00BB4029" w:rsidRPr="0095416F" w:rsidRDefault="00475242" w:rsidP="00BB4029">
            <w:pPr>
              <w:rPr>
                <w:rFonts w:ascii="Arial" w:hAnsi="Arial" w:cs="Arial"/>
                <w:color w:val="000000"/>
                <w:sz w:val="18"/>
                <w:szCs w:val="18"/>
                <w:lang w:val="en-US"/>
              </w:rPr>
            </w:pPr>
            <w:r>
              <w:rPr>
                <w:rFonts w:ascii="Arial" w:hAnsi="Arial" w:cs="Arial"/>
                <w:color w:val="000000"/>
                <w:sz w:val="18"/>
                <w:szCs w:val="18"/>
                <w:lang w:val="en-US"/>
              </w:rPr>
              <w:t>No information about CP</w:t>
            </w:r>
          </w:p>
        </w:tc>
        <w:tc>
          <w:tcPr>
            <w:tcW w:w="2180" w:type="dxa"/>
            <w:shd w:val="clear" w:color="auto" w:fill="auto"/>
          </w:tcPr>
          <w:p w14:paraId="68865728" w14:textId="67360084" w:rsidR="00BB4029" w:rsidRPr="0057539F" w:rsidRDefault="00475242" w:rsidP="00BB4029">
            <w:pPr>
              <w:rPr>
                <w:rFonts w:ascii="Arial" w:hAnsi="Arial" w:cs="Arial"/>
                <w:color w:val="000000"/>
                <w:sz w:val="18"/>
                <w:szCs w:val="18"/>
              </w:rPr>
            </w:pPr>
            <w:r w:rsidRPr="00475242">
              <w:rPr>
                <w:rFonts w:ascii="Arial" w:hAnsi="Arial" w:cs="Arial"/>
                <w:color w:val="000000"/>
                <w:sz w:val="18"/>
                <w:szCs w:val="18"/>
              </w:rPr>
              <w:t>Fast track lung resections</w:t>
            </w:r>
          </w:p>
        </w:tc>
        <w:tc>
          <w:tcPr>
            <w:tcW w:w="1969" w:type="dxa"/>
            <w:shd w:val="clear" w:color="auto" w:fill="auto"/>
          </w:tcPr>
          <w:p w14:paraId="04CA7E77" w14:textId="2790DEF2" w:rsidR="00BB4029" w:rsidRPr="00475242" w:rsidRDefault="00475242" w:rsidP="00BB4029">
            <w:pPr>
              <w:rPr>
                <w:rFonts w:ascii="Arial" w:hAnsi="Arial" w:cs="Arial"/>
                <w:color w:val="000000"/>
                <w:sz w:val="18"/>
                <w:szCs w:val="18"/>
                <w:lang w:val="en-US"/>
              </w:rPr>
            </w:pPr>
            <w:r w:rsidRPr="00475242">
              <w:rPr>
                <w:rFonts w:ascii="Arial" w:hAnsi="Arial" w:cs="Arial"/>
                <w:color w:val="000000"/>
                <w:sz w:val="18"/>
                <w:szCs w:val="18"/>
                <w:lang w:val="en-US"/>
              </w:rPr>
              <w:t>Prospective randomized controlled pilot study</w:t>
            </w:r>
          </w:p>
        </w:tc>
        <w:tc>
          <w:tcPr>
            <w:tcW w:w="1224" w:type="dxa"/>
            <w:shd w:val="clear" w:color="auto" w:fill="auto"/>
          </w:tcPr>
          <w:p w14:paraId="6762420B" w14:textId="486A4800" w:rsidR="00BB4029" w:rsidRPr="0057539F" w:rsidRDefault="00475242" w:rsidP="00BB4029">
            <w:pPr>
              <w:rPr>
                <w:rFonts w:ascii="Arial" w:hAnsi="Arial" w:cs="Arial"/>
                <w:color w:val="000000"/>
                <w:sz w:val="18"/>
                <w:szCs w:val="18"/>
              </w:rPr>
            </w:pPr>
            <w:r>
              <w:rPr>
                <w:rFonts w:ascii="Arial" w:hAnsi="Arial" w:cs="Arial"/>
                <w:color w:val="000000"/>
                <w:sz w:val="18"/>
                <w:szCs w:val="18"/>
              </w:rPr>
              <w:t>Germany</w:t>
            </w:r>
          </w:p>
        </w:tc>
        <w:tc>
          <w:tcPr>
            <w:tcW w:w="4743" w:type="dxa"/>
            <w:shd w:val="clear" w:color="auto" w:fill="auto"/>
          </w:tcPr>
          <w:p w14:paraId="3F8C7D48" w14:textId="5EFD551C" w:rsidR="00BB4029" w:rsidRPr="0057539F" w:rsidRDefault="00475242" w:rsidP="00475242">
            <w:pPr>
              <w:rPr>
                <w:rFonts w:ascii="Arial" w:hAnsi="Arial" w:cs="Arial"/>
                <w:color w:val="000000"/>
                <w:sz w:val="18"/>
                <w:szCs w:val="18"/>
                <w:lang w:val="en-US"/>
              </w:rPr>
            </w:pPr>
            <w:r w:rsidRPr="00475242">
              <w:rPr>
                <w:rFonts w:ascii="Arial" w:hAnsi="Arial" w:cs="Arial"/>
                <w:color w:val="000000"/>
                <w:sz w:val="18"/>
                <w:szCs w:val="18"/>
                <w:lang w:val="en-US"/>
              </w:rPr>
              <w:t>Complications (pulmonary, cardiovascular, technical)</w:t>
            </w:r>
            <w:r>
              <w:rPr>
                <w:rFonts w:ascii="Arial" w:hAnsi="Arial" w:cs="Arial"/>
                <w:color w:val="000000"/>
                <w:sz w:val="18"/>
                <w:szCs w:val="18"/>
                <w:lang w:val="en-US"/>
              </w:rPr>
              <w:t>, r</w:t>
            </w:r>
            <w:r w:rsidRPr="00475242">
              <w:rPr>
                <w:rFonts w:ascii="Arial" w:hAnsi="Arial" w:cs="Arial"/>
                <w:color w:val="000000"/>
                <w:sz w:val="18"/>
                <w:szCs w:val="18"/>
                <w:lang w:val="en-US"/>
              </w:rPr>
              <w:t>eoperation</w:t>
            </w:r>
            <w:r>
              <w:rPr>
                <w:rFonts w:ascii="Arial" w:hAnsi="Arial" w:cs="Arial"/>
                <w:color w:val="000000"/>
                <w:sz w:val="18"/>
                <w:szCs w:val="18"/>
                <w:lang w:val="en-US"/>
              </w:rPr>
              <w:t>, m</w:t>
            </w:r>
            <w:r w:rsidRPr="00475242">
              <w:rPr>
                <w:rFonts w:ascii="Arial" w:hAnsi="Arial" w:cs="Arial"/>
                <w:color w:val="000000"/>
                <w:sz w:val="18"/>
                <w:szCs w:val="18"/>
                <w:lang w:val="en-US"/>
              </w:rPr>
              <w:t>orbidity</w:t>
            </w:r>
            <w:r>
              <w:rPr>
                <w:rFonts w:ascii="Arial" w:hAnsi="Arial" w:cs="Arial"/>
                <w:color w:val="000000"/>
                <w:sz w:val="18"/>
                <w:szCs w:val="18"/>
                <w:lang w:val="en-US"/>
              </w:rPr>
              <w:t>, m</w:t>
            </w:r>
            <w:r w:rsidRPr="00475242">
              <w:rPr>
                <w:rFonts w:ascii="Arial" w:hAnsi="Arial" w:cs="Arial"/>
                <w:color w:val="000000"/>
                <w:sz w:val="18"/>
                <w:szCs w:val="18"/>
                <w:lang w:val="en-US"/>
              </w:rPr>
              <w:t>ortality</w:t>
            </w:r>
            <w:r>
              <w:rPr>
                <w:rFonts w:ascii="Arial" w:hAnsi="Arial" w:cs="Arial"/>
                <w:color w:val="000000"/>
                <w:sz w:val="18"/>
                <w:szCs w:val="18"/>
                <w:lang w:val="en-US"/>
              </w:rPr>
              <w:t>, l</w:t>
            </w:r>
            <w:r w:rsidRPr="00475242">
              <w:rPr>
                <w:rFonts w:ascii="Arial" w:hAnsi="Arial" w:cs="Arial"/>
                <w:color w:val="000000"/>
                <w:sz w:val="18"/>
                <w:szCs w:val="18"/>
                <w:lang w:val="en-US"/>
              </w:rPr>
              <w:t>ength of stay at the ICU (median)</w:t>
            </w:r>
            <w:r>
              <w:rPr>
                <w:rFonts w:ascii="Arial" w:hAnsi="Arial" w:cs="Arial"/>
                <w:color w:val="000000"/>
                <w:sz w:val="18"/>
                <w:szCs w:val="18"/>
                <w:lang w:val="en-US"/>
              </w:rPr>
              <w:t>, d</w:t>
            </w:r>
            <w:r w:rsidRPr="00475242">
              <w:rPr>
                <w:rFonts w:ascii="Arial" w:hAnsi="Arial" w:cs="Arial"/>
                <w:color w:val="000000"/>
                <w:sz w:val="18"/>
                <w:szCs w:val="18"/>
                <w:lang w:val="en-US"/>
              </w:rPr>
              <w:t>ay of discharge (median)</w:t>
            </w:r>
          </w:p>
        </w:tc>
      </w:tr>
      <w:tr w:rsidR="009E62FE" w:rsidRPr="009F7793" w14:paraId="0BCB861C" w14:textId="77777777" w:rsidTr="00BB4029">
        <w:trPr>
          <w:trHeight w:val="480"/>
        </w:trPr>
        <w:tc>
          <w:tcPr>
            <w:tcW w:w="561" w:type="dxa"/>
            <w:shd w:val="clear" w:color="auto" w:fill="auto"/>
            <w:noWrap/>
            <w:hideMark/>
          </w:tcPr>
          <w:p w14:paraId="654239DB" w14:textId="4EABB72A" w:rsidR="009E62FE" w:rsidRPr="0057539F" w:rsidRDefault="009E62FE" w:rsidP="00BB4029">
            <w:pPr>
              <w:rPr>
                <w:rFonts w:ascii="Arial" w:hAnsi="Arial" w:cs="Arial"/>
                <w:color w:val="000000"/>
                <w:sz w:val="18"/>
                <w:szCs w:val="18"/>
              </w:rPr>
            </w:pPr>
            <w:r>
              <w:rPr>
                <w:rFonts w:ascii="Arial" w:hAnsi="Arial" w:cs="Arial"/>
                <w:color w:val="000000"/>
                <w:sz w:val="18"/>
                <w:szCs w:val="18"/>
              </w:rPr>
              <w:t>8</w:t>
            </w:r>
            <w:r w:rsidR="0091387B">
              <w:rPr>
                <w:rFonts w:ascii="Arial" w:hAnsi="Arial" w:cs="Arial"/>
                <w:color w:val="000000"/>
                <w:sz w:val="18"/>
                <w:szCs w:val="18"/>
              </w:rPr>
              <w:t>6</w:t>
            </w:r>
          </w:p>
        </w:tc>
        <w:tc>
          <w:tcPr>
            <w:tcW w:w="1571" w:type="dxa"/>
            <w:shd w:val="clear" w:color="auto" w:fill="auto"/>
            <w:noWrap/>
            <w:hideMark/>
          </w:tcPr>
          <w:p w14:paraId="38B2799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Munitiz V, et al. 2010</w:t>
            </w:r>
          </w:p>
        </w:tc>
        <w:tc>
          <w:tcPr>
            <w:tcW w:w="1756" w:type="dxa"/>
            <w:shd w:val="clear" w:color="auto" w:fill="auto"/>
            <w:hideMark/>
          </w:tcPr>
          <w:p w14:paraId="31EECF46"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3192863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oesophageal neoplasia</w:t>
            </w:r>
          </w:p>
        </w:tc>
        <w:tc>
          <w:tcPr>
            <w:tcW w:w="1969" w:type="dxa"/>
            <w:shd w:val="clear" w:color="auto" w:fill="auto"/>
            <w:hideMark/>
          </w:tcPr>
          <w:p w14:paraId="5D3411B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3198B7F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Spain</w:t>
            </w:r>
          </w:p>
        </w:tc>
        <w:tc>
          <w:tcPr>
            <w:tcW w:w="4743" w:type="dxa"/>
            <w:shd w:val="clear" w:color="auto" w:fill="auto"/>
            <w:hideMark/>
          </w:tcPr>
          <w:p w14:paraId="4AD5EC0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Morbidity rates, pulmonary complications, length of hospital stay</w:t>
            </w:r>
          </w:p>
        </w:tc>
      </w:tr>
      <w:tr w:rsidR="009E62FE" w:rsidRPr="009F7793" w14:paraId="5499E609" w14:textId="77777777" w:rsidTr="00BB4029">
        <w:trPr>
          <w:trHeight w:val="480"/>
        </w:trPr>
        <w:tc>
          <w:tcPr>
            <w:tcW w:w="561" w:type="dxa"/>
            <w:shd w:val="clear" w:color="auto" w:fill="auto"/>
            <w:noWrap/>
            <w:hideMark/>
          </w:tcPr>
          <w:p w14:paraId="19E485F0" w14:textId="5D4E06CB" w:rsidR="009E62FE" w:rsidRPr="0057539F" w:rsidRDefault="009E62FE" w:rsidP="00BB4029">
            <w:pPr>
              <w:rPr>
                <w:rFonts w:ascii="Arial" w:hAnsi="Arial" w:cs="Arial"/>
                <w:color w:val="000000"/>
                <w:sz w:val="18"/>
                <w:szCs w:val="18"/>
              </w:rPr>
            </w:pPr>
            <w:r>
              <w:rPr>
                <w:rFonts w:ascii="Arial" w:hAnsi="Arial" w:cs="Arial"/>
                <w:color w:val="000000"/>
                <w:sz w:val="18"/>
                <w:szCs w:val="18"/>
              </w:rPr>
              <w:t>8</w:t>
            </w:r>
            <w:r w:rsidR="0091387B">
              <w:rPr>
                <w:rFonts w:ascii="Arial" w:hAnsi="Arial" w:cs="Arial"/>
                <w:color w:val="000000"/>
                <w:sz w:val="18"/>
                <w:szCs w:val="18"/>
              </w:rPr>
              <w:t>7</w:t>
            </w:r>
          </w:p>
        </w:tc>
        <w:tc>
          <w:tcPr>
            <w:tcW w:w="1571" w:type="dxa"/>
            <w:shd w:val="clear" w:color="auto" w:fill="auto"/>
            <w:noWrap/>
            <w:hideMark/>
          </w:tcPr>
          <w:p w14:paraId="6EF310A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Neo PS, et al. 2012</w:t>
            </w:r>
          </w:p>
        </w:tc>
        <w:tc>
          <w:tcPr>
            <w:tcW w:w="1756" w:type="dxa"/>
            <w:shd w:val="clear" w:color="auto" w:fill="auto"/>
            <w:hideMark/>
          </w:tcPr>
          <w:p w14:paraId="7DD2563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Does not meet CP definition</w:t>
            </w:r>
          </w:p>
        </w:tc>
        <w:tc>
          <w:tcPr>
            <w:tcW w:w="2180" w:type="dxa"/>
            <w:shd w:val="clear" w:color="auto" w:fill="auto"/>
            <w:hideMark/>
          </w:tcPr>
          <w:p w14:paraId="094278E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patients in oncology ward</w:t>
            </w:r>
          </w:p>
        </w:tc>
        <w:tc>
          <w:tcPr>
            <w:tcW w:w="1969" w:type="dxa"/>
            <w:shd w:val="clear" w:color="auto" w:fill="auto"/>
            <w:hideMark/>
          </w:tcPr>
          <w:p w14:paraId="56246E8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4EB06D7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Singapore</w:t>
            </w:r>
          </w:p>
        </w:tc>
        <w:tc>
          <w:tcPr>
            <w:tcW w:w="4743" w:type="dxa"/>
            <w:shd w:val="clear" w:color="auto" w:fill="auto"/>
            <w:hideMark/>
          </w:tcPr>
          <w:p w14:paraId="6164017C"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Five types of end-of-life symptoms</w:t>
            </w:r>
          </w:p>
        </w:tc>
      </w:tr>
      <w:tr w:rsidR="009E62FE" w:rsidRPr="0057539F" w14:paraId="7C5BCDA0" w14:textId="77777777" w:rsidTr="00BB4029">
        <w:trPr>
          <w:trHeight w:val="240"/>
        </w:trPr>
        <w:tc>
          <w:tcPr>
            <w:tcW w:w="561" w:type="dxa"/>
            <w:shd w:val="clear" w:color="auto" w:fill="auto"/>
            <w:noWrap/>
            <w:hideMark/>
          </w:tcPr>
          <w:p w14:paraId="2F1AC801" w14:textId="40E903B4" w:rsidR="009E62FE" w:rsidRPr="0057539F" w:rsidRDefault="009E62FE" w:rsidP="00BB4029">
            <w:pPr>
              <w:rPr>
                <w:rFonts w:ascii="Arial" w:hAnsi="Arial" w:cs="Arial"/>
                <w:color w:val="000000"/>
                <w:sz w:val="18"/>
                <w:szCs w:val="18"/>
              </w:rPr>
            </w:pPr>
            <w:r>
              <w:rPr>
                <w:rFonts w:ascii="Arial" w:hAnsi="Arial" w:cs="Arial"/>
                <w:color w:val="000000"/>
                <w:sz w:val="18"/>
                <w:szCs w:val="18"/>
              </w:rPr>
              <w:t>8</w:t>
            </w:r>
            <w:r w:rsidR="0091387B">
              <w:rPr>
                <w:rFonts w:ascii="Arial" w:hAnsi="Arial" w:cs="Arial"/>
                <w:color w:val="000000"/>
                <w:sz w:val="18"/>
                <w:szCs w:val="18"/>
              </w:rPr>
              <w:t>8</w:t>
            </w:r>
          </w:p>
        </w:tc>
        <w:tc>
          <w:tcPr>
            <w:tcW w:w="1571" w:type="dxa"/>
            <w:shd w:val="clear" w:color="auto" w:fill="auto"/>
            <w:noWrap/>
            <w:hideMark/>
          </w:tcPr>
          <w:p w14:paraId="317794F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Nunez Mora C, et al. 2001</w:t>
            </w:r>
          </w:p>
        </w:tc>
        <w:tc>
          <w:tcPr>
            <w:tcW w:w="1756" w:type="dxa"/>
            <w:shd w:val="clear" w:color="auto" w:fill="auto"/>
            <w:hideMark/>
          </w:tcPr>
          <w:p w14:paraId="5399E5CC"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211B3C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bladder tumors</w:t>
            </w:r>
          </w:p>
        </w:tc>
        <w:tc>
          <w:tcPr>
            <w:tcW w:w="1969" w:type="dxa"/>
            <w:shd w:val="clear" w:color="auto" w:fill="auto"/>
            <w:hideMark/>
          </w:tcPr>
          <w:p w14:paraId="0C2BA08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00B9575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Spain</w:t>
            </w:r>
          </w:p>
        </w:tc>
        <w:tc>
          <w:tcPr>
            <w:tcW w:w="4743" w:type="dxa"/>
            <w:shd w:val="clear" w:color="auto" w:fill="auto"/>
            <w:hideMark/>
          </w:tcPr>
          <w:p w14:paraId="6157B23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Duration of hospital stay</w:t>
            </w:r>
          </w:p>
        </w:tc>
      </w:tr>
      <w:tr w:rsidR="009E62FE" w:rsidRPr="009F7793" w14:paraId="6DABA379" w14:textId="77777777" w:rsidTr="00BB4029">
        <w:trPr>
          <w:trHeight w:val="720"/>
        </w:trPr>
        <w:tc>
          <w:tcPr>
            <w:tcW w:w="561" w:type="dxa"/>
            <w:shd w:val="clear" w:color="auto" w:fill="auto"/>
            <w:noWrap/>
            <w:hideMark/>
          </w:tcPr>
          <w:p w14:paraId="68EC77E5" w14:textId="1A88A7F3"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8</w:t>
            </w:r>
            <w:r w:rsidR="0091387B">
              <w:rPr>
                <w:rFonts w:ascii="Arial" w:hAnsi="Arial" w:cs="Arial"/>
                <w:color w:val="000000"/>
                <w:sz w:val="18"/>
                <w:szCs w:val="18"/>
              </w:rPr>
              <w:t>9</w:t>
            </w:r>
          </w:p>
        </w:tc>
        <w:tc>
          <w:tcPr>
            <w:tcW w:w="1571" w:type="dxa"/>
            <w:shd w:val="clear" w:color="auto" w:fill="auto"/>
            <w:noWrap/>
            <w:hideMark/>
          </w:tcPr>
          <w:p w14:paraId="52C0874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Nussbaum DP, et al. 2014</w:t>
            </w:r>
          </w:p>
        </w:tc>
        <w:tc>
          <w:tcPr>
            <w:tcW w:w="1756" w:type="dxa"/>
            <w:shd w:val="clear" w:color="auto" w:fill="auto"/>
            <w:hideMark/>
          </w:tcPr>
          <w:p w14:paraId="3F135928"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patient population</w:t>
            </w:r>
          </w:p>
        </w:tc>
        <w:tc>
          <w:tcPr>
            <w:tcW w:w="2180" w:type="dxa"/>
            <w:shd w:val="clear" w:color="auto" w:fill="auto"/>
            <w:hideMark/>
          </w:tcPr>
          <w:p w14:paraId="6450389C"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 xml:space="preserve">patients undergoing distal pancreatectomy (DP) of which 26% in each groups </w:t>
            </w:r>
            <w:r w:rsidRPr="0057539F">
              <w:rPr>
                <w:rFonts w:ascii="Arial" w:hAnsi="Arial" w:cs="Arial"/>
                <w:color w:val="000000"/>
                <w:sz w:val="18"/>
                <w:szCs w:val="18"/>
                <w:lang w:val="en-US"/>
              </w:rPr>
              <w:lastRenderedPageBreak/>
              <w:t>Pancreatic cancer</w:t>
            </w:r>
          </w:p>
        </w:tc>
        <w:tc>
          <w:tcPr>
            <w:tcW w:w="1969" w:type="dxa"/>
            <w:shd w:val="clear" w:color="auto" w:fill="auto"/>
            <w:hideMark/>
          </w:tcPr>
          <w:p w14:paraId="749893C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retrospective review</w:t>
            </w:r>
          </w:p>
        </w:tc>
        <w:tc>
          <w:tcPr>
            <w:tcW w:w="1224" w:type="dxa"/>
            <w:shd w:val="clear" w:color="auto" w:fill="auto"/>
            <w:hideMark/>
          </w:tcPr>
          <w:p w14:paraId="1C6A5B1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373454F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Complication rates, 30-d resurgery, readmissions</w:t>
            </w:r>
          </w:p>
        </w:tc>
      </w:tr>
      <w:tr w:rsidR="009E62FE" w:rsidRPr="009F7793" w14:paraId="34A9691B" w14:textId="77777777" w:rsidTr="00BB4029">
        <w:trPr>
          <w:trHeight w:val="720"/>
        </w:trPr>
        <w:tc>
          <w:tcPr>
            <w:tcW w:w="561" w:type="dxa"/>
            <w:shd w:val="clear" w:color="auto" w:fill="auto"/>
            <w:noWrap/>
            <w:hideMark/>
          </w:tcPr>
          <w:p w14:paraId="6CAB57CF" w14:textId="7490D97D" w:rsidR="009E62FE" w:rsidRPr="0057539F" w:rsidRDefault="0091387B" w:rsidP="00BB4029">
            <w:pPr>
              <w:rPr>
                <w:rFonts w:ascii="Arial" w:hAnsi="Arial" w:cs="Arial"/>
                <w:color w:val="000000"/>
                <w:sz w:val="18"/>
                <w:szCs w:val="18"/>
              </w:rPr>
            </w:pPr>
            <w:r>
              <w:rPr>
                <w:rFonts w:ascii="Arial" w:hAnsi="Arial" w:cs="Arial"/>
                <w:color w:val="000000"/>
                <w:sz w:val="18"/>
                <w:szCs w:val="18"/>
              </w:rPr>
              <w:t>90</w:t>
            </w:r>
          </w:p>
        </w:tc>
        <w:tc>
          <w:tcPr>
            <w:tcW w:w="1571" w:type="dxa"/>
            <w:shd w:val="clear" w:color="auto" w:fill="auto"/>
            <w:noWrap/>
            <w:hideMark/>
          </w:tcPr>
          <w:p w14:paraId="04548DF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O'Connell DA, et al. 2015</w:t>
            </w:r>
          </w:p>
        </w:tc>
        <w:tc>
          <w:tcPr>
            <w:tcW w:w="1756" w:type="dxa"/>
            <w:shd w:val="clear" w:color="auto" w:fill="auto"/>
            <w:hideMark/>
          </w:tcPr>
          <w:p w14:paraId="3AD740F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Does not meet CP definition</w:t>
            </w:r>
          </w:p>
        </w:tc>
        <w:tc>
          <w:tcPr>
            <w:tcW w:w="2180" w:type="dxa"/>
            <w:shd w:val="clear" w:color="auto" w:fill="auto"/>
            <w:hideMark/>
          </w:tcPr>
          <w:p w14:paraId="6EE4A783"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undergoing major head and neck cancer resections for cancer treatment</w:t>
            </w:r>
          </w:p>
        </w:tc>
        <w:tc>
          <w:tcPr>
            <w:tcW w:w="1969" w:type="dxa"/>
            <w:shd w:val="clear" w:color="auto" w:fill="auto"/>
            <w:hideMark/>
          </w:tcPr>
          <w:p w14:paraId="54FB2D9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case-control study</w:t>
            </w:r>
          </w:p>
        </w:tc>
        <w:tc>
          <w:tcPr>
            <w:tcW w:w="1224" w:type="dxa"/>
            <w:shd w:val="clear" w:color="auto" w:fill="auto"/>
            <w:hideMark/>
          </w:tcPr>
          <w:p w14:paraId="43120F4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Canada</w:t>
            </w:r>
          </w:p>
        </w:tc>
        <w:tc>
          <w:tcPr>
            <w:tcW w:w="4743" w:type="dxa"/>
            <w:shd w:val="clear" w:color="auto" w:fill="auto"/>
            <w:hideMark/>
          </w:tcPr>
          <w:p w14:paraId="26E1849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hospital stay, complications (minor and major)</w:t>
            </w:r>
          </w:p>
        </w:tc>
      </w:tr>
      <w:tr w:rsidR="009E62FE" w:rsidRPr="009F7793" w14:paraId="400082B7" w14:textId="77777777" w:rsidTr="00BB4029">
        <w:trPr>
          <w:trHeight w:val="480"/>
        </w:trPr>
        <w:tc>
          <w:tcPr>
            <w:tcW w:w="561" w:type="dxa"/>
            <w:shd w:val="clear" w:color="auto" w:fill="auto"/>
            <w:noWrap/>
            <w:hideMark/>
          </w:tcPr>
          <w:p w14:paraId="62320421" w14:textId="6E48511E" w:rsidR="009E62FE" w:rsidRPr="0057539F" w:rsidRDefault="0091387B" w:rsidP="00BB4029">
            <w:pPr>
              <w:rPr>
                <w:rFonts w:ascii="Arial" w:hAnsi="Arial" w:cs="Arial"/>
                <w:color w:val="000000"/>
                <w:sz w:val="18"/>
                <w:szCs w:val="18"/>
              </w:rPr>
            </w:pPr>
            <w:r>
              <w:rPr>
                <w:rFonts w:ascii="Arial" w:hAnsi="Arial" w:cs="Arial"/>
                <w:color w:val="000000"/>
                <w:sz w:val="18"/>
                <w:szCs w:val="18"/>
              </w:rPr>
              <w:t>91</w:t>
            </w:r>
          </w:p>
        </w:tc>
        <w:tc>
          <w:tcPr>
            <w:tcW w:w="1571" w:type="dxa"/>
            <w:shd w:val="clear" w:color="auto" w:fill="auto"/>
            <w:noWrap/>
            <w:hideMark/>
          </w:tcPr>
          <w:p w14:paraId="33D53F3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Ogawa T, et al. 2004</w:t>
            </w:r>
          </w:p>
        </w:tc>
        <w:tc>
          <w:tcPr>
            <w:tcW w:w="1756" w:type="dxa"/>
            <w:shd w:val="clear" w:color="auto" w:fill="auto"/>
            <w:hideMark/>
          </w:tcPr>
          <w:p w14:paraId="16E77ABA"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495BDF34"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with thyroid and parotid tumors</w:t>
            </w:r>
          </w:p>
        </w:tc>
        <w:tc>
          <w:tcPr>
            <w:tcW w:w="1969" w:type="dxa"/>
            <w:shd w:val="clear" w:color="auto" w:fill="auto"/>
            <w:hideMark/>
          </w:tcPr>
          <w:p w14:paraId="648E991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review</w:t>
            </w:r>
          </w:p>
        </w:tc>
        <w:tc>
          <w:tcPr>
            <w:tcW w:w="1224" w:type="dxa"/>
            <w:shd w:val="clear" w:color="auto" w:fill="auto"/>
            <w:hideMark/>
          </w:tcPr>
          <w:p w14:paraId="4D94FBD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Japan</w:t>
            </w:r>
          </w:p>
        </w:tc>
        <w:tc>
          <w:tcPr>
            <w:tcW w:w="4743" w:type="dxa"/>
            <w:shd w:val="clear" w:color="auto" w:fill="auto"/>
            <w:hideMark/>
          </w:tcPr>
          <w:p w14:paraId="678DA504"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Clini</w:t>
            </w:r>
            <w:r>
              <w:rPr>
                <w:rFonts w:ascii="Arial" w:hAnsi="Arial" w:cs="Arial"/>
                <w:color w:val="000000"/>
                <w:sz w:val="18"/>
                <w:szCs w:val="18"/>
                <w:lang w:val="en-US"/>
              </w:rPr>
              <w:t>c</w:t>
            </w:r>
            <w:r w:rsidRPr="0057539F">
              <w:rPr>
                <w:rFonts w:ascii="Arial" w:hAnsi="Arial" w:cs="Arial"/>
                <w:color w:val="000000"/>
                <w:sz w:val="18"/>
                <w:szCs w:val="18"/>
                <w:lang w:val="en-US"/>
              </w:rPr>
              <w:t>al outcomes, leng</w:t>
            </w:r>
            <w:r>
              <w:rPr>
                <w:rFonts w:ascii="Arial" w:hAnsi="Arial" w:cs="Arial"/>
                <w:color w:val="000000"/>
                <w:sz w:val="18"/>
                <w:szCs w:val="18"/>
                <w:lang w:val="en-US"/>
              </w:rPr>
              <w:t>t</w:t>
            </w:r>
            <w:r w:rsidRPr="0057539F">
              <w:rPr>
                <w:rFonts w:ascii="Arial" w:hAnsi="Arial" w:cs="Arial"/>
                <w:color w:val="000000"/>
                <w:sz w:val="18"/>
                <w:szCs w:val="18"/>
                <w:lang w:val="en-US"/>
              </w:rPr>
              <w:t>h of hospitalization and costs</w:t>
            </w:r>
          </w:p>
        </w:tc>
      </w:tr>
      <w:tr w:rsidR="009E62FE" w:rsidRPr="009F7793" w14:paraId="61B6D46A" w14:textId="77777777" w:rsidTr="00BB4029">
        <w:trPr>
          <w:trHeight w:val="960"/>
        </w:trPr>
        <w:tc>
          <w:tcPr>
            <w:tcW w:w="561" w:type="dxa"/>
            <w:shd w:val="clear" w:color="auto" w:fill="auto"/>
            <w:noWrap/>
            <w:hideMark/>
          </w:tcPr>
          <w:p w14:paraId="6EA36E69" w14:textId="7108C824" w:rsidR="009E62FE" w:rsidRPr="0057539F" w:rsidRDefault="009E62FE" w:rsidP="00BB4029">
            <w:pPr>
              <w:rPr>
                <w:rFonts w:ascii="Arial" w:hAnsi="Arial" w:cs="Arial"/>
                <w:color w:val="000000"/>
                <w:sz w:val="18"/>
                <w:szCs w:val="18"/>
              </w:rPr>
            </w:pPr>
            <w:r>
              <w:rPr>
                <w:rFonts w:ascii="Arial" w:hAnsi="Arial" w:cs="Arial"/>
                <w:color w:val="000000"/>
                <w:sz w:val="18"/>
                <w:szCs w:val="18"/>
              </w:rPr>
              <w:t>9</w:t>
            </w:r>
            <w:r w:rsidR="0091387B">
              <w:rPr>
                <w:rFonts w:ascii="Arial" w:hAnsi="Arial" w:cs="Arial"/>
                <w:color w:val="000000"/>
                <w:sz w:val="18"/>
                <w:szCs w:val="18"/>
              </w:rPr>
              <w:t>2</w:t>
            </w:r>
          </w:p>
        </w:tc>
        <w:tc>
          <w:tcPr>
            <w:tcW w:w="1571" w:type="dxa"/>
            <w:shd w:val="clear" w:color="auto" w:fill="auto"/>
            <w:noWrap/>
            <w:hideMark/>
          </w:tcPr>
          <w:p w14:paraId="0ECF9A6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Oh JK, et al. 2014</w:t>
            </w:r>
          </w:p>
        </w:tc>
        <w:tc>
          <w:tcPr>
            <w:tcW w:w="1756" w:type="dxa"/>
            <w:shd w:val="clear" w:color="auto" w:fill="auto"/>
            <w:hideMark/>
          </w:tcPr>
          <w:p w14:paraId="4D61FB76"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42F8CC9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uterine cervix cancer</w:t>
            </w:r>
          </w:p>
        </w:tc>
        <w:tc>
          <w:tcPr>
            <w:tcW w:w="1969" w:type="dxa"/>
            <w:shd w:val="clear" w:color="auto" w:fill="auto"/>
            <w:hideMark/>
          </w:tcPr>
          <w:p w14:paraId="5DCE685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review</w:t>
            </w:r>
          </w:p>
        </w:tc>
        <w:tc>
          <w:tcPr>
            <w:tcW w:w="1224" w:type="dxa"/>
            <w:shd w:val="clear" w:color="auto" w:fill="auto"/>
            <w:hideMark/>
          </w:tcPr>
          <w:p w14:paraId="5285D27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Korea</w:t>
            </w:r>
          </w:p>
        </w:tc>
        <w:tc>
          <w:tcPr>
            <w:tcW w:w="4743" w:type="dxa"/>
            <w:shd w:val="clear" w:color="auto" w:fill="auto"/>
            <w:hideMark/>
          </w:tcPr>
          <w:p w14:paraId="72E8A2B4"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Overall and postoperative hospital stay, catheter time. In questionnaire for the ward nurses: their perception on patient’s satisfaction, subjective benefits and relative incidence of complications.</w:t>
            </w:r>
          </w:p>
        </w:tc>
      </w:tr>
      <w:tr w:rsidR="009E62FE" w:rsidRPr="009F7793" w14:paraId="3E8350A4" w14:textId="77777777" w:rsidTr="00BB4029">
        <w:trPr>
          <w:trHeight w:val="720"/>
        </w:trPr>
        <w:tc>
          <w:tcPr>
            <w:tcW w:w="561" w:type="dxa"/>
            <w:shd w:val="clear" w:color="auto" w:fill="auto"/>
            <w:noWrap/>
            <w:hideMark/>
          </w:tcPr>
          <w:p w14:paraId="3DFFDE9E" w14:textId="155F0179" w:rsidR="009E62FE" w:rsidRPr="0057539F" w:rsidRDefault="009E62FE" w:rsidP="00BB4029">
            <w:pPr>
              <w:rPr>
                <w:rFonts w:ascii="Arial" w:hAnsi="Arial" w:cs="Arial"/>
                <w:color w:val="000000"/>
                <w:sz w:val="18"/>
                <w:szCs w:val="18"/>
              </w:rPr>
            </w:pPr>
            <w:r>
              <w:rPr>
                <w:rFonts w:ascii="Arial" w:hAnsi="Arial" w:cs="Arial"/>
                <w:color w:val="000000"/>
                <w:sz w:val="18"/>
                <w:szCs w:val="18"/>
              </w:rPr>
              <w:t>9</w:t>
            </w:r>
            <w:r w:rsidR="0091387B">
              <w:rPr>
                <w:rFonts w:ascii="Arial" w:hAnsi="Arial" w:cs="Arial"/>
                <w:color w:val="000000"/>
                <w:sz w:val="18"/>
                <w:szCs w:val="18"/>
              </w:rPr>
              <w:t>3</w:t>
            </w:r>
          </w:p>
        </w:tc>
        <w:tc>
          <w:tcPr>
            <w:tcW w:w="1571" w:type="dxa"/>
            <w:shd w:val="clear" w:color="auto" w:fill="auto"/>
            <w:noWrap/>
            <w:hideMark/>
          </w:tcPr>
          <w:p w14:paraId="1C0C33C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Ortega-Lucea SM, et al. 2015</w:t>
            </w:r>
          </w:p>
        </w:tc>
        <w:tc>
          <w:tcPr>
            <w:tcW w:w="1756" w:type="dxa"/>
            <w:shd w:val="clear" w:color="auto" w:fill="auto"/>
            <w:hideMark/>
          </w:tcPr>
          <w:p w14:paraId="1B2A6395"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Does not meet CP definition</w:t>
            </w:r>
          </w:p>
        </w:tc>
        <w:tc>
          <w:tcPr>
            <w:tcW w:w="2180" w:type="dxa"/>
            <w:shd w:val="clear" w:color="auto" w:fill="auto"/>
            <w:hideMark/>
          </w:tcPr>
          <w:p w14:paraId="443B174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with localized muscle-invasive bladder cancer</w:t>
            </w:r>
          </w:p>
        </w:tc>
        <w:tc>
          <w:tcPr>
            <w:tcW w:w="1969" w:type="dxa"/>
            <w:shd w:val="clear" w:color="auto" w:fill="auto"/>
            <w:hideMark/>
          </w:tcPr>
          <w:p w14:paraId="29F8076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ambispective cohort study</w:t>
            </w:r>
          </w:p>
        </w:tc>
        <w:tc>
          <w:tcPr>
            <w:tcW w:w="1224" w:type="dxa"/>
            <w:shd w:val="clear" w:color="auto" w:fill="auto"/>
            <w:hideMark/>
          </w:tcPr>
          <w:p w14:paraId="2B41F99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spain</w:t>
            </w:r>
          </w:p>
        </w:tc>
        <w:tc>
          <w:tcPr>
            <w:tcW w:w="4743" w:type="dxa"/>
            <w:shd w:val="clear" w:color="auto" w:fill="auto"/>
            <w:hideMark/>
          </w:tcPr>
          <w:p w14:paraId="1D115F5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Intraoperative variables, postoperative complications (according to the Clavien classification), hospital stay and recovery stay.</w:t>
            </w:r>
          </w:p>
        </w:tc>
      </w:tr>
      <w:tr w:rsidR="009E62FE" w:rsidRPr="009F7793" w14:paraId="57272AF3" w14:textId="77777777" w:rsidTr="00BB4029">
        <w:trPr>
          <w:trHeight w:val="1200"/>
        </w:trPr>
        <w:tc>
          <w:tcPr>
            <w:tcW w:w="561" w:type="dxa"/>
            <w:shd w:val="clear" w:color="auto" w:fill="auto"/>
            <w:noWrap/>
            <w:hideMark/>
          </w:tcPr>
          <w:p w14:paraId="4EB97AB8" w14:textId="36E1345B" w:rsidR="009E62FE" w:rsidRPr="0057539F" w:rsidRDefault="009E62FE" w:rsidP="00BB4029">
            <w:pPr>
              <w:rPr>
                <w:rFonts w:ascii="Arial" w:hAnsi="Arial" w:cs="Arial"/>
                <w:color w:val="000000"/>
                <w:sz w:val="18"/>
                <w:szCs w:val="18"/>
              </w:rPr>
            </w:pPr>
            <w:r>
              <w:rPr>
                <w:rFonts w:ascii="Arial" w:hAnsi="Arial" w:cs="Arial"/>
                <w:color w:val="000000"/>
                <w:sz w:val="18"/>
                <w:szCs w:val="18"/>
              </w:rPr>
              <w:t>9</w:t>
            </w:r>
            <w:r w:rsidR="0091387B">
              <w:rPr>
                <w:rFonts w:ascii="Arial" w:hAnsi="Arial" w:cs="Arial"/>
                <w:color w:val="000000"/>
                <w:sz w:val="18"/>
                <w:szCs w:val="18"/>
              </w:rPr>
              <w:t>4</w:t>
            </w:r>
          </w:p>
        </w:tc>
        <w:tc>
          <w:tcPr>
            <w:tcW w:w="1571" w:type="dxa"/>
            <w:shd w:val="clear" w:color="auto" w:fill="auto"/>
            <w:noWrap/>
            <w:hideMark/>
          </w:tcPr>
          <w:p w14:paraId="3CA5C83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Page BJ, et al. 2013</w:t>
            </w:r>
          </w:p>
        </w:tc>
        <w:tc>
          <w:tcPr>
            <w:tcW w:w="1756" w:type="dxa"/>
            <w:shd w:val="clear" w:color="auto" w:fill="auto"/>
            <w:hideMark/>
          </w:tcPr>
          <w:p w14:paraId="3EFE20D2"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363DFF6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lung cancer</w:t>
            </w:r>
          </w:p>
        </w:tc>
        <w:tc>
          <w:tcPr>
            <w:tcW w:w="1969" w:type="dxa"/>
            <w:shd w:val="clear" w:color="auto" w:fill="auto"/>
            <w:hideMark/>
          </w:tcPr>
          <w:p w14:paraId="037B76C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32883C6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Australia</w:t>
            </w:r>
          </w:p>
        </w:tc>
        <w:tc>
          <w:tcPr>
            <w:tcW w:w="4743" w:type="dxa"/>
            <w:shd w:val="clear" w:color="auto" w:fill="auto"/>
            <w:hideMark/>
          </w:tcPr>
          <w:p w14:paraId="2F833223"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Interval times: (A) from receipt of referral to first specialist appointment (FSA), (B) FSA to first pathological (cytology or histology) diagnosis (FPD), (C) FPD to first multidisiciplinary team discussion (MDT) and (D) MDT to first definitive treatment (FDT).</w:t>
            </w:r>
          </w:p>
        </w:tc>
      </w:tr>
      <w:tr w:rsidR="009E62FE" w:rsidRPr="009F7793" w14:paraId="3F9384C8" w14:textId="77777777" w:rsidTr="00BB4029">
        <w:trPr>
          <w:trHeight w:val="480"/>
        </w:trPr>
        <w:tc>
          <w:tcPr>
            <w:tcW w:w="561" w:type="dxa"/>
            <w:shd w:val="clear" w:color="auto" w:fill="auto"/>
            <w:noWrap/>
            <w:hideMark/>
          </w:tcPr>
          <w:p w14:paraId="14A79C00" w14:textId="04F6D110" w:rsidR="009E62FE" w:rsidRPr="0057539F" w:rsidRDefault="009E62FE" w:rsidP="00BB4029">
            <w:pPr>
              <w:rPr>
                <w:rFonts w:ascii="Arial" w:hAnsi="Arial" w:cs="Arial"/>
                <w:color w:val="000000"/>
                <w:sz w:val="18"/>
                <w:szCs w:val="18"/>
              </w:rPr>
            </w:pPr>
            <w:r>
              <w:rPr>
                <w:rFonts w:ascii="Arial" w:hAnsi="Arial" w:cs="Arial"/>
                <w:color w:val="000000"/>
                <w:sz w:val="18"/>
                <w:szCs w:val="18"/>
              </w:rPr>
              <w:t>9</w:t>
            </w:r>
            <w:r w:rsidR="0091387B">
              <w:rPr>
                <w:rFonts w:ascii="Arial" w:hAnsi="Arial" w:cs="Arial"/>
                <w:color w:val="000000"/>
                <w:sz w:val="18"/>
                <w:szCs w:val="18"/>
              </w:rPr>
              <w:t>5</w:t>
            </w:r>
          </w:p>
        </w:tc>
        <w:tc>
          <w:tcPr>
            <w:tcW w:w="1571" w:type="dxa"/>
            <w:shd w:val="clear" w:color="auto" w:fill="auto"/>
            <w:noWrap/>
            <w:hideMark/>
          </w:tcPr>
          <w:p w14:paraId="7D1858C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Pease NJ, et al. 2004</w:t>
            </w:r>
          </w:p>
        </w:tc>
        <w:tc>
          <w:tcPr>
            <w:tcW w:w="1756" w:type="dxa"/>
            <w:shd w:val="clear" w:color="auto" w:fill="auto"/>
            <w:hideMark/>
          </w:tcPr>
          <w:p w14:paraId="2A13C881"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3FFC578"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with suspected malignant spinal cord compression</w:t>
            </w:r>
          </w:p>
        </w:tc>
        <w:tc>
          <w:tcPr>
            <w:tcW w:w="1969" w:type="dxa"/>
            <w:shd w:val="clear" w:color="auto" w:fill="auto"/>
            <w:hideMark/>
          </w:tcPr>
          <w:p w14:paraId="164766C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two retrospective audits</w:t>
            </w:r>
          </w:p>
        </w:tc>
        <w:tc>
          <w:tcPr>
            <w:tcW w:w="1224" w:type="dxa"/>
            <w:shd w:val="clear" w:color="auto" w:fill="auto"/>
            <w:hideMark/>
          </w:tcPr>
          <w:p w14:paraId="4C3FE15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UK</w:t>
            </w:r>
          </w:p>
        </w:tc>
        <w:tc>
          <w:tcPr>
            <w:tcW w:w="4743" w:type="dxa"/>
            <w:shd w:val="clear" w:color="auto" w:fill="auto"/>
            <w:hideMark/>
          </w:tcPr>
          <w:p w14:paraId="49B4FE7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Early mobilisation, complication rate, patient survival, neurological function</w:t>
            </w:r>
          </w:p>
        </w:tc>
      </w:tr>
      <w:tr w:rsidR="009E62FE" w:rsidRPr="009F7793" w14:paraId="54CE152F" w14:textId="77777777" w:rsidTr="00BB4029">
        <w:trPr>
          <w:trHeight w:val="1680"/>
        </w:trPr>
        <w:tc>
          <w:tcPr>
            <w:tcW w:w="561" w:type="dxa"/>
            <w:shd w:val="clear" w:color="auto" w:fill="auto"/>
            <w:noWrap/>
            <w:hideMark/>
          </w:tcPr>
          <w:p w14:paraId="1959CD2B" w14:textId="3AD41162" w:rsidR="009E62FE" w:rsidRPr="0057539F" w:rsidRDefault="009E62FE" w:rsidP="00BB4029">
            <w:pPr>
              <w:rPr>
                <w:rFonts w:ascii="Arial" w:hAnsi="Arial" w:cs="Arial"/>
                <w:color w:val="000000"/>
                <w:sz w:val="18"/>
                <w:szCs w:val="18"/>
              </w:rPr>
            </w:pPr>
            <w:r>
              <w:rPr>
                <w:rFonts w:ascii="Arial" w:hAnsi="Arial" w:cs="Arial"/>
                <w:color w:val="000000"/>
                <w:sz w:val="18"/>
                <w:szCs w:val="18"/>
              </w:rPr>
              <w:t>9</w:t>
            </w:r>
            <w:r w:rsidR="0091387B">
              <w:rPr>
                <w:rFonts w:ascii="Arial" w:hAnsi="Arial" w:cs="Arial"/>
                <w:color w:val="000000"/>
                <w:sz w:val="18"/>
                <w:szCs w:val="18"/>
              </w:rPr>
              <w:t>6</w:t>
            </w:r>
          </w:p>
        </w:tc>
        <w:tc>
          <w:tcPr>
            <w:tcW w:w="1571" w:type="dxa"/>
            <w:shd w:val="clear" w:color="auto" w:fill="auto"/>
            <w:noWrap/>
            <w:hideMark/>
          </w:tcPr>
          <w:p w14:paraId="25209C4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Pellino G, et al. 2017</w:t>
            </w:r>
          </w:p>
        </w:tc>
        <w:tc>
          <w:tcPr>
            <w:tcW w:w="1756" w:type="dxa"/>
            <w:shd w:val="clear" w:color="auto" w:fill="auto"/>
            <w:hideMark/>
          </w:tcPr>
          <w:p w14:paraId="6F18F9DB"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2C36362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w:t>
            </w:r>
          </w:p>
        </w:tc>
        <w:tc>
          <w:tcPr>
            <w:tcW w:w="1969" w:type="dxa"/>
            <w:shd w:val="clear" w:color="auto" w:fill="auto"/>
            <w:hideMark/>
          </w:tcPr>
          <w:p w14:paraId="36C7554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systematic review</w:t>
            </w:r>
          </w:p>
        </w:tc>
        <w:tc>
          <w:tcPr>
            <w:tcW w:w="1224" w:type="dxa"/>
            <w:shd w:val="clear" w:color="auto" w:fill="auto"/>
            <w:hideMark/>
          </w:tcPr>
          <w:p w14:paraId="18201F20" w14:textId="3E59A946"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2356D24A"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 xml:space="preserve">Primary outcomes: symptoms of colorectal cancer in pregnancy (CRC-p), and the outcome of the mother and foetus according to CRC features and location, gestational age and treatment delivered. Secondary outcomes: incidence of CRC-p, exposure to chemotherapy in utero and the development of a treatment algorithm suitable for </w:t>
            </w:r>
            <w:r w:rsidRPr="0057539F">
              <w:rPr>
                <w:rFonts w:ascii="Arial" w:hAnsi="Arial" w:cs="Arial"/>
                <w:color w:val="000000"/>
                <w:sz w:val="18"/>
                <w:szCs w:val="18"/>
                <w:lang w:val="en-US"/>
              </w:rPr>
              <w:lastRenderedPageBreak/>
              <w:t>these patients.</w:t>
            </w:r>
          </w:p>
        </w:tc>
      </w:tr>
      <w:tr w:rsidR="009E62FE" w:rsidRPr="009F7793" w14:paraId="5EEDC984" w14:textId="77777777" w:rsidTr="00BB4029">
        <w:trPr>
          <w:trHeight w:val="960"/>
        </w:trPr>
        <w:tc>
          <w:tcPr>
            <w:tcW w:w="561" w:type="dxa"/>
            <w:shd w:val="clear" w:color="auto" w:fill="auto"/>
            <w:noWrap/>
            <w:hideMark/>
          </w:tcPr>
          <w:p w14:paraId="010F7DAD" w14:textId="78BCB327" w:rsidR="009E62FE" w:rsidRPr="0057539F" w:rsidRDefault="009E62FE" w:rsidP="00BB4029">
            <w:pPr>
              <w:rPr>
                <w:rFonts w:ascii="Arial" w:hAnsi="Arial" w:cs="Arial"/>
                <w:color w:val="000000"/>
                <w:sz w:val="18"/>
                <w:szCs w:val="18"/>
              </w:rPr>
            </w:pPr>
            <w:r>
              <w:rPr>
                <w:rFonts w:ascii="Arial" w:hAnsi="Arial" w:cs="Arial"/>
                <w:color w:val="000000"/>
                <w:sz w:val="18"/>
                <w:szCs w:val="18"/>
              </w:rPr>
              <w:lastRenderedPageBreak/>
              <w:t>9</w:t>
            </w:r>
            <w:r w:rsidR="0091387B">
              <w:rPr>
                <w:rFonts w:ascii="Arial" w:hAnsi="Arial" w:cs="Arial"/>
                <w:color w:val="000000"/>
                <w:sz w:val="18"/>
                <w:szCs w:val="18"/>
              </w:rPr>
              <w:t>7</w:t>
            </w:r>
          </w:p>
        </w:tc>
        <w:tc>
          <w:tcPr>
            <w:tcW w:w="1571" w:type="dxa"/>
            <w:shd w:val="clear" w:color="auto" w:fill="auto"/>
            <w:noWrap/>
            <w:hideMark/>
          </w:tcPr>
          <w:p w14:paraId="4A5501E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Pengfei LUO, et al. 2015</w:t>
            </w:r>
          </w:p>
        </w:tc>
        <w:tc>
          <w:tcPr>
            <w:tcW w:w="1756" w:type="dxa"/>
            <w:shd w:val="clear" w:color="auto" w:fill="auto"/>
            <w:hideMark/>
          </w:tcPr>
          <w:p w14:paraId="3A36F3A1"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692D3E5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liver cancer</w:t>
            </w:r>
          </w:p>
        </w:tc>
        <w:tc>
          <w:tcPr>
            <w:tcW w:w="1969" w:type="dxa"/>
            <w:shd w:val="clear" w:color="auto" w:fill="auto"/>
            <w:hideMark/>
          </w:tcPr>
          <w:p w14:paraId="07BD0A5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c>
          <w:tcPr>
            <w:tcW w:w="1224" w:type="dxa"/>
            <w:shd w:val="clear" w:color="auto" w:fill="auto"/>
            <w:hideMark/>
          </w:tcPr>
          <w:p w14:paraId="7A43503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China</w:t>
            </w:r>
          </w:p>
        </w:tc>
        <w:tc>
          <w:tcPr>
            <w:tcW w:w="4743" w:type="dxa"/>
            <w:shd w:val="clear" w:color="auto" w:fill="auto"/>
            <w:hideMark/>
          </w:tcPr>
          <w:p w14:paraId="03689A2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Time to functional recovery, postoperative leng</w:t>
            </w:r>
            <w:r>
              <w:rPr>
                <w:rFonts w:ascii="Arial" w:hAnsi="Arial" w:cs="Arial"/>
                <w:color w:val="000000"/>
                <w:sz w:val="18"/>
                <w:szCs w:val="18"/>
                <w:lang w:val="en-US"/>
              </w:rPr>
              <w:t>t</w:t>
            </w:r>
            <w:r w:rsidRPr="0057539F">
              <w:rPr>
                <w:rFonts w:ascii="Arial" w:hAnsi="Arial" w:cs="Arial"/>
                <w:color w:val="000000"/>
                <w:sz w:val="18"/>
                <w:szCs w:val="18"/>
                <w:lang w:val="en-US"/>
              </w:rPr>
              <w:t xml:space="preserve">h of stay, postoperative complications, hospital costs, time to mobility, time to first passage of stool, readmission and mortality. </w:t>
            </w:r>
          </w:p>
        </w:tc>
      </w:tr>
      <w:tr w:rsidR="009E62FE" w:rsidRPr="009F7793" w14:paraId="3D0A0F37" w14:textId="77777777" w:rsidTr="00BB4029">
        <w:trPr>
          <w:trHeight w:val="480"/>
        </w:trPr>
        <w:tc>
          <w:tcPr>
            <w:tcW w:w="561" w:type="dxa"/>
            <w:shd w:val="clear" w:color="auto" w:fill="auto"/>
            <w:noWrap/>
            <w:hideMark/>
          </w:tcPr>
          <w:p w14:paraId="6358AB83" w14:textId="661993D8" w:rsidR="009E62FE" w:rsidRPr="0057539F" w:rsidRDefault="009E62FE" w:rsidP="00BB4029">
            <w:pPr>
              <w:rPr>
                <w:rFonts w:ascii="Arial" w:hAnsi="Arial" w:cs="Arial"/>
                <w:color w:val="000000"/>
                <w:sz w:val="18"/>
                <w:szCs w:val="18"/>
              </w:rPr>
            </w:pPr>
            <w:r>
              <w:rPr>
                <w:rFonts w:ascii="Arial" w:hAnsi="Arial" w:cs="Arial"/>
                <w:color w:val="000000"/>
                <w:sz w:val="18"/>
                <w:szCs w:val="18"/>
              </w:rPr>
              <w:t>9</w:t>
            </w:r>
            <w:r w:rsidR="0091387B">
              <w:rPr>
                <w:rFonts w:ascii="Arial" w:hAnsi="Arial" w:cs="Arial"/>
                <w:color w:val="000000"/>
                <w:sz w:val="18"/>
                <w:szCs w:val="18"/>
              </w:rPr>
              <w:t>8</w:t>
            </w:r>
          </w:p>
        </w:tc>
        <w:tc>
          <w:tcPr>
            <w:tcW w:w="1571" w:type="dxa"/>
            <w:shd w:val="clear" w:color="auto" w:fill="auto"/>
            <w:noWrap/>
            <w:hideMark/>
          </w:tcPr>
          <w:p w14:paraId="5BB8A34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Peters M, et al. 2016</w:t>
            </w:r>
          </w:p>
        </w:tc>
        <w:tc>
          <w:tcPr>
            <w:tcW w:w="1756" w:type="dxa"/>
            <w:shd w:val="clear" w:color="auto" w:fill="auto"/>
            <w:hideMark/>
          </w:tcPr>
          <w:p w14:paraId="555C705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Abstract only</w:t>
            </w:r>
          </w:p>
        </w:tc>
        <w:tc>
          <w:tcPr>
            <w:tcW w:w="2180" w:type="dxa"/>
            <w:shd w:val="clear" w:color="auto" w:fill="auto"/>
            <w:hideMark/>
          </w:tcPr>
          <w:p w14:paraId="564FD25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cancer care pathways</w:t>
            </w:r>
          </w:p>
        </w:tc>
        <w:tc>
          <w:tcPr>
            <w:tcW w:w="1969" w:type="dxa"/>
            <w:shd w:val="clear" w:color="auto" w:fill="auto"/>
            <w:hideMark/>
          </w:tcPr>
          <w:p w14:paraId="4F4527A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systematic review</w:t>
            </w:r>
          </w:p>
        </w:tc>
        <w:tc>
          <w:tcPr>
            <w:tcW w:w="1224" w:type="dxa"/>
            <w:shd w:val="clear" w:color="auto" w:fill="auto"/>
            <w:hideMark/>
          </w:tcPr>
          <w:p w14:paraId="2B0FEA0C" w14:textId="5CA11701"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1C928BC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Effective implementation, sustainability, and evaluation of cancer care pathways.</w:t>
            </w:r>
          </w:p>
        </w:tc>
      </w:tr>
      <w:tr w:rsidR="009E62FE" w:rsidRPr="009F7793" w14:paraId="5AA4E544" w14:textId="77777777" w:rsidTr="00BB4029">
        <w:trPr>
          <w:trHeight w:val="720"/>
        </w:trPr>
        <w:tc>
          <w:tcPr>
            <w:tcW w:w="561" w:type="dxa"/>
            <w:shd w:val="clear" w:color="auto" w:fill="auto"/>
            <w:noWrap/>
            <w:hideMark/>
          </w:tcPr>
          <w:p w14:paraId="45F67F5B" w14:textId="6B48D629" w:rsidR="009E62FE" w:rsidRPr="0057539F" w:rsidRDefault="009E62FE" w:rsidP="00BB4029">
            <w:pPr>
              <w:rPr>
                <w:rFonts w:ascii="Arial" w:hAnsi="Arial" w:cs="Arial"/>
                <w:color w:val="000000"/>
                <w:sz w:val="18"/>
                <w:szCs w:val="18"/>
              </w:rPr>
            </w:pPr>
            <w:r>
              <w:rPr>
                <w:rFonts w:ascii="Arial" w:hAnsi="Arial" w:cs="Arial"/>
                <w:color w:val="000000"/>
                <w:sz w:val="18"/>
                <w:szCs w:val="18"/>
              </w:rPr>
              <w:t>9</w:t>
            </w:r>
            <w:r w:rsidR="0091387B">
              <w:rPr>
                <w:rFonts w:ascii="Arial" w:hAnsi="Arial" w:cs="Arial"/>
                <w:color w:val="000000"/>
                <w:sz w:val="18"/>
                <w:szCs w:val="18"/>
              </w:rPr>
              <w:t>9</w:t>
            </w:r>
          </w:p>
        </w:tc>
        <w:tc>
          <w:tcPr>
            <w:tcW w:w="1571" w:type="dxa"/>
            <w:shd w:val="clear" w:color="auto" w:fill="auto"/>
            <w:noWrap/>
            <w:hideMark/>
          </w:tcPr>
          <w:p w14:paraId="1C809FC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Pfau PR, et al. 2004</w:t>
            </w:r>
          </w:p>
        </w:tc>
        <w:tc>
          <w:tcPr>
            <w:tcW w:w="1756" w:type="dxa"/>
            <w:shd w:val="clear" w:color="auto" w:fill="auto"/>
            <w:hideMark/>
          </w:tcPr>
          <w:p w14:paraId="0D7D4C7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Not cancer patients only</w:t>
            </w:r>
          </w:p>
        </w:tc>
        <w:tc>
          <w:tcPr>
            <w:tcW w:w="2180" w:type="dxa"/>
            <w:shd w:val="clear" w:color="auto" w:fill="auto"/>
            <w:hideMark/>
          </w:tcPr>
          <w:p w14:paraId="1AEC12A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with acute upper nonvariceal GI hemorrhage (probably not only cancer patients)</w:t>
            </w:r>
          </w:p>
        </w:tc>
        <w:tc>
          <w:tcPr>
            <w:tcW w:w="1969" w:type="dxa"/>
            <w:shd w:val="clear" w:color="auto" w:fill="auto"/>
            <w:hideMark/>
          </w:tcPr>
          <w:p w14:paraId="6D956AA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prospective study?</w:t>
            </w:r>
          </w:p>
        </w:tc>
        <w:tc>
          <w:tcPr>
            <w:tcW w:w="1224" w:type="dxa"/>
            <w:shd w:val="clear" w:color="auto" w:fill="auto"/>
            <w:hideMark/>
          </w:tcPr>
          <w:p w14:paraId="182AB4B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39645F3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stay, time to endoscopy, utilization of potentially unnecessary radiological tests, acid suppression, and cost of care</w:t>
            </w:r>
          </w:p>
        </w:tc>
      </w:tr>
      <w:tr w:rsidR="009E62FE" w:rsidRPr="009F7793" w14:paraId="24006C6C" w14:textId="77777777" w:rsidTr="00BB4029">
        <w:trPr>
          <w:trHeight w:val="1200"/>
        </w:trPr>
        <w:tc>
          <w:tcPr>
            <w:tcW w:w="561" w:type="dxa"/>
            <w:shd w:val="clear" w:color="auto" w:fill="auto"/>
            <w:noWrap/>
            <w:hideMark/>
          </w:tcPr>
          <w:p w14:paraId="02FC5552" w14:textId="745D9F0C" w:rsidR="009E62FE" w:rsidRPr="0057539F" w:rsidRDefault="0091387B" w:rsidP="00BB4029">
            <w:pPr>
              <w:rPr>
                <w:rFonts w:ascii="Arial" w:hAnsi="Arial" w:cs="Arial"/>
                <w:color w:val="000000"/>
                <w:sz w:val="18"/>
                <w:szCs w:val="18"/>
              </w:rPr>
            </w:pPr>
            <w:r>
              <w:rPr>
                <w:rFonts w:ascii="Arial" w:hAnsi="Arial" w:cs="Arial"/>
                <w:color w:val="000000"/>
                <w:sz w:val="18"/>
                <w:szCs w:val="18"/>
              </w:rPr>
              <w:t>100</w:t>
            </w:r>
          </w:p>
        </w:tc>
        <w:tc>
          <w:tcPr>
            <w:tcW w:w="1571" w:type="dxa"/>
            <w:shd w:val="clear" w:color="auto" w:fill="auto"/>
            <w:noWrap/>
            <w:hideMark/>
          </w:tcPr>
          <w:p w14:paraId="2561E8A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Pirnejad H, et al. 2013</w:t>
            </w:r>
          </w:p>
        </w:tc>
        <w:tc>
          <w:tcPr>
            <w:tcW w:w="1756" w:type="dxa"/>
            <w:shd w:val="clear" w:color="auto" w:fill="auto"/>
            <w:hideMark/>
          </w:tcPr>
          <w:p w14:paraId="38283667"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79BBDA1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cancer patients</w:t>
            </w:r>
          </w:p>
        </w:tc>
        <w:tc>
          <w:tcPr>
            <w:tcW w:w="1969" w:type="dxa"/>
            <w:shd w:val="clear" w:color="auto" w:fill="auto"/>
            <w:hideMark/>
          </w:tcPr>
          <w:p w14:paraId="36A9B76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27EE0D1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Netherlands</w:t>
            </w:r>
          </w:p>
        </w:tc>
        <w:tc>
          <w:tcPr>
            <w:tcW w:w="4743" w:type="dxa"/>
            <w:shd w:val="clear" w:color="auto" w:fill="auto"/>
            <w:hideMark/>
          </w:tcPr>
          <w:p w14:paraId="7278EBF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Turn-around-time 109 Paclitaxel–Carboplatin chemotherapy courses. The chemotherapy-postponing rate, administration record</w:t>
            </w:r>
            <w:r>
              <w:rPr>
                <w:rFonts w:ascii="Arial" w:hAnsi="Arial" w:cs="Arial"/>
                <w:color w:val="000000"/>
                <w:sz w:val="18"/>
                <w:szCs w:val="18"/>
                <w:lang w:val="en-US"/>
              </w:rPr>
              <w:t xml:space="preserve"> </w:t>
            </w:r>
            <w:r w:rsidRPr="0057539F">
              <w:rPr>
                <w:rFonts w:ascii="Arial" w:hAnsi="Arial" w:cs="Arial"/>
                <w:color w:val="000000"/>
                <w:sz w:val="18"/>
                <w:szCs w:val="18"/>
                <w:lang w:val="en-US"/>
              </w:rPr>
              <w:t>completion rate, and admission rate of day care unit before and after the implementation.</w:t>
            </w:r>
          </w:p>
        </w:tc>
      </w:tr>
      <w:tr w:rsidR="009E62FE" w:rsidRPr="009F7793" w14:paraId="45A90ECD" w14:textId="77777777" w:rsidTr="00BB4029">
        <w:trPr>
          <w:trHeight w:val="480"/>
        </w:trPr>
        <w:tc>
          <w:tcPr>
            <w:tcW w:w="561" w:type="dxa"/>
            <w:shd w:val="clear" w:color="auto" w:fill="auto"/>
            <w:noWrap/>
            <w:hideMark/>
          </w:tcPr>
          <w:p w14:paraId="3F4C260E" w14:textId="7F18C12B" w:rsidR="009E62FE" w:rsidRPr="0057539F" w:rsidRDefault="0091387B" w:rsidP="00BB4029">
            <w:pPr>
              <w:rPr>
                <w:rFonts w:ascii="Arial" w:hAnsi="Arial" w:cs="Arial"/>
                <w:color w:val="000000"/>
                <w:sz w:val="18"/>
                <w:szCs w:val="18"/>
              </w:rPr>
            </w:pPr>
            <w:r>
              <w:rPr>
                <w:rFonts w:ascii="Arial" w:hAnsi="Arial" w:cs="Arial"/>
                <w:color w:val="000000"/>
                <w:sz w:val="18"/>
                <w:szCs w:val="18"/>
              </w:rPr>
              <w:t>101</w:t>
            </w:r>
          </w:p>
        </w:tc>
        <w:tc>
          <w:tcPr>
            <w:tcW w:w="1571" w:type="dxa"/>
            <w:shd w:val="clear" w:color="auto" w:fill="auto"/>
            <w:noWrap/>
            <w:hideMark/>
          </w:tcPr>
          <w:p w14:paraId="675CB11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Porteous GH, et al. 2015</w:t>
            </w:r>
          </w:p>
        </w:tc>
        <w:tc>
          <w:tcPr>
            <w:tcW w:w="1756" w:type="dxa"/>
            <w:shd w:val="clear" w:color="auto" w:fill="auto"/>
            <w:hideMark/>
          </w:tcPr>
          <w:p w14:paraId="6A03910E"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25E0B90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esophageal cancer</w:t>
            </w:r>
          </w:p>
        </w:tc>
        <w:tc>
          <w:tcPr>
            <w:tcW w:w="1969" w:type="dxa"/>
            <w:shd w:val="clear" w:color="auto" w:fill="auto"/>
            <w:hideMark/>
          </w:tcPr>
          <w:p w14:paraId="39270D7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2A3BA85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4DB57728"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Intensive care unit and hospital length of stay, surgical complications, and morbidity and mortality rates.</w:t>
            </w:r>
          </w:p>
        </w:tc>
      </w:tr>
      <w:tr w:rsidR="009E62FE" w:rsidRPr="009F7793" w14:paraId="3C4FCB0E" w14:textId="77777777" w:rsidTr="00BB4029">
        <w:trPr>
          <w:trHeight w:val="1200"/>
        </w:trPr>
        <w:tc>
          <w:tcPr>
            <w:tcW w:w="561" w:type="dxa"/>
            <w:shd w:val="clear" w:color="auto" w:fill="auto"/>
            <w:noWrap/>
            <w:hideMark/>
          </w:tcPr>
          <w:p w14:paraId="01A99D14" w14:textId="6176A2D9" w:rsidR="009E62FE" w:rsidRPr="0057539F" w:rsidRDefault="009E62FE" w:rsidP="00BB4029">
            <w:pPr>
              <w:rPr>
                <w:rFonts w:ascii="Arial" w:hAnsi="Arial" w:cs="Arial"/>
                <w:color w:val="000000"/>
                <w:sz w:val="18"/>
                <w:szCs w:val="18"/>
              </w:rPr>
            </w:pPr>
            <w:r>
              <w:rPr>
                <w:rFonts w:ascii="Arial" w:hAnsi="Arial" w:cs="Arial"/>
                <w:color w:val="000000"/>
                <w:sz w:val="18"/>
                <w:szCs w:val="18"/>
              </w:rPr>
              <w:t>10</w:t>
            </w:r>
            <w:r w:rsidR="0091387B">
              <w:rPr>
                <w:rFonts w:ascii="Arial" w:hAnsi="Arial" w:cs="Arial"/>
                <w:color w:val="000000"/>
                <w:sz w:val="18"/>
                <w:szCs w:val="18"/>
              </w:rPr>
              <w:t>2</w:t>
            </w:r>
          </w:p>
        </w:tc>
        <w:tc>
          <w:tcPr>
            <w:tcW w:w="1571" w:type="dxa"/>
            <w:shd w:val="clear" w:color="auto" w:fill="auto"/>
            <w:noWrap/>
            <w:hideMark/>
          </w:tcPr>
          <w:p w14:paraId="62FBAA2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Porter GA, et al. 2000</w:t>
            </w:r>
          </w:p>
        </w:tc>
        <w:tc>
          <w:tcPr>
            <w:tcW w:w="1756" w:type="dxa"/>
            <w:shd w:val="clear" w:color="auto" w:fill="auto"/>
            <w:hideMark/>
          </w:tcPr>
          <w:p w14:paraId="6BBAB81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Not cancer patients only</w:t>
            </w:r>
          </w:p>
        </w:tc>
        <w:tc>
          <w:tcPr>
            <w:tcW w:w="2180" w:type="dxa"/>
            <w:shd w:val="clear" w:color="auto" w:fill="auto"/>
            <w:hideMark/>
          </w:tcPr>
          <w:p w14:paraId="75351235"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undergoing elective pancreaticoduodenectomy (PD), mostly patients with carcinoma, but a few with pancreatis or other diseases</w:t>
            </w:r>
          </w:p>
        </w:tc>
        <w:tc>
          <w:tcPr>
            <w:tcW w:w="1969" w:type="dxa"/>
            <w:shd w:val="clear" w:color="auto" w:fill="auto"/>
            <w:hideMark/>
          </w:tcPr>
          <w:p w14:paraId="100882F4" w14:textId="77777777" w:rsidR="009E62FE" w:rsidRPr="0057539F" w:rsidRDefault="009E62FE" w:rsidP="00BB4029">
            <w:pPr>
              <w:rPr>
                <w:rFonts w:ascii="Arial" w:hAnsi="Arial" w:cs="Arial"/>
                <w:color w:val="000000"/>
                <w:sz w:val="18"/>
                <w:szCs w:val="18"/>
                <w:lang w:val="en-US"/>
              </w:rPr>
            </w:pPr>
          </w:p>
        </w:tc>
        <w:tc>
          <w:tcPr>
            <w:tcW w:w="1224" w:type="dxa"/>
            <w:shd w:val="clear" w:color="auto" w:fill="auto"/>
            <w:hideMark/>
          </w:tcPr>
          <w:p w14:paraId="31947C52" w14:textId="77777777" w:rsidR="009E62FE" w:rsidRPr="0057539F" w:rsidRDefault="009E62FE" w:rsidP="00BB4029">
            <w:pPr>
              <w:rPr>
                <w:sz w:val="20"/>
                <w:szCs w:val="20"/>
                <w:lang w:val="en-US"/>
              </w:rPr>
            </w:pPr>
          </w:p>
        </w:tc>
        <w:tc>
          <w:tcPr>
            <w:tcW w:w="4743" w:type="dxa"/>
            <w:shd w:val="clear" w:color="auto" w:fill="auto"/>
            <w:hideMark/>
          </w:tcPr>
          <w:p w14:paraId="287219AD"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Perioperative mortality, postoperative morbidity, length of stay, readmissions, and postoperative clinic visits.</w:t>
            </w:r>
          </w:p>
        </w:tc>
      </w:tr>
      <w:tr w:rsidR="009E62FE" w:rsidRPr="009F7793" w14:paraId="4D4126FE" w14:textId="77777777" w:rsidTr="00BB4029">
        <w:trPr>
          <w:trHeight w:val="960"/>
        </w:trPr>
        <w:tc>
          <w:tcPr>
            <w:tcW w:w="561" w:type="dxa"/>
            <w:shd w:val="clear" w:color="auto" w:fill="auto"/>
            <w:noWrap/>
            <w:hideMark/>
          </w:tcPr>
          <w:p w14:paraId="5C2D9D51" w14:textId="34F53AE0" w:rsidR="009E62FE" w:rsidRPr="0057539F" w:rsidRDefault="009E62FE" w:rsidP="00BB4029">
            <w:pPr>
              <w:rPr>
                <w:rFonts w:ascii="Arial" w:hAnsi="Arial" w:cs="Arial"/>
                <w:color w:val="000000"/>
                <w:sz w:val="18"/>
                <w:szCs w:val="18"/>
              </w:rPr>
            </w:pPr>
            <w:r>
              <w:rPr>
                <w:rFonts w:ascii="Arial" w:hAnsi="Arial" w:cs="Arial"/>
                <w:color w:val="000000"/>
                <w:sz w:val="18"/>
                <w:szCs w:val="18"/>
              </w:rPr>
              <w:lastRenderedPageBreak/>
              <w:t>10</w:t>
            </w:r>
            <w:r w:rsidR="0091387B">
              <w:rPr>
                <w:rFonts w:ascii="Arial" w:hAnsi="Arial" w:cs="Arial"/>
                <w:color w:val="000000"/>
                <w:sz w:val="18"/>
                <w:szCs w:val="18"/>
              </w:rPr>
              <w:t>3</w:t>
            </w:r>
          </w:p>
        </w:tc>
        <w:tc>
          <w:tcPr>
            <w:tcW w:w="1571" w:type="dxa"/>
            <w:shd w:val="clear" w:color="auto" w:fill="auto"/>
            <w:noWrap/>
            <w:hideMark/>
          </w:tcPr>
          <w:p w14:paraId="5CF9265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Preston SR, et al. 2013</w:t>
            </w:r>
          </w:p>
        </w:tc>
        <w:tc>
          <w:tcPr>
            <w:tcW w:w="1756" w:type="dxa"/>
            <w:shd w:val="clear" w:color="auto" w:fill="auto"/>
            <w:hideMark/>
          </w:tcPr>
          <w:p w14:paraId="5D407906"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Does not meet CP definition</w:t>
            </w:r>
          </w:p>
        </w:tc>
        <w:tc>
          <w:tcPr>
            <w:tcW w:w="2180" w:type="dxa"/>
            <w:shd w:val="clear" w:color="auto" w:fill="auto"/>
            <w:hideMark/>
          </w:tcPr>
          <w:p w14:paraId="0D6FB57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oesophageal cancer</w:t>
            </w:r>
          </w:p>
        </w:tc>
        <w:tc>
          <w:tcPr>
            <w:tcW w:w="1969" w:type="dxa"/>
            <w:shd w:val="clear" w:color="auto" w:fill="auto"/>
            <w:hideMark/>
          </w:tcPr>
          <w:p w14:paraId="119191B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c>
          <w:tcPr>
            <w:tcW w:w="1224" w:type="dxa"/>
            <w:shd w:val="clear" w:color="auto" w:fill="auto"/>
            <w:hideMark/>
          </w:tcPr>
          <w:p w14:paraId="188FDA2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61B08DEA"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Intraoperative blood loss, fluid administration and duration of surgery. Postoperative outcomes: length of hospital and critical care stay, and postoperative complications.</w:t>
            </w:r>
          </w:p>
        </w:tc>
      </w:tr>
      <w:tr w:rsidR="009E62FE" w:rsidRPr="009F7793" w14:paraId="3A3C6B9C" w14:textId="77777777" w:rsidTr="00BB4029">
        <w:trPr>
          <w:trHeight w:val="240"/>
        </w:trPr>
        <w:tc>
          <w:tcPr>
            <w:tcW w:w="561" w:type="dxa"/>
            <w:shd w:val="clear" w:color="auto" w:fill="auto"/>
            <w:noWrap/>
            <w:hideMark/>
          </w:tcPr>
          <w:p w14:paraId="5781C812" w14:textId="43A3CA80" w:rsidR="009E62FE" w:rsidRPr="0057539F" w:rsidRDefault="009E62FE" w:rsidP="00BB4029">
            <w:pPr>
              <w:rPr>
                <w:rFonts w:ascii="Arial" w:hAnsi="Arial" w:cs="Arial"/>
                <w:color w:val="000000"/>
                <w:sz w:val="18"/>
                <w:szCs w:val="18"/>
              </w:rPr>
            </w:pPr>
            <w:r>
              <w:rPr>
                <w:rFonts w:ascii="Arial" w:hAnsi="Arial" w:cs="Arial"/>
                <w:color w:val="000000"/>
                <w:sz w:val="18"/>
                <w:szCs w:val="18"/>
              </w:rPr>
              <w:t>10</w:t>
            </w:r>
            <w:r w:rsidR="0091387B">
              <w:rPr>
                <w:rFonts w:ascii="Arial" w:hAnsi="Arial" w:cs="Arial"/>
                <w:color w:val="000000"/>
                <w:sz w:val="18"/>
                <w:szCs w:val="18"/>
              </w:rPr>
              <w:t>4</w:t>
            </w:r>
          </w:p>
        </w:tc>
        <w:tc>
          <w:tcPr>
            <w:tcW w:w="1571" w:type="dxa"/>
            <w:shd w:val="clear" w:color="auto" w:fill="auto"/>
            <w:noWrap/>
            <w:hideMark/>
          </w:tcPr>
          <w:p w14:paraId="28E546A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Quraishi T, et al. 2012</w:t>
            </w:r>
          </w:p>
        </w:tc>
        <w:tc>
          <w:tcPr>
            <w:tcW w:w="1756" w:type="dxa"/>
            <w:shd w:val="clear" w:color="auto" w:fill="auto"/>
            <w:hideMark/>
          </w:tcPr>
          <w:p w14:paraId="7ED49F5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Abstract only</w:t>
            </w:r>
          </w:p>
        </w:tc>
        <w:tc>
          <w:tcPr>
            <w:tcW w:w="2180" w:type="dxa"/>
            <w:shd w:val="clear" w:color="auto" w:fill="auto"/>
            <w:hideMark/>
          </w:tcPr>
          <w:p w14:paraId="3DF2375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uro-oncology surgical services</w:t>
            </w:r>
          </w:p>
        </w:tc>
        <w:tc>
          <w:tcPr>
            <w:tcW w:w="1969" w:type="dxa"/>
            <w:shd w:val="clear" w:color="auto" w:fill="auto"/>
            <w:hideMark/>
          </w:tcPr>
          <w:p w14:paraId="10427B0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c>
          <w:tcPr>
            <w:tcW w:w="1224" w:type="dxa"/>
            <w:shd w:val="clear" w:color="auto" w:fill="auto"/>
            <w:hideMark/>
          </w:tcPr>
          <w:p w14:paraId="61773EC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UK</w:t>
            </w:r>
          </w:p>
        </w:tc>
        <w:tc>
          <w:tcPr>
            <w:tcW w:w="4743" w:type="dxa"/>
            <w:shd w:val="clear" w:color="auto" w:fill="auto"/>
            <w:hideMark/>
          </w:tcPr>
          <w:p w14:paraId="36B0DDD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LOS, mortality, morbidity, readmissions within 30 days</w:t>
            </w:r>
          </w:p>
        </w:tc>
      </w:tr>
      <w:tr w:rsidR="009E62FE" w:rsidRPr="009F7793" w14:paraId="3C462F66" w14:textId="77777777" w:rsidTr="00BB4029">
        <w:trPr>
          <w:trHeight w:val="480"/>
        </w:trPr>
        <w:tc>
          <w:tcPr>
            <w:tcW w:w="561" w:type="dxa"/>
            <w:shd w:val="clear" w:color="auto" w:fill="auto"/>
            <w:noWrap/>
            <w:hideMark/>
          </w:tcPr>
          <w:p w14:paraId="3AF910F8" w14:textId="739469B1" w:rsidR="009E62FE" w:rsidRPr="0057539F" w:rsidRDefault="009E62FE" w:rsidP="00BB4029">
            <w:pPr>
              <w:rPr>
                <w:rFonts w:ascii="Arial" w:hAnsi="Arial" w:cs="Arial"/>
                <w:color w:val="000000"/>
                <w:sz w:val="18"/>
                <w:szCs w:val="18"/>
              </w:rPr>
            </w:pPr>
            <w:r>
              <w:rPr>
                <w:rFonts w:ascii="Arial" w:hAnsi="Arial" w:cs="Arial"/>
                <w:color w:val="000000"/>
                <w:sz w:val="18"/>
                <w:szCs w:val="18"/>
              </w:rPr>
              <w:t>10</w:t>
            </w:r>
            <w:r w:rsidR="0091387B">
              <w:rPr>
                <w:rFonts w:ascii="Arial" w:hAnsi="Arial" w:cs="Arial"/>
                <w:color w:val="000000"/>
                <w:sz w:val="18"/>
                <w:szCs w:val="18"/>
              </w:rPr>
              <w:t>5</w:t>
            </w:r>
          </w:p>
        </w:tc>
        <w:tc>
          <w:tcPr>
            <w:tcW w:w="1571" w:type="dxa"/>
            <w:shd w:val="clear" w:color="auto" w:fill="auto"/>
            <w:noWrap/>
            <w:hideMark/>
          </w:tcPr>
          <w:p w14:paraId="000CD70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Raman V, et al. 2016</w:t>
            </w:r>
          </w:p>
        </w:tc>
        <w:tc>
          <w:tcPr>
            <w:tcW w:w="1756" w:type="dxa"/>
            <w:shd w:val="clear" w:color="auto" w:fill="auto"/>
            <w:hideMark/>
          </w:tcPr>
          <w:p w14:paraId="07A12433"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4BF65C0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esophagectomy for patients with cancer</w:t>
            </w:r>
          </w:p>
        </w:tc>
        <w:tc>
          <w:tcPr>
            <w:tcW w:w="1969" w:type="dxa"/>
            <w:shd w:val="clear" w:color="auto" w:fill="auto"/>
            <w:hideMark/>
          </w:tcPr>
          <w:p w14:paraId="4535FD3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 xml:space="preserve">retrospective review </w:t>
            </w:r>
          </w:p>
        </w:tc>
        <w:tc>
          <w:tcPr>
            <w:tcW w:w="1224" w:type="dxa"/>
            <w:shd w:val="clear" w:color="auto" w:fill="auto"/>
            <w:hideMark/>
          </w:tcPr>
          <w:p w14:paraId="4340DC5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2A528F0A"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Mortality, major complications, hospitalization, and total charges</w:t>
            </w:r>
          </w:p>
        </w:tc>
      </w:tr>
      <w:tr w:rsidR="009E62FE" w:rsidRPr="009F7793" w14:paraId="3F71EDDF" w14:textId="77777777" w:rsidTr="00BB4029">
        <w:trPr>
          <w:trHeight w:val="720"/>
        </w:trPr>
        <w:tc>
          <w:tcPr>
            <w:tcW w:w="561" w:type="dxa"/>
            <w:shd w:val="clear" w:color="auto" w:fill="auto"/>
            <w:noWrap/>
            <w:hideMark/>
          </w:tcPr>
          <w:p w14:paraId="6B9541CE" w14:textId="7A6BF3A6" w:rsidR="009E62FE" w:rsidRPr="0057539F" w:rsidRDefault="009E62FE" w:rsidP="00BB4029">
            <w:pPr>
              <w:rPr>
                <w:rFonts w:ascii="Arial" w:hAnsi="Arial" w:cs="Arial"/>
                <w:color w:val="000000"/>
                <w:sz w:val="18"/>
                <w:szCs w:val="18"/>
              </w:rPr>
            </w:pPr>
            <w:r>
              <w:rPr>
                <w:rFonts w:ascii="Arial" w:hAnsi="Arial" w:cs="Arial"/>
                <w:color w:val="000000"/>
                <w:sz w:val="18"/>
                <w:szCs w:val="18"/>
              </w:rPr>
              <w:t>10</w:t>
            </w:r>
            <w:r w:rsidR="0091387B">
              <w:rPr>
                <w:rFonts w:ascii="Arial" w:hAnsi="Arial" w:cs="Arial"/>
                <w:color w:val="000000"/>
                <w:sz w:val="18"/>
                <w:szCs w:val="18"/>
              </w:rPr>
              <w:t>6</w:t>
            </w:r>
          </w:p>
        </w:tc>
        <w:tc>
          <w:tcPr>
            <w:tcW w:w="1571" w:type="dxa"/>
            <w:shd w:val="clear" w:color="auto" w:fill="auto"/>
            <w:noWrap/>
            <w:hideMark/>
          </w:tcPr>
          <w:p w14:paraId="580A6F4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Rashid OM, et al. 2016</w:t>
            </w:r>
          </w:p>
        </w:tc>
        <w:tc>
          <w:tcPr>
            <w:tcW w:w="1756" w:type="dxa"/>
            <w:shd w:val="clear" w:color="auto" w:fill="auto"/>
            <w:hideMark/>
          </w:tcPr>
          <w:p w14:paraId="235CB35E"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3659E12F"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with borderline resectable pancreatic adenocarcinoma</w:t>
            </w:r>
          </w:p>
        </w:tc>
        <w:tc>
          <w:tcPr>
            <w:tcW w:w="1969" w:type="dxa"/>
            <w:shd w:val="clear" w:color="auto" w:fill="auto"/>
            <w:hideMark/>
          </w:tcPr>
          <w:p w14:paraId="31209F3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4B88E45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5DAC8B8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Pancreatectomy rates, margin status, pathologic response, disease-free survival (DFS), disease-specific survival (DSS), and overall survival (OS)</w:t>
            </w:r>
          </w:p>
        </w:tc>
      </w:tr>
      <w:tr w:rsidR="009E62FE" w:rsidRPr="009F7793" w14:paraId="3CA388D3" w14:textId="77777777" w:rsidTr="00BB4029">
        <w:trPr>
          <w:trHeight w:val="960"/>
        </w:trPr>
        <w:tc>
          <w:tcPr>
            <w:tcW w:w="561" w:type="dxa"/>
            <w:shd w:val="clear" w:color="auto" w:fill="auto"/>
            <w:noWrap/>
            <w:hideMark/>
          </w:tcPr>
          <w:p w14:paraId="10BF5B75" w14:textId="31EA3EFA" w:rsidR="009E62FE" w:rsidRPr="0057539F" w:rsidRDefault="009E62FE" w:rsidP="00BB4029">
            <w:pPr>
              <w:rPr>
                <w:rFonts w:ascii="Arial" w:hAnsi="Arial" w:cs="Arial"/>
                <w:color w:val="000000"/>
                <w:sz w:val="18"/>
                <w:szCs w:val="18"/>
              </w:rPr>
            </w:pPr>
            <w:r>
              <w:rPr>
                <w:rFonts w:ascii="Arial" w:hAnsi="Arial" w:cs="Arial"/>
                <w:color w:val="000000"/>
                <w:sz w:val="18"/>
                <w:szCs w:val="18"/>
              </w:rPr>
              <w:t>10</w:t>
            </w:r>
            <w:r w:rsidR="0091387B">
              <w:rPr>
                <w:rFonts w:ascii="Arial" w:hAnsi="Arial" w:cs="Arial"/>
                <w:color w:val="000000"/>
                <w:sz w:val="18"/>
                <w:szCs w:val="18"/>
              </w:rPr>
              <w:t>7</w:t>
            </w:r>
          </w:p>
        </w:tc>
        <w:tc>
          <w:tcPr>
            <w:tcW w:w="1571" w:type="dxa"/>
            <w:shd w:val="clear" w:color="auto" w:fill="auto"/>
            <w:noWrap/>
            <w:hideMark/>
          </w:tcPr>
          <w:p w14:paraId="18244A0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Rich-Ruiz M, et al. 2006</w:t>
            </w:r>
          </w:p>
        </w:tc>
        <w:tc>
          <w:tcPr>
            <w:tcW w:w="1756" w:type="dxa"/>
            <w:shd w:val="clear" w:color="auto" w:fill="auto"/>
            <w:hideMark/>
          </w:tcPr>
          <w:p w14:paraId="4337F289"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patient population</w:t>
            </w:r>
          </w:p>
        </w:tc>
        <w:tc>
          <w:tcPr>
            <w:tcW w:w="2180" w:type="dxa"/>
            <w:shd w:val="clear" w:color="auto" w:fill="auto"/>
            <w:hideMark/>
          </w:tcPr>
          <w:p w14:paraId="54605A5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undergoing surgery for benign prostatic</w:t>
            </w:r>
            <w:r w:rsidRPr="0057539F">
              <w:rPr>
                <w:rFonts w:ascii="Arial" w:hAnsi="Arial" w:cs="Arial"/>
                <w:color w:val="000000"/>
                <w:sz w:val="18"/>
                <w:szCs w:val="18"/>
                <w:lang w:val="en-US"/>
              </w:rPr>
              <w:br/>
              <w:t>hyperplasia or cancer of the bladder through transurethral resection</w:t>
            </w:r>
          </w:p>
        </w:tc>
        <w:tc>
          <w:tcPr>
            <w:tcW w:w="1969" w:type="dxa"/>
            <w:shd w:val="clear" w:color="auto" w:fill="auto"/>
            <w:hideMark/>
          </w:tcPr>
          <w:p w14:paraId="0F77B7D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randomized study</w:t>
            </w:r>
          </w:p>
        </w:tc>
        <w:tc>
          <w:tcPr>
            <w:tcW w:w="1224" w:type="dxa"/>
            <w:shd w:val="clear" w:color="auto" w:fill="auto"/>
            <w:hideMark/>
          </w:tcPr>
          <w:p w14:paraId="7ED592D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Spain</w:t>
            </w:r>
          </w:p>
        </w:tc>
        <w:tc>
          <w:tcPr>
            <w:tcW w:w="4743" w:type="dxa"/>
            <w:shd w:val="clear" w:color="auto" w:fill="auto"/>
            <w:hideMark/>
          </w:tcPr>
          <w:p w14:paraId="626E4D9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hospital stay, complication rate, patient satisfaction</w:t>
            </w:r>
          </w:p>
        </w:tc>
      </w:tr>
      <w:tr w:rsidR="009E62FE" w:rsidRPr="009F7793" w14:paraId="17ABDA83" w14:textId="77777777" w:rsidTr="00BB4029">
        <w:trPr>
          <w:trHeight w:val="480"/>
        </w:trPr>
        <w:tc>
          <w:tcPr>
            <w:tcW w:w="561" w:type="dxa"/>
            <w:shd w:val="clear" w:color="auto" w:fill="auto"/>
            <w:noWrap/>
            <w:hideMark/>
          </w:tcPr>
          <w:p w14:paraId="68C4E0DD" w14:textId="552F17E3" w:rsidR="009E62FE" w:rsidRPr="0057539F" w:rsidRDefault="009E62FE" w:rsidP="00BB4029">
            <w:pPr>
              <w:rPr>
                <w:rFonts w:ascii="Arial" w:hAnsi="Arial" w:cs="Arial"/>
                <w:color w:val="000000"/>
                <w:sz w:val="18"/>
                <w:szCs w:val="18"/>
              </w:rPr>
            </w:pPr>
            <w:r>
              <w:rPr>
                <w:rFonts w:ascii="Arial" w:hAnsi="Arial" w:cs="Arial"/>
                <w:color w:val="000000"/>
                <w:sz w:val="18"/>
                <w:szCs w:val="18"/>
              </w:rPr>
              <w:t>10</w:t>
            </w:r>
            <w:r w:rsidR="0091387B">
              <w:rPr>
                <w:rFonts w:ascii="Arial" w:hAnsi="Arial" w:cs="Arial"/>
                <w:color w:val="000000"/>
                <w:sz w:val="18"/>
                <w:szCs w:val="18"/>
              </w:rPr>
              <w:t>8</w:t>
            </w:r>
          </w:p>
        </w:tc>
        <w:tc>
          <w:tcPr>
            <w:tcW w:w="1571" w:type="dxa"/>
            <w:shd w:val="clear" w:color="auto" w:fill="auto"/>
            <w:noWrap/>
            <w:hideMark/>
          </w:tcPr>
          <w:p w14:paraId="63F372C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Richter-Ehrenstein C, et al. 2012</w:t>
            </w:r>
          </w:p>
        </w:tc>
        <w:tc>
          <w:tcPr>
            <w:tcW w:w="1756" w:type="dxa"/>
            <w:shd w:val="clear" w:color="auto" w:fill="auto"/>
            <w:hideMark/>
          </w:tcPr>
          <w:p w14:paraId="0D87E74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 control</w:t>
            </w:r>
          </w:p>
        </w:tc>
        <w:tc>
          <w:tcPr>
            <w:tcW w:w="2180" w:type="dxa"/>
            <w:shd w:val="clear" w:color="auto" w:fill="auto"/>
            <w:hideMark/>
          </w:tcPr>
          <w:p w14:paraId="31BF9F13"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breast surgery patients with benign and malignant disease</w:t>
            </w:r>
          </w:p>
        </w:tc>
        <w:tc>
          <w:tcPr>
            <w:tcW w:w="1969" w:type="dxa"/>
            <w:shd w:val="clear" w:color="auto" w:fill="auto"/>
            <w:hideMark/>
          </w:tcPr>
          <w:p w14:paraId="1F467C6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c>
          <w:tcPr>
            <w:tcW w:w="1224" w:type="dxa"/>
            <w:shd w:val="clear" w:color="auto" w:fill="auto"/>
            <w:hideMark/>
          </w:tcPr>
          <w:p w14:paraId="6E1FA02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Germany</w:t>
            </w:r>
          </w:p>
        </w:tc>
        <w:tc>
          <w:tcPr>
            <w:tcW w:w="4743" w:type="dxa"/>
            <w:shd w:val="clear" w:color="auto" w:fill="auto"/>
            <w:hideMark/>
          </w:tcPr>
          <w:p w14:paraId="4E51155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Hospital stay, total costs per case, readmission rate, and patients’ satisfaction.</w:t>
            </w:r>
          </w:p>
        </w:tc>
      </w:tr>
      <w:tr w:rsidR="009E62FE" w:rsidRPr="009F7793" w14:paraId="63E862A4" w14:textId="77777777" w:rsidTr="00BB4029">
        <w:trPr>
          <w:trHeight w:val="1440"/>
        </w:trPr>
        <w:tc>
          <w:tcPr>
            <w:tcW w:w="561" w:type="dxa"/>
            <w:shd w:val="clear" w:color="auto" w:fill="auto"/>
            <w:noWrap/>
            <w:hideMark/>
          </w:tcPr>
          <w:p w14:paraId="36EA8066" w14:textId="40A81B42"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10</w:t>
            </w:r>
            <w:r w:rsidR="0091387B">
              <w:rPr>
                <w:rFonts w:ascii="Arial" w:hAnsi="Arial" w:cs="Arial"/>
                <w:color w:val="000000"/>
                <w:sz w:val="18"/>
                <w:szCs w:val="18"/>
              </w:rPr>
              <w:t>9</w:t>
            </w:r>
          </w:p>
        </w:tc>
        <w:tc>
          <w:tcPr>
            <w:tcW w:w="1571" w:type="dxa"/>
            <w:shd w:val="clear" w:color="auto" w:fill="auto"/>
            <w:noWrap/>
            <w:hideMark/>
          </w:tcPr>
          <w:p w14:paraId="5D4C945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Roberts HC, et al. 2004</w:t>
            </w:r>
          </w:p>
        </w:tc>
        <w:tc>
          <w:tcPr>
            <w:tcW w:w="1756" w:type="dxa"/>
            <w:shd w:val="clear" w:color="auto" w:fill="auto"/>
            <w:hideMark/>
          </w:tcPr>
          <w:p w14:paraId="5DE455F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Not cancer patients</w:t>
            </w:r>
          </w:p>
        </w:tc>
        <w:tc>
          <w:tcPr>
            <w:tcW w:w="2180" w:type="dxa"/>
            <w:shd w:val="clear" w:color="auto" w:fill="auto"/>
            <w:hideMark/>
          </w:tcPr>
          <w:p w14:paraId="1BC244E3"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aged 65 years and over with a femoral neck fracture (no cancer)</w:t>
            </w:r>
          </w:p>
        </w:tc>
        <w:tc>
          <w:tcPr>
            <w:tcW w:w="1969" w:type="dxa"/>
            <w:shd w:val="clear" w:color="auto" w:fill="auto"/>
            <w:hideMark/>
          </w:tcPr>
          <w:p w14:paraId="06D98ABD"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prospective controlled before and after study</w:t>
            </w:r>
          </w:p>
        </w:tc>
        <w:tc>
          <w:tcPr>
            <w:tcW w:w="1224" w:type="dxa"/>
            <w:shd w:val="clear" w:color="auto" w:fill="auto"/>
            <w:hideMark/>
          </w:tcPr>
          <w:p w14:paraId="62AC391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UK</w:t>
            </w:r>
          </w:p>
        </w:tc>
        <w:tc>
          <w:tcPr>
            <w:tcW w:w="4743" w:type="dxa"/>
            <w:shd w:val="clear" w:color="auto" w:fill="auto"/>
            <w:hideMark/>
          </w:tcPr>
          <w:p w14:paraId="04163B2A"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Primary outcome: length of stay on the orthopaedic unit. Secondary outcomes: ambulation at discharge, discharge destination, in-hospital complications, 30 day mortality, readmission within 30 days of discharge, postoperative days the patient sat out of bed and walked.</w:t>
            </w:r>
          </w:p>
        </w:tc>
      </w:tr>
      <w:tr w:rsidR="009E62FE" w:rsidRPr="009F7793" w14:paraId="3475A4A9" w14:textId="77777777" w:rsidTr="00BB4029">
        <w:trPr>
          <w:trHeight w:val="720"/>
        </w:trPr>
        <w:tc>
          <w:tcPr>
            <w:tcW w:w="561" w:type="dxa"/>
            <w:shd w:val="clear" w:color="auto" w:fill="auto"/>
            <w:noWrap/>
            <w:hideMark/>
          </w:tcPr>
          <w:p w14:paraId="651D2A1B" w14:textId="561C75EE"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91387B">
              <w:rPr>
                <w:rFonts w:ascii="Arial" w:hAnsi="Arial" w:cs="Arial"/>
                <w:color w:val="000000"/>
                <w:sz w:val="18"/>
                <w:szCs w:val="18"/>
              </w:rPr>
              <w:t>10</w:t>
            </w:r>
          </w:p>
        </w:tc>
        <w:tc>
          <w:tcPr>
            <w:tcW w:w="1571" w:type="dxa"/>
            <w:shd w:val="clear" w:color="auto" w:fill="auto"/>
            <w:noWrap/>
            <w:hideMark/>
          </w:tcPr>
          <w:p w14:paraId="2AE549A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Sancho C, et al. 2010</w:t>
            </w:r>
          </w:p>
        </w:tc>
        <w:tc>
          <w:tcPr>
            <w:tcW w:w="1756" w:type="dxa"/>
            <w:shd w:val="clear" w:color="auto" w:fill="auto"/>
            <w:hideMark/>
          </w:tcPr>
          <w:p w14:paraId="3947E24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 control</w:t>
            </w:r>
          </w:p>
        </w:tc>
        <w:tc>
          <w:tcPr>
            <w:tcW w:w="2180" w:type="dxa"/>
            <w:shd w:val="clear" w:color="auto" w:fill="auto"/>
            <w:hideMark/>
          </w:tcPr>
          <w:p w14:paraId="15C0069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rectal cancer (RC) treatment</w:t>
            </w:r>
          </w:p>
        </w:tc>
        <w:tc>
          <w:tcPr>
            <w:tcW w:w="1969" w:type="dxa"/>
            <w:shd w:val="clear" w:color="auto" w:fill="auto"/>
            <w:hideMark/>
          </w:tcPr>
          <w:p w14:paraId="02C8EDE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c>
          <w:tcPr>
            <w:tcW w:w="1224" w:type="dxa"/>
            <w:shd w:val="clear" w:color="auto" w:fill="auto"/>
            <w:hideMark/>
          </w:tcPr>
          <w:p w14:paraId="715B68B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Spain</w:t>
            </w:r>
          </w:p>
        </w:tc>
        <w:tc>
          <w:tcPr>
            <w:tcW w:w="4743" w:type="dxa"/>
            <w:shd w:val="clear" w:color="auto" w:fill="auto"/>
            <w:hideMark/>
          </w:tcPr>
          <w:p w14:paraId="5ACE3936"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Imaging methods for staging, neoadjuvant therapy, surgical treatment and pathology, and use of resources.</w:t>
            </w:r>
          </w:p>
        </w:tc>
      </w:tr>
      <w:tr w:rsidR="009E62FE" w:rsidRPr="009F7793" w14:paraId="7172A0DB" w14:textId="77777777" w:rsidTr="00BB4029">
        <w:trPr>
          <w:trHeight w:val="480"/>
        </w:trPr>
        <w:tc>
          <w:tcPr>
            <w:tcW w:w="561" w:type="dxa"/>
            <w:shd w:val="clear" w:color="auto" w:fill="auto"/>
            <w:noWrap/>
            <w:hideMark/>
          </w:tcPr>
          <w:p w14:paraId="203AAB48" w14:textId="30821184"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91387B">
              <w:rPr>
                <w:rFonts w:ascii="Arial" w:hAnsi="Arial" w:cs="Arial"/>
                <w:color w:val="000000"/>
                <w:sz w:val="18"/>
                <w:szCs w:val="18"/>
              </w:rPr>
              <w:t>11</w:t>
            </w:r>
          </w:p>
        </w:tc>
        <w:tc>
          <w:tcPr>
            <w:tcW w:w="1571" w:type="dxa"/>
            <w:shd w:val="clear" w:color="auto" w:fill="auto"/>
            <w:noWrap/>
            <w:hideMark/>
          </w:tcPr>
          <w:p w14:paraId="05C9B25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Santillan A, et al. 2008</w:t>
            </w:r>
          </w:p>
        </w:tc>
        <w:tc>
          <w:tcPr>
            <w:tcW w:w="1756" w:type="dxa"/>
            <w:shd w:val="clear" w:color="auto" w:fill="auto"/>
            <w:hideMark/>
          </w:tcPr>
          <w:p w14:paraId="25CC5F05"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intervention</w:t>
            </w:r>
          </w:p>
        </w:tc>
        <w:tc>
          <w:tcPr>
            <w:tcW w:w="2180" w:type="dxa"/>
            <w:shd w:val="clear" w:color="auto" w:fill="auto"/>
            <w:hideMark/>
          </w:tcPr>
          <w:p w14:paraId="2C66165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gynecologic cancers</w:t>
            </w:r>
          </w:p>
        </w:tc>
        <w:tc>
          <w:tcPr>
            <w:tcW w:w="1969" w:type="dxa"/>
            <w:shd w:val="clear" w:color="auto" w:fill="auto"/>
            <w:hideMark/>
          </w:tcPr>
          <w:p w14:paraId="6374B59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 xml:space="preserve">retrospective and prospective cohort </w:t>
            </w:r>
            <w:r w:rsidRPr="0057539F">
              <w:rPr>
                <w:rFonts w:ascii="Arial" w:hAnsi="Arial" w:cs="Arial"/>
                <w:color w:val="000000"/>
                <w:sz w:val="18"/>
                <w:szCs w:val="18"/>
                <w:lang w:val="en-US"/>
              </w:rPr>
              <w:lastRenderedPageBreak/>
              <w:t>study?</w:t>
            </w:r>
          </w:p>
        </w:tc>
        <w:tc>
          <w:tcPr>
            <w:tcW w:w="1224" w:type="dxa"/>
            <w:shd w:val="clear" w:color="auto" w:fill="auto"/>
            <w:hideMark/>
          </w:tcPr>
          <w:p w14:paraId="0F6655F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USA</w:t>
            </w:r>
          </w:p>
        </w:tc>
        <w:tc>
          <w:tcPr>
            <w:tcW w:w="4743" w:type="dxa"/>
            <w:shd w:val="clear" w:color="auto" w:fill="auto"/>
            <w:hideMark/>
          </w:tcPr>
          <w:p w14:paraId="63FCB9D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PAP test rate and costs</w:t>
            </w:r>
          </w:p>
        </w:tc>
      </w:tr>
      <w:tr w:rsidR="009E62FE" w:rsidRPr="009F7793" w14:paraId="54864052" w14:textId="77777777" w:rsidTr="00BB4029">
        <w:trPr>
          <w:trHeight w:val="960"/>
        </w:trPr>
        <w:tc>
          <w:tcPr>
            <w:tcW w:w="561" w:type="dxa"/>
            <w:shd w:val="clear" w:color="auto" w:fill="auto"/>
            <w:noWrap/>
          </w:tcPr>
          <w:p w14:paraId="5591E865" w14:textId="167EB71D" w:rsidR="009E62FE" w:rsidRPr="0057539F" w:rsidRDefault="009E62FE" w:rsidP="00BB4029">
            <w:pPr>
              <w:rPr>
                <w:rFonts w:ascii="Arial" w:hAnsi="Arial" w:cs="Arial"/>
                <w:color w:val="000000"/>
                <w:sz w:val="18"/>
                <w:szCs w:val="18"/>
              </w:rPr>
            </w:pPr>
            <w:r>
              <w:rPr>
                <w:rFonts w:ascii="Arial" w:hAnsi="Arial" w:cs="Arial"/>
                <w:color w:val="000000"/>
                <w:sz w:val="18"/>
                <w:szCs w:val="18"/>
              </w:rPr>
              <w:t>11</w:t>
            </w:r>
            <w:r w:rsidR="0091387B">
              <w:rPr>
                <w:rFonts w:ascii="Arial" w:hAnsi="Arial" w:cs="Arial"/>
                <w:color w:val="000000"/>
                <w:sz w:val="18"/>
                <w:szCs w:val="18"/>
              </w:rPr>
              <w:t>2</w:t>
            </w:r>
          </w:p>
        </w:tc>
        <w:tc>
          <w:tcPr>
            <w:tcW w:w="1571" w:type="dxa"/>
            <w:shd w:val="clear" w:color="auto" w:fill="auto"/>
            <w:noWrap/>
          </w:tcPr>
          <w:p w14:paraId="598D47D3"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Santoso U, et al. 2002</w:t>
            </w:r>
          </w:p>
        </w:tc>
        <w:tc>
          <w:tcPr>
            <w:tcW w:w="1756" w:type="dxa"/>
            <w:shd w:val="clear" w:color="auto" w:fill="auto"/>
          </w:tcPr>
          <w:p w14:paraId="1C096164" w14:textId="77777777" w:rsidR="009E62FE" w:rsidRPr="005C073A" w:rsidRDefault="009E62FE" w:rsidP="00BB4029">
            <w:pPr>
              <w:rPr>
                <w:rFonts w:ascii="Arial" w:hAnsi="Arial" w:cs="Arial"/>
                <w:color w:val="000000"/>
                <w:sz w:val="18"/>
                <w:szCs w:val="18"/>
                <w:lang w:val="en-US"/>
              </w:rPr>
            </w:pPr>
            <w:r w:rsidRPr="005C073A">
              <w:rPr>
                <w:rFonts w:ascii="Arial" w:hAnsi="Arial" w:cs="Arial"/>
                <w:color w:val="000000"/>
                <w:sz w:val="18"/>
                <w:szCs w:val="18"/>
                <w:lang w:val="en-US"/>
              </w:rPr>
              <w:t>Study did not meet Cochrane EPOC study design criteria</w:t>
            </w:r>
          </w:p>
        </w:tc>
        <w:tc>
          <w:tcPr>
            <w:tcW w:w="2180" w:type="dxa"/>
            <w:shd w:val="clear" w:color="auto" w:fill="auto"/>
          </w:tcPr>
          <w:p w14:paraId="2EE9F6D8" w14:textId="77777777" w:rsidR="009E62FE" w:rsidRPr="0057539F" w:rsidRDefault="009E62FE" w:rsidP="00BB4029">
            <w:pPr>
              <w:rPr>
                <w:rFonts w:ascii="Arial" w:hAnsi="Arial" w:cs="Arial"/>
                <w:color w:val="000000"/>
                <w:sz w:val="18"/>
                <w:szCs w:val="18"/>
                <w:lang w:val="en-US"/>
              </w:rPr>
            </w:pPr>
            <w:r>
              <w:rPr>
                <w:rFonts w:ascii="Arial" w:hAnsi="Arial" w:cs="Arial"/>
                <w:color w:val="000000"/>
                <w:sz w:val="18"/>
                <w:szCs w:val="18"/>
                <w:lang w:val="en-US"/>
              </w:rPr>
              <w:t>breast cancer</w:t>
            </w:r>
          </w:p>
        </w:tc>
        <w:tc>
          <w:tcPr>
            <w:tcW w:w="1969" w:type="dxa"/>
            <w:shd w:val="clear" w:color="auto" w:fill="auto"/>
          </w:tcPr>
          <w:p w14:paraId="60AF9B2D" w14:textId="77777777" w:rsidR="009E62FE" w:rsidRPr="005C073A" w:rsidRDefault="009E62FE" w:rsidP="00BB4029">
            <w:pPr>
              <w:rPr>
                <w:rFonts w:ascii="Arial" w:hAnsi="Arial" w:cs="Arial"/>
                <w:color w:val="000000"/>
                <w:sz w:val="18"/>
                <w:szCs w:val="18"/>
                <w:lang w:val="en-US"/>
              </w:rPr>
            </w:pPr>
            <w:r>
              <w:rPr>
                <w:rFonts w:ascii="Arial" w:hAnsi="Arial" w:cs="Arial"/>
                <w:color w:val="000000"/>
                <w:sz w:val="18"/>
                <w:szCs w:val="18"/>
                <w:lang w:val="en-US"/>
              </w:rPr>
              <w:t>before-after study</w:t>
            </w:r>
          </w:p>
        </w:tc>
        <w:tc>
          <w:tcPr>
            <w:tcW w:w="1224" w:type="dxa"/>
            <w:shd w:val="clear" w:color="auto" w:fill="auto"/>
          </w:tcPr>
          <w:p w14:paraId="4BE0FDF7" w14:textId="77777777" w:rsidR="009E62FE" w:rsidRPr="005C073A" w:rsidRDefault="009E62FE" w:rsidP="00BB4029">
            <w:pPr>
              <w:rPr>
                <w:rFonts w:ascii="Arial" w:hAnsi="Arial" w:cs="Arial"/>
                <w:color w:val="000000"/>
                <w:sz w:val="18"/>
                <w:szCs w:val="18"/>
                <w:lang w:val="en-US"/>
              </w:rPr>
            </w:pPr>
            <w:r>
              <w:rPr>
                <w:rFonts w:ascii="Arial" w:hAnsi="Arial" w:cs="Arial"/>
                <w:color w:val="000000"/>
                <w:sz w:val="18"/>
                <w:szCs w:val="18"/>
                <w:lang w:val="en-US"/>
              </w:rPr>
              <w:t>Singapore</w:t>
            </w:r>
          </w:p>
        </w:tc>
        <w:tc>
          <w:tcPr>
            <w:tcW w:w="4743" w:type="dxa"/>
            <w:shd w:val="clear" w:color="auto" w:fill="auto"/>
          </w:tcPr>
          <w:p w14:paraId="117BC6CC" w14:textId="77777777" w:rsidR="009E62FE" w:rsidRPr="0057539F" w:rsidRDefault="009E62FE" w:rsidP="00BB4029">
            <w:pPr>
              <w:rPr>
                <w:rFonts w:ascii="Arial" w:hAnsi="Arial" w:cs="Arial"/>
                <w:color w:val="000000"/>
                <w:sz w:val="18"/>
                <w:szCs w:val="18"/>
                <w:lang w:val="en-US"/>
              </w:rPr>
            </w:pPr>
            <w:r w:rsidRPr="005C073A">
              <w:rPr>
                <w:rFonts w:ascii="Arial" w:hAnsi="Arial" w:cs="Arial"/>
                <w:color w:val="000000"/>
                <w:sz w:val="18"/>
                <w:szCs w:val="18"/>
                <w:lang w:val="en-US"/>
              </w:rPr>
              <w:t>Length of stay</w:t>
            </w:r>
            <w:r>
              <w:rPr>
                <w:rFonts w:ascii="Arial" w:hAnsi="Arial" w:cs="Arial"/>
                <w:color w:val="000000"/>
                <w:sz w:val="18"/>
                <w:szCs w:val="18"/>
                <w:lang w:val="en-US"/>
              </w:rPr>
              <w:t>, t</w:t>
            </w:r>
            <w:r w:rsidRPr="005C073A">
              <w:rPr>
                <w:rFonts w:ascii="Arial" w:hAnsi="Arial" w:cs="Arial"/>
                <w:color w:val="000000"/>
                <w:sz w:val="18"/>
                <w:szCs w:val="18"/>
                <w:lang w:val="en-US"/>
              </w:rPr>
              <w:t>otal hospital costs</w:t>
            </w:r>
            <w:r>
              <w:rPr>
                <w:rFonts w:ascii="Arial" w:hAnsi="Arial" w:cs="Arial"/>
                <w:color w:val="000000"/>
                <w:sz w:val="18"/>
                <w:szCs w:val="18"/>
                <w:lang w:val="en-US"/>
              </w:rPr>
              <w:t>, p</w:t>
            </w:r>
            <w:r w:rsidRPr="005C073A">
              <w:rPr>
                <w:rFonts w:ascii="Arial" w:hAnsi="Arial" w:cs="Arial"/>
                <w:color w:val="000000"/>
                <w:sz w:val="18"/>
                <w:szCs w:val="18"/>
                <w:lang w:val="en-US"/>
              </w:rPr>
              <w:t>ostoperative complications</w:t>
            </w:r>
            <w:r>
              <w:rPr>
                <w:rFonts w:ascii="Arial" w:hAnsi="Arial" w:cs="Arial"/>
                <w:color w:val="000000"/>
                <w:sz w:val="18"/>
                <w:szCs w:val="18"/>
                <w:lang w:val="en-US"/>
              </w:rPr>
              <w:t>, u</w:t>
            </w:r>
            <w:r w:rsidRPr="005C073A">
              <w:rPr>
                <w:rFonts w:ascii="Arial" w:hAnsi="Arial" w:cs="Arial"/>
                <w:color w:val="000000"/>
                <w:sz w:val="18"/>
                <w:szCs w:val="18"/>
                <w:lang w:val="en-US"/>
              </w:rPr>
              <w:t>nscheduled readmissions within 15 days of surgery</w:t>
            </w:r>
          </w:p>
        </w:tc>
      </w:tr>
      <w:tr w:rsidR="009E62FE" w:rsidRPr="009F7793" w14:paraId="26100E22" w14:textId="77777777" w:rsidTr="00BB4029">
        <w:trPr>
          <w:trHeight w:val="960"/>
        </w:trPr>
        <w:tc>
          <w:tcPr>
            <w:tcW w:w="561" w:type="dxa"/>
            <w:shd w:val="clear" w:color="auto" w:fill="auto"/>
            <w:noWrap/>
            <w:hideMark/>
          </w:tcPr>
          <w:p w14:paraId="3D5E7D2E" w14:textId="3B48659A"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1</w:t>
            </w:r>
            <w:r w:rsidR="0091387B">
              <w:rPr>
                <w:rFonts w:ascii="Arial" w:hAnsi="Arial" w:cs="Arial"/>
                <w:color w:val="000000"/>
                <w:sz w:val="18"/>
                <w:szCs w:val="18"/>
              </w:rPr>
              <w:t>3</w:t>
            </w:r>
          </w:p>
        </w:tc>
        <w:tc>
          <w:tcPr>
            <w:tcW w:w="1571" w:type="dxa"/>
            <w:shd w:val="clear" w:color="auto" w:fill="auto"/>
            <w:noWrap/>
            <w:hideMark/>
          </w:tcPr>
          <w:p w14:paraId="6CF51D0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Schwarzbach M, et al. 2010</w:t>
            </w:r>
          </w:p>
        </w:tc>
        <w:tc>
          <w:tcPr>
            <w:tcW w:w="1756" w:type="dxa"/>
            <w:shd w:val="clear" w:color="auto" w:fill="auto"/>
            <w:hideMark/>
          </w:tcPr>
          <w:p w14:paraId="1268B001"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patient population</w:t>
            </w:r>
          </w:p>
        </w:tc>
        <w:tc>
          <w:tcPr>
            <w:tcW w:w="2180" w:type="dxa"/>
            <w:shd w:val="clear" w:color="auto" w:fill="auto"/>
            <w:hideMark/>
          </w:tcPr>
          <w:p w14:paraId="5534CB0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 xml:space="preserve">patients undergoing lobectomy: (15,7% in CP group and 4,7% in prepathway group had benign </w:t>
            </w:r>
            <w:r>
              <w:rPr>
                <w:rFonts w:ascii="Arial" w:hAnsi="Arial" w:cs="Arial"/>
                <w:color w:val="000000"/>
                <w:sz w:val="18"/>
                <w:szCs w:val="18"/>
                <w:lang w:val="en-US"/>
              </w:rPr>
              <w:t>tumor</w:t>
            </w:r>
            <w:r w:rsidRPr="0057539F">
              <w:rPr>
                <w:rFonts w:ascii="Arial" w:hAnsi="Arial" w:cs="Arial"/>
                <w:color w:val="000000"/>
                <w:sz w:val="18"/>
                <w:szCs w:val="18"/>
                <w:lang w:val="en-US"/>
              </w:rPr>
              <w:t>s)</w:t>
            </w:r>
          </w:p>
        </w:tc>
        <w:tc>
          <w:tcPr>
            <w:tcW w:w="1969" w:type="dxa"/>
            <w:shd w:val="clear" w:color="auto" w:fill="auto"/>
            <w:hideMark/>
          </w:tcPr>
          <w:p w14:paraId="655E0CB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c>
          <w:tcPr>
            <w:tcW w:w="1224" w:type="dxa"/>
            <w:shd w:val="clear" w:color="auto" w:fill="auto"/>
            <w:hideMark/>
          </w:tcPr>
          <w:p w14:paraId="641A5FE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Germany</w:t>
            </w:r>
          </w:p>
        </w:tc>
        <w:tc>
          <w:tcPr>
            <w:tcW w:w="4743" w:type="dxa"/>
            <w:shd w:val="clear" w:color="auto" w:fill="auto"/>
            <w:hideMark/>
          </w:tcPr>
          <w:p w14:paraId="62DF280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Duration of catheter placement, pain intensity, respiratory exercising, and mobilization. Outcome quality: morbidity, mortality, reoperations, readmissions, and cost of hospital stay</w:t>
            </w:r>
          </w:p>
        </w:tc>
      </w:tr>
      <w:tr w:rsidR="009E62FE" w:rsidRPr="009F7793" w14:paraId="069DA908" w14:textId="77777777" w:rsidTr="00BB4029">
        <w:trPr>
          <w:trHeight w:val="960"/>
        </w:trPr>
        <w:tc>
          <w:tcPr>
            <w:tcW w:w="561" w:type="dxa"/>
            <w:shd w:val="clear" w:color="auto" w:fill="auto"/>
            <w:noWrap/>
            <w:hideMark/>
          </w:tcPr>
          <w:p w14:paraId="50FAE38D" w14:textId="25A058C3"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1</w:t>
            </w:r>
            <w:r w:rsidR="0091387B">
              <w:rPr>
                <w:rFonts w:ascii="Arial" w:hAnsi="Arial" w:cs="Arial"/>
                <w:color w:val="000000"/>
                <w:sz w:val="18"/>
                <w:szCs w:val="18"/>
              </w:rPr>
              <w:t>4</w:t>
            </w:r>
          </w:p>
        </w:tc>
        <w:tc>
          <w:tcPr>
            <w:tcW w:w="1571" w:type="dxa"/>
            <w:shd w:val="clear" w:color="auto" w:fill="auto"/>
            <w:noWrap/>
            <w:hideMark/>
          </w:tcPr>
          <w:p w14:paraId="43F870B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Schwarzbach MH, et al. 2010</w:t>
            </w:r>
          </w:p>
        </w:tc>
        <w:tc>
          <w:tcPr>
            <w:tcW w:w="1756" w:type="dxa"/>
            <w:shd w:val="clear" w:color="auto" w:fill="auto"/>
            <w:hideMark/>
          </w:tcPr>
          <w:p w14:paraId="2D08E3D0"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patient population</w:t>
            </w:r>
          </w:p>
        </w:tc>
        <w:tc>
          <w:tcPr>
            <w:tcW w:w="2180" w:type="dxa"/>
            <w:shd w:val="clear" w:color="auto" w:fill="auto"/>
            <w:hideMark/>
          </w:tcPr>
          <w:p w14:paraId="4918796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undergoing video-assisted thoracoscopy (VATS) (more or less 40% malignant)</w:t>
            </w:r>
          </w:p>
        </w:tc>
        <w:tc>
          <w:tcPr>
            <w:tcW w:w="1969" w:type="dxa"/>
            <w:shd w:val="clear" w:color="auto" w:fill="auto"/>
            <w:hideMark/>
          </w:tcPr>
          <w:p w14:paraId="4AF6524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c>
          <w:tcPr>
            <w:tcW w:w="1224" w:type="dxa"/>
            <w:shd w:val="clear" w:color="auto" w:fill="auto"/>
            <w:hideMark/>
          </w:tcPr>
          <w:p w14:paraId="66BEB91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Germany</w:t>
            </w:r>
          </w:p>
        </w:tc>
        <w:tc>
          <w:tcPr>
            <w:tcW w:w="4743" w:type="dxa"/>
            <w:shd w:val="clear" w:color="auto" w:fill="auto"/>
            <w:hideMark/>
          </w:tcPr>
          <w:p w14:paraId="3DD0998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Duration of catheter placement, pain intensity, respiratory exercising, and mobilization. Outcome quality: morbidity, mortality, reoperations, readmissions, and cost of hospital stay</w:t>
            </w:r>
          </w:p>
        </w:tc>
      </w:tr>
      <w:tr w:rsidR="009E62FE" w:rsidRPr="009F7793" w14:paraId="0553FC89" w14:textId="77777777" w:rsidTr="00BB4029">
        <w:trPr>
          <w:trHeight w:val="480"/>
        </w:trPr>
        <w:tc>
          <w:tcPr>
            <w:tcW w:w="561" w:type="dxa"/>
            <w:shd w:val="clear" w:color="auto" w:fill="auto"/>
            <w:noWrap/>
            <w:hideMark/>
          </w:tcPr>
          <w:p w14:paraId="696A501A" w14:textId="4A495A48"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1</w:t>
            </w:r>
            <w:r w:rsidR="0091387B">
              <w:rPr>
                <w:rFonts w:ascii="Arial" w:hAnsi="Arial" w:cs="Arial"/>
                <w:color w:val="000000"/>
                <w:sz w:val="18"/>
                <w:szCs w:val="18"/>
              </w:rPr>
              <w:t>5</w:t>
            </w:r>
          </w:p>
        </w:tc>
        <w:tc>
          <w:tcPr>
            <w:tcW w:w="1571" w:type="dxa"/>
            <w:shd w:val="clear" w:color="auto" w:fill="auto"/>
            <w:noWrap/>
            <w:hideMark/>
          </w:tcPr>
          <w:p w14:paraId="2E8FD82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Scott JA, et al. 2013</w:t>
            </w:r>
          </w:p>
        </w:tc>
        <w:tc>
          <w:tcPr>
            <w:tcW w:w="1756" w:type="dxa"/>
            <w:shd w:val="clear" w:color="auto" w:fill="auto"/>
            <w:hideMark/>
          </w:tcPr>
          <w:p w14:paraId="5F6325E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Abstract only</w:t>
            </w:r>
          </w:p>
        </w:tc>
        <w:tc>
          <w:tcPr>
            <w:tcW w:w="2180" w:type="dxa"/>
            <w:shd w:val="clear" w:color="auto" w:fill="auto"/>
            <w:hideMark/>
          </w:tcPr>
          <w:p w14:paraId="79B3014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with breast, colon and lung cancer</w:t>
            </w:r>
          </w:p>
        </w:tc>
        <w:tc>
          <w:tcPr>
            <w:tcW w:w="1969" w:type="dxa"/>
            <w:shd w:val="clear" w:color="auto" w:fill="auto"/>
            <w:hideMark/>
          </w:tcPr>
          <w:p w14:paraId="634547F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73E62DF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w:t>
            </w:r>
          </w:p>
        </w:tc>
        <w:tc>
          <w:tcPr>
            <w:tcW w:w="4743" w:type="dxa"/>
            <w:shd w:val="clear" w:color="auto" w:fill="auto"/>
            <w:hideMark/>
          </w:tcPr>
          <w:p w14:paraId="607F0E4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Sum of allowed cancer costs 270 days after chemotherapy, and probability of inpatient admission</w:t>
            </w:r>
          </w:p>
        </w:tc>
      </w:tr>
      <w:tr w:rsidR="009E62FE" w:rsidRPr="009F7793" w14:paraId="6C68488C" w14:textId="77777777" w:rsidTr="00BB4029">
        <w:trPr>
          <w:trHeight w:val="480"/>
        </w:trPr>
        <w:tc>
          <w:tcPr>
            <w:tcW w:w="561" w:type="dxa"/>
            <w:shd w:val="clear" w:color="auto" w:fill="auto"/>
            <w:noWrap/>
            <w:hideMark/>
          </w:tcPr>
          <w:p w14:paraId="020BCA79" w14:textId="169A6296"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1</w:t>
            </w:r>
            <w:r w:rsidR="0091387B">
              <w:rPr>
                <w:rFonts w:ascii="Arial" w:hAnsi="Arial" w:cs="Arial"/>
                <w:color w:val="000000"/>
                <w:sz w:val="18"/>
                <w:szCs w:val="18"/>
              </w:rPr>
              <w:t>6</w:t>
            </w:r>
          </w:p>
        </w:tc>
        <w:tc>
          <w:tcPr>
            <w:tcW w:w="1571" w:type="dxa"/>
            <w:shd w:val="clear" w:color="auto" w:fill="auto"/>
            <w:noWrap/>
            <w:hideMark/>
          </w:tcPr>
          <w:p w14:paraId="1963280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Seo HS, et al. 2012</w:t>
            </w:r>
          </w:p>
        </w:tc>
        <w:tc>
          <w:tcPr>
            <w:tcW w:w="1756" w:type="dxa"/>
            <w:shd w:val="clear" w:color="auto" w:fill="auto"/>
            <w:hideMark/>
          </w:tcPr>
          <w:p w14:paraId="0C0249A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 control</w:t>
            </w:r>
          </w:p>
        </w:tc>
        <w:tc>
          <w:tcPr>
            <w:tcW w:w="2180" w:type="dxa"/>
            <w:shd w:val="clear" w:color="auto" w:fill="auto"/>
            <w:hideMark/>
          </w:tcPr>
          <w:p w14:paraId="4ECFE78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gastric cancer surgery</w:t>
            </w:r>
          </w:p>
        </w:tc>
        <w:tc>
          <w:tcPr>
            <w:tcW w:w="1969" w:type="dxa"/>
            <w:shd w:val="clear" w:color="auto" w:fill="auto"/>
            <w:hideMark/>
          </w:tcPr>
          <w:p w14:paraId="18F2F74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prospective study?</w:t>
            </w:r>
          </w:p>
        </w:tc>
        <w:tc>
          <w:tcPr>
            <w:tcW w:w="1224" w:type="dxa"/>
            <w:shd w:val="clear" w:color="auto" w:fill="auto"/>
            <w:hideMark/>
          </w:tcPr>
          <w:p w14:paraId="3C05E7B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Korea</w:t>
            </w:r>
          </w:p>
        </w:tc>
        <w:tc>
          <w:tcPr>
            <w:tcW w:w="4743" w:type="dxa"/>
            <w:shd w:val="clear" w:color="auto" w:fill="auto"/>
            <w:hideMark/>
          </w:tcPr>
          <w:p w14:paraId="4998224A"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stay, complication rate, total cost paid at the patient’s discharge, and the daily hospital income</w:t>
            </w:r>
          </w:p>
        </w:tc>
      </w:tr>
      <w:tr w:rsidR="009E62FE" w:rsidRPr="0057539F" w14:paraId="7CF3D5B1" w14:textId="77777777" w:rsidTr="00BB4029">
        <w:trPr>
          <w:trHeight w:val="240"/>
        </w:trPr>
        <w:tc>
          <w:tcPr>
            <w:tcW w:w="561" w:type="dxa"/>
            <w:shd w:val="clear" w:color="auto" w:fill="auto"/>
            <w:noWrap/>
            <w:hideMark/>
          </w:tcPr>
          <w:p w14:paraId="77B410A0" w14:textId="098E2BDF"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1</w:t>
            </w:r>
            <w:r w:rsidR="0091387B">
              <w:rPr>
                <w:rFonts w:ascii="Arial" w:hAnsi="Arial" w:cs="Arial"/>
                <w:color w:val="000000"/>
                <w:sz w:val="18"/>
                <w:szCs w:val="18"/>
              </w:rPr>
              <w:t>7</w:t>
            </w:r>
          </w:p>
        </w:tc>
        <w:tc>
          <w:tcPr>
            <w:tcW w:w="1571" w:type="dxa"/>
            <w:shd w:val="clear" w:color="auto" w:fill="auto"/>
            <w:noWrap/>
            <w:hideMark/>
          </w:tcPr>
          <w:p w14:paraId="51EECE5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Shamji FM, et al. 2013</w:t>
            </w:r>
          </w:p>
        </w:tc>
        <w:tc>
          <w:tcPr>
            <w:tcW w:w="1756" w:type="dxa"/>
            <w:shd w:val="clear" w:color="auto" w:fill="auto"/>
            <w:hideMark/>
          </w:tcPr>
          <w:p w14:paraId="51700347"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13AA2C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lung cancer</w:t>
            </w:r>
          </w:p>
        </w:tc>
        <w:tc>
          <w:tcPr>
            <w:tcW w:w="1969" w:type="dxa"/>
            <w:shd w:val="clear" w:color="auto" w:fill="auto"/>
            <w:hideMark/>
          </w:tcPr>
          <w:p w14:paraId="5184241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observational?</w:t>
            </w:r>
          </w:p>
        </w:tc>
        <w:tc>
          <w:tcPr>
            <w:tcW w:w="1224" w:type="dxa"/>
            <w:shd w:val="clear" w:color="auto" w:fill="auto"/>
            <w:hideMark/>
          </w:tcPr>
          <w:p w14:paraId="5569076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Canada</w:t>
            </w:r>
          </w:p>
        </w:tc>
        <w:tc>
          <w:tcPr>
            <w:tcW w:w="4743" w:type="dxa"/>
            <w:shd w:val="clear" w:color="auto" w:fill="auto"/>
            <w:hideMark/>
          </w:tcPr>
          <w:p w14:paraId="394DE91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Time intervals</w:t>
            </w:r>
          </w:p>
        </w:tc>
      </w:tr>
      <w:tr w:rsidR="009E62FE" w:rsidRPr="009F7793" w14:paraId="4D40F538" w14:textId="77777777" w:rsidTr="00BB4029">
        <w:trPr>
          <w:trHeight w:val="480"/>
        </w:trPr>
        <w:tc>
          <w:tcPr>
            <w:tcW w:w="561" w:type="dxa"/>
            <w:shd w:val="clear" w:color="auto" w:fill="auto"/>
            <w:noWrap/>
            <w:hideMark/>
          </w:tcPr>
          <w:p w14:paraId="3159EC4D" w14:textId="5CA80D9E"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1</w:t>
            </w:r>
            <w:r w:rsidR="0091387B">
              <w:rPr>
                <w:rFonts w:ascii="Arial" w:hAnsi="Arial" w:cs="Arial"/>
                <w:color w:val="000000"/>
                <w:sz w:val="18"/>
                <w:szCs w:val="18"/>
              </w:rPr>
              <w:t>8</w:t>
            </w:r>
          </w:p>
        </w:tc>
        <w:tc>
          <w:tcPr>
            <w:tcW w:w="1571" w:type="dxa"/>
            <w:shd w:val="clear" w:color="auto" w:fill="auto"/>
            <w:noWrap/>
            <w:hideMark/>
          </w:tcPr>
          <w:p w14:paraId="61CB095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Sherman D, et al. 2001</w:t>
            </w:r>
          </w:p>
        </w:tc>
        <w:tc>
          <w:tcPr>
            <w:tcW w:w="1756" w:type="dxa"/>
            <w:shd w:val="clear" w:color="auto" w:fill="auto"/>
            <w:hideMark/>
          </w:tcPr>
          <w:p w14:paraId="4531E70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Abstract only</w:t>
            </w:r>
          </w:p>
        </w:tc>
        <w:tc>
          <w:tcPr>
            <w:tcW w:w="2180" w:type="dxa"/>
            <w:shd w:val="clear" w:color="auto" w:fill="auto"/>
            <w:hideMark/>
          </w:tcPr>
          <w:p w14:paraId="2678FFF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larynx and hypopharynx cancer</w:t>
            </w:r>
          </w:p>
        </w:tc>
        <w:tc>
          <w:tcPr>
            <w:tcW w:w="1969" w:type="dxa"/>
            <w:shd w:val="clear" w:color="auto" w:fill="auto"/>
            <w:hideMark/>
          </w:tcPr>
          <w:p w14:paraId="0B015DD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4E7994D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Canada</w:t>
            </w:r>
          </w:p>
        </w:tc>
        <w:tc>
          <w:tcPr>
            <w:tcW w:w="4743" w:type="dxa"/>
            <w:shd w:val="clear" w:color="auto" w:fill="auto"/>
            <w:hideMark/>
          </w:tcPr>
          <w:p w14:paraId="294EC0A3"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postoperative inpatient stay, readmissions, complications</w:t>
            </w:r>
          </w:p>
        </w:tc>
      </w:tr>
      <w:tr w:rsidR="009E62FE" w:rsidRPr="009F7793" w14:paraId="6164607E" w14:textId="77777777" w:rsidTr="00BB4029">
        <w:trPr>
          <w:trHeight w:val="1200"/>
        </w:trPr>
        <w:tc>
          <w:tcPr>
            <w:tcW w:w="561" w:type="dxa"/>
            <w:shd w:val="clear" w:color="auto" w:fill="auto"/>
            <w:noWrap/>
            <w:hideMark/>
          </w:tcPr>
          <w:p w14:paraId="500C5489" w14:textId="6B099223"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1</w:t>
            </w:r>
            <w:r w:rsidR="0091387B">
              <w:rPr>
                <w:rFonts w:ascii="Arial" w:hAnsi="Arial" w:cs="Arial"/>
                <w:color w:val="000000"/>
                <w:sz w:val="18"/>
                <w:szCs w:val="18"/>
              </w:rPr>
              <w:t>9</w:t>
            </w:r>
          </w:p>
        </w:tc>
        <w:tc>
          <w:tcPr>
            <w:tcW w:w="1571" w:type="dxa"/>
            <w:shd w:val="clear" w:color="auto" w:fill="auto"/>
            <w:noWrap/>
            <w:hideMark/>
          </w:tcPr>
          <w:p w14:paraId="0413FAE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Shetiwy M, et al. 2017</w:t>
            </w:r>
          </w:p>
        </w:tc>
        <w:tc>
          <w:tcPr>
            <w:tcW w:w="1756" w:type="dxa"/>
            <w:shd w:val="clear" w:color="auto" w:fill="auto"/>
            <w:hideMark/>
          </w:tcPr>
          <w:p w14:paraId="0D8CBE9E"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Does not meet CP definition</w:t>
            </w:r>
          </w:p>
        </w:tc>
        <w:tc>
          <w:tcPr>
            <w:tcW w:w="2180" w:type="dxa"/>
            <w:shd w:val="clear" w:color="auto" w:fill="auto"/>
            <w:hideMark/>
          </w:tcPr>
          <w:p w14:paraId="6B79794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w:t>
            </w:r>
          </w:p>
        </w:tc>
        <w:tc>
          <w:tcPr>
            <w:tcW w:w="1969" w:type="dxa"/>
            <w:shd w:val="clear" w:color="auto" w:fill="auto"/>
            <w:hideMark/>
          </w:tcPr>
          <w:p w14:paraId="2E2F913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controlled clinical trial</w:t>
            </w:r>
          </w:p>
        </w:tc>
        <w:tc>
          <w:tcPr>
            <w:tcW w:w="1224" w:type="dxa"/>
            <w:shd w:val="clear" w:color="auto" w:fill="auto"/>
            <w:hideMark/>
          </w:tcPr>
          <w:p w14:paraId="71E373D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Egypt</w:t>
            </w:r>
          </w:p>
        </w:tc>
        <w:tc>
          <w:tcPr>
            <w:tcW w:w="4743" w:type="dxa"/>
            <w:shd w:val="clear" w:color="auto" w:fill="auto"/>
            <w:hideMark/>
          </w:tcPr>
          <w:p w14:paraId="3DE04FD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hospital stay. Secondary outcomes: times of removal of nasogastric tubes (NGTs), successful enteral feeding, and removal of drains, postoperative complications, intra-hospital mortality, and rate of readmission.</w:t>
            </w:r>
          </w:p>
        </w:tc>
      </w:tr>
      <w:tr w:rsidR="009E62FE" w:rsidRPr="009F7793" w14:paraId="336F54EA" w14:textId="77777777" w:rsidTr="00BB4029">
        <w:trPr>
          <w:trHeight w:val="720"/>
        </w:trPr>
        <w:tc>
          <w:tcPr>
            <w:tcW w:w="561" w:type="dxa"/>
            <w:shd w:val="clear" w:color="auto" w:fill="auto"/>
            <w:noWrap/>
            <w:hideMark/>
          </w:tcPr>
          <w:p w14:paraId="62D6BD1B" w14:textId="0E73C58D"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1</w:t>
            </w:r>
            <w:r w:rsidR="0091387B">
              <w:rPr>
                <w:rFonts w:ascii="Arial" w:hAnsi="Arial" w:cs="Arial"/>
                <w:color w:val="000000"/>
                <w:sz w:val="18"/>
                <w:szCs w:val="18"/>
              </w:rPr>
              <w:t>20</w:t>
            </w:r>
          </w:p>
        </w:tc>
        <w:tc>
          <w:tcPr>
            <w:tcW w:w="1571" w:type="dxa"/>
            <w:shd w:val="clear" w:color="auto" w:fill="auto"/>
            <w:noWrap/>
            <w:hideMark/>
          </w:tcPr>
          <w:p w14:paraId="63218DE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Sivakumaran Y, et al. 2013</w:t>
            </w:r>
          </w:p>
        </w:tc>
        <w:tc>
          <w:tcPr>
            <w:tcW w:w="1756" w:type="dxa"/>
            <w:shd w:val="clear" w:color="auto" w:fill="auto"/>
            <w:hideMark/>
          </w:tcPr>
          <w:p w14:paraId="194D8946"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4E97F84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w:t>
            </w:r>
          </w:p>
        </w:tc>
        <w:tc>
          <w:tcPr>
            <w:tcW w:w="1969" w:type="dxa"/>
            <w:shd w:val="clear" w:color="auto" w:fill="auto"/>
            <w:hideMark/>
          </w:tcPr>
          <w:p w14:paraId="371D92D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observational cohort study</w:t>
            </w:r>
          </w:p>
        </w:tc>
        <w:tc>
          <w:tcPr>
            <w:tcW w:w="1224" w:type="dxa"/>
            <w:shd w:val="clear" w:color="auto" w:fill="auto"/>
            <w:hideMark/>
          </w:tcPr>
          <w:p w14:paraId="0496248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Australia</w:t>
            </w:r>
          </w:p>
        </w:tc>
        <w:tc>
          <w:tcPr>
            <w:tcW w:w="4743" w:type="dxa"/>
            <w:shd w:val="clear" w:color="auto" w:fill="auto"/>
            <w:hideMark/>
          </w:tcPr>
          <w:p w14:paraId="0F044FA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(A) mode of presentation: emergency versus elective (B) key time intervals and (C) performance against recommended guidelines</w:t>
            </w:r>
          </w:p>
        </w:tc>
      </w:tr>
      <w:tr w:rsidR="009E62FE" w:rsidRPr="009F7793" w14:paraId="23894CB0" w14:textId="77777777" w:rsidTr="00BB4029">
        <w:trPr>
          <w:trHeight w:val="480"/>
        </w:trPr>
        <w:tc>
          <w:tcPr>
            <w:tcW w:w="561" w:type="dxa"/>
            <w:shd w:val="clear" w:color="auto" w:fill="auto"/>
            <w:noWrap/>
            <w:hideMark/>
          </w:tcPr>
          <w:p w14:paraId="511959CB" w14:textId="52F11DD4"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91387B">
              <w:rPr>
                <w:rFonts w:ascii="Arial" w:hAnsi="Arial" w:cs="Arial"/>
                <w:color w:val="000000"/>
                <w:sz w:val="18"/>
                <w:szCs w:val="18"/>
              </w:rPr>
              <w:t>21</w:t>
            </w:r>
          </w:p>
        </w:tc>
        <w:tc>
          <w:tcPr>
            <w:tcW w:w="1571" w:type="dxa"/>
            <w:shd w:val="clear" w:color="auto" w:fill="auto"/>
            <w:noWrap/>
            <w:hideMark/>
          </w:tcPr>
          <w:p w14:paraId="549690D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So JB, et al. 2008</w:t>
            </w:r>
          </w:p>
        </w:tc>
        <w:tc>
          <w:tcPr>
            <w:tcW w:w="1756" w:type="dxa"/>
            <w:shd w:val="clear" w:color="auto" w:fill="auto"/>
            <w:hideMark/>
          </w:tcPr>
          <w:p w14:paraId="2F3F8EFA"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Does not meet CP definition</w:t>
            </w:r>
          </w:p>
        </w:tc>
        <w:tc>
          <w:tcPr>
            <w:tcW w:w="2180" w:type="dxa"/>
            <w:shd w:val="clear" w:color="auto" w:fill="auto"/>
            <w:hideMark/>
          </w:tcPr>
          <w:p w14:paraId="345CE4D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gastric cancer</w:t>
            </w:r>
          </w:p>
        </w:tc>
        <w:tc>
          <w:tcPr>
            <w:tcW w:w="1969" w:type="dxa"/>
            <w:shd w:val="clear" w:color="auto" w:fill="auto"/>
            <w:hideMark/>
          </w:tcPr>
          <w:p w14:paraId="6AC4B62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178D7F3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Singapore</w:t>
            </w:r>
          </w:p>
        </w:tc>
        <w:tc>
          <w:tcPr>
            <w:tcW w:w="4743" w:type="dxa"/>
            <w:shd w:val="clear" w:color="auto" w:fill="auto"/>
            <w:hideMark/>
          </w:tcPr>
          <w:p w14:paraId="2A55401C"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Postoperative length of hospital stay, hospital costs</w:t>
            </w:r>
          </w:p>
        </w:tc>
      </w:tr>
      <w:tr w:rsidR="009E62FE" w:rsidRPr="009F7793" w14:paraId="44D52E7E" w14:textId="77777777" w:rsidTr="00BB4029">
        <w:trPr>
          <w:trHeight w:val="240"/>
        </w:trPr>
        <w:tc>
          <w:tcPr>
            <w:tcW w:w="561" w:type="dxa"/>
            <w:shd w:val="clear" w:color="auto" w:fill="auto"/>
            <w:noWrap/>
            <w:hideMark/>
          </w:tcPr>
          <w:p w14:paraId="654FBF99" w14:textId="5F676488"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2</w:t>
            </w:r>
            <w:r w:rsidR="0091387B">
              <w:rPr>
                <w:rFonts w:ascii="Arial" w:hAnsi="Arial" w:cs="Arial"/>
                <w:color w:val="000000"/>
                <w:sz w:val="18"/>
                <w:szCs w:val="18"/>
              </w:rPr>
              <w:t>2</w:t>
            </w:r>
          </w:p>
        </w:tc>
        <w:tc>
          <w:tcPr>
            <w:tcW w:w="1571" w:type="dxa"/>
            <w:shd w:val="clear" w:color="auto" w:fill="auto"/>
            <w:noWrap/>
            <w:hideMark/>
          </w:tcPr>
          <w:p w14:paraId="3F762B3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Song XP, et al. 2014</w:t>
            </w:r>
          </w:p>
        </w:tc>
        <w:tc>
          <w:tcPr>
            <w:tcW w:w="1756" w:type="dxa"/>
            <w:shd w:val="clear" w:color="auto" w:fill="auto"/>
            <w:hideMark/>
          </w:tcPr>
          <w:p w14:paraId="3365E17C"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6688247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gastrointestinal Cancer</w:t>
            </w:r>
          </w:p>
        </w:tc>
        <w:tc>
          <w:tcPr>
            <w:tcW w:w="1969" w:type="dxa"/>
            <w:shd w:val="clear" w:color="auto" w:fill="auto"/>
            <w:hideMark/>
          </w:tcPr>
          <w:p w14:paraId="0FEBE1F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meta-analysis</w:t>
            </w:r>
          </w:p>
        </w:tc>
        <w:tc>
          <w:tcPr>
            <w:tcW w:w="1224" w:type="dxa"/>
            <w:shd w:val="clear" w:color="auto" w:fill="auto"/>
            <w:hideMark/>
          </w:tcPr>
          <w:p w14:paraId="6747A5ED" w14:textId="728D4A95" w:rsidR="009E62FE" w:rsidRPr="0057539F" w:rsidRDefault="00F524BB" w:rsidP="00BB4029">
            <w:pPr>
              <w:rPr>
                <w:rFonts w:ascii="Arial" w:hAnsi="Arial" w:cs="Arial"/>
                <w:color w:val="000000"/>
                <w:sz w:val="18"/>
                <w:szCs w:val="18"/>
              </w:rPr>
            </w:pPr>
            <w:r>
              <w:rPr>
                <w:rFonts w:ascii="Arial" w:hAnsi="Arial" w:cs="Arial"/>
                <w:color w:val="000000"/>
                <w:sz w:val="18"/>
                <w:szCs w:val="18"/>
              </w:rPr>
              <w:t xml:space="preserve"> NA</w:t>
            </w:r>
          </w:p>
        </w:tc>
        <w:tc>
          <w:tcPr>
            <w:tcW w:w="4743" w:type="dxa"/>
            <w:shd w:val="clear" w:color="auto" w:fill="auto"/>
            <w:hideMark/>
          </w:tcPr>
          <w:p w14:paraId="42B56AF6"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stay, costs and patient satisfaction</w:t>
            </w:r>
          </w:p>
        </w:tc>
      </w:tr>
      <w:tr w:rsidR="009E62FE" w:rsidRPr="009F7793" w14:paraId="52F119AA" w14:textId="77777777" w:rsidTr="00BB4029">
        <w:trPr>
          <w:trHeight w:val="720"/>
        </w:trPr>
        <w:tc>
          <w:tcPr>
            <w:tcW w:w="561" w:type="dxa"/>
            <w:shd w:val="clear" w:color="auto" w:fill="auto"/>
            <w:noWrap/>
            <w:hideMark/>
          </w:tcPr>
          <w:p w14:paraId="41656A6B" w14:textId="3D879A16"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2</w:t>
            </w:r>
            <w:r w:rsidR="0091387B">
              <w:rPr>
                <w:rFonts w:ascii="Arial" w:hAnsi="Arial" w:cs="Arial"/>
                <w:color w:val="000000"/>
                <w:sz w:val="18"/>
                <w:szCs w:val="18"/>
              </w:rPr>
              <w:t>3</w:t>
            </w:r>
          </w:p>
        </w:tc>
        <w:tc>
          <w:tcPr>
            <w:tcW w:w="1571" w:type="dxa"/>
            <w:shd w:val="clear" w:color="auto" w:fill="auto"/>
            <w:noWrap/>
            <w:hideMark/>
          </w:tcPr>
          <w:p w14:paraId="6AB0721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Soria-Aledo V, et al. 2011</w:t>
            </w:r>
          </w:p>
        </w:tc>
        <w:tc>
          <w:tcPr>
            <w:tcW w:w="1756" w:type="dxa"/>
            <w:shd w:val="clear" w:color="auto" w:fill="auto"/>
            <w:hideMark/>
          </w:tcPr>
          <w:p w14:paraId="0E16F4A5"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Does not meet CP definition</w:t>
            </w:r>
          </w:p>
        </w:tc>
        <w:tc>
          <w:tcPr>
            <w:tcW w:w="2180" w:type="dxa"/>
            <w:shd w:val="clear" w:color="auto" w:fill="auto"/>
            <w:hideMark/>
          </w:tcPr>
          <w:p w14:paraId="21B4083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w:t>
            </w:r>
          </w:p>
        </w:tc>
        <w:tc>
          <w:tcPr>
            <w:tcW w:w="1969" w:type="dxa"/>
            <w:shd w:val="clear" w:color="auto" w:fill="auto"/>
            <w:hideMark/>
          </w:tcPr>
          <w:p w14:paraId="12AB7774"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ambispective presurgery and postsurgery study</w:t>
            </w:r>
          </w:p>
        </w:tc>
        <w:tc>
          <w:tcPr>
            <w:tcW w:w="1224" w:type="dxa"/>
            <w:shd w:val="clear" w:color="auto" w:fill="auto"/>
            <w:hideMark/>
          </w:tcPr>
          <w:p w14:paraId="5712585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Spain</w:t>
            </w:r>
          </w:p>
        </w:tc>
        <w:tc>
          <w:tcPr>
            <w:tcW w:w="4743" w:type="dxa"/>
            <w:shd w:val="clear" w:color="auto" w:fill="auto"/>
            <w:hideMark/>
          </w:tcPr>
          <w:p w14:paraId="75D3A1BF"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Postoperative stay, compliance with antibiotic prophylaxis, compliance with the staging study, mortality, rate of infection, and reoperations.</w:t>
            </w:r>
          </w:p>
        </w:tc>
      </w:tr>
      <w:tr w:rsidR="009E62FE" w:rsidRPr="009F7793" w14:paraId="15124CD9" w14:textId="77777777" w:rsidTr="00BB4029">
        <w:trPr>
          <w:trHeight w:val="720"/>
        </w:trPr>
        <w:tc>
          <w:tcPr>
            <w:tcW w:w="561" w:type="dxa"/>
            <w:shd w:val="clear" w:color="auto" w:fill="auto"/>
            <w:noWrap/>
            <w:hideMark/>
          </w:tcPr>
          <w:p w14:paraId="06728393" w14:textId="263F48BC"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2</w:t>
            </w:r>
            <w:r w:rsidR="0091387B">
              <w:rPr>
                <w:rFonts w:ascii="Arial" w:hAnsi="Arial" w:cs="Arial"/>
                <w:color w:val="000000"/>
                <w:sz w:val="18"/>
                <w:szCs w:val="18"/>
              </w:rPr>
              <w:t>4</w:t>
            </w:r>
          </w:p>
        </w:tc>
        <w:tc>
          <w:tcPr>
            <w:tcW w:w="1571" w:type="dxa"/>
            <w:shd w:val="clear" w:color="auto" w:fill="auto"/>
            <w:noWrap/>
            <w:hideMark/>
          </w:tcPr>
          <w:p w14:paraId="722E58B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Stephen AE, et al. 2003</w:t>
            </w:r>
          </w:p>
        </w:tc>
        <w:tc>
          <w:tcPr>
            <w:tcW w:w="1756" w:type="dxa"/>
            <w:shd w:val="clear" w:color="auto" w:fill="auto"/>
            <w:hideMark/>
          </w:tcPr>
          <w:p w14:paraId="770D8AA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Not cancer patients only</w:t>
            </w:r>
          </w:p>
        </w:tc>
        <w:tc>
          <w:tcPr>
            <w:tcW w:w="2180" w:type="dxa"/>
            <w:shd w:val="clear" w:color="auto" w:fill="auto"/>
            <w:hideMark/>
          </w:tcPr>
          <w:p w14:paraId="5D8C97A8"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colorecctal cancer (83% in pre group and 67% in post group) and diverticular disease</w:t>
            </w:r>
          </w:p>
        </w:tc>
        <w:tc>
          <w:tcPr>
            <w:tcW w:w="1969" w:type="dxa"/>
            <w:shd w:val="clear" w:color="auto" w:fill="auto"/>
            <w:hideMark/>
          </w:tcPr>
          <w:p w14:paraId="75A2FF6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092C86B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0C3980E3"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stay, postoperative complications, readmissions, and cost per patient</w:t>
            </w:r>
          </w:p>
        </w:tc>
      </w:tr>
      <w:tr w:rsidR="009E62FE" w:rsidRPr="009F7793" w14:paraId="34EE4E0C" w14:textId="77777777" w:rsidTr="00BB4029">
        <w:trPr>
          <w:trHeight w:val="480"/>
        </w:trPr>
        <w:tc>
          <w:tcPr>
            <w:tcW w:w="561" w:type="dxa"/>
            <w:shd w:val="clear" w:color="auto" w:fill="auto"/>
            <w:noWrap/>
            <w:hideMark/>
          </w:tcPr>
          <w:p w14:paraId="7A1AE623" w14:textId="06D1B09B"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2</w:t>
            </w:r>
            <w:r w:rsidR="0091387B">
              <w:rPr>
                <w:rFonts w:ascii="Arial" w:hAnsi="Arial" w:cs="Arial"/>
                <w:color w:val="000000"/>
                <w:sz w:val="18"/>
                <w:szCs w:val="18"/>
              </w:rPr>
              <w:t>5</w:t>
            </w:r>
          </w:p>
        </w:tc>
        <w:tc>
          <w:tcPr>
            <w:tcW w:w="1571" w:type="dxa"/>
            <w:shd w:val="clear" w:color="auto" w:fill="auto"/>
            <w:noWrap/>
            <w:hideMark/>
          </w:tcPr>
          <w:p w14:paraId="74FBCD9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Stocker R, et al. 2013</w:t>
            </w:r>
          </w:p>
        </w:tc>
        <w:tc>
          <w:tcPr>
            <w:tcW w:w="1756" w:type="dxa"/>
            <w:shd w:val="clear" w:color="auto" w:fill="auto"/>
            <w:hideMark/>
          </w:tcPr>
          <w:p w14:paraId="7B0B03E0"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70A0A97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non cancer and cancer</w:t>
            </w:r>
          </w:p>
        </w:tc>
        <w:tc>
          <w:tcPr>
            <w:tcW w:w="1969" w:type="dxa"/>
            <w:shd w:val="clear" w:color="auto" w:fill="auto"/>
            <w:hideMark/>
          </w:tcPr>
          <w:p w14:paraId="5E9285F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systematic review</w:t>
            </w:r>
          </w:p>
        </w:tc>
        <w:tc>
          <w:tcPr>
            <w:tcW w:w="1224" w:type="dxa"/>
            <w:shd w:val="clear" w:color="auto" w:fill="auto"/>
            <w:hideMark/>
          </w:tcPr>
          <w:p w14:paraId="362A03B6" w14:textId="00F7C642"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04DD32B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Number of patients placed on the LCP, length of time patients spent on the LCP</w:t>
            </w:r>
          </w:p>
        </w:tc>
      </w:tr>
      <w:tr w:rsidR="009E62FE" w:rsidRPr="0057539F" w14:paraId="0F666B6A" w14:textId="77777777" w:rsidTr="00BB4029">
        <w:trPr>
          <w:trHeight w:val="240"/>
        </w:trPr>
        <w:tc>
          <w:tcPr>
            <w:tcW w:w="561" w:type="dxa"/>
            <w:shd w:val="clear" w:color="auto" w:fill="auto"/>
            <w:noWrap/>
            <w:hideMark/>
          </w:tcPr>
          <w:p w14:paraId="35350078" w14:textId="48B3BA44"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2</w:t>
            </w:r>
            <w:r w:rsidR="0091387B">
              <w:rPr>
                <w:rFonts w:ascii="Arial" w:hAnsi="Arial" w:cs="Arial"/>
                <w:color w:val="000000"/>
                <w:sz w:val="18"/>
                <w:szCs w:val="18"/>
              </w:rPr>
              <w:t>6</w:t>
            </w:r>
          </w:p>
        </w:tc>
        <w:tc>
          <w:tcPr>
            <w:tcW w:w="1571" w:type="dxa"/>
            <w:shd w:val="clear" w:color="auto" w:fill="auto"/>
            <w:noWrap/>
            <w:hideMark/>
          </w:tcPr>
          <w:p w14:paraId="4D5FDAD4" w14:textId="387C38F1" w:rsidR="009E62FE" w:rsidRPr="0057539F" w:rsidRDefault="009E62FE" w:rsidP="00BB4029">
            <w:pPr>
              <w:rPr>
                <w:rFonts w:ascii="Arial" w:hAnsi="Arial" w:cs="Arial"/>
                <w:sz w:val="18"/>
                <w:szCs w:val="18"/>
              </w:rPr>
            </w:pPr>
            <w:r w:rsidRPr="0057539F">
              <w:rPr>
                <w:rFonts w:ascii="Arial" w:hAnsi="Arial" w:cs="Arial"/>
                <w:sz w:val="18"/>
                <w:szCs w:val="18"/>
              </w:rPr>
              <w:t xml:space="preserve">Takagi J. </w:t>
            </w:r>
            <w:r w:rsidR="00F524BB">
              <w:rPr>
                <w:rFonts w:ascii="Arial" w:hAnsi="Arial" w:cs="Arial"/>
                <w:sz w:val="18"/>
                <w:szCs w:val="18"/>
              </w:rPr>
              <w:t>1996</w:t>
            </w:r>
          </w:p>
        </w:tc>
        <w:tc>
          <w:tcPr>
            <w:tcW w:w="1756" w:type="dxa"/>
            <w:shd w:val="clear" w:color="auto" w:fill="auto"/>
            <w:hideMark/>
          </w:tcPr>
          <w:p w14:paraId="715ACBA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Unavailable full-text</w:t>
            </w:r>
          </w:p>
        </w:tc>
        <w:tc>
          <w:tcPr>
            <w:tcW w:w="2180" w:type="dxa"/>
            <w:shd w:val="clear" w:color="auto" w:fill="auto"/>
            <w:hideMark/>
          </w:tcPr>
          <w:p w14:paraId="4344DC27" w14:textId="77777777" w:rsidR="009E62FE" w:rsidRPr="0057539F" w:rsidRDefault="009E62FE" w:rsidP="00BB4029">
            <w:pPr>
              <w:rPr>
                <w:rFonts w:ascii="Arial" w:hAnsi="Arial" w:cs="Arial"/>
                <w:color w:val="000000"/>
                <w:sz w:val="18"/>
                <w:szCs w:val="18"/>
              </w:rPr>
            </w:pPr>
          </w:p>
        </w:tc>
        <w:tc>
          <w:tcPr>
            <w:tcW w:w="1969" w:type="dxa"/>
            <w:shd w:val="clear" w:color="auto" w:fill="auto"/>
            <w:hideMark/>
          </w:tcPr>
          <w:p w14:paraId="43BEAD71" w14:textId="77777777" w:rsidR="009E62FE" w:rsidRPr="0057539F" w:rsidRDefault="009E62FE" w:rsidP="00BB4029">
            <w:pPr>
              <w:rPr>
                <w:sz w:val="20"/>
                <w:szCs w:val="20"/>
              </w:rPr>
            </w:pPr>
          </w:p>
        </w:tc>
        <w:tc>
          <w:tcPr>
            <w:tcW w:w="1224" w:type="dxa"/>
            <w:shd w:val="clear" w:color="auto" w:fill="auto"/>
            <w:hideMark/>
          </w:tcPr>
          <w:p w14:paraId="0510A9C3" w14:textId="77777777" w:rsidR="009E62FE" w:rsidRPr="0057539F" w:rsidRDefault="009E62FE" w:rsidP="00BB4029">
            <w:pPr>
              <w:rPr>
                <w:sz w:val="20"/>
                <w:szCs w:val="20"/>
              </w:rPr>
            </w:pPr>
          </w:p>
        </w:tc>
        <w:tc>
          <w:tcPr>
            <w:tcW w:w="4743" w:type="dxa"/>
            <w:shd w:val="clear" w:color="auto" w:fill="auto"/>
            <w:hideMark/>
          </w:tcPr>
          <w:p w14:paraId="6B4D4BEB" w14:textId="77777777" w:rsidR="009E62FE" w:rsidRPr="0057539F" w:rsidRDefault="009E62FE" w:rsidP="00BB4029">
            <w:pPr>
              <w:rPr>
                <w:sz w:val="20"/>
                <w:szCs w:val="20"/>
              </w:rPr>
            </w:pPr>
          </w:p>
        </w:tc>
      </w:tr>
      <w:tr w:rsidR="009E62FE" w:rsidRPr="0057539F" w14:paraId="6DF662BB" w14:textId="77777777" w:rsidTr="00BB4029">
        <w:trPr>
          <w:trHeight w:val="240"/>
        </w:trPr>
        <w:tc>
          <w:tcPr>
            <w:tcW w:w="561" w:type="dxa"/>
            <w:shd w:val="clear" w:color="auto" w:fill="auto"/>
            <w:noWrap/>
            <w:hideMark/>
          </w:tcPr>
          <w:p w14:paraId="67336A7E" w14:textId="68C1B9CC"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2</w:t>
            </w:r>
            <w:r w:rsidR="0091387B">
              <w:rPr>
                <w:rFonts w:ascii="Arial" w:hAnsi="Arial" w:cs="Arial"/>
                <w:color w:val="000000"/>
                <w:sz w:val="18"/>
                <w:szCs w:val="18"/>
              </w:rPr>
              <w:t>7</w:t>
            </w:r>
          </w:p>
        </w:tc>
        <w:tc>
          <w:tcPr>
            <w:tcW w:w="1571" w:type="dxa"/>
            <w:shd w:val="clear" w:color="auto" w:fill="auto"/>
            <w:noWrap/>
            <w:hideMark/>
          </w:tcPr>
          <w:p w14:paraId="3A894B5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Tateno Y, et al. 2012</w:t>
            </w:r>
          </w:p>
        </w:tc>
        <w:tc>
          <w:tcPr>
            <w:tcW w:w="1756" w:type="dxa"/>
            <w:shd w:val="clear" w:color="auto" w:fill="auto"/>
            <w:hideMark/>
          </w:tcPr>
          <w:p w14:paraId="401B8A0A"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7B8B882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cancer patient (different cancers)</w:t>
            </w:r>
          </w:p>
        </w:tc>
        <w:tc>
          <w:tcPr>
            <w:tcW w:w="1969" w:type="dxa"/>
            <w:shd w:val="clear" w:color="auto" w:fill="auto"/>
            <w:hideMark/>
          </w:tcPr>
          <w:p w14:paraId="32F26CC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1943BB7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Japan</w:t>
            </w:r>
          </w:p>
        </w:tc>
        <w:tc>
          <w:tcPr>
            <w:tcW w:w="4743" w:type="dxa"/>
            <w:shd w:val="clear" w:color="auto" w:fill="auto"/>
            <w:hideMark/>
          </w:tcPr>
          <w:p w14:paraId="567BFF1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Pain management</w:t>
            </w:r>
          </w:p>
        </w:tc>
      </w:tr>
      <w:tr w:rsidR="009E62FE" w:rsidRPr="009F7793" w14:paraId="7F0D4936" w14:textId="77777777" w:rsidTr="00BB4029">
        <w:trPr>
          <w:trHeight w:val="720"/>
        </w:trPr>
        <w:tc>
          <w:tcPr>
            <w:tcW w:w="561" w:type="dxa"/>
            <w:shd w:val="clear" w:color="auto" w:fill="auto"/>
            <w:noWrap/>
            <w:hideMark/>
          </w:tcPr>
          <w:p w14:paraId="20369B6B" w14:textId="3A68665A"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2</w:t>
            </w:r>
            <w:r w:rsidR="0091387B">
              <w:rPr>
                <w:rFonts w:ascii="Arial" w:hAnsi="Arial" w:cs="Arial"/>
                <w:color w:val="000000"/>
                <w:sz w:val="18"/>
                <w:szCs w:val="18"/>
              </w:rPr>
              <w:t>8</w:t>
            </w:r>
          </w:p>
        </w:tc>
        <w:tc>
          <w:tcPr>
            <w:tcW w:w="1571" w:type="dxa"/>
            <w:shd w:val="clear" w:color="auto" w:fill="auto"/>
            <w:noWrap/>
            <w:hideMark/>
          </w:tcPr>
          <w:p w14:paraId="69F5188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Tomaszek SC, et al. 2010</w:t>
            </w:r>
          </w:p>
        </w:tc>
        <w:tc>
          <w:tcPr>
            <w:tcW w:w="1756" w:type="dxa"/>
            <w:shd w:val="clear" w:color="auto" w:fill="auto"/>
            <w:hideMark/>
          </w:tcPr>
          <w:p w14:paraId="7ABB103D"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756AF78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oesophageal cancer or Barrett’s oesophagus with high-grade dysplasia</w:t>
            </w:r>
          </w:p>
        </w:tc>
        <w:tc>
          <w:tcPr>
            <w:tcW w:w="1969" w:type="dxa"/>
            <w:shd w:val="clear" w:color="auto" w:fill="auto"/>
            <w:hideMark/>
          </w:tcPr>
          <w:p w14:paraId="23A6201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372A523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6DA21BB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anastomotic leak rates, length of hospitalisation, re-admission and other complications.</w:t>
            </w:r>
          </w:p>
        </w:tc>
      </w:tr>
      <w:tr w:rsidR="009E62FE" w:rsidRPr="0057539F" w14:paraId="190C98CA" w14:textId="77777777" w:rsidTr="00BB4029">
        <w:trPr>
          <w:trHeight w:val="240"/>
        </w:trPr>
        <w:tc>
          <w:tcPr>
            <w:tcW w:w="561" w:type="dxa"/>
            <w:shd w:val="clear" w:color="auto" w:fill="auto"/>
            <w:noWrap/>
            <w:hideMark/>
          </w:tcPr>
          <w:p w14:paraId="3BBE9CD2" w14:textId="66076A14"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2</w:t>
            </w:r>
            <w:r w:rsidR="0091387B">
              <w:rPr>
                <w:rFonts w:ascii="Arial" w:hAnsi="Arial" w:cs="Arial"/>
                <w:color w:val="000000"/>
                <w:sz w:val="18"/>
                <w:szCs w:val="18"/>
              </w:rPr>
              <w:t>9</w:t>
            </w:r>
          </w:p>
        </w:tc>
        <w:tc>
          <w:tcPr>
            <w:tcW w:w="1571" w:type="dxa"/>
            <w:shd w:val="clear" w:color="auto" w:fill="auto"/>
            <w:noWrap/>
            <w:hideMark/>
          </w:tcPr>
          <w:p w14:paraId="1A92F60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Tomiki Y, et al. 2015</w:t>
            </w:r>
          </w:p>
        </w:tc>
        <w:tc>
          <w:tcPr>
            <w:tcW w:w="1756" w:type="dxa"/>
            <w:shd w:val="clear" w:color="auto" w:fill="auto"/>
            <w:hideMark/>
          </w:tcPr>
          <w:p w14:paraId="12F597A1"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72C6C59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neoplasms</w:t>
            </w:r>
          </w:p>
        </w:tc>
        <w:tc>
          <w:tcPr>
            <w:tcW w:w="1969" w:type="dxa"/>
            <w:shd w:val="clear" w:color="auto" w:fill="auto"/>
            <w:hideMark/>
          </w:tcPr>
          <w:p w14:paraId="4E97245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175A32C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Japan</w:t>
            </w:r>
          </w:p>
        </w:tc>
        <w:tc>
          <w:tcPr>
            <w:tcW w:w="4743" w:type="dxa"/>
            <w:shd w:val="clear" w:color="auto" w:fill="auto"/>
            <w:hideMark/>
          </w:tcPr>
          <w:p w14:paraId="7A5B3BA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Hospital stay</w:t>
            </w:r>
          </w:p>
        </w:tc>
      </w:tr>
      <w:tr w:rsidR="009E62FE" w:rsidRPr="009F7793" w14:paraId="52060862" w14:textId="77777777" w:rsidTr="00BB4029">
        <w:trPr>
          <w:trHeight w:val="720"/>
        </w:trPr>
        <w:tc>
          <w:tcPr>
            <w:tcW w:w="561" w:type="dxa"/>
            <w:shd w:val="clear" w:color="auto" w:fill="auto"/>
            <w:noWrap/>
            <w:hideMark/>
          </w:tcPr>
          <w:p w14:paraId="134E417F" w14:textId="3EE3AD89"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1</w:t>
            </w:r>
            <w:r w:rsidR="0091387B">
              <w:rPr>
                <w:rFonts w:ascii="Arial" w:hAnsi="Arial" w:cs="Arial"/>
                <w:color w:val="000000"/>
                <w:sz w:val="18"/>
                <w:szCs w:val="18"/>
              </w:rPr>
              <w:t>30</w:t>
            </w:r>
          </w:p>
        </w:tc>
        <w:tc>
          <w:tcPr>
            <w:tcW w:w="1571" w:type="dxa"/>
            <w:shd w:val="clear" w:color="auto" w:fill="auto"/>
            <w:noWrap/>
            <w:hideMark/>
          </w:tcPr>
          <w:p w14:paraId="3C335CE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Turini IG, et al. 2016</w:t>
            </w:r>
          </w:p>
        </w:tc>
        <w:tc>
          <w:tcPr>
            <w:tcW w:w="1756" w:type="dxa"/>
            <w:shd w:val="clear" w:color="auto" w:fill="auto"/>
            <w:hideMark/>
          </w:tcPr>
          <w:p w14:paraId="197F2957"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3E619CE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who underwent Robot Assisted Laparoscopic Radical Prostatectomy (RALRP)</w:t>
            </w:r>
          </w:p>
        </w:tc>
        <w:tc>
          <w:tcPr>
            <w:tcW w:w="1969" w:type="dxa"/>
            <w:shd w:val="clear" w:color="auto" w:fill="auto"/>
            <w:hideMark/>
          </w:tcPr>
          <w:p w14:paraId="41CD7A3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chart review</w:t>
            </w:r>
          </w:p>
        </w:tc>
        <w:tc>
          <w:tcPr>
            <w:tcW w:w="1224" w:type="dxa"/>
            <w:shd w:val="clear" w:color="auto" w:fill="auto"/>
            <w:hideMark/>
          </w:tcPr>
          <w:p w14:paraId="02D6C5E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w:t>
            </w:r>
          </w:p>
        </w:tc>
        <w:tc>
          <w:tcPr>
            <w:tcW w:w="4743" w:type="dxa"/>
            <w:shd w:val="clear" w:color="auto" w:fill="auto"/>
            <w:hideMark/>
          </w:tcPr>
          <w:p w14:paraId="04733006"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Clinical patient care outcomes, quality of life and satisfaction</w:t>
            </w:r>
          </w:p>
        </w:tc>
      </w:tr>
      <w:tr w:rsidR="009E62FE" w:rsidRPr="0057539F" w14:paraId="50C84670" w14:textId="77777777" w:rsidTr="00BB4029">
        <w:trPr>
          <w:trHeight w:val="240"/>
        </w:trPr>
        <w:tc>
          <w:tcPr>
            <w:tcW w:w="561" w:type="dxa"/>
            <w:shd w:val="clear" w:color="auto" w:fill="auto"/>
            <w:noWrap/>
            <w:hideMark/>
          </w:tcPr>
          <w:p w14:paraId="4C7C7CE5" w14:textId="48C5788E"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91387B">
              <w:rPr>
                <w:rFonts w:ascii="Arial" w:hAnsi="Arial" w:cs="Arial"/>
                <w:color w:val="000000"/>
                <w:sz w:val="18"/>
                <w:szCs w:val="18"/>
              </w:rPr>
              <w:t>31</w:t>
            </w:r>
          </w:p>
        </w:tc>
        <w:tc>
          <w:tcPr>
            <w:tcW w:w="1571" w:type="dxa"/>
            <w:shd w:val="clear" w:color="auto" w:fill="auto"/>
            <w:noWrap/>
            <w:hideMark/>
          </w:tcPr>
          <w:p w14:paraId="5ED03DE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Una E, et al. 2010</w:t>
            </w:r>
          </w:p>
        </w:tc>
        <w:tc>
          <w:tcPr>
            <w:tcW w:w="1756" w:type="dxa"/>
            <w:shd w:val="clear" w:color="auto" w:fill="auto"/>
            <w:hideMark/>
          </w:tcPr>
          <w:p w14:paraId="75E473AD"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836B81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Rectal Cancer</w:t>
            </w:r>
          </w:p>
        </w:tc>
        <w:tc>
          <w:tcPr>
            <w:tcW w:w="1969" w:type="dxa"/>
            <w:shd w:val="clear" w:color="auto" w:fill="auto"/>
            <w:hideMark/>
          </w:tcPr>
          <w:p w14:paraId="4641617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cross-sectional study</w:t>
            </w:r>
          </w:p>
        </w:tc>
        <w:tc>
          <w:tcPr>
            <w:tcW w:w="1224" w:type="dxa"/>
            <w:shd w:val="clear" w:color="auto" w:fill="auto"/>
            <w:hideMark/>
          </w:tcPr>
          <w:p w14:paraId="5545BA0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Spain</w:t>
            </w:r>
          </w:p>
        </w:tc>
        <w:tc>
          <w:tcPr>
            <w:tcW w:w="4743" w:type="dxa"/>
            <w:shd w:val="clear" w:color="auto" w:fill="auto"/>
            <w:hideMark/>
          </w:tcPr>
          <w:p w14:paraId="6EFF3CB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Time intervals, patient satisfaction</w:t>
            </w:r>
          </w:p>
        </w:tc>
      </w:tr>
      <w:tr w:rsidR="009E62FE" w:rsidRPr="009F7793" w14:paraId="532F53F3" w14:textId="77777777" w:rsidTr="00BB4029">
        <w:trPr>
          <w:trHeight w:val="720"/>
        </w:trPr>
        <w:tc>
          <w:tcPr>
            <w:tcW w:w="561" w:type="dxa"/>
            <w:shd w:val="clear" w:color="auto" w:fill="auto"/>
            <w:noWrap/>
            <w:hideMark/>
          </w:tcPr>
          <w:p w14:paraId="2E432582" w14:textId="7C59F8C6"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3</w:t>
            </w:r>
            <w:r w:rsidR="0091387B">
              <w:rPr>
                <w:rFonts w:ascii="Arial" w:hAnsi="Arial" w:cs="Arial"/>
                <w:color w:val="000000"/>
                <w:sz w:val="18"/>
                <w:szCs w:val="18"/>
              </w:rPr>
              <w:t>2</w:t>
            </w:r>
          </w:p>
        </w:tc>
        <w:tc>
          <w:tcPr>
            <w:tcW w:w="1571" w:type="dxa"/>
            <w:shd w:val="clear" w:color="auto" w:fill="auto"/>
            <w:noWrap/>
            <w:hideMark/>
          </w:tcPr>
          <w:p w14:paraId="6102B88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Valentin-Lopez B, et al. 2012</w:t>
            </w:r>
          </w:p>
        </w:tc>
        <w:tc>
          <w:tcPr>
            <w:tcW w:w="1756" w:type="dxa"/>
            <w:shd w:val="clear" w:color="auto" w:fill="auto"/>
            <w:hideMark/>
          </w:tcPr>
          <w:p w14:paraId="406D0342"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3122BF0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w:t>
            </w:r>
          </w:p>
        </w:tc>
        <w:tc>
          <w:tcPr>
            <w:tcW w:w="1969" w:type="dxa"/>
            <w:shd w:val="clear" w:color="auto" w:fill="auto"/>
            <w:hideMark/>
          </w:tcPr>
          <w:p w14:paraId="1D06AD3C"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retrospective study and prospective data collection of pathway group</w:t>
            </w:r>
          </w:p>
        </w:tc>
        <w:tc>
          <w:tcPr>
            <w:tcW w:w="1224" w:type="dxa"/>
            <w:shd w:val="clear" w:color="auto" w:fill="auto"/>
            <w:hideMark/>
          </w:tcPr>
          <w:p w14:paraId="243093C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Spain</w:t>
            </w:r>
          </w:p>
        </w:tc>
        <w:tc>
          <w:tcPr>
            <w:tcW w:w="4743" w:type="dxa"/>
            <w:shd w:val="clear" w:color="auto" w:fill="auto"/>
            <w:hideMark/>
          </w:tcPr>
          <w:p w14:paraId="76A280AD"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Referral criteria met, waiting times, number of cancers diagnosed, endoscopic polypectomies performed, surgery for CRC and the stage of disease at surgery.</w:t>
            </w:r>
          </w:p>
        </w:tc>
      </w:tr>
      <w:tr w:rsidR="009E62FE" w:rsidRPr="009F7793" w14:paraId="647672B2" w14:textId="77777777" w:rsidTr="00BB4029">
        <w:trPr>
          <w:trHeight w:val="960"/>
        </w:trPr>
        <w:tc>
          <w:tcPr>
            <w:tcW w:w="561" w:type="dxa"/>
            <w:shd w:val="clear" w:color="auto" w:fill="auto"/>
            <w:noWrap/>
            <w:hideMark/>
          </w:tcPr>
          <w:p w14:paraId="59B468B8" w14:textId="66577834"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3</w:t>
            </w:r>
            <w:r w:rsidR="0091387B">
              <w:rPr>
                <w:rFonts w:ascii="Arial" w:hAnsi="Arial" w:cs="Arial"/>
                <w:color w:val="000000"/>
                <w:sz w:val="18"/>
                <w:szCs w:val="18"/>
              </w:rPr>
              <w:t>3</w:t>
            </w:r>
          </w:p>
        </w:tc>
        <w:tc>
          <w:tcPr>
            <w:tcW w:w="1571" w:type="dxa"/>
            <w:shd w:val="clear" w:color="auto" w:fill="auto"/>
            <w:noWrap/>
            <w:hideMark/>
          </w:tcPr>
          <w:p w14:paraId="792233B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Vallverdu-Cartie H, et al. 2011</w:t>
            </w:r>
          </w:p>
        </w:tc>
        <w:tc>
          <w:tcPr>
            <w:tcW w:w="1756" w:type="dxa"/>
            <w:shd w:val="clear" w:color="auto" w:fill="auto"/>
            <w:hideMark/>
          </w:tcPr>
          <w:p w14:paraId="302690EE"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292BCC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w:t>
            </w:r>
          </w:p>
        </w:tc>
        <w:tc>
          <w:tcPr>
            <w:tcW w:w="1969" w:type="dxa"/>
            <w:shd w:val="clear" w:color="auto" w:fill="auto"/>
            <w:hideMark/>
          </w:tcPr>
          <w:p w14:paraId="6260C84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longitudinal and observational study</w:t>
            </w:r>
          </w:p>
        </w:tc>
        <w:tc>
          <w:tcPr>
            <w:tcW w:w="1224" w:type="dxa"/>
            <w:shd w:val="clear" w:color="auto" w:fill="auto"/>
            <w:hideMark/>
          </w:tcPr>
          <w:p w14:paraId="35EF34A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Spain</w:t>
            </w:r>
          </w:p>
        </w:tc>
        <w:tc>
          <w:tcPr>
            <w:tcW w:w="4743" w:type="dxa"/>
            <w:shd w:val="clear" w:color="auto" w:fill="auto"/>
            <w:hideMark/>
          </w:tcPr>
          <w:p w14:paraId="34C4297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Origin of patient’s referral, date of entry in FTDP, date of first hospital visit, date of colonoscopy, date of colorectal surgeon consultation and date of surgical intervention</w:t>
            </w:r>
          </w:p>
        </w:tc>
      </w:tr>
      <w:tr w:rsidR="009E62FE" w:rsidRPr="0057539F" w14:paraId="20FD5C88" w14:textId="77777777" w:rsidTr="00BB4029">
        <w:trPr>
          <w:trHeight w:val="480"/>
        </w:trPr>
        <w:tc>
          <w:tcPr>
            <w:tcW w:w="561" w:type="dxa"/>
            <w:shd w:val="clear" w:color="auto" w:fill="auto"/>
            <w:noWrap/>
            <w:hideMark/>
          </w:tcPr>
          <w:p w14:paraId="2F1AFBAB" w14:textId="7928B963"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3</w:t>
            </w:r>
            <w:r w:rsidR="0091387B">
              <w:rPr>
                <w:rFonts w:ascii="Arial" w:hAnsi="Arial" w:cs="Arial"/>
                <w:color w:val="000000"/>
                <w:sz w:val="18"/>
                <w:szCs w:val="18"/>
              </w:rPr>
              <w:t>4</w:t>
            </w:r>
          </w:p>
        </w:tc>
        <w:tc>
          <w:tcPr>
            <w:tcW w:w="1571" w:type="dxa"/>
            <w:shd w:val="clear" w:color="auto" w:fill="auto"/>
            <w:noWrap/>
            <w:hideMark/>
          </w:tcPr>
          <w:p w14:paraId="3935A34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Van Beek K, et al. 2016</w:t>
            </w:r>
          </w:p>
        </w:tc>
        <w:tc>
          <w:tcPr>
            <w:tcW w:w="1756" w:type="dxa"/>
            <w:shd w:val="clear" w:color="auto" w:fill="auto"/>
            <w:hideMark/>
          </w:tcPr>
          <w:p w14:paraId="59C540DE"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7F56645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cancer patients</w:t>
            </w:r>
          </w:p>
        </w:tc>
        <w:tc>
          <w:tcPr>
            <w:tcW w:w="1969" w:type="dxa"/>
            <w:shd w:val="clear" w:color="auto" w:fill="auto"/>
            <w:hideMark/>
          </w:tcPr>
          <w:p w14:paraId="3053E8F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systematic literature</w:t>
            </w:r>
            <w:r w:rsidRPr="0057539F">
              <w:rPr>
                <w:rFonts w:ascii="Arial" w:hAnsi="Arial" w:cs="Arial"/>
                <w:color w:val="000000"/>
                <w:sz w:val="18"/>
                <w:szCs w:val="18"/>
              </w:rPr>
              <w:br/>
              <w:t>review</w:t>
            </w:r>
          </w:p>
        </w:tc>
        <w:tc>
          <w:tcPr>
            <w:tcW w:w="1224" w:type="dxa"/>
            <w:shd w:val="clear" w:color="auto" w:fill="auto"/>
            <w:hideMark/>
          </w:tcPr>
          <w:p w14:paraId="1E1E497E" w14:textId="33BFCCFD"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0AF62BD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ICP criteria</w:t>
            </w:r>
          </w:p>
        </w:tc>
      </w:tr>
      <w:tr w:rsidR="009E62FE" w:rsidRPr="009F7793" w14:paraId="30A58863" w14:textId="77777777" w:rsidTr="00BB4029">
        <w:trPr>
          <w:trHeight w:val="1200"/>
        </w:trPr>
        <w:tc>
          <w:tcPr>
            <w:tcW w:w="561" w:type="dxa"/>
            <w:shd w:val="clear" w:color="auto" w:fill="auto"/>
            <w:noWrap/>
            <w:hideMark/>
          </w:tcPr>
          <w:p w14:paraId="32D39D6E" w14:textId="4BA54345"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3</w:t>
            </w:r>
            <w:r w:rsidR="0091387B">
              <w:rPr>
                <w:rFonts w:ascii="Arial" w:hAnsi="Arial" w:cs="Arial"/>
                <w:color w:val="000000"/>
                <w:sz w:val="18"/>
                <w:szCs w:val="18"/>
              </w:rPr>
              <w:t>5</w:t>
            </w:r>
          </w:p>
        </w:tc>
        <w:tc>
          <w:tcPr>
            <w:tcW w:w="1571" w:type="dxa"/>
            <w:shd w:val="clear" w:color="auto" w:fill="auto"/>
            <w:noWrap/>
            <w:hideMark/>
          </w:tcPr>
          <w:p w14:paraId="7B4B5E7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van Dam PA, et al. 2013</w:t>
            </w:r>
          </w:p>
        </w:tc>
        <w:tc>
          <w:tcPr>
            <w:tcW w:w="1756" w:type="dxa"/>
            <w:shd w:val="clear" w:color="auto" w:fill="auto"/>
            <w:hideMark/>
          </w:tcPr>
          <w:p w14:paraId="157530A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 control</w:t>
            </w:r>
          </w:p>
        </w:tc>
        <w:tc>
          <w:tcPr>
            <w:tcW w:w="2180" w:type="dxa"/>
            <w:shd w:val="clear" w:color="auto" w:fill="auto"/>
            <w:hideMark/>
          </w:tcPr>
          <w:p w14:paraId="4BD8AD6B"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breast cancer</w:t>
            </w:r>
          </w:p>
        </w:tc>
        <w:tc>
          <w:tcPr>
            <w:tcW w:w="1969" w:type="dxa"/>
            <w:shd w:val="clear" w:color="auto" w:fill="auto"/>
            <w:hideMark/>
          </w:tcPr>
          <w:p w14:paraId="5281BC89"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prospective systematic evaluation</w:t>
            </w:r>
          </w:p>
        </w:tc>
        <w:tc>
          <w:tcPr>
            <w:tcW w:w="1224" w:type="dxa"/>
            <w:shd w:val="clear" w:color="auto" w:fill="auto"/>
            <w:hideMark/>
          </w:tcPr>
          <w:p w14:paraId="562AA55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Belgium</w:t>
            </w:r>
          </w:p>
        </w:tc>
        <w:tc>
          <w:tcPr>
            <w:tcW w:w="4743" w:type="dxa"/>
            <w:shd w:val="clear" w:color="auto" w:fill="auto"/>
            <w:hideMark/>
          </w:tcPr>
          <w:p w14:paraId="3D16D99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Clinical outcome measures, service indicators, team indicators, process indicators and financial indicators: treatment according the guidelines, patient satisfaction, progression free 4-year survival, overall 4-year survival</w:t>
            </w:r>
          </w:p>
        </w:tc>
      </w:tr>
      <w:tr w:rsidR="009E62FE" w:rsidRPr="009F7793" w14:paraId="7ACBA558" w14:textId="77777777" w:rsidTr="00BB4029">
        <w:trPr>
          <w:trHeight w:val="240"/>
        </w:trPr>
        <w:tc>
          <w:tcPr>
            <w:tcW w:w="561" w:type="dxa"/>
            <w:shd w:val="clear" w:color="auto" w:fill="auto"/>
            <w:noWrap/>
            <w:hideMark/>
          </w:tcPr>
          <w:p w14:paraId="596E0957" w14:textId="4A2527BC"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3</w:t>
            </w:r>
            <w:r w:rsidR="0091387B">
              <w:rPr>
                <w:rFonts w:ascii="Arial" w:hAnsi="Arial" w:cs="Arial"/>
                <w:color w:val="000000"/>
                <w:sz w:val="18"/>
                <w:szCs w:val="18"/>
              </w:rPr>
              <w:t>6</w:t>
            </w:r>
          </w:p>
        </w:tc>
        <w:tc>
          <w:tcPr>
            <w:tcW w:w="1571" w:type="dxa"/>
            <w:shd w:val="clear" w:color="auto" w:fill="auto"/>
            <w:noWrap/>
            <w:hideMark/>
          </w:tcPr>
          <w:p w14:paraId="6D69447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van Hoeve J, et al. 2014</w:t>
            </w:r>
          </w:p>
        </w:tc>
        <w:tc>
          <w:tcPr>
            <w:tcW w:w="1756" w:type="dxa"/>
            <w:shd w:val="clear" w:color="auto" w:fill="auto"/>
            <w:hideMark/>
          </w:tcPr>
          <w:p w14:paraId="7A747EB7"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622E2B7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breast cancer</w:t>
            </w:r>
          </w:p>
        </w:tc>
        <w:tc>
          <w:tcPr>
            <w:tcW w:w="1969" w:type="dxa"/>
            <w:shd w:val="clear" w:color="auto" w:fill="auto"/>
            <w:hideMark/>
          </w:tcPr>
          <w:p w14:paraId="204741B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68B1B5A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Netherlands</w:t>
            </w:r>
          </w:p>
        </w:tc>
        <w:tc>
          <w:tcPr>
            <w:tcW w:w="4743" w:type="dxa"/>
            <w:shd w:val="clear" w:color="auto" w:fill="auto"/>
            <w:hideMark/>
          </w:tcPr>
          <w:p w14:paraId="0492477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Clinical outcomes and time intervals</w:t>
            </w:r>
          </w:p>
        </w:tc>
      </w:tr>
      <w:tr w:rsidR="009E62FE" w:rsidRPr="009F7793" w14:paraId="632750C5" w14:textId="77777777" w:rsidTr="00BB4029">
        <w:trPr>
          <w:trHeight w:val="240"/>
        </w:trPr>
        <w:tc>
          <w:tcPr>
            <w:tcW w:w="561" w:type="dxa"/>
            <w:shd w:val="clear" w:color="auto" w:fill="auto"/>
            <w:noWrap/>
            <w:hideMark/>
          </w:tcPr>
          <w:p w14:paraId="7193255D" w14:textId="4E103AAC"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3</w:t>
            </w:r>
            <w:r w:rsidR="0091387B">
              <w:rPr>
                <w:rFonts w:ascii="Arial" w:hAnsi="Arial" w:cs="Arial"/>
                <w:color w:val="000000"/>
                <w:sz w:val="18"/>
                <w:szCs w:val="18"/>
              </w:rPr>
              <w:t>7</w:t>
            </w:r>
          </w:p>
        </w:tc>
        <w:tc>
          <w:tcPr>
            <w:tcW w:w="1571" w:type="dxa"/>
            <w:shd w:val="clear" w:color="auto" w:fill="auto"/>
            <w:noWrap/>
            <w:hideMark/>
          </w:tcPr>
          <w:p w14:paraId="350D5F7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van Hoeve JC, et al. 2015</w:t>
            </w:r>
          </w:p>
        </w:tc>
        <w:tc>
          <w:tcPr>
            <w:tcW w:w="1756" w:type="dxa"/>
            <w:shd w:val="clear" w:color="auto" w:fill="auto"/>
            <w:hideMark/>
          </w:tcPr>
          <w:p w14:paraId="5D151E3E"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0E36169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rectal cancer</w:t>
            </w:r>
          </w:p>
        </w:tc>
        <w:tc>
          <w:tcPr>
            <w:tcW w:w="1969" w:type="dxa"/>
            <w:shd w:val="clear" w:color="auto" w:fill="auto"/>
            <w:hideMark/>
          </w:tcPr>
          <w:p w14:paraId="4C0CEE6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2721C51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Netherlands</w:t>
            </w:r>
          </w:p>
        </w:tc>
        <w:tc>
          <w:tcPr>
            <w:tcW w:w="4743" w:type="dxa"/>
            <w:shd w:val="clear" w:color="auto" w:fill="auto"/>
            <w:hideMark/>
          </w:tcPr>
          <w:p w14:paraId="5592287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Clinical outcomes and time intervals</w:t>
            </w:r>
          </w:p>
        </w:tc>
      </w:tr>
      <w:tr w:rsidR="009E62FE" w:rsidRPr="0057539F" w14:paraId="57E57B66" w14:textId="77777777" w:rsidTr="00BB4029">
        <w:trPr>
          <w:trHeight w:val="960"/>
        </w:trPr>
        <w:tc>
          <w:tcPr>
            <w:tcW w:w="561" w:type="dxa"/>
            <w:shd w:val="clear" w:color="auto" w:fill="auto"/>
            <w:noWrap/>
            <w:hideMark/>
          </w:tcPr>
          <w:p w14:paraId="765272D9" w14:textId="3DE71D8B"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1</w:t>
            </w:r>
            <w:r>
              <w:rPr>
                <w:rFonts w:ascii="Arial" w:hAnsi="Arial" w:cs="Arial"/>
                <w:color w:val="000000"/>
                <w:sz w:val="18"/>
                <w:szCs w:val="18"/>
              </w:rPr>
              <w:t>3</w:t>
            </w:r>
            <w:r w:rsidR="0091387B">
              <w:rPr>
                <w:rFonts w:ascii="Arial" w:hAnsi="Arial" w:cs="Arial"/>
                <w:color w:val="000000"/>
                <w:sz w:val="18"/>
                <w:szCs w:val="18"/>
              </w:rPr>
              <w:t>8</w:t>
            </w:r>
          </w:p>
        </w:tc>
        <w:tc>
          <w:tcPr>
            <w:tcW w:w="1571" w:type="dxa"/>
            <w:shd w:val="clear" w:color="auto" w:fill="auto"/>
            <w:noWrap/>
            <w:hideMark/>
          </w:tcPr>
          <w:p w14:paraId="540CF48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Van Houdt S, et al. 2013</w:t>
            </w:r>
          </w:p>
        </w:tc>
        <w:tc>
          <w:tcPr>
            <w:tcW w:w="1756" w:type="dxa"/>
            <w:shd w:val="clear" w:color="auto" w:fill="auto"/>
            <w:hideMark/>
          </w:tcPr>
          <w:p w14:paraId="100CD481"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74111F5"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radical prostatectomy patients (cancer patients?)</w:t>
            </w:r>
          </w:p>
        </w:tc>
        <w:tc>
          <w:tcPr>
            <w:tcW w:w="1969" w:type="dxa"/>
            <w:shd w:val="clear" w:color="auto" w:fill="auto"/>
            <w:hideMark/>
          </w:tcPr>
          <w:p w14:paraId="765ACD9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exploratory trial</w:t>
            </w:r>
          </w:p>
        </w:tc>
        <w:tc>
          <w:tcPr>
            <w:tcW w:w="1224" w:type="dxa"/>
            <w:shd w:val="clear" w:color="auto" w:fill="auto"/>
            <w:hideMark/>
          </w:tcPr>
          <w:p w14:paraId="148D7DFC"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Belgium</w:t>
            </w:r>
          </w:p>
        </w:tc>
        <w:tc>
          <w:tcPr>
            <w:tcW w:w="4743" w:type="dxa"/>
            <w:shd w:val="clear" w:color="auto" w:fill="auto"/>
            <w:hideMark/>
          </w:tcPr>
          <w:p w14:paraId="1326F08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lang w:val="en-US"/>
              </w:rPr>
              <w:t xml:space="preserve">Quality of care was translated into process and outcome indicators. Quality of care was translated into patient-perceived quality indicators. </w:t>
            </w:r>
            <w:r w:rsidRPr="0057539F">
              <w:rPr>
                <w:rFonts w:ascii="Arial" w:hAnsi="Arial" w:cs="Arial"/>
                <w:color w:val="000000"/>
                <w:sz w:val="18"/>
                <w:szCs w:val="18"/>
              </w:rPr>
              <w:t>And the Distress thermometer.</w:t>
            </w:r>
          </w:p>
        </w:tc>
      </w:tr>
      <w:tr w:rsidR="009E62FE" w:rsidRPr="0057539F" w14:paraId="68C30032" w14:textId="77777777" w:rsidTr="00BB4029">
        <w:trPr>
          <w:trHeight w:val="480"/>
        </w:trPr>
        <w:tc>
          <w:tcPr>
            <w:tcW w:w="561" w:type="dxa"/>
            <w:shd w:val="clear" w:color="auto" w:fill="auto"/>
            <w:noWrap/>
            <w:hideMark/>
          </w:tcPr>
          <w:p w14:paraId="19BBDF89" w14:textId="5256A371"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3</w:t>
            </w:r>
            <w:r w:rsidR="0091387B">
              <w:rPr>
                <w:rFonts w:ascii="Arial" w:hAnsi="Arial" w:cs="Arial"/>
                <w:color w:val="000000"/>
                <w:sz w:val="18"/>
                <w:szCs w:val="18"/>
              </w:rPr>
              <w:t>9</w:t>
            </w:r>
          </w:p>
        </w:tc>
        <w:tc>
          <w:tcPr>
            <w:tcW w:w="1571" w:type="dxa"/>
            <w:shd w:val="clear" w:color="auto" w:fill="auto"/>
            <w:noWrap/>
            <w:hideMark/>
          </w:tcPr>
          <w:p w14:paraId="577B385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van Zelm R,et al. 2017</w:t>
            </w:r>
          </w:p>
        </w:tc>
        <w:tc>
          <w:tcPr>
            <w:tcW w:w="1756" w:type="dxa"/>
            <w:shd w:val="clear" w:color="auto" w:fill="auto"/>
            <w:hideMark/>
          </w:tcPr>
          <w:p w14:paraId="2D2CB2C7"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26D341F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cancer surgery</w:t>
            </w:r>
          </w:p>
        </w:tc>
        <w:tc>
          <w:tcPr>
            <w:tcW w:w="1969" w:type="dxa"/>
            <w:shd w:val="clear" w:color="auto" w:fill="auto"/>
            <w:hideMark/>
          </w:tcPr>
          <w:p w14:paraId="1196EAD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systematic search</w:t>
            </w:r>
          </w:p>
        </w:tc>
        <w:tc>
          <w:tcPr>
            <w:tcW w:w="1224" w:type="dxa"/>
            <w:shd w:val="clear" w:color="auto" w:fill="auto"/>
            <w:hideMark/>
          </w:tcPr>
          <w:p w14:paraId="65BB02FB" w14:textId="61F38073"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526E33B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Key interventions</w:t>
            </w:r>
          </w:p>
        </w:tc>
      </w:tr>
      <w:tr w:rsidR="009E62FE" w:rsidRPr="009F7793" w14:paraId="1BB295B9" w14:textId="77777777" w:rsidTr="00BB4029">
        <w:trPr>
          <w:trHeight w:val="480"/>
        </w:trPr>
        <w:tc>
          <w:tcPr>
            <w:tcW w:w="561" w:type="dxa"/>
            <w:shd w:val="clear" w:color="auto" w:fill="auto"/>
            <w:noWrap/>
            <w:hideMark/>
          </w:tcPr>
          <w:p w14:paraId="1BEB5CA7" w14:textId="3BD5E0C0"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91387B">
              <w:rPr>
                <w:rFonts w:ascii="Arial" w:hAnsi="Arial" w:cs="Arial"/>
                <w:color w:val="000000"/>
                <w:sz w:val="18"/>
                <w:szCs w:val="18"/>
              </w:rPr>
              <w:t>40</w:t>
            </w:r>
          </w:p>
        </w:tc>
        <w:tc>
          <w:tcPr>
            <w:tcW w:w="1571" w:type="dxa"/>
            <w:shd w:val="clear" w:color="auto" w:fill="auto"/>
            <w:noWrap/>
            <w:hideMark/>
          </w:tcPr>
          <w:p w14:paraId="2F4E280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Varela-Centelles P, et al. 2017</w:t>
            </w:r>
          </w:p>
        </w:tc>
        <w:tc>
          <w:tcPr>
            <w:tcW w:w="1756" w:type="dxa"/>
            <w:shd w:val="clear" w:color="auto" w:fill="auto"/>
            <w:hideMark/>
          </w:tcPr>
          <w:p w14:paraId="646207E1"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1FD5283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oral and oropharyngeal cancer patients</w:t>
            </w:r>
          </w:p>
        </w:tc>
        <w:tc>
          <w:tcPr>
            <w:tcW w:w="1969" w:type="dxa"/>
            <w:shd w:val="clear" w:color="auto" w:fill="auto"/>
            <w:hideMark/>
          </w:tcPr>
          <w:p w14:paraId="4F73B76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quantitative systematic review</w:t>
            </w:r>
          </w:p>
        </w:tc>
        <w:tc>
          <w:tcPr>
            <w:tcW w:w="1224" w:type="dxa"/>
            <w:shd w:val="clear" w:color="auto" w:fill="auto"/>
            <w:hideMark/>
          </w:tcPr>
          <w:p w14:paraId="254F5E22" w14:textId="75A8C7CF"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70DAF9E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Five measures (patient, primary care, diagnosis, total diagnosis and total treatment intervals).</w:t>
            </w:r>
          </w:p>
        </w:tc>
      </w:tr>
      <w:tr w:rsidR="009E62FE" w:rsidRPr="009F7793" w14:paraId="7691E661" w14:textId="77777777" w:rsidTr="00BB4029">
        <w:trPr>
          <w:trHeight w:val="480"/>
        </w:trPr>
        <w:tc>
          <w:tcPr>
            <w:tcW w:w="561" w:type="dxa"/>
            <w:shd w:val="clear" w:color="auto" w:fill="auto"/>
            <w:noWrap/>
            <w:hideMark/>
          </w:tcPr>
          <w:p w14:paraId="2D269CAB" w14:textId="26F1CDE2"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91387B">
              <w:rPr>
                <w:rFonts w:ascii="Arial" w:hAnsi="Arial" w:cs="Arial"/>
                <w:color w:val="000000"/>
                <w:sz w:val="18"/>
                <w:szCs w:val="18"/>
              </w:rPr>
              <w:t>41</w:t>
            </w:r>
          </w:p>
        </w:tc>
        <w:tc>
          <w:tcPr>
            <w:tcW w:w="1571" w:type="dxa"/>
            <w:shd w:val="clear" w:color="auto" w:fill="auto"/>
            <w:noWrap/>
            <w:hideMark/>
          </w:tcPr>
          <w:p w14:paraId="3D552A6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Verhofstede R, et al. 2012</w:t>
            </w:r>
          </w:p>
        </w:tc>
        <w:tc>
          <w:tcPr>
            <w:tcW w:w="1756" w:type="dxa"/>
            <w:shd w:val="clear" w:color="auto" w:fill="auto"/>
            <w:hideMark/>
          </w:tcPr>
          <w:p w14:paraId="0747B86A"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657A6092"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dying in an acute geriatric ward</w:t>
            </w:r>
          </w:p>
        </w:tc>
        <w:tc>
          <w:tcPr>
            <w:tcW w:w="1969" w:type="dxa"/>
            <w:shd w:val="clear" w:color="auto" w:fill="auto"/>
            <w:hideMark/>
          </w:tcPr>
          <w:p w14:paraId="22D7A55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study protocol</w:t>
            </w:r>
          </w:p>
        </w:tc>
        <w:tc>
          <w:tcPr>
            <w:tcW w:w="1224" w:type="dxa"/>
            <w:shd w:val="clear" w:color="auto" w:fill="auto"/>
            <w:hideMark/>
          </w:tcPr>
          <w:p w14:paraId="45EFE94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Belgium</w:t>
            </w:r>
          </w:p>
        </w:tc>
        <w:tc>
          <w:tcPr>
            <w:tcW w:w="4743" w:type="dxa"/>
            <w:shd w:val="clear" w:color="auto" w:fill="auto"/>
            <w:hideMark/>
          </w:tcPr>
          <w:p w14:paraId="1FD62D3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Symptom frequency and symptom burden of patients in the last 48 hours of life</w:t>
            </w:r>
          </w:p>
        </w:tc>
      </w:tr>
      <w:tr w:rsidR="009E62FE" w:rsidRPr="009F7793" w14:paraId="3768C02E" w14:textId="77777777" w:rsidTr="00BB4029">
        <w:trPr>
          <w:trHeight w:val="480"/>
        </w:trPr>
        <w:tc>
          <w:tcPr>
            <w:tcW w:w="561" w:type="dxa"/>
            <w:shd w:val="clear" w:color="auto" w:fill="auto"/>
            <w:noWrap/>
            <w:hideMark/>
          </w:tcPr>
          <w:p w14:paraId="56400F0C" w14:textId="72DD34E0"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4</w:t>
            </w:r>
            <w:r w:rsidR="0091387B">
              <w:rPr>
                <w:rFonts w:ascii="Arial" w:hAnsi="Arial" w:cs="Arial"/>
                <w:color w:val="000000"/>
                <w:sz w:val="18"/>
                <w:szCs w:val="18"/>
              </w:rPr>
              <w:t>2</w:t>
            </w:r>
          </w:p>
        </w:tc>
        <w:tc>
          <w:tcPr>
            <w:tcW w:w="1571" w:type="dxa"/>
            <w:shd w:val="clear" w:color="auto" w:fill="auto"/>
            <w:noWrap/>
            <w:hideMark/>
          </w:tcPr>
          <w:p w14:paraId="728E2A4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Wang ML, et al. 2017</w:t>
            </w:r>
          </w:p>
        </w:tc>
        <w:tc>
          <w:tcPr>
            <w:tcW w:w="1756" w:type="dxa"/>
            <w:shd w:val="clear" w:color="auto" w:fill="auto"/>
            <w:hideMark/>
          </w:tcPr>
          <w:p w14:paraId="52F8EDB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Not cancer patients</w:t>
            </w:r>
          </w:p>
        </w:tc>
        <w:tc>
          <w:tcPr>
            <w:tcW w:w="2180" w:type="dxa"/>
            <w:shd w:val="clear" w:color="auto" w:fill="auto"/>
            <w:hideMark/>
          </w:tcPr>
          <w:p w14:paraId="32C44C2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polyps</w:t>
            </w:r>
          </w:p>
        </w:tc>
        <w:tc>
          <w:tcPr>
            <w:tcW w:w="1969" w:type="dxa"/>
            <w:shd w:val="clear" w:color="auto" w:fill="auto"/>
            <w:hideMark/>
          </w:tcPr>
          <w:p w14:paraId="2FA9BF92"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retrospective study</w:t>
            </w:r>
          </w:p>
        </w:tc>
        <w:tc>
          <w:tcPr>
            <w:tcW w:w="1224" w:type="dxa"/>
            <w:shd w:val="clear" w:color="auto" w:fill="auto"/>
            <w:hideMark/>
          </w:tcPr>
          <w:p w14:paraId="1E270A4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China</w:t>
            </w:r>
          </w:p>
        </w:tc>
        <w:tc>
          <w:tcPr>
            <w:tcW w:w="4743" w:type="dxa"/>
            <w:shd w:val="clear" w:color="auto" w:fill="auto"/>
            <w:hideMark/>
          </w:tcPr>
          <w:p w14:paraId="5AC0F44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 xml:space="preserve">The hospitalization cost, medicine cost, hospitalization time, satisfaction </w:t>
            </w:r>
          </w:p>
        </w:tc>
      </w:tr>
      <w:tr w:rsidR="009E62FE" w:rsidRPr="009F7793" w14:paraId="52160783" w14:textId="77777777" w:rsidTr="00BB4029">
        <w:trPr>
          <w:trHeight w:val="240"/>
        </w:trPr>
        <w:tc>
          <w:tcPr>
            <w:tcW w:w="561" w:type="dxa"/>
            <w:shd w:val="clear" w:color="auto" w:fill="auto"/>
            <w:noWrap/>
            <w:hideMark/>
          </w:tcPr>
          <w:p w14:paraId="48A183DF" w14:textId="2B1C34C3"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4</w:t>
            </w:r>
            <w:r w:rsidR="0091387B">
              <w:rPr>
                <w:rFonts w:ascii="Arial" w:hAnsi="Arial" w:cs="Arial"/>
                <w:color w:val="000000"/>
                <w:sz w:val="18"/>
                <w:szCs w:val="18"/>
              </w:rPr>
              <w:t>3</w:t>
            </w:r>
          </w:p>
        </w:tc>
        <w:tc>
          <w:tcPr>
            <w:tcW w:w="1571" w:type="dxa"/>
            <w:shd w:val="clear" w:color="auto" w:fill="auto"/>
            <w:noWrap/>
            <w:hideMark/>
          </w:tcPr>
          <w:p w14:paraId="774CCFB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Wu CL, et al. 2015</w:t>
            </w:r>
          </w:p>
        </w:tc>
        <w:tc>
          <w:tcPr>
            <w:tcW w:w="1756" w:type="dxa"/>
            <w:shd w:val="clear" w:color="auto" w:fill="auto"/>
            <w:hideMark/>
          </w:tcPr>
          <w:p w14:paraId="58C960D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No control</w:t>
            </w:r>
          </w:p>
        </w:tc>
        <w:tc>
          <w:tcPr>
            <w:tcW w:w="2180" w:type="dxa"/>
            <w:shd w:val="clear" w:color="auto" w:fill="auto"/>
            <w:hideMark/>
          </w:tcPr>
          <w:p w14:paraId="40941AC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colorectal surgery patients</w:t>
            </w:r>
          </w:p>
        </w:tc>
        <w:tc>
          <w:tcPr>
            <w:tcW w:w="1969" w:type="dxa"/>
            <w:shd w:val="clear" w:color="auto" w:fill="auto"/>
            <w:hideMark/>
          </w:tcPr>
          <w:p w14:paraId="0CD3160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unclear</w:t>
            </w:r>
          </w:p>
        </w:tc>
        <w:tc>
          <w:tcPr>
            <w:tcW w:w="1224" w:type="dxa"/>
            <w:shd w:val="clear" w:color="auto" w:fill="auto"/>
            <w:hideMark/>
          </w:tcPr>
          <w:p w14:paraId="190037E6" w14:textId="77777777" w:rsidR="009E62FE" w:rsidRPr="0057539F" w:rsidRDefault="009E62FE" w:rsidP="00BB4029">
            <w:pPr>
              <w:rPr>
                <w:rFonts w:ascii="Arial" w:hAnsi="Arial" w:cs="Arial"/>
                <w:color w:val="000000"/>
                <w:sz w:val="18"/>
                <w:szCs w:val="18"/>
              </w:rPr>
            </w:pPr>
          </w:p>
        </w:tc>
        <w:tc>
          <w:tcPr>
            <w:tcW w:w="4743" w:type="dxa"/>
            <w:shd w:val="clear" w:color="auto" w:fill="auto"/>
            <w:hideMark/>
          </w:tcPr>
          <w:p w14:paraId="386D3EFB"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stay and patient satisfaction</w:t>
            </w:r>
          </w:p>
        </w:tc>
      </w:tr>
      <w:tr w:rsidR="009E62FE" w:rsidRPr="009F7793" w14:paraId="1F3FA0E5" w14:textId="77777777" w:rsidTr="00BB4029">
        <w:trPr>
          <w:trHeight w:val="480"/>
        </w:trPr>
        <w:tc>
          <w:tcPr>
            <w:tcW w:w="561" w:type="dxa"/>
            <w:shd w:val="clear" w:color="auto" w:fill="auto"/>
            <w:noWrap/>
            <w:hideMark/>
          </w:tcPr>
          <w:p w14:paraId="322B0EBF" w14:textId="2D28FF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4</w:t>
            </w:r>
            <w:r w:rsidR="0091387B">
              <w:rPr>
                <w:rFonts w:ascii="Arial" w:hAnsi="Arial" w:cs="Arial"/>
                <w:color w:val="000000"/>
                <w:sz w:val="18"/>
                <w:szCs w:val="18"/>
              </w:rPr>
              <w:t>4</w:t>
            </w:r>
          </w:p>
        </w:tc>
        <w:tc>
          <w:tcPr>
            <w:tcW w:w="1571" w:type="dxa"/>
            <w:shd w:val="clear" w:color="auto" w:fill="auto"/>
            <w:noWrap/>
            <w:hideMark/>
          </w:tcPr>
          <w:p w14:paraId="38E18D4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Xuping S, et al. 2014</w:t>
            </w:r>
          </w:p>
        </w:tc>
        <w:tc>
          <w:tcPr>
            <w:tcW w:w="1756" w:type="dxa"/>
            <w:shd w:val="clear" w:color="auto" w:fill="auto"/>
            <w:hideMark/>
          </w:tcPr>
          <w:p w14:paraId="3FF5B91B"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0CB124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patients with the first diagnosis as uterine fibroids</w:t>
            </w:r>
          </w:p>
        </w:tc>
        <w:tc>
          <w:tcPr>
            <w:tcW w:w="1969" w:type="dxa"/>
            <w:shd w:val="clear" w:color="auto" w:fill="auto"/>
            <w:hideMark/>
          </w:tcPr>
          <w:p w14:paraId="1988327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meta-analysis</w:t>
            </w:r>
          </w:p>
        </w:tc>
        <w:tc>
          <w:tcPr>
            <w:tcW w:w="1224" w:type="dxa"/>
            <w:shd w:val="clear" w:color="auto" w:fill="auto"/>
            <w:hideMark/>
          </w:tcPr>
          <w:p w14:paraId="1904B375" w14:textId="51C19710" w:rsidR="009E62FE" w:rsidRPr="0057539F" w:rsidRDefault="00F524BB" w:rsidP="00BB4029">
            <w:pPr>
              <w:rPr>
                <w:rFonts w:ascii="Arial" w:hAnsi="Arial" w:cs="Arial"/>
                <w:color w:val="000000"/>
                <w:sz w:val="18"/>
                <w:szCs w:val="18"/>
              </w:rPr>
            </w:pPr>
            <w:r>
              <w:rPr>
                <w:rFonts w:ascii="Arial" w:hAnsi="Arial" w:cs="Arial"/>
                <w:color w:val="000000"/>
                <w:sz w:val="18"/>
                <w:szCs w:val="18"/>
              </w:rPr>
              <w:t>NA</w:t>
            </w:r>
          </w:p>
        </w:tc>
        <w:tc>
          <w:tcPr>
            <w:tcW w:w="4743" w:type="dxa"/>
            <w:shd w:val="clear" w:color="auto" w:fill="auto"/>
            <w:hideMark/>
          </w:tcPr>
          <w:p w14:paraId="64655A21"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 of stay, days of waiting for surgery, inpatient expenditures</w:t>
            </w:r>
          </w:p>
        </w:tc>
      </w:tr>
      <w:tr w:rsidR="009E62FE" w:rsidRPr="009F7793" w14:paraId="1BABE024" w14:textId="77777777" w:rsidTr="00BB4029">
        <w:trPr>
          <w:trHeight w:val="720"/>
        </w:trPr>
        <w:tc>
          <w:tcPr>
            <w:tcW w:w="561" w:type="dxa"/>
            <w:shd w:val="clear" w:color="auto" w:fill="auto"/>
            <w:noWrap/>
            <w:hideMark/>
          </w:tcPr>
          <w:p w14:paraId="670C4329" w14:textId="7C15A00E"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4</w:t>
            </w:r>
            <w:r w:rsidR="0091387B">
              <w:rPr>
                <w:rFonts w:ascii="Arial" w:hAnsi="Arial" w:cs="Arial"/>
                <w:color w:val="000000"/>
                <w:sz w:val="18"/>
                <w:szCs w:val="18"/>
              </w:rPr>
              <w:t>5</w:t>
            </w:r>
          </w:p>
        </w:tc>
        <w:tc>
          <w:tcPr>
            <w:tcW w:w="1571" w:type="dxa"/>
            <w:shd w:val="clear" w:color="auto" w:fill="auto"/>
            <w:noWrap/>
            <w:hideMark/>
          </w:tcPr>
          <w:p w14:paraId="5C797128"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Yetzer JG, et al. 2017</w:t>
            </w:r>
          </w:p>
        </w:tc>
        <w:tc>
          <w:tcPr>
            <w:tcW w:w="1756" w:type="dxa"/>
            <w:shd w:val="clear" w:color="auto" w:fill="auto"/>
            <w:hideMark/>
          </w:tcPr>
          <w:p w14:paraId="39F6EFA3"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51540D77"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patiens undergoing maxillofacial head and neck surgery</w:t>
            </w:r>
          </w:p>
        </w:tc>
        <w:tc>
          <w:tcPr>
            <w:tcW w:w="1969" w:type="dxa"/>
            <w:shd w:val="clear" w:color="auto" w:fill="auto"/>
            <w:hideMark/>
          </w:tcPr>
          <w:p w14:paraId="2095727D"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 xml:space="preserve"> </w:t>
            </w:r>
          </w:p>
        </w:tc>
        <w:tc>
          <w:tcPr>
            <w:tcW w:w="1224" w:type="dxa"/>
            <w:shd w:val="clear" w:color="auto" w:fill="auto"/>
            <w:hideMark/>
          </w:tcPr>
          <w:p w14:paraId="2055DA3D"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18A20BD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Length-of-stay metrics, infection rates, transfers to the intensive care unit, and unplanned return to the operating room.</w:t>
            </w:r>
          </w:p>
        </w:tc>
      </w:tr>
      <w:tr w:rsidR="009E62FE" w:rsidRPr="009F7793" w14:paraId="6D694B41" w14:textId="77777777" w:rsidTr="00BB4029">
        <w:trPr>
          <w:trHeight w:val="240"/>
        </w:trPr>
        <w:tc>
          <w:tcPr>
            <w:tcW w:w="561" w:type="dxa"/>
            <w:shd w:val="clear" w:color="auto" w:fill="auto"/>
            <w:noWrap/>
          </w:tcPr>
          <w:p w14:paraId="2BC273AF" w14:textId="7050AA0B" w:rsidR="009E62FE" w:rsidRPr="0057539F" w:rsidRDefault="009E62FE" w:rsidP="00BB4029">
            <w:pPr>
              <w:rPr>
                <w:rFonts w:ascii="Arial" w:hAnsi="Arial" w:cs="Arial"/>
                <w:color w:val="000000"/>
                <w:sz w:val="18"/>
                <w:szCs w:val="18"/>
              </w:rPr>
            </w:pPr>
            <w:r>
              <w:rPr>
                <w:rFonts w:ascii="Arial" w:hAnsi="Arial" w:cs="Arial"/>
                <w:color w:val="000000"/>
                <w:sz w:val="18"/>
                <w:szCs w:val="18"/>
              </w:rPr>
              <w:t>14</w:t>
            </w:r>
            <w:r w:rsidR="0091387B">
              <w:rPr>
                <w:rFonts w:ascii="Arial" w:hAnsi="Arial" w:cs="Arial"/>
                <w:color w:val="000000"/>
                <w:sz w:val="18"/>
                <w:szCs w:val="18"/>
              </w:rPr>
              <w:t>6</w:t>
            </w:r>
          </w:p>
        </w:tc>
        <w:tc>
          <w:tcPr>
            <w:tcW w:w="1571" w:type="dxa"/>
            <w:shd w:val="clear" w:color="auto" w:fill="auto"/>
            <w:noWrap/>
          </w:tcPr>
          <w:p w14:paraId="5DDCD9AA"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Yeung JK, et al. 2014</w:t>
            </w:r>
          </w:p>
        </w:tc>
        <w:tc>
          <w:tcPr>
            <w:tcW w:w="1756" w:type="dxa"/>
            <w:shd w:val="clear" w:color="auto" w:fill="auto"/>
          </w:tcPr>
          <w:p w14:paraId="7C972778" w14:textId="77777777" w:rsidR="009E62FE" w:rsidRPr="009D3421" w:rsidRDefault="009E62FE" w:rsidP="00BB4029">
            <w:pPr>
              <w:rPr>
                <w:rFonts w:ascii="Arial" w:hAnsi="Arial" w:cs="Arial"/>
                <w:color w:val="000000"/>
                <w:sz w:val="18"/>
                <w:szCs w:val="18"/>
                <w:lang w:val="en-US"/>
              </w:rPr>
            </w:pPr>
            <w:r w:rsidRPr="009D3421">
              <w:rPr>
                <w:rFonts w:ascii="Arial" w:hAnsi="Arial" w:cs="Arial"/>
                <w:color w:val="000000"/>
                <w:sz w:val="18"/>
                <w:szCs w:val="18"/>
                <w:lang w:val="en-US"/>
              </w:rPr>
              <w:t>Study did not meet Cochrane EPOC study design criteria</w:t>
            </w:r>
          </w:p>
        </w:tc>
        <w:tc>
          <w:tcPr>
            <w:tcW w:w="2180" w:type="dxa"/>
            <w:shd w:val="clear" w:color="auto" w:fill="auto"/>
          </w:tcPr>
          <w:p w14:paraId="4DD22931" w14:textId="77777777" w:rsidR="009E62FE" w:rsidRPr="009D3421" w:rsidRDefault="009E62FE" w:rsidP="00BB4029">
            <w:pPr>
              <w:rPr>
                <w:rFonts w:ascii="Arial" w:hAnsi="Arial" w:cs="Arial"/>
                <w:color w:val="000000"/>
                <w:sz w:val="18"/>
                <w:szCs w:val="18"/>
                <w:lang w:val="en-US"/>
              </w:rPr>
            </w:pPr>
            <w:r>
              <w:rPr>
                <w:rFonts w:ascii="Arial" w:hAnsi="Arial" w:cs="Arial"/>
                <w:color w:val="000000"/>
                <w:sz w:val="18"/>
                <w:szCs w:val="18"/>
                <w:lang w:val="en-US"/>
              </w:rPr>
              <w:t>head and nech cancer</w:t>
            </w:r>
          </w:p>
        </w:tc>
        <w:tc>
          <w:tcPr>
            <w:tcW w:w="1969" w:type="dxa"/>
            <w:shd w:val="clear" w:color="auto" w:fill="auto"/>
          </w:tcPr>
          <w:p w14:paraId="12832DB9" w14:textId="77777777" w:rsidR="009E62FE" w:rsidRPr="009D3421" w:rsidRDefault="009E62FE" w:rsidP="00BB4029">
            <w:pPr>
              <w:rPr>
                <w:rFonts w:ascii="Arial" w:hAnsi="Arial" w:cs="Arial"/>
                <w:color w:val="000000"/>
                <w:sz w:val="18"/>
                <w:szCs w:val="18"/>
                <w:lang w:val="en-US"/>
              </w:rPr>
            </w:pPr>
            <w:r>
              <w:rPr>
                <w:rFonts w:ascii="Arial" w:hAnsi="Arial" w:cs="Arial"/>
                <w:color w:val="000000"/>
                <w:sz w:val="18"/>
                <w:szCs w:val="18"/>
                <w:lang w:val="en-US"/>
              </w:rPr>
              <w:t>before-after study</w:t>
            </w:r>
          </w:p>
        </w:tc>
        <w:tc>
          <w:tcPr>
            <w:tcW w:w="1224" w:type="dxa"/>
            <w:shd w:val="clear" w:color="auto" w:fill="auto"/>
          </w:tcPr>
          <w:p w14:paraId="4D7DBB6B" w14:textId="77777777" w:rsidR="009E62FE" w:rsidRPr="009D3421" w:rsidRDefault="009E62FE" w:rsidP="00BB4029">
            <w:pPr>
              <w:rPr>
                <w:rFonts w:ascii="Arial" w:hAnsi="Arial" w:cs="Arial"/>
                <w:color w:val="000000"/>
                <w:sz w:val="18"/>
                <w:szCs w:val="18"/>
                <w:lang w:val="en-US"/>
              </w:rPr>
            </w:pPr>
            <w:r>
              <w:rPr>
                <w:rFonts w:ascii="Arial" w:hAnsi="Arial" w:cs="Arial"/>
                <w:color w:val="000000"/>
                <w:sz w:val="18"/>
                <w:szCs w:val="18"/>
                <w:lang w:val="en-US"/>
              </w:rPr>
              <w:t>Canada</w:t>
            </w:r>
          </w:p>
        </w:tc>
        <w:tc>
          <w:tcPr>
            <w:tcW w:w="4743" w:type="dxa"/>
            <w:shd w:val="clear" w:color="auto" w:fill="auto"/>
          </w:tcPr>
          <w:p w14:paraId="6B8BCDF6" w14:textId="77777777" w:rsidR="009E62FE" w:rsidRPr="009D3421" w:rsidRDefault="009E62FE" w:rsidP="00BB4029">
            <w:pPr>
              <w:rPr>
                <w:rFonts w:ascii="Arial" w:hAnsi="Arial" w:cs="Arial"/>
                <w:color w:val="000000"/>
                <w:sz w:val="18"/>
                <w:szCs w:val="18"/>
                <w:lang w:val="en-US"/>
              </w:rPr>
            </w:pPr>
            <w:r w:rsidRPr="009D3421">
              <w:rPr>
                <w:rFonts w:ascii="Arial" w:hAnsi="Arial" w:cs="Arial"/>
                <w:color w:val="000000"/>
                <w:sz w:val="18"/>
                <w:szCs w:val="18"/>
                <w:lang w:val="en-US"/>
              </w:rPr>
              <w:t>Pulmonary complications</w:t>
            </w:r>
            <w:r>
              <w:rPr>
                <w:rFonts w:ascii="Arial" w:hAnsi="Arial" w:cs="Arial"/>
                <w:color w:val="000000"/>
                <w:sz w:val="18"/>
                <w:szCs w:val="18"/>
                <w:lang w:val="en-US"/>
              </w:rPr>
              <w:t>, h</w:t>
            </w:r>
            <w:r w:rsidRPr="009D3421">
              <w:rPr>
                <w:rFonts w:ascii="Arial" w:hAnsi="Arial" w:cs="Arial"/>
                <w:color w:val="000000"/>
                <w:sz w:val="18"/>
                <w:szCs w:val="18"/>
                <w:lang w:val="en-US"/>
              </w:rPr>
              <w:t>ospital length of st</w:t>
            </w:r>
            <w:r>
              <w:rPr>
                <w:rFonts w:ascii="Arial" w:hAnsi="Arial" w:cs="Arial"/>
                <w:color w:val="000000"/>
                <w:sz w:val="18"/>
                <w:szCs w:val="18"/>
                <w:lang w:val="en-US"/>
              </w:rPr>
              <w:t>ay, r</w:t>
            </w:r>
            <w:r w:rsidRPr="009D3421">
              <w:rPr>
                <w:rFonts w:ascii="Arial" w:hAnsi="Arial" w:cs="Arial"/>
                <w:color w:val="000000"/>
                <w:sz w:val="18"/>
                <w:szCs w:val="18"/>
                <w:lang w:val="en-US"/>
              </w:rPr>
              <w:t>ate of flap reoperation</w:t>
            </w:r>
          </w:p>
        </w:tc>
      </w:tr>
      <w:tr w:rsidR="009E62FE" w:rsidRPr="0057539F" w14:paraId="49C6DDD5" w14:textId="77777777" w:rsidTr="00BB4029">
        <w:trPr>
          <w:trHeight w:val="240"/>
        </w:trPr>
        <w:tc>
          <w:tcPr>
            <w:tcW w:w="561" w:type="dxa"/>
            <w:shd w:val="clear" w:color="auto" w:fill="auto"/>
            <w:noWrap/>
            <w:hideMark/>
          </w:tcPr>
          <w:p w14:paraId="7B78E43C" w14:textId="2BE8809F"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4</w:t>
            </w:r>
            <w:r w:rsidR="0091387B">
              <w:rPr>
                <w:rFonts w:ascii="Arial" w:hAnsi="Arial" w:cs="Arial"/>
                <w:color w:val="000000"/>
                <w:sz w:val="18"/>
                <w:szCs w:val="18"/>
              </w:rPr>
              <w:t>7</w:t>
            </w:r>
          </w:p>
        </w:tc>
        <w:tc>
          <w:tcPr>
            <w:tcW w:w="1571" w:type="dxa"/>
            <w:shd w:val="clear" w:color="auto" w:fill="auto"/>
            <w:noWrap/>
            <w:hideMark/>
          </w:tcPr>
          <w:p w14:paraId="67D8DA17"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Yueh B, et al. 2003</w:t>
            </w:r>
          </w:p>
        </w:tc>
        <w:tc>
          <w:tcPr>
            <w:tcW w:w="1756" w:type="dxa"/>
            <w:shd w:val="clear" w:color="auto" w:fill="auto"/>
            <w:hideMark/>
          </w:tcPr>
          <w:p w14:paraId="05338DC9"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control</w:t>
            </w:r>
          </w:p>
        </w:tc>
        <w:tc>
          <w:tcPr>
            <w:tcW w:w="2180" w:type="dxa"/>
            <w:shd w:val="clear" w:color="auto" w:fill="auto"/>
            <w:hideMark/>
          </w:tcPr>
          <w:p w14:paraId="25D2FAF0"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head and neck cancer</w:t>
            </w:r>
          </w:p>
        </w:tc>
        <w:tc>
          <w:tcPr>
            <w:tcW w:w="1969" w:type="dxa"/>
            <w:shd w:val="clear" w:color="auto" w:fill="auto"/>
            <w:hideMark/>
          </w:tcPr>
          <w:p w14:paraId="29F19564"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cohort study?</w:t>
            </w:r>
          </w:p>
        </w:tc>
        <w:tc>
          <w:tcPr>
            <w:tcW w:w="1224" w:type="dxa"/>
            <w:shd w:val="clear" w:color="auto" w:fill="auto"/>
            <w:hideMark/>
          </w:tcPr>
          <w:p w14:paraId="33FCECC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09137046"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LOS after laryngectomy</w:t>
            </w:r>
          </w:p>
        </w:tc>
      </w:tr>
      <w:tr w:rsidR="009E62FE" w:rsidRPr="0057539F" w14:paraId="03A928B3" w14:textId="77777777" w:rsidTr="00BB4029">
        <w:trPr>
          <w:trHeight w:val="240"/>
        </w:trPr>
        <w:tc>
          <w:tcPr>
            <w:tcW w:w="561" w:type="dxa"/>
            <w:shd w:val="clear" w:color="auto" w:fill="auto"/>
            <w:noWrap/>
            <w:hideMark/>
          </w:tcPr>
          <w:p w14:paraId="6D391B41" w14:textId="0825EAA6"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Pr>
                <w:rFonts w:ascii="Arial" w:hAnsi="Arial" w:cs="Arial"/>
                <w:color w:val="000000"/>
                <w:sz w:val="18"/>
                <w:szCs w:val="18"/>
              </w:rPr>
              <w:t>4</w:t>
            </w:r>
            <w:r w:rsidR="0091387B">
              <w:rPr>
                <w:rFonts w:ascii="Arial" w:hAnsi="Arial" w:cs="Arial"/>
                <w:color w:val="000000"/>
                <w:sz w:val="18"/>
                <w:szCs w:val="18"/>
              </w:rPr>
              <w:t>8</w:t>
            </w:r>
          </w:p>
        </w:tc>
        <w:tc>
          <w:tcPr>
            <w:tcW w:w="1571" w:type="dxa"/>
            <w:shd w:val="clear" w:color="auto" w:fill="auto"/>
            <w:noWrap/>
            <w:hideMark/>
          </w:tcPr>
          <w:p w14:paraId="42D7758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Zauner G, et al. 2014</w:t>
            </w:r>
          </w:p>
        </w:tc>
        <w:tc>
          <w:tcPr>
            <w:tcW w:w="1756" w:type="dxa"/>
            <w:shd w:val="clear" w:color="auto" w:fill="auto"/>
            <w:hideMark/>
          </w:tcPr>
          <w:p w14:paraId="5EC407D1"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216CC5FA"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lung cancer</w:t>
            </w:r>
          </w:p>
        </w:tc>
        <w:tc>
          <w:tcPr>
            <w:tcW w:w="1969" w:type="dxa"/>
            <w:shd w:val="clear" w:color="auto" w:fill="auto"/>
            <w:hideMark/>
          </w:tcPr>
          <w:p w14:paraId="64F3D49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exploratorive study</w:t>
            </w:r>
          </w:p>
        </w:tc>
        <w:tc>
          <w:tcPr>
            <w:tcW w:w="1224" w:type="dxa"/>
            <w:shd w:val="clear" w:color="auto" w:fill="auto"/>
            <w:hideMark/>
          </w:tcPr>
          <w:p w14:paraId="7930B89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Austria</w:t>
            </w:r>
          </w:p>
        </w:tc>
        <w:tc>
          <w:tcPr>
            <w:tcW w:w="4743" w:type="dxa"/>
            <w:shd w:val="clear" w:color="auto" w:fill="auto"/>
            <w:hideMark/>
          </w:tcPr>
          <w:p w14:paraId="5D258697" w14:textId="77777777" w:rsidR="009E62FE" w:rsidRPr="0057539F" w:rsidRDefault="009E62FE" w:rsidP="00BB4029">
            <w:pPr>
              <w:rPr>
                <w:rFonts w:ascii="Arial" w:hAnsi="Arial" w:cs="Arial"/>
                <w:color w:val="000000"/>
                <w:sz w:val="18"/>
                <w:szCs w:val="18"/>
              </w:rPr>
            </w:pPr>
          </w:p>
        </w:tc>
      </w:tr>
      <w:tr w:rsidR="009E62FE" w:rsidRPr="009F7793" w14:paraId="2CF1DCA6" w14:textId="77777777" w:rsidTr="00BB4029">
        <w:trPr>
          <w:trHeight w:val="240"/>
        </w:trPr>
        <w:tc>
          <w:tcPr>
            <w:tcW w:w="561" w:type="dxa"/>
            <w:shd w:val="clear" w:color="auto" w:fill="auto"/>
            <w:noWrap/>
            <w:hideMark/>
          </w:tcPr>
          <w:p w14:paraId="0B8B0657" w14:textId="050A4CC1"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lastRenderedPageBreak/>
              <w:t>1</w:t>
            </w:r>
            <w:r>
              <w:rPr>
                <w:rFonts w:ascii="Arial" w:hAnsi="Arial" w:cs="Arial"/>
                <w:color w:val="000000"/>
                <w:sz w:val="18"/>
                <w:szCs w:val="18"/>
              </w:rPr>
              <w:t>4</w:t>
            </w:r>
            <w:r w:rsidR="0091387B">
              <w:rPr>
                <w:rFonts w:ascii="Arial" w:hAnsi="Arial" w:cs="Arial"/>
                <w:color w:val="000000"/>
                <w:sz w:val="18"/>
                <w:szCs w:val="18"/>
              </w:rPr>
              <w:t>9</w:t>
            </w:r>
          </w:p>
        </w:tc>
        <w:tc>
          <w:tcPr>
            <w:tcW w:w="1571" w:type="dxa"/>
            <w:shd w:val="clear" w:color="auto" w:fill="auto"/>
            <w:noWrap/>
            <w:hideMark/>
          </w:tcPr>
          <w:p w14:paraId="6F7EEAA1"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Zhang Y, et al. 2017</w:t>
            </w:r>
          </w:p>
        </w:tc>
        <w:tc>
          <w:tcPr>
            <w:tcW w:w="1756" w:type="dxa"/>
            <w:shd w:val="clear" w:color="auto" w:fill="auto"/>
            <w:hideMark/>
          </w:tcPr>
          <w:p w14:paraId="72FC1713" w14:textId="77777777" w:rsidR="009E62FE" w:rsidRPr="0057539F" w:rsidRDefault="009E62FE" w:rsidP="00BB4029">
            <w:pPr>
              <w:rPr>
                <w:rFonts w:ascii="Arial" w:hAnsi="Arial" w:cs="Arial"/>
                <w:color w:val="000000"/>
                <w:sz w:val="18"/>
                <w:szCs w:val="18"/>
              </w:rPr>
            </w:pPr>
            <w:r>
              <w:rPr>
                <w:rFonts w:ascii="Arial" w:hAnsi="Arial" w:cs="Arial"/>
                <w:color w:val="000000"/>
                <w:sz w:val="18"/>
                <w:szCs w:val="18"/>
              </w:rPr>
              <w:t>Other</w:t>
            </w:r>
            <w:r w:rsidRPr="0057539F">
              <w:rPr>
                <w:rFonts w:ascii="Arial" w:hAnsi="Arial" w:cs="Arial"/>
                <w:color w:val="000000"/>
                <w:sz w:val="18"/>
                <w:szCs w:val="18"/>
              </w:rPr>
              <w:t xml:space="preserve"> control</w:t>
            </w:r>
          </w:p>
        </w:tc>
        <w:tc>
          <w:tcPr>
            <w:tcW w:w="2180" w:type="dxa"/>
            <w:shd w:val="clear" w:color="auto" w:fill="auto"/>
            <w:hideMark/>
          </w:tcPr>
          <w:p w14:paraId="4C0E260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lung cancer</w:t>
            </w:r>
          </w:p>
        </w:tc>
        <w:tc>
          <w:tcPr>
            <w:tcW w:w="1969" w:type="dxa"/>
            <w:shd w:val="clear" w:color="auto" w:fill="auto"/>
            <w:hideMark/>
          </w:tcPr>
          <w:p w14:paraId="55D559DE"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cost and survival analysis</w:t>
            </w:r>
          </w:p>
        </w:tc>
        <w:tc>
          <w:tcPr>
            <w:tcW w:w="1224" w:type="dxa"/>
            <w:shd w:val="clear" w:color="auto" w:fill="auto"/>
            <w:hideMark/>
          </w:tcPr>
          <w:p w14:paraId="74E5817F"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USA</w:t>
            </w:r>
          </w:p>
        </w:tc>
        <w:tc>
          <w:tcPr>
            <w:tcW w:w="4743" w:type="dxa"/>
            <w:shd w:val="clear" w:color="auto" w:fill="auto"/>
            <w:hideMark/>
          </w:tcPr>
          <w:p w14:paraId="23A5DBE6"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Clinical outcomes: survival, and costs</w:t>
            </w:r>
          </w:p>
        </w:tc>
      </w:tr>
      <w:tr w:rsidR="009E62FE" w:rsidRPr="009F7793" w14:paraId="43763A0D" w14:textId="77777777" w:rsidTr="00BB4029">
        <w:trPr>
          <w:trHeight w:val="720"/>
        </w:trPr>
        <w:tc>
          <w:tcPr>
            <w:tcW w:w="561" w:type="dxa"/>
            <w:shd w:val="clear" w:color="auto" w:fill="auto"/>
            <w:noWrap/>
            <w:hideMark/>
          </w:tcPr>
          <w:p w14:paraId="55AA9AD4" w14:textId="610E7F22"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1</w:t>
            </w:r>
            <w:r w:rsidR="0091387B">
              <w:rPr>
                <w:rFonts w:ascii="Arial" w:hAnsi="Arial" w:cs="Arial"/>
                <w:color w:val="000000"/>
                <w:sz w:val="18"/>
                <w:szCs w:val="18"/>
              </w:rPr>
              <w:t>50</w:t>
            </w:r>
          </w:p>
        </w:tc>
        <w:tc>
          <w:tcPr>
            <w:tcW w:w="1571" w:type="dxa"/>
            <w:shd w:val="clear" w:color="auto" w:fill="auto"/>
            <w:noWrap/>
            <w:hideMark/>
          </w:tcPr>
          <w:p w14:paraId="0D029EA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Zhu L, et al. 2014</w:t>
            </w:r>
          </w:p>
        </w:tc>
        <w:tc>
          <w:tcPr>
            <w:tcW w:w="1756" w:type="dxa"/>
            <w:shd w:val="clear" w:color="auto" w:fill="auto"/>
            <w:hideMark/>
          </w:tcPr>
          <w:p w14:paraId="388CDB6F" w14:textId="77777777" w:rsidR="009E62FE" w:rsidRPr="0095416F" w:rsidRDefault="009E62FE" w:rsidP="00BB4029">
            <w:pPr>
              <w:rPr>
                <w:rFonts w:ascii="Arial" w:hAnsi="Arial" w:cs="Arial"/>
                <w:color w:val="000000"/>
                <w:sz w:val="18"/>
                <w:szCs w:val="18"/>
                <w:lang w:val="en-US"/>
              </w:rPr>
            </w:pPr>
            <w:r w:rsidRPr="0095416F">
              <w:rPr>
                <w:rFonts w:ascii="Arial" w:hAnsi="Arial" w:cs="Arial"/>
                <w:color w:val="000000"/>
                <w:sz w:val="18"/>
                <w:szCs w:val="18"/>
                <w:lang w:val="en-US"/>
              </w:rPr>
              <w:t>Study did not meet Cochrane EPOC study design criteria</w:t>
            </w:r>
          </w:p>
        </w:tc>
        <w:tc>
          <w:tcPr>
            <w:tcW w:w="2180" w:type="dxa"/>
            <w:shd w:val="clear" w:color="auto" w:fill="auto"/>
            <w:hideMark/>
          </w:tcPr>
          <w:p w14:paraId="0ECB13B5"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hepatocellular carcinoma</w:t>
            </w:r>
          </w:p>
        </w:tc>
        <w:tc>
          <w:tcPr>
            <w:tcW w:w="1969" w:type="dxa"/>
            <w:shd w:val="clear" w:color="auto" w:fill="auto"/>
            <w:hideMark/>
          </w:tcPr>
          <w:p w14:paraId="1FBFCD30"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retrospective study and prospective data collection of pathway group</w:t>
            </w:r>
          </w:p>
        </w:tc>
        <w:tc>
          <w:tcPr>
            <w:tcW w:w="1224" w:type="dxa"/>
            <w:shd w:val="clear" w:color="auto" w:fill="auto"/>
            <w:hideMark/>
          </w:tcPr>
          <w:p w14:paraId="1C2F7A63" w14:textId="77777777" w:rsidR="009E62FE" w:rsidRPr="0057539F" w:rsidRDefault="009E62FE" w:rsidP="00BB4029">
            <w:pPr>
              <w:rPr>
                <w:rFonts w:ascii="Arial" w:hAnsi="Arial" w:cs="Arial"/>
                <w:color w:val="000000"/>
                <w:sz w:val="18"/>
                <w:szCs w:val="18"/>
              </w:rPr>
            </w:pPr>
            <w:r w:rsidRPr="0057539F">
              <w:rPr>
                <w:rFonts w:ascii="Arial" w:hAnsi="Arial" w:cs="Arial"/>
                <w:color w:val="000000"/>
                <w:sz w:val="18"/>
                <w:szCs w:val="18"/>
              </w:rPr>
              <w:t>China</w:t>
            </w:r>
          </w:p>
        </w:tc>
        <w:tc>
          <w:tcPr>
            <w:tcW w:w="4743" w:type="dxa"/>
            <w:shd w:val="clear" w:color="auto" w:fill="auto"/>
            <w:hideMark/>
          </w:tcPr>
          <w:p w14:paraId="6476FA89" w14:textId="77777777" w:rsidR="009E62FE" w:rsidRPr="0057539F" w:rsidRDefault="009E62FE" w:rsidP="00BB4029">
            <w:pPr>
              <w:rPr>
                <w:rFonts w:ascii="Arial" w:hAnsi="Arial" w:cs="Arial"/>
                <w:color w:val="000000"/>
                <w:sz w:val="18"/>
                <w:szCs w:val="18"/>
                <w:lang w:val="en-US"/>
              </w:rPr>
            </w:pPr>
            <w:r w:rsidRPr="0057539F">
              <w:rPr>
                <w:rFonts w:ascii="Arial" w:hAnsi="Arial" w:cs="Arial"/>
                <w:color w:val="000000"/>
                <w:sz w:val="18"/>
                <w:szCs w:val="18"/>
                <w:lang w:val="en-US"/>
              </w:rPr>
              <w:t>Hospital costs, LOHS and early clinical outcomes</w:t>
            </w:r>
          </w:p>
        </w:tc>
      </w:tr>
    </w:tbl>
    <w:p w14:paraId="7B012436" w14:textId="0834D526" w:rsidR="005F6ABC" w:rsidRPr="00F27C6C" w:rsidRDefault="00E204BE" w:rsidP="00F27C6C">
      <w:pPr>
        <w:spacing w:after="0" w:line="240" w:lineRule="auto"/>
        <w:rPr>
          <w:lang w:val="en-GB"/>
        </w:rPr>
      </w:pPr>
      <w:r>
        <w:rPr>
          <w:lang w:val="en-GB"/>
        </w:rPr>
        <w:t xml:space="preserve">CP: Care Pathway; </w:t>
      </w:r>
      <w:r w:rsidR="00F524BB">
        <w:rPr>
          <w:lang w:val="en-GB"/>
        </w:rPr>
        <w:t>NA: N</w:t>
      </w:r>
      <w:r w:rsidR="00F524BB" w:rsidRPr="00F524BB">
        <w:rPr>
          <w:lang w:val="en-GB"/>
        </w:rPr>
        <w:t xml:space="preserve">ot </w:t>
      </w:r>
      <w:r w:rsidR="00F524BB">
        <w:rPr>
          <w:lang w:val="en-GB"/>
        </w:rPr>
        <w:t>A</w:t>
      </w:r>
      <w:r w:rsidR="00F524BB" w:rsidRPr="00F524BB">
        <w:rPr>
          <w:lang w:val="en-GB"/>
        </w:rPr>
        <w:t>pplicable</w:t>
      </w:r>
      <w:r w:rsidR="00F524BB">
        <w:rPr>
          <w:lang w:val="en-GB"/>
        </w:rPr>
        <w:t>.</w:t>
      </w:r>
    </w:p>
    <w:sectPr w:rsidR="005F6ABC" w:rsidRPr="00F27C6C" w:rsidSect="00F27C6C">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D7049A" w14:textId="77777777" w:rsidR="008179E3" w:rsidRDefault="008179E3" w:rsidP="00AD741B">
      <w:pPr>
        <w:spacing w:after="0" w:line="240" w:lineRule="auto"/>
      </w:pPr>
      <w:r>
        <w:separator/>
      </w:r>
    </w:p>
  </w:endnote>
  <w:endnote w:type="continuationSeparator" w:id="0">
    <w:p w14:paraId="137DAF22" w14:textId="77777777" w:rsidR="008179E3" w:rsidRDefault="008179E3" w:rsidP="00AD7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5132232"/>
      <w:docPartObj>
        <w:docPartGallery w:val="Page Numbers (Bottom of Page)"/>
        <w:docPartUnique/>
      </w:docPartObj>
    </w:sdtPr>
    <w:sdtEndPr/>
    <w:sdtContent>
      <w:p w14:paraId="0D918106" w14:textId="560EE492" w:rsidR="00BB4029" w:rsidRDefault="00BB4029">
        <w:pPr>
          <w:pStyle w:val="Voettekst"/>
          <w:jc w:val="right"/>
        </w:pPr>
        <w:r>
          <w:fldChar w:fldCharType="begin"/>
        </w:r>
        <w:r>
          <w:instrText>PAGE   \* MERGEFORMAT</w:instrText>
        </w:r>
        <w:r>
          <w:fldChar w:fldCharType="separate"/>
        </w:r>
        <w:r>
          <w:rPr>
            <w:noProof/>
          </w:rPr>
          <w:t>9</w:t>
        </w:r>
        <w:r>
          <w:fldChar w:fldCharType="end"/>
        </w:r>
      </w:p>
    </w:sdtContent>
  </w:sdt>
  <w:p w14:paraId="53BED1A9" w14:textId="77777777" w:rsidR="00BB4029" w:rsidRDefault="00BB40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553CF" w14:textId="77777777" w:rsidR="008179E3" w:rsidRDefault="008179E3" w:rsidP="00AD741B">
      <w:pPr>
        <w:spacing w:after="0" w:line="240" w:lineRule="auto"/>
      </w:pPr>
      <w:r>
        <w:separator/>
      </w:r>
    </w:p>
  </w:footnote>
  <w:footnote w:type="continuationSeparator" w:id="0">
    <w:p w14:paraId="32EF19CD" w14:textId="77777777" w:rsidR="008179E3" w:rsidRDefault="008179E3" w:rsidP="00AD7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43351" w14:textId="675B36C0" w:rsidR="00BB4029" w:rsidRDefault="00BB4029">
    <w:pPr>
      <w:pStyle w:val="Koptekst"/>
      <w:jc w:val="right"/>
    </w:pPr>
  </w:p>
  <w:p w14:paraId="53E440E8" w14:textId="56AC064C" w:rsidR="00BB4029" w:rsidRDefault="00BB4029">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F01D8"/>
    <w:multiLevelType w:val="hybridMultilevel"/>
    <w:tmpl w:val="F9A831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D27630"/>
    <w:multiLevelType w:val="hybridMultilevel"/>
    <w:tmpl w:val="DCDC9E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F8B6CF9"/>
    <w:multiLevelType w:val="hybridMultilevel"/>
    <w:tmpl w:val="BB2E63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FD34301"/>
    <w:multiLevelType w:val="hybridMultilevel"/>
    <w:tmpl w:val="B622B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2A3A50"/>
    <w:multiLevelType w:val="hybridMultilevel"/>
    <w:tmpl w:val="AC3608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5638DE"/>
    <w:multiLevelType w:val="hybridMultilevel"/>
    <w:tmpl w:val="A1EEA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4854BA"/>
    <w:multiLevelType w:val="hybridMultilevel"/>
    <w:tmpl w:val="3C4ED2EA"/>
    <w:lvl w:ilvl="0" w:tplc="F63E3D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F72065"/>
    <w:multiLevelType w:val="hybridMultilevel"/>
    <w:tmpl w:val="E3B423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B7789C"/>
    <w:multiLevelType w:val="hybridMultilevel"/>
    <w:tmpl w:val="830C0AB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A158DE"/>
    <w:multiLevelType w:val="hybridMultilevel"/>
    <w:tmpl w:val="F6B405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B864FB"/>
    <w:multiLevelType w:val="hybridMultilevel"/>
    <w:tmpl w:val="84567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561E66"/>
    <w:multiLevelType w:val="hybridMultilevel"/>
    <w:tmpl w:val="A7806882"/>
    <w:lvl w:ilvl="0" w:tplc="04130001">
      <w:start w:val="1"/>
      <w:numFmt w:val="bullet"/>
      <w:lvlText w:val=""/>
      <w:lvlJc w:val="left"/>
      <w:pPr>
        <w:ind w:left="498" w:hanging="360"/>
      </w:pPr>
      <w:rPr>
        <w:rFonts w:ascii="Symbol" w:hAnsi="Symbol" w:hint="default"/>
      </w:rPr>
    </w:lvl>
    <w:lvl w:ilvl="1" w:tplc="04130003" w:tentative="1">
      <w:start w:val="1"/>
      <w:numFmt w:val="bullet"/>
      <w:lvlText w:val="o"/>
      <w:lvlJc w:val="left"/>
      <w:pPr>
        <w:ind w:left="1218" w:hanging="360"/>
      </w:pPr>
      <w:rPr>
        <w:rFonts w:ascii="Courier New" w:hAnsi="Courier New" w:cs="Courier New" w:hint="default"/>
      </w:rPr>
    </w:lvl>
    <w:lvl w:ilvl="2" w:tplc="04130005" w:tentative="1">
      <w:start w:val="1"/>
      <w:numFmt w:val="bullet"/>
      <w:lvlText w:val=""/>
      <w:lvlJc w:val="left"/>
      <w:pPr>
        <w:ind w:left="1938" w:hanging="360"/>
      </w:pPr>
      <w:rPr>
        <w:rFonts w:ascii="Wingdings" w:hAnsi="Wingdings" w:hint="default"/>
      </w:rPr>
    </w:lvl>
    <w:lvl w:ilvl="3" w:tplc="04130001" w:tentative="1">
      <w:start w:val="1"/>
      <w:numFmt w:val="bullet"/>
      <w:lvlText w:val=""/>
      <w:lvlJc w:val="left"/>
      <w:pPr>
        <w:ind w:left="2658" w:hanging="360"/>
      </w:pPr>
      <w:rPr>
        <w:rFonts w:ascii="Symbol" w:hAnsi="Symbol" w:hint="default"/>
      </w:rPr>
    </w:lvl>
    <w:lvl w:ilvl="4" w:tplc="04130003" w:tentative="1">
      <w:start w:val="1"/>
      <w:numFmt w:val="bullet"/>
      <w:lvlText w:val="o"/>
      <w:lvlJc w:val="left"/>
      <w:pPr>
        <w:ind w:left="3378" w:hanging="360"/>
      </w:pPr>
      <w:rPr>
        <w:rFonts w:ascii="Courier New" w:hAnsi="Courier New" w:cs="Courier New" w:hint="default"/>
      </w:rPr>
    </w:lvl>
    <w:lvl w:ilvl="5" w:tplc="04130005" w:tentative="1">
      <w:start w:val="1"/>
      <w:numFmt w:val="bullet"/>
      <w:lvlText w:val=""/>
      <w:lvlJc w:val="left"/>
      <w:pPr>
        <w:ind w:left="4098" w:hanging="360"/>
      </w:pPr>
      <w:rPr>
        <w:rFonts w:ascii="Wingdings" w:hAnsi="Wingdings" w:hint="default"/>
      </w:rPr>
    </w:lvl>
    <w:lvl w:ilvl="6" w:tplc="04130001" w:tentative="1">
      <w:start w:val="1"/>
      <w:numFmt w:val="bullet"/>
      <w:lvlText w:val=""/>
      <w:lvlJc w:val="left"/>
      <w:pPr>
        <w:ind w:left="4818" w:hanging="360"/>
      </w:pPr>
      <w:rPr>
        <w:rFonts w:ascii="Symbol" w:hAnsi="Symbol" w:hint="default"/>
      </w:rPr>
    </w:lvl>
    <w:lvl w:ilvl="7" w:tplc="04130003" w:tentative="1">
      <w:start w:val="1"/>
      <w:numFmt w:val="bullet"/>
      <w:lvlText w:val="o"/>
      <w:lvlJc w:val="left"/>
      <w:pPr>
        <w:ind w:left="5538" w:hanging="360"/>
      </w:pPr>
      <w:rPr>
        <w:rFonts w:ascii="Courier New" w:hAnsi="Courier New" w:cs="Courier New" w:hint="default"/>
      </w:rPr>
    </w:lvl>
    <w:lvl w:ilvl="8" w:tplc="04130005" w:tentative="1">
      <w:start w:val="1"/>
      <w:numFmt w:val="bullet"/>
      <w:lvlText w:val=""/>
      <w:lvlJc w:val="left"/>
      <w:pPr>
        <w:ind w:left="6258" w:hanging="360"/>
      </w:pPr>
      <w:rPr>
        <w:rFonts w:ascii="Wingdings" w:hAnsi="Wingdings" w:hint="default"/>
      </w:rPr>
    </w:lvl>
  </w:abstractNum>
  <w:abstractNum w:abstractNumId="12" w15:restartNumberingAfterBreak="0">
    <w:nsid w:val="29BF2D1F"/>
    <w:multiLevelType w:val="hybridMultilevel"/>
    <w:tmpl w:val="989C14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E76262B"/>
    <w:multiLevelType w:val="hybridMultilevel"/>
    <w:tmpl w:val="EB6E9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EF4BA0"/>
    <w:multiLevelType w:val="hybridMultilevel"/>
    <w:tmpl w:val="13CE1C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5467BC3"/>
    <w:multiLevelType w:val="hybridMultilevel"/>
    <w:tmpl w:val="8EC82A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85C5CE6"/>
    <w:multiLevelType w:val="hybridMultilevel"/>
    <w:tmpl w:val="9CC246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F24D31"/>
    <w:multiLevelType w:val="hybridMultilevel"/>
    <w:tmpl w:val="2744D3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F93204"/>
    <w:multiLevelType w:val="hybridMultilevel"/>
    <w:tmpl w:val="FA787A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296337F"/>
    <w:multiLevelType w:val="hybridMultilevel"/>
    <w:tmpl w:val="A23A11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6C37942"/>
    <w:multiLevelType w:val="hybridMultilevel"/>
    <w:tmpl w:val="4B4CF5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4EE03A3"/>
    <w:multiLevelType w:val="hybridMultilevel"/>
    <w:tmpl w:val="4EB4D7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50863CC"/>
    <w:multiLevelType w:val="hybridMultilevel"/>
    <w:tmpl w:val="A48ABB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ED01E94"/>
    <w:multiLevelType w:val="hybridMultilevel"/>
    <w:tmpl w:val="8A8EDA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F9E07C7"/>
    <w:multiLevelType w:val="hybridMultilevel"/>
    <w:tmpl w:val="0BB8FA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4A4285B"/>
    <w:multiLevelType w:val="hybridMultilevel"/>
    <w:tmpl w:val="EC340CD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E89495B"/>
    <w:multiLevelType w:val="hybridMultilevel"/>
    <w:tmpl w:val="C324E5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B80293F"/>
    <w:multiLevelType w:val="hybridMultilevel"/>
    <w:tmpl w:val="0FD6D3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F05432E"/>
    <w:multiLevelType w:val="hybridMultilevel"/>
    <w:tmpl w:val="7F36A916"/>
    <w:lvl w:ilvl="0" w:tplc="95EE5A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8"/>
  </w:num>
  <w:num w:numId="2">
    <w:abstractNumId w:val="6"/>
  </w:num>
  <w:num w:numId="3">
    <w:abstractNumId w:val="15"/>
  </w:num>
  <w:num w:numId="4">
    <w:abstractNumId w:val="21"/>
  </w:num>
  <w:num w:numId="5">
    <w:abstractNumId w:val="11"/>
  </w:num>
  <w:num w:numId="6">
    <w:abstractNumId w:val="0"/>
  </w:num>
  <w:num w:numId="7">
    <w:abstractNumId w:val="2"/>
  </w:num>
  <w:num w:numId="8">
    <w:abstractNumId w:val="19"/>
  </w:num>
  <w:num w:numId="9">
    <w:abstractNumId w:val="1"/>
  </w:num>
  <w:num w:numId="10">
    <w:abstractNumId w:val="23"/>
  </w:num>
  <w:num w:numId="11">
    <w:abstractNumId w:val="27"/>
  </w:num>
  <w:num w:numId="12">
    <w:abstractNumId w:val="7"/>
  </w:num>
  <w:num w:numId="13">
    <w:abstractNumId w:val="14"/>
  </w:num>
  <w:num w:numId="14">
    <w:abstractNumId w:val="24"/>
  </w:num>
  <w:num w:numId="15">
    <w:abstractNumId w:val="20"/>
  </w:num>
  <w:num w:numId="16">
    <w:abstractNumId w:val="12"/>
  </w:num>
  <w:num w:numId="17">
    <w:abstractNumId w:val="13"/>
  </w:num>
  <w:num w:numId="18">
    <w:abstractNumId w:val="5"/>
  </w:num>
  <w:num w:numId="19">
    <w:abstractNumId w:val="10"/>
  </w:num>
  <w:num w:numId="20">
    <w:abstractNumId w:val="18"/>
  </w:num>
  <w:num w:numId="21">
    <w:abstractNumId w:val="26"/>
  </w:num>
  <w:num w:numId="22">
    <w:abstractNumId w:val="3"/>
  </w:num>
  <w:num w:numId="23">
    <w:abstractNumId w:val="16"/>
  </w:num>
  <w:num w:numId="24">
    <w:abstractNumId w:val="4"/>
  </w:num>
  <w:num w:numId="25">
    <w:abstractNumId w:val="25"/>
  </w:num>
  <w:num w:numId="26">
    <w:abstractNumId w:val="22"/>
  </w:num>
  <w:num w:numId="27">
    <w:abstractNumId w:val="17"/>
  </w:num>
  <w:num w:numId="28">
    <w:abstractNumId w:val="8"/>
  </w:num>
  <w:num w:numId="29">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931"/>
    <w:rsid w:val="00002391"/>
    <w:rsid w:val="000035BC"/>
    <w:rsid w:val="0000414B"/>
    <w:rsid w:val="00004629"/>
    <w:rsid w:val="00004CBE"/>
    <w:rsid w:val="00004E3B"/>
    <w:rsid w:val="00006916"/>
    <w:rsid w:val="000077D6"/>
    <w:rsid w:val="00007FBA"/>
    <w:rsid w:val="00011137"/>
    <w:rsid w:val="000118E6"/>
    <w:rsid w:val="00012136"/>
    <w:rsid w:val="00013577"/>
    <w:rsid w:val="0001396D"/>
    <w:rsid w:val="00015D03"/>
    <w:rsid w:val="00015E77"/>
    <w:rsid w:val="00016447"/>
    <w:rsid w:val="00016596"/>
    <w:rsid w:val="000168D2"/>
    <w:rsid w:val="00016A57"/>
    <w:rsid w:val="00020226"/>
    <w:rsid w:val="0002104E"/>
    <w:rsid w:val="000214BD"/>
    <w:rsid w:val="00022A0A"/>
    <w:rsid w:val="00025949"/>
    <w:rsid w:val="0002639A"/>
    <w:rsid w:val="000277EA"/>
    <w:rsid w:val="00027A76"/>
    <w:rsid w:val="000307A4"/>
    <w:rsid w:val="00030B25"/>
    <w:rsid w:val="000310AC"/>
    <w:rsid w:val="0003158A"/>
    <w:rsid w:val="000315C8"/>
    <w:rsid w:val="000315E0"/>
    <w:rsid w:val="00032216"/>
    <w:rsid w:val="000324BB"/>
    <w:rsid w:val="00033E51"/>
    <w:rsid w:val="00034389"/>
    <w:rsid w:val="00034E21"/>
    <w:rsid w:val="0003749D"/>
    <w:rsid w:val="000375CA"/>
    <w:rsid w:val="00040365"/>
    <w:rsid w:val="0004289E"/>
    <w:rsid w:val="00042D0A"/>
    <w:rsid w:val="00043105"/>
    <w:rsid w:val="000451FD"/>
    <w:rsid w:val="000452B2"/>
    <w:rsid w:val="000475F1"/>
    <w:rsid w:val="000511C6"/>
    <w:rsid w:val="00057B4F"/>
    <w:rsid w:val="00062B23"/>
    <w:rsid w:val="00062F9E"/>
    <w:rsid w:val="00064C20"/>
    <w:rsid w:val="00066E04"/>
    <w:rsid w:val="00066F3F"/>
    <w:rsid w:val="0006718E"/>
    <w:rsid w:val="00067B3B"/>
    <w:rsid w:val="000709A4"/>
    <w:rsid w:val="000728E1"/>
    <w:rsid w:val="000750EE"/>
    <w:rsid w:val="0007557A"/>
    <w:rsid w:val="00075648"/>
    <w:rsid w:val="00075780"/>
    <w:rsid w:val="000762A7"/>
    <w:rsid w:val="00077592"/>
    <w:rsid w:val="00080BB7"/>
    <w:rsid w:val="00081A42"/>
    <w:rsid w:val="000826C1"/>
    <w:rsid w:val="00082B2C"/>
    <w:rsid w:val="00082D38"/>
    <w:rsid w:val="000834BE"/>
    <w:rsid w:val="00086E6B"/>
    <w:rsid w:val="00087973"/>
    <w:rsid w:val="00087FCC"/>
    <w:rsid w:val="00090BAB"/>
    <w:rsid w:val="00092B8A"/>
    <w:rsid w:val="0009345D"/>
    <w:rsid w:val="00093F82"/>
    <w:rsid w:val="00094133"/>
    <w:rsid w:val="00094948"/>
    <w:rsid w:val="00096415"/>
    <w:rsid w:val="0009718D"/>
    <w:rsid w:val="0009744D"/>
    <w:rsid w:val="000A1BAF"/>
    <w:rsid w:val="000A251A"/>
    <w:rsid w:val="000A3356"/>
    <w:rsid w:val="000A36AA"/>
    <w:rsid w:val="000A3D5F"/>
    <w:rsid w:val="000A4D76"/>
    <w:rsid w:val="000A5DDC"/>
    <w:rsid w:val="000A677A"/>
    <w:rsid w:val="000A6A6A"/>
    <w:rsid w:val="000B000F"/>
    <w:rsid w:val="000B026F"/>
    <w:rsid w:val="000B0DD9"/>
    <w:rsid w:val="000B17A9"/>
    <w:rsid w:val="000B31AF"/>
    <w:rsid w:val="000B36C5"/>
    <w:rsid w:val="000B3BB9"/>
    <w:rsid w:val="000B4DA2"/>
    <w:rsid w:val="000B58D5"/>
    <w:rsid w:val="000B5B0F"/>
    <w:rsid w:val="000B665F"/>
    <w:rsid w:val="000B6B83"/>
    <w:rsid w:val="000C26EA"/>
    <w:rsid w:val="000C4C8A"/>
    <w:rsid w:val="000C63FE"/>
    <w:rsid w:val="000C6E78"/>
    <w:rsid w:val="000C6F48"/>
    <w:rsid w:val="000C70F2"/>
    <w:rsid w:val="000C7294"/>
    <w:rsid w:val="000D0055"/>
    <w:rsid w:val="000D2068"/>
    <w:rsid w:val="000D454D"/>
    <w:rsid w:val="000D4A67"/>
    <w:rsid w:val="000D4DFF"/>
    <w:rsid w:val="000D4FCA"/>
    <w:rsid w:val="000D586B"/>
    <w:rsid w:val="000D5EFD"/>
    <w:rsid w:val="000D5FD3"/>
    <w:rsid w:val="000D67DB"/>
    <w:rsid w:val="000D67F7"/>
    <w:rsid w:val="000D7BAD"/>
    <w:rsid w:val="000E00BF"/>
    <w:rsid w:val="000E1A8C"/>
    <w:rsid w:val="000E1B3B"/>
    <w:rsid w:val="000E2518"/>
    <w:rsid w:val="000E2CBA"/>
    <w:rsid w:val="000E332F"/>
    <w:rsid w:val="000E345C"/>
    <w:rsid w:val="000E4377"/>
    <w:rsid w:val="000E4AE4"/>
    <w:rsid w:val="000E5AA4"/>
    <w:rsid w:val="000E6041"/>
    <w:rsid w:val="000E6171"/>
    <w:rsid w:val="000E6F55"/>
    <w:rsid w:val="000E7BBC"/>
    <w:rsid w:val="000F07FC"/>
    <w:rsid w:val="000F0F3A"/>
    <w:rsid w:val="000F1BFE"/>
    <w:rsid w:val="000F27F2"/>
    <w:rsid w:val="000F3053"/>
    <w:rsid w:val="000F469F"/>
    <w:rsid w:val="000F47D8"/>
    <w:rsid w:val="000F4D08"/>
    <w:rsid w:val="0010018D"/>
    <w:rsid w:val="00100FE4"/>
    <w:rsid w:val="00101680"/>
    <w:rsid w:val="00102FE1"/>
    <w:rsid w:val="00103CCB"/>
    <w:rsid w:val="00104195"/>
    <w:rsid w:val="0010522E"/>
    <w:rsid w:val="00106145"/>
    <w:rsid w:val="00110EAD"/>
    <w:rsid w:val="001112C1"/>
    <w:rsid w:val="00111628"/>
    <w:rsid w:val="00114611"/>
    <w:rsid w:val="00115DE9"/>
    <w:rsid w:val="001176C0"/>
    <w:rsid w:val="00117EF8"/>
    <w:rsid w:val="00120EC2"/>
    <w:rsid w:val="001218C9"/>
    <w:rsid w:val="0012368C"/>
    <w:rsid w:val="0012645F"/>
    <w:rsid w:val="0012656B"/>
    <w:rsid w:val="001268B6"/>
    <w:rsid w:val="0012705E"/>
    <w:rsid w:val="001274F5"/>
    <w:rsid w:val="0012754F"/>
    <w:rsid w:val="00127A1F"/>
    <w:rsid w:val="00130FC1"/>
    <w:rsid w:val="00131AA4"/>
    <w:rsid w:val="00131CBC"/>
    <w:rsid w:val="001347FB"/>
    <w:rsid w:val="001354A9"/>
    <w:rsid w:val="001355AB"/>
    <w:rsid w:val="00136B00"/>
    <w:rsid w:val="001377A0"/>
    <w:rsid w:val="001400EA"/>
    <w:rsid w:val="001418E8"/>
    <w:rsid w:val="00141CEE"/>
    <w:rsid w:val="001442B7"/>
    <w:rsid w:val="001448F5"/>
    <w:rsid w:val="001468BF"/>
    <w:rsid w:val="00147FAA"/>
    <w:rsid w:val="00150B3C"/>
    <w:rsid w:val="00150B92"/>
    <w:rsid w:val="00153A45"/>
    <w:rsid w:val="00153B55"/>
    <w:rsid w:val="00153F47"/>
    <w:rsid w:val="00156432"/>
    <w:rsid w:val="0015685B"/>
    <w:rsid w:val="00157F65"/>
    <w:rsid w:val="001613FE"/>
    <w:rsid w:val="001617AE"/>
    <w:rsid w:val="00161ACE"/>
    <w:rsid w:val="00162294"/>
    <w:rsid w:val="001629C9"/>
    <w:rsid w:val="00163346"/>
    <w:rsid w:val="0016357F"/>
    <w:rsid w:val="00163E62"/>
    <w:rsid w:val="00166644"/>
    <w:rsid w:val="001676D7"/>
    <w:rsid w:val="00171312"/>
    <w:rsid w:val="00171B65"/>
    <w:rsid w:val="001720E8"/>
    <w:rsid w:val="00173060"/>
    <w:rsid w:val="001773AE"/>
    <w:rsid w:val="00177B74"/>
    <w:rsid w:val="00181D07"/>
    <w:rsid w:val="0018324F"/>
    <w:rsid w:val="00183416"/>
    <w:rsid w:val="001835FD"/>
    <w:rsid w:val="00184125"/>
    <w:rsid w:val="001841F2"/>
    <w:rsid w:val="00184B58"/>
    <w:rsid w:val="0019107F"/>
    <w:rsid w:val="00192AD4"/>
    <w:rsid w:val="00193552"/>
    <w:rsid w:val="00194A82"/>
    <w:rsid w:val="00195342"/>
    <w:rsid w:val="00195B2B"/>
    <w:rsid w:val="001965B0"/>
    <w:rsid w:val="00197246"/>
    <w:rsid w:val="00197CB5"/>
    <w:rsid w:val="001A0211"/>
    <w:rsid w:val="001A0BB0"/>
    <w:rsid w:val="001A1493"/>
    <w:rsid w:val="001A1BE0"/>
    <w:rsid w:val="001A1EDB"/>
    <w:rsid w:val="001A4907"/>
    <w:rsid w:val="001A574C"/>
    <w:rsid w:val="001A62E7"/>
    <w:rsid w:val="001A681A"/>
    <w:rsid w:val="001A75E7"/>
    <w:rsid w:val="001B00DA"/>
    <w:rsid w:val="001B060A"/>
    <w:rsid w:val="001B0F6E"/>
    <w:rsid w:val="001B13E7"/>
    <w:rsid w:val="001B27A2"/>
    <w:rsid w:val="001B347A"/>
    <w:rsid w:val="001B5F6C"/>
    <w:rsid w:val="001B6106"/>
    <w:rsid w:val="001C1800"/>
    <w:rsid w:val="001C1A70"/>
    <w:rsid w:val="001C4683"/>
    <w:rsid w:val="001C4E61"/>
    <w:rsid w:val="001C6E00"/>
    <w:rsid w:val="001C73BB"/>
    <w:rsid w:val="001D0012"/>
    <w:rsid w:val="001D23E2"/>
    <w:rsid w:val="001D2493"/>
    <w:rsid w:val="001D2654"/>
    <w:rsid w:val="001D28F6"/>
    <w:rsid w:val="001D3491"/>
    <w:rsid w:val="001D387F"/>
    <w:rsid w:val="001D3D13"/>
    <w:rsid w:val="001D4353"/>
    <w:rsid w:val="001D4D36"/>
    <w:rsid w:val="001D6E99"/>
    <w:rsid w:val="001D7C69"/>
    <w:rsid w:val="001E1E03"/>
    <w:rsid w:val="001E2196"/>
    <w:rsid w:val="001E2CD0"/>
    <w:rsid w:val="001E2D89"/>
    <w:rsid w:val="001E4B62"/>
    <w:rsid w:val="001E510C"/>
    <w:rsid w:val="001E5247"/>
    <w:rsid w:val="001E5797"/>
    <w:rsid w:val="001E6043"/>
    <w:rsid w:val="001E7BDA"/>
    <w:rsid w:val="001F0693"/>
    <w:rsid w:val="001F0BC6"/>
    <w:rsid w:val="001F3482"/>
    <w:rsid w:val="001F5253"/>
    <w:rsid w:val="001F6334"/>
    <w:rsid w:val="00202006"/>
    <w:rsid w:val="002022E9"/>
    <w:rsid w:val="0020236A"/>
    <w:rsid w:val="00202B07"/>
    <w:rsid w:val="0020309A"/>
    <w:rsid w:val="002038F3"/>
    <w:rsid w:val="00203BDD"/>
    <w:rsid w:val="00203E3B"/>
    <w:rsid w:val="002044C3"/>
    <w:rsid w:val="002048C2"/>
    <w:rsid w:val="00206A20"/>
    <w:rsid w:val="00207853"/>
    <w:rsid w:val="00210780"/>
    <w:rsid w:val="0021088C"/>
    <w:rsid w:val="00210C39"/>
    <w:rsid w:val="00212942"/>
    <w:rsid w:val="00212FEB"/>
    <w:rsid w:val="00214B70"/>
    <w:rsid w:val="00214BC2"/>
    <w:rsid w:val="00215493"/>
    <w:rsid w:val="002165A7"/>
    <w:rsid w:val="00216DED"/>
    <w:rsid w:val="002202D5"/>
    <w:rsid w:val="0022127A"/>
    <w:rsid w:val="00222193"/>
    <w:rsid w:val="002235DF"/>
    <w:rsid w:val="00223754"/>
    <w:rsid w:val="00223CAC"/>
    <w:rsid w:val="00225611"/>
    <w:rsid w:val="00226E29"/>
    <w:rsid w:val="002276EB"/>
    <w:rsid w:val="00227FFB"/>
    <w:rsid w:val="00230545"/>
    <w:rsid w:val="00230800"/>
    <w:rsid w:val="00230E64"/>
    <w:rsid w:val="00231551"/>
    <w:rsid w:val="00232342"/>
    <w:rsid w:val="002335A3"/>
    <w:rsid w:val="00234108"/>
    <w:rsid w:val="002342D6"/>
    <w:rsid w:val="002349DA"/>
    <w:rsid w:val="00235D2D"/>
    <w:rsid w:val="00236954"/>
    <w:rsid w:val="002375D5"/>
    <w:rsid w:val="0024147B"/>
    <w:rsid w:val="002421D3"/>
    <w:rsid w:val="00242683"/>
    <w:rsid w:val="002448C4"/>
    <w:rsid w:val="00246FA4"/>
    <w:rsid w:val="00251065"/>
    <w:rsid w:val="002512D1"/>
    <w:rsid w:val="002520B2"/>
    <w:rsid w:val="00252112"/>
    <w:rsid w:val="002524E3"/>
    <w:rsid w:val="002541A0"/>
    <w:rsid w:val="00256498"/>
    <w:rsid w:val="00256839"/>
    <w:rsid w:val="00256B89"/>
    <w:rsid w:val="0026031B"/>
    <w:rsid w:val="00262DB9"/>
    <w:rsid w:val="00262DBE"/>
    <w:rsid w:val="00264391"/>
    <w:rsid w:val="00265E31"/>
    <w:rsid w:val="002666EC"/>
    <w:rsid w:val="00266F31"/>
    <w:rsid w:val="002705D8"/>
    <w:rsid w:val="00270CAE"/>
    <w:rsid w:val="00271EA5"/>
    <w:rsid w:val="00272055"/>
    <w:rsid w:val="0027208D"/>
    <w:rsid w:val="00272423"/>
    <w:rsid w:val="00273BF1"/>
    <w:rsid w:val="00273E57"/>
    <w:rsid w:val="002742E4"/>
    <w:rsid w:val="0027449E"/>
    <w:rsid w:val="00274D7E"/>
    <w:rsid w:val="00275580"/>
    <w:rsid w:val="0027693C"/>
    <w:rsid w:val="00277378"/>
    <w:rsid w:val="00280D57"/>
    <w:rsid w:val="00281C93"/>
    <w:rsid w:val="00282C85"/>
    <w:rsid w:val="002834B8"/>
    <w:rsid w:val="00285042"/>
    <w:rsid w:val="00286C56"/>
    <w:rsid w:val="0028731A"/>
    <w:rsid w:val="00291CB4"/>
    <w:rsid w:val="00292097"/>
    <w:rsid w:val="0029256F"/>
    <w:rsid w:val="00293BF5"/>
    <w:rsid w:val="002962D5"/>
    <w:rsid w:val="00296EE8"/>
    <w:rsid w:val="002A22F7"/>
    <w:rsid w:val="002A2C69"/>
    <w:rsid w:val="002A32B2"/>
    <w:rsid w:val="002A4DE0"/>
    <w:rsid w:val="002A6F78"/>
    <w:rsid w:val="002A7BD5"/>
    <w:rsid w:val="002A7CB1"/>
    <w:rsid w:val="002A7E92"/>
    <w:rsid w:val="002B1CF1"/>
    <w:rsid w:val="002B1FC7"/>
    <w:rsid w:val="002B3B28"/>
    <w:rsid w:val="002B3EC3"/>
    <w:rsid w:val="002B5277"/>
    <w:rsid w:val="002B6B73"/>
    <w:rsid w:val="002B70F8"/>
    <w:rsid w:val="002C0826"/>
    <w:rsid w:val="002C1CE1"/>
    <w:rsid w:val="002C20E7"/>
    <w:rsid w:val="002C217E"/>
    <w:rsid w:val="002C2224"/>
    <w:rsid w:val="002C281A"/>
    <w:rsid w:val="002C4332"/>
    <w:rsid w:val="002C5871"/>
    <w:rsid w:val="002C7144"/>
    <w:rsid w:val="002D0586"/>
    <w:rsid w:val="002D16E1"/>
    <w:rsid w:val="002D224F"/>
    <w:rsid w:val="002D2FEC"/>
    <w:rsid w:val="002D4550"/>
    <w:rsid w:val="002D492E"/>
    <w:rsid w:val="002D5026"/>
    <w:rsid w:val="002D51D4"/>
    <w:rsid w:val="002D68DF"/>
    <w:rsid w:val="002D7D16"/>
    <w:rsid w:val="002E1BA1"/>
    <w:rsid w:val="002E3B7A"/>
    <w:rsid w:val="002E4366"/>
    <w:rsid w:val="002E4747"/>
    <w:rsid w:val="002E47F9"/>
    <w:rsid w:val="002E51A1"/>
    <w:rsid w:val="002E5260"/>
    <w:rsid w:val="002E57F8"/>
    <w:rsid w:val="002E62FD"/>
    <w:rsid w:val="002E66F7"/>
    <w:rsid w:val="002E7519"/>
    <w:rsid w:val="002E7802"/>
    <w:rsid w:val="002E7D9F"/>
    <w:rsid w:val="002E7F4F"/>
    <w:rsid w:val="002E7F73"/>
    <w:rsid w:val="002F134A"/>
    <w:rsid w:val="002F1C4B"/>
    <w:rsid w:val="002F22BE"/>
    <w:rsid w:val="002F24F2"/>
    <w:rsid w:val="002F301D"/>
    <w:rsid w:val="002F3F29"/>
    <w:rsid w:val="002F6B4A"/>
    <w:rsid w:val="002F7338"/>
    <w:rsid w:val="00300F4A"/>
    <w:rsid w:val="0030108D"/>
    <w:rsid w:val="00301C46"/>
    <w:rsid w:val="00302CC6"/>
    <w:rsid w:val="0030329E"/>
    <w:rsid w:val="0030432D"/>
    <w:rsid w:val="003043B2"/>
    <w:rsid w:val="003049CE"/>
    <w:rsid w:val="00307F70"/>
    <w:rsid w:val="00310694"/>
    <w:rsid w:val="00311026"/>
    <w:rsid w:val="003113F6"/>
    <w:rsid w:val="00312B5C"/>
    <w:rsid w:val="00313523"/>
    <w:rsid w:val="00315732"/>
    <w:rsid w:val="0031699C"/>
    <w:rsid w:val="003203B0"/>
    <w:rsid w:val="00320A98"/>
    <w:rsid w:val="003223CF"/>
    <w:rsid w:val="0032240B"/>
    <w:rsid w:val="0032248B"/>
    <w:rsid w:val="00322872"/>
    <w:rsid w:val="003239F5"/>
    <w:rsid w:val="00324336"/>
    <w:rsid w:val="003246AA"/>
    <w:rsid w:val="00324A42"/>
    <w:rsid w:val="00324B49"/>
    <w:rsid w:val="00324DD8"/>
    <w:rsid w:val="00326664"/>
    <w:rsid w:val="003301FE"/>
    <w:rsid w:val="003305DD"/>
    <w:rsid w:val="003312E0"/>
    <w:rsid w:val="0033226F"/>
    <w:rsid w:val="00332B5D"/>
    <w:rsid w:val="00332E74"/>
    <w:rsid w:val="003335A3"/>
    <w:rsid w:val="003377A0"/>
    <w:rsid w:val="003406C3"/>
    <w:rsid w:val="0034225C"/>
    <w:rsid w:val="003430DB"/>
    <w:rsid w:val="003431A4"/>
    <w:rsid w:val="003456B4"/>
    <w:rsid w:val="00345AFC"/>
    <w:rsid w:val="00345B89"/>
    <w:rsid w:val="00345EB2"/>
    <w:rsid w:val="00351D36"/>
    <w:rsid w:val="00351FA1"/>
    <w:rsid w:val="003528B2"/>
    <w:rsid w:val="00352E40"/>
    <w:rsid w:val="00354312"/>
    <w:rsid w:val="00355C41"/>
    <w:rsid w:val="00356CDA"/>
    <w:rsid w:val="00356D7A"/>
    <w:rsid w:val="003575D1"/>
    <w:rsid w:val="00360394"/>
    <w:rsid w:val="0036146B"/>
    <w:rsid w:val="00361497"/>
    <w:rsid w:val="00361FFA"/>
    <w:rsid w:val="0036213A"/>
    <w:rsid w:val="003648B8"/>
    <w:rsid w:val="0036659F"/>
    <w:rsid w:val="00367C01"/>
    <w:rsid w:val="003729D6"/>
    <w:rsid w:val="00372FCF"/>
    <w:rsid w:val="00374D1D"/>
    <w:rsid w:val="00377ED0"/>
    <w:rsid w:val="00383166"/>
    <w:rsid w:val="00383A0D"/>
    <w:rsid w:val="00384DA5"/>
    <w:rsid w:val="00385863"/>
    <w:rsid w:val="003860C3"/>
    <w:rsid w:val="003868EE"/>
    <w:rsid w:val="0038708D"/>
    <w:rsid w:val="0039046B"/>
    <w:rsid w:val="0039281F"/>
    <w:rsid w:val="00392EA0"/>
    <w:rsid w:val="0039342D"/>
    <w:rsid w:val="00396888"/>
    <w:rsid w:val="003976B6"/>
    <w:rsid w:val="00397929"/>
    <w:rsid w:val="003A1E6E"/>
    <w:rsid w:val="003A21CE"/>
    <w:rsid w:val="003A2931"/>
    <w:rsid w:val="003A34E8"/>
    <w:rsid w:val="003A3BAC"/>
    <w:rsid w:val="003A606A"/>
    <w:rsid w:val="003A7E09"/>
    <w:rsid w:val="003B17D8"/>
    <w:rsid w:val="003B2F54"/>
    <w:rsid w:val="003B3363"/>
    <w:rsid w:val="003B3793"/>
    <w:rsid w:val="003B3FBB"/>
    <w:rsid w:val="003B4AA2"/>
    <w:rsid w:val="003B615D"/>
    <w:rsid w:val="003B61A4"/>
    <w:rsid w:val="003B624B"/>
    <w:rsid w:val="003C0D0B"/>
    <w:rsid w:val="003C114C"/>
    <w:rsid w:val="003C1C52"/>
    <w:rsid w:val="003C1CE9"/>
    <w:rsid w:val="003C22D9"/>
    <w:rsid w:val="003C23D2"/>
    <w:rsid w:val="003C24F4"/>
    <w:rsid w:val="003C2BAF"/>
    <w:rsid w:val="003C4486"/>
    <w:rsid w:val="003C44F8"/>
    <w:rsid w:val="003C4BCC"/>
    <w:rsid w:val="003C5D23"/>
    <w:rsid w:val="003C74F2"/>
    <w:rsid w:val="003C7510"/>
    <w:rsid w:val="003C7BEB"/>
    <w:rsid w:val="003D0F81"/>
    <w:rsid w:val="003D2FC0"/>
    <w:rsid w:val="003D3632"/>
    <w:rsid w:val="003D3DFA"/>
    <w:rsid w:val="003D4C85"/>
    <w:rsid w:val="003D5722"/>
    <w:rsid w:val="003D6ABB"/>
    <w:rsid w:val="003D6C78"/>
    <w:rsid w:val="003D7DB8"/>
    <w:rsid w:val="003E1B5E"/>
    <w:rsid w:val="003E1DA0"/>
    <w:rsid w:val="003E22B2"/>
    <w:rsid w:val="003E3246"/>
    <w:rsid w:val="003E33A7"/>
    <w:rsid w:val="003E4117"/>
    <w:rsid w:val="003E43A4"/>
    <w:rsid w:val="003E5E24"/>
    <w:rsid w:val="003E6E4A"/>
    <w:rsid w:val="003E7CCC"/>
    <w:rsid w:val="003F0320"/>
    <w:rsid w:val="003F0718"/>
    <w:rsid w:val="003F16A2"/>
    <w:rsid w:val="003F3040"/>
    <w:rsid w:val="003F3813"/>
    <w:rsid w:val="003F4DCD"/>
    <w:rsid w:val="003F51BE"/>
    <w:rsid w:val="003F56B6"/>
    <w:rsid w:val="003F58C3"/>
    <w:rsid w:val="003F62D0"/>
    <w:rsid w:val="003F693C"/>
    <w:rsid w:val="003F6CD7"/>
    <w:rsid w:val="003F7D27"/>
    <w:rsid w:val="004005F0"/>
    <w:rsid w:val="00402889"/>
    <w:rsid w:val="00402A53"/>
    <w:rsid w:val="00404EBC"/>
    <w:rsid w:val="00410A6D"/>
    <w:rsid w:val="00412C59"/>
    <w:rsid w:val="00413AED"/>
    <w:rsid w:val="004140F9"/>
    <w:rsid w:val="00414251"/>
    <w:rsid w:val="004165E5"/>
    <w:rsid w:val="004167F1"/>
    <w:rsid w:val="00417B7B"/>
    <w:rsid w:val="00420A6F"/>
    <w:rsid w:val="00420ED1"/>
    <w:rsid w:val="0042298B"/>
    <w:rsid w:val="0042331B"/>
    <w:rsid w:val="00423408"/>
    <w:rsid w:val="00424923"/>
    <w:rsid w:val="00425022"/>
    <w:rsid w:val="00426C1F"/>
    <w:rsid w:val="00431363"/>
    <w:rsid w:val="00431CE7"/>
    <w:rsid w:val="004331BF"/>
    <w:rsid w:val="00436DE6"/>
    <w:rsid w:val="004372F3"/>
    <w:rsid w:val="00437C10"/>
    <w:rsid w:val="004404DA"/>
    <w:rsid w:val="00440855"/>
    <w:rsid w:val="00440DBA"/>
    <w:rsid w:val="004411BF"/>
    <w:rsid w:val="0044133B"/>
    <w:rsid w:val="0044154A"/>
    <w:rsid w:val="00441E90"/>
    <w:rsid w:val="00445BE9"/>
    <w:rsid w:val="00446BE6"/>
    <w:rsid w:val="00447AB5"/>
    <w:rsid w:val="0045171F"/>
    <w:rsid w:val="00451C81"/>
    <w:rsid w:val="0045310F"/>
    <w:rsid w:val="00455CA7"/>
    <w:rsid w:val="004560E8"/>
    <w:rsid w:val="00456754"/>
    <w:rsid w:val="004567ED"/>
    <w:rsid w:val="00456DDC"/>
    <w:rsid w:val="00457592"/>
    <w:rsid w:val="00460181"/>
    <w:rsid w:val="00461770"/>
    <w:rsid w:val="00461A25"/>
    <w:rsid w:val="00461A62"/>
    <w:rsid w:val="00464506"/>
    <w:rsid w:val="00465D1F"/>
    <w:rsid w:val="00465FA4"/>
    <w:rsid w:val="0046633C"/>
    <w:rsid w:val="004704ED"/>
    <w:rsid w:val="0047066F"/>
    <w:rsid w:val="00470EA1"/>
    <w:rsid w:val="00471588"/>
    <w:rsid w:val="004728B3"/>
    <w:rsid w:val="0047353D"/>
    <w:rsid w:val="00473818"/>
    <w:rsid w:val="0047459C"/>
    <w:rsid w:val="00475242"/>
    <w:rsid w:val="00476966"/>
    <w:rsid w:val="004778AA"/>
    <w:rsid w:val="004806CD"/>
    <w:rsid w:val="00480810"/>
    <w:rsid w:val="00480B87"/>
    <w:rsid w:val="0048130B"/>
    <w:rsid w:val="00481DD3"/>
    <w:rsid w:val="0048249B"/>
    <w:rsid w:val="00484387"/>
    <w:rsid w:val="00484F00"/>
    <w:rsid w:val="004864FB"/>
    <w:rsid w:val="00486AA6"/>
    <w:rsid w:val="00487624"/>
    <w:rsid w:val="0048764E"/>
    <w:rsid w:val="00490877"/>
    <w:rsid w:val="004937F6"/>
    <w:rsid w:val="00493B58"/>
    <w:rsid w:val="004944AB"/>
    <w:rsid w:val="0049524D"/>
    <w:rsid w:val="00497111"/>
    <w:rsid w:val="00497A66"/>
    <w:rsid w:val="004A11F0"/>
    <w:rsid w:val="004A1552"/>
    <w:rsid w:val="004A1C76"/>
    <w:rsid w:val="004A3498"/>
    <w:rsid w:val="004A3BE8"/>
    <w:rsid w:val="004A4551"/>
    <w:rsid w:val="004A53C9"/>
    <w:rsid w:val="004B2269"/>
    <w:rsid w:val="004B33BB"/>
    <w:rsid w:val="004B351E"/>
    <w:rsid w:val="004B3E3C"/>
    <w:rsid w:val="004B6750"/>
    <w:rsid w:val="004B6B4C"/>
    <w:rsid w:val="004B6FD2"/>
    <w:rsid w:val="004B76EB"/>
    <w:rsid w:val="004B774C"/>
    <w:rsid w:val="004B7A4F"/>
    <w:rsid w:val="004C1596"/>
    <w:rsid w:val="004C3E11"/>
    <w:rsid w:val="004C4521"/>
    <w:rsid w:val="004C47B0"/>
    <w:rsid w:val="004C4B80"/>
    <w:rsid w:val="004C4D4A"/>
    <w:rsid w:val="004C5853"/>
    <w:rsid w:val="004C78F0"/>
    <w:rsid w:val="004D143E"/>
    <w:rsid w:val="004D1C4E"/>
    <w:rsid w:val="004D4C5B"/>
    <w:rsid w:val="004D509A"/>
    <w:rsid w:val="004D5534"/>
    <w:rsid w:val="004D630E"/>
    <w:rsid w:val="004D663F"/>
    <w:rsid w:val="004D7FFC"/>
    <w:rsid w:val="004E10E3"/>
    <w:rsid w:val="004E1878"/>
    <w:rsid w:val="004E1A7C"/>
    <w:rsid w:val="004E3636"/>
    <w:rsid w:val="004E3F94"/>
    <w:rsid w:val="004E45C8"/>
    <w:rsid w:val="004E4F96"/>
    <w:rsid w:val="004E5681"/>
    <w:rsid w:val="004E65CA"/>
    <w:rsid w:val="004F017A"/>
    <w:rsid w:val="004F157C"/>
    <w:rsid w:val="004F2839"/>
    <w:rsid w:val="004F4A59"/>
    <w:rsid w:val="004F5533"/>
    <w:rsid w:val="004F6990"/>
    <w:rsid w:val="004F6B5F"/>
    <w:rsid w:val="004F6F3A"/>
    <w:rsid w:val="004F7E38"/>
    <w:rsid w:val="00501716"/>
    <w:rsid w:val="005019BB"/>
    <w:rsid w:val="00503EAC"/>
    <w:rsid w:val="00505A10"/>
    <w:rsid w:val="00506000"/>
    <w:rsid w:val="00506059"/>
    <w:rsid w:val="00506CB9"/>
    <w:rsid w:val="005079FB"/>
    <w:rsid w:val="00510412"/>
    <w:rsid w:val="005110E5"/>
    <w:rsid w:val="005116D9"/>
    <w:rsid w:val="00513B53"/>
    <w:rsid w:val="00513C97"/>
    <w:rsid w:val="005145FC"/>
    <w:rsid w:val="00514709"/>
    <w:rsid w:val="00515D36"/>
    <w:rsid w:val="00515FDB"/>
    <w:rsid w:val="005162C5"/>
    <w:rsid w:val="00516D57"/>
    <w:rsid w:val="00517486"/>
    <w:rsid w:val="00517F45"/>
    <w:rsid w:val="00524223"/>
    <w:rsid w:val="00524AF0"/>
    <w:rsid w:val="005251C7"/>
    <w:rsid w:val="00527D4F"/>
    <w:rsid w:val="00530029"/>
    <w:rsid w:val="005303AE"/>
    <w:rsid w:val="005310AF"/>
    <w:rsid w:val="0053156E"/>
    <w:rsid w:val="00533E6B"/>
    <w:rsid w:val="00535DD8"/>
    <w:rsid w:val="00536C9B"/>
    <w:rsid w:val="00537D12"/>
    <w:rsid w:val="00537DF2"/>
    <w:rsid w:val="005407D4"/>
    <w:rsid w:val="00540B19"/>
    <w:rsid w:val="00541044"/>
    <w:rsid w:val="00541E3F"/>
    <w:rsid w:val="00543FBA"/>
    <w:rsid w:val="00544130"/>
    <w:rsid w:val="00544705"/>
    <w:rsid w:val="0054580D"/>
    <w:rsid w:val="005468C4"/>
    <w:rsid w:val="00546B52"/>
    <w:rsid w:val="005507C7"/>
    <w:rsid w:val="0055129F"/>
    <w:rsid w:val="0055232D"/>
    <w:rsid w:val="00552441"/>
    <w:rsid w:val="00552859"/>
    <w:rsid w:val="00552889"/>
    <w:rsid w:val="0055288F"/>
    <w:rsid w:val="00554362"/>
    <w:rsid w:val="0055605A"/>
    <w:rsid w:val="00557D5A"/>
    <w:rsid w:val="0056067E"/>
    <w:rsid w:val="00560DD9"/>
    <w:rsid w:val="005615B9"/>
    <w:rsid w:val="00562502"/>
    <w:rsid w:val="005630CA"/>
    <w:rsid w:val="005643E5"/>
    <w:rsid w:val="00565B43"/>
    <w:rsid w:val="0056671D"/>
    <w:rsid w:val="0056762E"/>
    <w:rsid w:val="00567E8C"/>
    <w:rsid w:val="00570AA8"/>
    <w:rsid w:val="00570D65"/>
    <w:rsid w:val="00571315"/>
    <w:rsid w:val="0057155D"/>
    <w:rsid w:val="00571BEA"/>
    <w:rsid w:val="005722E2"/>
    <w:rsid w:val="00572B86"/>
    <w:rsid w:val="0057452C"/>
    <w:rsid w:val="00575051"/>
    <w:rsid w:val="00575230"/>
    <w:rsid w:val="0057539F"/>
    <w:rsid w:val="005765DB"/>
    <w:rsid w:val="005815EE"/>
    <w:rsid w:val="005844AD"/>
    <w:rsid w:val="00584A0B"/>
    <w:rsid w:val="0058614C"/>
    <w:rsid w:val="005869EA"/>
    <w:rsid w:val="0058799D"/>
    <w:rsid w:val="00591DC8"/>
    <w:rsid w:val="00593D9D"/>
    <w:rsid w:val="00595443"/>
    <w:rsid w:val="00595B22"/>
    <w:rsid w:val="005962FA"/>
    <w:rsid w:val="005968CE"/>
    <w:rsid w:val="00597439"/>
    <w:rsid w:val="005A007E"/>
    <w:rsid w:val="005A1458"/>
    <w:rsid w:val="005A1D5B"/>
    <w:rsid w:val="005A23FB"/>
    <w:rsid w:val="005A319F"/>
    <w:rsid w:val="005A32DA"/>
    <w:rsid w:val="005A3B88"/>
    <w:rsid w:val="005A4E8F"/>
    <w:rsid w:val="005A5EE8"/>
    <w:rsid w:val="005A7F5D"/>
    <w:rsid w:val="005B0195"/>
    <w:rsid w:val="005B0455"/>
    <w:rsid w:val="005B046C"/>
    <w:rsid w:val="005B0C50"/>
    <w:rsid w:val="005B1191"/>
    <w:rsid w:val="005B11EF"/>
    <w:rsid w:val="005B2785"/>
    <w:rsid w:val="005B2945"/>
    <w:rsid w:val="005B2E8E"/>
    <w:rsid w:val="005B6C65"/>
    <w:rsid w:val="005C02BD"/>
    <w:rsid w:val="005C0446"/>
    <w:rsid w:val="005C073A"/>
    <w:rsid w:val="005C0A26"/>
    <w:rsid w:val="005C21C3"/>
    <w:rsid w:val="005C23ED"/>
    <w:rsid w:val="005C39CB"/>
    <w:rsid w:val="005C609C"/>
    <w:rsid w:val="005C7DAF"/>
    <w:rsid w:val="005D01DE"/>
    <w:rsid w:val="005D1301"/>
    <w:rsid w:val="005D22C4"/>
    <w:rsid w:val="005D3A3D"/>
    <w:rsid w:val="005D4EFF"/>
    <w:rsid w:val="005D70A1"/>
    <w:rsid w:val="005E130A"/>
    <w:rsid w:val="005E1466"/>
    <w:rsid w:val="005E1BA0"/>
    <w:rsid w:val="005E22F5"/>
    <w:rsid w:val="005E332D"/>
    <w:rsid w:val="005E34CF"/>
    <w:rsid w:val="005E380E"/>
    <w:rsid w:val="005E4EB6"/>
    <w:rsid w:val="005E587F"/>
    <w:rsid w:val="005E7195"/>
    <w:rsid w:val="005E7B13"/>
    <w:rsid w:val="005F1E6D"/>
    <w:rsid w:val="005F1E86"/>
    <w:rsid w:val="005F21C0"/>
    <w:rsid w:val="005F3228"/>
    <w:rsid w:val="005F3A83"/>
    <w:rsid w:val="005F44C0"/>
    <w:rsid w:val="005F4579"/>
    <w:rsid w:val="005F4B04"/>
    <w:rsid w:val="005F4B42"/>
    <w:rsid w:val="005F4BF8"/>
    <w:rsid w:val="005F598C"/>
    <w:rsid w:val="005F59D9"/>
    <w:rsid w:val="005F6288"/>
    <w:rsid w:val="005F6595"/>
    <w:rsid w:val="005F6ABC"/>
    <w:rsid w:val="005F6D3A"/>
    <w:rsid w:val="00600882"/>
    <w:rsid w:val="00601F17"/>
    <w:rsid w:val="00603F2C"/>
    <w:rsid w:val="0060470C"/>
    <w:rsid w:val="00604C30"/>
    <w:rsid w:val="006054C8"/>
    <w:rsid w:val="00605AC7"/>
    <w:rsid w:val="00614ED9"/>
    <w:rsid w:val="006154C9"/>
    <w:rsid w:val="00615E38"/>
    <w:rsid w:val="00615F06"/>
    <w:rsid w:val="0061677B"/>
    <w:rsid w:val="006167E9"/>
    <w:rsid w:val="00620C1B"/>
    <w:rsid w:val="0062121C"/>
    <w:rsid w:val="00622E76"/>
    <w:rsid w:val="006231D3"/>
    <w:rsid w:val="00623FC2"/>
    <w:rsid w:val="0062494E"/>
    <w:rsid w:val="0062575A"/>
    <w:rsid w:val="006258BB"/>
    <w:rsid w:val="0063039F"/>
    <w:rsid w:val="00630867"/>
    <w:rsid w:val="00634287"/>
    <w:rsid w:val="00635118"/>
    <w:rsid w:val="00635844"/>
    <w:rsid w:val="006359D1"/>
    <w:rsid w:val="00636F00"/>
    <w:rsid w:val="00637019"/>
    <w:rsid w:val="00640361"/>
    <w:rsid w:val="006409F7"/>
    <w:rsid w:val="00640F85"/>
    <w:rsid w:val="006452B9"/>
    <w:rsid w:val="00645C05"/>
    <w:rsid w:val="006474D8"/>
    <w:rsid w:val="00647702"/>
    <w:rsid w:val="006502B5"/>
    <w:rsid w:val="00650C28"/>
    <w:rsid w:val="00650C95"/>
    <w:rsid w:val="00651C7D"/>
    <w:rsid w:val="0065424A"/>
    <w:rsid w:val="00655294"/>
    <w:rsid w:val="00656388"/>
    <w:rsid w:val="00657FF9"/>
    <w:rsid w:val="006600FB"/>
    <w:rsid w:val="0066017E"/>
    <w:rsid w:val="00660BC1"/>
    <w:rsid w:val="0066172C"/>
    <w:rsid w:val="00661C3C"/>
    <w:rsid w:val="00671521"/>
    <w:rsid w:val="0067230F"/>
    <w:rsid w:val="0067308A"/>
    <w:rsid w:val="00673660"/>
    <w:rsid w:val="00674046"/>
    <w:rsid w:val="00674EB4"/>
    <w:rsid w:val="00677CCD"/>
    <w:rsid w:val="00677D3A"/>
    <w:rsid w:val="00680AC4"/>
    <w:rsid w:val="0068266D"/>
    <w:rsid w:val="0068275F"/>
    <w:rsid w:val="00682899"/>
    <w:rsid w:val="00682DB6"/>
    <w:rsid w:val="006841B6"/>
    <w:rsid w:val="00684DDC"/>
    <w:rsid w:val="00687021"/>
    <w:rsid w:val="006904E7"/>
    <w:rsid w:val="0069202E"/>
    <w:rsid w:val="00692875"/>
    <w:rsid w:val="00693CE2"/>
    <w:rsid w:val="0069410D"/>
    <w:rsid w:val="00696C0A"/>
    <w:rsid w:val="006A0DA3"/>
    <w:rsid w:val="006A284B"/>
    <w:rsid w:val="006A3ED4"/>
    <w:rsid w:val="006A6972"/>
    <w:rsid w:val="006A7944"/>
    <w:rsid w:val="006B11B0"/>
    <w:rsid w:val="006B1B8A"/>
    <w:rsid w:val="006B235E"/>
    <w:rsid w:val="006B2AE6"/>
    <w:rsid w:val="006B3EEA"/>
    <w:rsid w:val="006B47C5"/>
    <w:rsid w:val="006B6C13"/>
    <w:rsid w:val="006B705B"/>
    <w:rsid w:val="006B71B8"/>
    <w:rsid w:val="006B7753"/>
    <w:rsid w:val="006B7E5C"/>
    <w:rsid w:val="006C0032"/>
    <w:rsid w:val="006C169D"/>
    <w:rsid w:val="006C228B"/>
    <w:rsid w:val="006C5525"/>
    <w:rsid w:val="006D13CF"/>
    <w:rsid w:val="006D166E"/>
    <w:rsid w:val="006D3214"/>
    <w:rsid w:val="006D385D"/>
    <w:rsid w:val="006D4016"/>
    <w:rsid w:val="006D5CD7"/>
    <w:rsid w:val="006D6B5E"/>
    <w:rsid w:val="006E0071"/>
    <w:rsid w:val="006E0253"/>
    <w:rsid w:val="006E0697"/>
    <w:rsid w:val="006E095B"/>
    <w:rsid w:val="006E1354"/>
    <w:rsid w:val="006E2E49"/>
    <w:rsid w:val="006E3EBB"/>
    <w:rsid w:val="006E7639"/>
    <w:rsid w:val="006E7AA9"/>
    <w:rsid w:val="006F03E2"/>
    <w:rsid w:val="006F2376"/>
    <w:rsid w:val="006F330D"/>
    <w:rsid w:val="006F4215"/>
    <w:rsid w:val="006F514C"/>
    <w:rsid w:val="006F6D0D"/>
    <w:rsid w:val="006F727B"/>
    <w:rsid w:val="006F78FD"/>
    <w:rsid w:val="00700772"/>
    <w:rsid w:val="00701732"/>
    <w:rsid w:val="00701E23"/>
    <w:rsid w:val="00701F72"/>
    <w:rsid w:val="00702B1D"/>
    <w:rsid w:val="00702BFB"/>
    <w:rsid w:val="00703B5F"/>
    <w:rsid w:val="00704484"/>
    <w:rsid w:val="0070504F"/>
    <w:rsid w:val="007065F2"/>
    <w:rsid w:val="00707DD1"/>
    <w:rsid w:val="007117A8"/>
    <w:rsid w:val="007121F2"/>
    <w:rsid w:val="00715F74"/>
    <w:rsid w:val="00721180"/>
    <w:rsid w:val="007227F8"/>
    <w:rsid w:val="007238B8"/>
    <w:rsid w:val="00725E3C"/>
    <w:rsid w:val="0072661A"/>
    <w:rsid w:val="00727ACC"/>
    <w:rsid w:val="00727B95"/>
    <w:rsid w:val="00730042"/>
    <w:rsid w:val="00730A1E"/>
    <w:rsid w:val="00734032"/>
    <w:rsid w:val="00735ECB"/>
    <w:rsid w:val="00735EF2"/>
    <w:rsid w:val="00736DE0"/>
    <w:rsid w:val="00737D53"/>
    <w:rsid w:val="00741E1C"/>
    <w:rsid w:val="00743B52"/>
    <w:rsid w:val="00743FFE"/>
    <w:rsid w:val="00744791"/>
    <w:rsid w:val="0074487E"/>
    <w:rsid w:val="00746C8E"/>
    <w:rsid w:val="00750069"/>
    <w:rsid w:val="00750766"/>
    <w:rsid w:val="00750E7B"/>
    <w:rsid w:val="00751460"/>
    <w:rsid w:val="00751CAD"/>
    <w:rsid w:val="007522E0"/>
    <w:rsid w:val="00754554"/>
    <w:rsid w:val="007556D4"/>
    <w:rsid w:val="00756E4D"/>
    <w:rsid w:val="00760A83"/>
    <w:rsid w:val="00760FEB"/>
    <w:rsid w:val="0076262E"/>
    <w:rsid w:val="00763FCE"/>
    <w:rsid w:val="007643E9"/>
    <w:rsid w:val="00764A0F"/>
    <w:rsid w:val="00764BEE"/>
    <w:rsid w:val="00772C72"/>
    <w:rsid w:val="00773263"/>
    <w:rsid w:val="007756C7"/>
    <w:rsid w:val="00775BFF"/>
    <w:rsid w:val="0077661C"/>
    <w:rsid w:val="007772AE"/>
    <w:rsid w:val="00777E02"/>
    <w:rsid w:val="0078360C"/>
    <w:rsid w:val="00783760"/>
    <w:rsid w:val="0078389A"/>
    <w:rsid w:val="00783A44"/>
    <w:rsid w:val="007842FB"/>
    <w:rsid w:val="007850D3"/>
    <w:rsid w:val="00785111"/>
    <w:rsid w:val="007864F0"/>
    <w:rsid w:val="00787401"/>
    <w:rsid w:val="00787EF6"/>
    <w:rsid w:val="007906DF"/>
    <w:rsid w:val="0079079F"/>
    <w:rsid w:val="00791742"/>
    <w:rsid w:val="00794625"/>
    <w:rsid w:val="00794FC8"/>
    <w:rsid w:val="00795A0C"/>
    <w:rsid w:val="007966E2"/>
    <w:rsid w:val="00796DEC"/>
    <w:rsid w:val="00797154"/>
    <w:rsid w:val="00797F63"/>
    <w:rsid w:val="007A1085"/>
    <w:rsid w:val="007A5366"/>
    <w:rsid w:val="007A56E3"/>
    <w:rsid w:val="007A64B9"/>
    <w:rsid w:val="007A73BE"/>
    <w:rsid w:val="007A7BDB"/>
    <w:rsid w:val="007B06AB"/>
    <w:rsid w:val="007B1F70"/>
    <w:rsid w:val="007B2014"/>
    <w:rsid w:val="007B2DEE"/>
    <w:rsid w:val="007B415B"/>
    <w:rsid w:val="007B4309"/>
    <w:rsid w:val="007B4F21"/>
    <w:rsid w:val="007B72C3"/>
    <w:rsid w:val="007B78CE"/>
    <w:rsid w:val="007C0684"/>
    <w:rsid w:val="007C20F3"/>
    <w:rsid w:val="007C3E38"/>
    <w:rsid w:val="007D2DA6"/>
    <w:rsid w:val="007D45FB"/>
    <w:rsid w:val="007D4C0C"/>
    <w:rsid w:val="007D50D0"/>
    <w:rsid w:val="007D559B"/>
    <w:rsid w:val="007D5F20"/>
    <w:rsid w:val="007D70E0"/>
    <w:rsid w:val="007D75BC"/>
    <w:rsid w:val="007D7A6B"/>
    <w:rsid w:val="007D7BFB"/>
    <w:rsid w:val="007D7E1B"/>
    <w:rsid w:val="007E00FB"/>
    <w:rsid w:val="007E2930"/>
    <w:rsid w:val="007E5975"/>
    <w:rsid w:val="007F15EE"/>
    <w:rsid w:val="007F2618"/>
    <w:rsid w:val="007F2806"/>
    <w:rsid w:val="007F3AFB"/>
    <w:rsid w:val="007F3BBD"/>
    <w:rsid w:val="007F3E8F"/>
    <w:rsid w:val="007F4802"/>
    <w:rsid w:val="007F484A"/>
    <w:rsid w:val="007F4DD9"/>
    <w:rsid w:val="007F6738"/>
    <w:rsid w:val="00800F35"/>
    <w:rsid w:val="00804E68"/>
    <w:rsid w:val="00806FA5"/>
    <w:rsid w:val="008077FD"/>
    <w:rsid w:val="0081078C"/>
    <w:rsid w:val="00810CCD"/>
    <w:rsid w:val="00812A73"/>
    <w:rsid w:val="00813965"/>
    <w:rsid w:val="00814AAB"/>
    <w:rsid w:val="00817611"/>
    <w:rsid w:val="008179E3"/>
    <w:rsid w:val="0082451E"/>
    <w:rsid w:val="008265FB"/>
    <w:rsid w:val="00826A3A"/>
    <w:rsid w:val="0083042B"/>
    <w:rsid w:val="00830756"/>
    <w:rsid w:val="00830B91"/>
    <w:rsid w:val="008311CC"/>
    <w:rsid w:val="008313A4"/>
    <w:rsid w:val="0083450A"/>
    <w:rsid w:val="00834EB0"/>
    <w:rsid w:val="00836D93"/>
    <w:rsid w:val="00837368"/>
    <w:rsid w:val="008377F1"/>
    <w:rsid w:val="008402F3"/>
    <w:rsid w:val="00842032"/>
    <w:rsid w:val="00842889"/>
    <w:rsid w:val="008439CF"/>
    <w:rsid w:val="0084519D"/>
    <w:rsid w:val="008459A3"/>
    <w:rsid w:val="00846D01"/>
    <w:rsid w:val="00847344"/>
    <w:rsid w:val="00847CE5"/>
    <w:rsid w:val="0085072D"/>
    <w:rsid w:val="00850F01"/>
    <w:rsid w:val="00851607"/>
    <w:rsid w:val="0085341F"/>
    <w:rsid w:val="00854CD8"/>
    <w:rsid w:val="00856042"/>
    <w:rsid w:val="00856584"/>
    <w:rsid w:val="00857606"/>
    <w:rsid w:val="0086009B"/>
    <w:rsid w:val="008618D7"/>
    <w:rsid w:val="00866038"/>
    <w:rsid w:val="00867F4D"/>
    <w:rsid w:val="008703FA"/>
    <w:rsid w:val="00871A8D"/>
    <w:rsid w:val="00871CF0"/>
    <w:rsid w:val="008720BB"/>
    <w:rsid w:val="00872C31"/>
    <w:rsid w:val="008731CA"/>
    <w:rsid w:val="00876750"/>
    <w:rsid w:val="00877DD4"/>
    <w:rsid w:val="00880BCC"/>
    <w:rsid w:val="00881DCF"/>
    <w:rsid w:val="00881F6F"/>
    <w:rsid w:val="00885739"/>
    <w:rsid w:val="008864F8"/>
    <w:rsid w:val="00887FF5"/>
    <w:rsid w:val="008915BA"/>
    <w:rsid w:val="008940C6"/>
    <w:rsid w:val="0089508A"/>
    <w:rsid w:val="008958BC"/>
    <w:rsid w:val="00896887"/>
    <w:rsid w:val="00896F9B"/>
    <w:rsid w:val="008A0667"/>
    <w:rsid w:val="008A0D72"/>
    <w:rsid w:val="008A163E"/>
    <w:rsid w:val="008A26BC"/>
    <w:rsid w:val="008A304D"/>
    <w:rsid w:val="008A4761"/>
    <w:rsid w:val="008A49F2"/>
    <w:rsid w:val="008A6453"/>
    <w:rsid w:val="008A686C"/>
    <w:rsid w:val="008A6E66"/>
    <w:rsid w:val="008A7D44"/>
    <w:rsid w:val="008B19E0"/>
    <w:rsid w:val="008B1EBA"/>
    <w:rsid w:val="008B1FCA"/>
    <w:rsid w:val="008B3055"/>
    <w:rsid w:val="008B6E50"/>
    <w:rsid w:val="008B7172"/>
    <w:rsid w:val="008B76D1"/>
    <w:rsid w:val="008B7D04"/>
    <w:rsid w:val="008B7E89"/>
    <w:rsid w:val="008C00F5"/>
    <w:rsid w:val="008C166C"/>
    <w:rsid w:val="008C21E0"/>
    <w:rsid w:val="008C33C3"/>
    <w:rsid w:val="008C4062"/>
    <w:rsid w:val="008C4427"/>
    <w:rsid w:val="008C540D"/>
    <w:rsid w:val="008C70CD"/>
    <w:rsid w:val="008C7175"/>
    <w:rsid w:val="008D077B"/>
    <w:rsid w:val="008D198E"/>
    <w:rsid w:val="008D3587"/>
    <w:rsid w:val="008D384B"/>
    <w:rsid w:val="008D3A1A"/>
    <w:rsid w:val="008D4E64"/>
    <w:rsid w:val="008E0973"/>
    <w:rsid w:val="008E28D3"/>
    <w:rsid w:val="008E3AEB"/>
    <w:rsid w:val="008E496E"/>
    <w:rsid w:val="008E5496"/>
    <w:rsid w:val="008E62ED"/>
    <w:rsid w:val="008E6B7E"/>
    <w:rsid w:val="008E7323"/>
    <w:rsid w:val="008E7CF7"/>
    <w:rsid w:val="008E7CFD"/>
    <w:rsid w:val="008F0CB8"/>
    <w:rsid w:val="008F284D"/>
    <w:rsid w:val="008F4895"/>
    <w:rsid w:val="008F4A37"/>
    <w:rsid w:val="008F4D7F"/>
    <w:rsid w:val="008F655E"/>
    <w:rsid w:val="008F6F7B"/>
    <w:rsid w:val="00901162"/>
    <w:rsid w:val="0090119A"/>
    <w:rsid w:val="0090190C"/>
    <w:rsid w:val="0090287B"/>
    <w:rsid w:val="009061F7"/>
    <w:rsid w:val="00906344"/>
    <w:rsid w:val="00907A96"/>
    <w:rsid w:val="009135C2"/>
    <w:rsid w:val="0091387B"/>
    <w:rsid w:val="009143BC"/>
    <w:rsid w:val="00917562"/>
    <w:rsid w:val="00920EB4"/>
    <w:rsid w:val="009215E0"/>
    <w:rsid w:val="00923DD6"/>
    <w:rsid w:val="00924123"/>
    <w:rsid w:val="0092523A"/>
    <w:rsid w:val="00926C3D"/>
    <w:rsid w:val="00927E7A"/>
    <w:rsid w:val="00930256"/>
    <w:rsid w:val="00930552"/>
    <w:rsid w:val="00931D93"/>
    <w:rsid w:val="0093204D"/>
    <w:rsid w:val="009333A8"/>
    <w:rsid w:val="00933665"/>
    <w:rsid w:val="00937016"/>
    <w:rsid w:val="009375BC"/>
    <w:rsid w:val="0094019F"/>
    <w:rsid w:val="00940A76"/>
    <w:rsid w:val="009413FD"/>
    <w:rsid w:val="009415A7"/>
    <w:rsid w:val="00941AD9"/>
    <w:rsid w:val="00941D0C"/>
    <w:rsid w:val="00941D17"/>
    <w:rsid w:val="009424FC"/>
    <w:rsid w:val="00944219"/>
    <w:rsid w:val="00945392"/>
    <w:rsid w:val="009454F7"/>
    <w:rsid w:val="00950050"/>
    <w:rsid w:val="009503B9"/>
    <w:rsid w:val="00950FF0"/>
    <w:rsid w:val="009512A6"/>
    <w:rsid w:val="0095141B"/>
    <w:rsid w:val="00952857"/>
    <w:rsid w:val="00952F82"/>
    <w:rsid w:val="0095383E"/>
    <w:rsid w:val="0095416F"/>
    <w:rsid w:val="00955632"/>
    <w:rsid w:val="00955933"/>
    <w:rsid w:val="00956637"/>
    <w:rsid w:val="0095664F"/>
    <w:rsid w:val="00962057"/>
    <w:rsid w:val="00963A98"/>
    <w:rsid w:val="00963EEE"/>
    <w:rsid w:val="00963F79"/>
    <w:rsid w:val="00964934"/>
    <w:rsid w:val="009649EF"/>
    <w:rsid w:val="00965234"/>
    <w:rsid w:val="0097055C"/>
    <w:rsid w:val="00971E32"/>
    <w:rsid w:val="00973C37"/>
    <w:rsid w:val="009748E1"/>
    <w:rsid w:val="00974DAD"/>
    <w:rsid w:val="009758F8"/>
    <w:rsid w:val="00975D73"/>
    <w:rsid w:val="00976682"/>
    <w:rsid w:val="00977964"/>
    <w:rsid w:val="00980619"/>
    <w:rsid w:val="00981A43"/>
    <w:rsid w:val="00981AFA"/>
    <w:rsid w:val="00981DA4"/>
    <w:rsid w:val="00981E93"/>
    <w:rsid w:val="00981FF0"/>
    <w:rsid w:val="009835C8"/>
    <w:rsid w:val="009835D4"/>
    <w:rsid w:val="00984721"/>
    <w:rsid w:val="00984849"/>
    <w:rsid w:val="00985652"/>
    <w:rsid w:val="0098569D"/>
    <w:rsid w:val="00985C22"/>
    <w:rsid w:val="009901DA"/>
    <w:rsid w:val="00990223"/>
    <w:rsid w:val="0099085F"/>
    <w:rsid w:val="00990CB2"/>
    <w:rsid w:val="00992D5B"/>
    <w:rsid w:val="00993A2D"/>
    <w:rsid w:val="00997180"/>
    <w:rsid w:val="00997801"/>
    <w:rsid w:val="00997D37"/>
    <w:rsid w:val="009A1502"/>
    <w:rsid w:val="009A1BB7"/>
    <w:rsid w:val="009A21EA"/>
    <w:rsid w:val="009A3AA0"/>
    <w:rsid w:val="009A45FB"/>
    <w:rsid w:val="009A6134"/>
    <w:rsid w:val="009A6280"/>
    <w:rsid w:val="009A6A96"/>
    <w:rsid w:val="009B1081"/>
    <w:rsid w:val="009B17FD"/>
    <w:rsid w:val="009B1C33"/>
    <w:rsid w:val="009B2BD1"/>
    <w:rsid w:val="009B4720"/>
    <w:rsid w:val="009B4D44"/>
    <w:rsid w:val="009B5809"/>
    <w:rsid w:val="009B5D24"/>
    <w:rsid w:val="009B5FAD"/>
    <w:rsid w:val="009B6670"/>
    <w:rsid w:val="009C0E7A"/>
    <w:rsid w:val="009C0EBE"/>
    <w:rsid w:val="009C1B9C"/>
    <w:rsid w:val="009C25D2"/>
    <w:rsid w:val="009C323A"/>
    <w:rsid w:val="009C3410"/>
    <w:rsid w:val="009C54C8"/>
    <w:rsid w:val="009C5A97"/>
    <w:rsid w:val="009C73E8"/>
    <w:rsid w:val="009C7924"/>
    <w:rsid w:val="009D26EE"/>
    <w:rsid w:val="009D31F1"/>
    <w:rsid w:val="009D3421"/>
    <w:rsid w:val="009D3C10"/>
    <w:rsid w:val="009D44B6"/>
    <w:rsid w:val="009D469B"/>
    <w:rsid w:val="009D656E"/>
    <w:rsid w:val="009D7327"/>
    <w:rsid w:val="009E0FEE"/>
    <w:rsid w:val="009E1CDB"/>
    <w:rsid w:val="009E1EF3"/>
    <w:rsid w:val="009E25D0"/>
    <w:rsid w:val="009E2E6E"/>
    <w:rsid w:val="009E4D17"/>
    <w:rsid w:val="009E5B66"/>
    <w:rsid w:val="009E5DF9"/>
    <w:rsid w:val="009E62FE"/>
    <w:rsid w:val="009F177C"/>
    <w:rsid w:val="009F1D08"/>
    <w:rsid w:val="009F27FE"/>
    <w:rsid w:val="009F2B69"/>
    <w:rsid w:val="009F2E13"/>
    <w:rsid w:val="009F31D0"/>
    <w:rsid w:val="009F3333"/>
    <w:rsid w:val="009F39BC"/>
    <w:rsid w:val="009F42D8"/>
    <w:rsid w:val="009F4785"/>
    <w:rsid w:val="009F7793"/>
    <w:rsid w:val="009F785B"/>
    <w:rsid w:val="00A00245"/>
    <w:rsid w:val="00A014F7"/>
    <w:rsid w:val="00A0360E"/>
    <w:rsid w:val="00A03FDC"/>
    <w:rsid w:val="00A04183"/>
    <w:rsid w:val="00A06B78"/>
    <w:rsid w:val="00A10365"/>
    <w:rsid w:val="00A1097F"/>
    <w:rsid w:val="00A109D8"/>
    <w:rsid w:val="00A150D0"/>
    <w:rsid w:val="00A15421"/>
    <w:rsid w:val="00A2006A"/>
    <w:rsid w:val="00A208D8"/>
    <w:rsid w:val="00A20E20"/>
    <w:rsid w:val="00A24416"/>
    <w:rsid w:val="00A2508A"/>
    <w:rsid w:val="00A2593D"/>
    <w:rsid w:val="00A26687"/>
    <w:rsid w:val="00A31006"/>
    <w:rsid w:val="00A31993"/>
    <w:rsid w:val="00A3224F"/>
    <w:rsid w:val="00A32619"/>
    <w:rsid w:val="00A328DC"/>
    <w:rsid w:val="00A33264"/>
    <w:rsid w:val="00A33B48"/>
    <w:rsid w:val="00A34278"/>
    <w:rsid w:val="00A34785"/>
    <w:rsid w:val="00A34EBA"/>
    <w:rsid w:val="00A37A6A"/>
    <w:rsid w:val="00A40838"/>
    <w:rsid w:val="00A40C38"/>
    <w:rsid w:val="00A415B8"/>
    <w:rsid w:val="00A42E32"/>
    <w:rsid w:val="00A43544"/>
    <w:rsid w:val="00A4380E"/>
    <w:rsid w:val="00A43816"/>
    <w:rsid w:val="00A451D2"/>
    <w:rsid w:val="00A46930"/>
    <w:rsid w:val="00A513EA"/>
    <w:rsid w:val="00A51B29"/>
    <w:rsid w:val="00A51D53"/>
    <w:rsid w:val="00A53EBE"/>
    <w:rsid w:val="00A5456C"/>
    <w:rsid w:val="00A5457A"/>
    <w:rsid w:val="00A5695F"/>
    <w:rsid w:val="00A576F1"/>
    <w:rsid w:val="00A57B5F"/>
    <w:rsid w:val="00A60166"/>
    <w:rsid w:val="00A60881"/>
    <w:rsid w:val="00A608F8"/>
    <w:rsid w:val="00A61204"/>
    <w:rsid w:val="00A614D5"/>
    <w:rsid w:val="00A620CC"/>
    <w:rsid w:val="00A62294"/>
    <w:rsid w:val="00A62400"/>
    <w:rsid w:val="00A625B5"/>
    <w:rsid w:val="00A625DC"/>
    <w:rsid w:val="00A63B63"/>
    <w:rsid w:val="00A650B7"/>
    <w:rsid w:val="00A65804"/>
    <w:rsid w:val="00A65DE8"/>
    <w:rsid w:val="00A671D6"/>
    <w:rsid w:val="00A768ED"/>
    <w:rsid w:val="00A76BC3"/>
    <w:rsid w:val="00A77580"/>
    <w:rsid w:val="00A77629"/>
    <w:rsid w:val="00A77AB8"/>
    <w:rsid w:val="00A8263F"/>
    <w:rsid w:val="00A84A16"/>
    <w:rsid w:val="00A85C33"/>
    <w:rsid w:val="00A90E8B"/>
    <w:rsid w:val="00A919F9"/>
    <w:rsid w:val="00A92628"/>
    <w:rsid w:val="00A92B28"/>
    <w:rsid w:val="00A92EEA"/>
    <w:rsid w:val="00A938A4"/>
    <w:rsid w:val="00A93E89"/>
    <w:rsid w:val="00A94F3F"/>
    <w:rsid w:val="00A95012"/>
    <w:rsid w:val="00A95B9F"/>
    <w:rsid w:val="00A966C5"/>
    <w:rsid w:val="00A972A4"/>
    <w:rsid w:val="00A976EB"/>
    <w:rsid w:val="00AA0DEC"/>
    <w:rsid w:val="00AA1719"/>
    <w:rsid w:val="00AA1939"/>
    <w:rsid w:val="00AA1B22"/>
    <w:rsid w:val="00AA278D"/>
    <w:rsid w:val="00AA4DEF"/>
    <w:rsid w:val="00AA5559"/>
    <w:rsid w:val="00AA5C7B"/>
    <w:rsid w:val="00AA76E9"/>
    <w:rsid w:val="00AB0431"/>
    <w:rsid w:val="00AB15AD"/>
    <w:rsid w:val="00AB24A6"/>
    <w:rsid w:val="00AB36C0"/>
    <w:rsid w:val="00AB3F08"/>
    <w:rsid w:val="00AB59A1"/>
    <w:rsid w:val="00AC3069"/>
    <w:rsid w:val="00AC315B"/>
    <w:rsid w:val="00AC4EB6"/>
    <w:rsid w:val="00AC5A8B"/>
    <w:rsid w:val="00AC62ED"/>
    <w:rsid w:val="00AC6F03"/>
    <w:rsid w:val="00AC7AC8"/>
    <w:rsid w:val="00AD0806"/>
    <w:rsid w:val="00AD0A50"/>
    <w:rsid w:val="00AD0BE5"/>
    <w:rsid w:val="00AD1D11"/>
    <w:rsid w:val="00AD2D2C"/>
    <w:rsid w:val="00AD39EC"/>
    <w:rsid w:val="00AD3EE6"/>
    <w:rsid w:val="00AD5B3F"/>
    <w:rsid w:val="00AD6F41"/>
    <w:rsid w:val="00AD741B"/>
    <w:rsid w:val="00AD7E5B"/>
    <w:rsid w:val="00AE1D99"/>
    <w:rsid w:val="00AE1E8C"/>
    <w:rsid w:val="00AE2678"/>
    <w:rsid w:val="00AE3A0E"/>
    <w:rsid w:val="00AE4D15"/>
    <w:rsid w:val="00AE52F3"/>
    <w:rsid w:val="00AE5C34"/>
    <w:rsid w:val="00AE60F1"/>
    <w:rsid w:val="00AE6B9B"/>
    <w:rsid w:val="00AE6FBC"/>
    <w:rsid w:val="00AE741D"/>
    <w:rsid w:val="00AF0F39"/>
    <w:rsid w:val="00AF1707"/>
    <w:rsid w:val="00AF1926"/>
    <w:rsid w:val="00AF2670"/>
    <w:rsid w:val="00AF31C1"/>
    <w:rsid w:val="00AF68ED"/>
    <w:rsid w:val="00AF76AF"/>
    <w:rsid w:val="00B0010E"/>
    <w:rsid w:val="00B00996"/>
    <w:rsid w:val="00B02061"/>
    <w:rsid w:val="00B021D7"/>
    <w:rsid w:val="00B02991"/>
    <w:rsid w:val="00B038A6"/>
    <w:rsid w:val="00B059A0"/>
    <w:rsid w:val="00B10AA2"/>
    <w:rsid w:val="00B10B2D"/>
    <w:rsid w:val="00B117C6"/>
    <w:rsid w:val="00B11D3A"/>
    <w:rsid w:val="00B12918"/>
    <w:rsid w:val="00B1326D"/>
    <w:rsid w:val="00B15EA4"/>
    <w:rsid w:val="00B17162"/>
    <w:rsid w:val="00B218A2"/>
    <w:rsid w:val="00B22429"/>
    <w:rsid w:val="00B2287F"/>
    <w:rsid w:val="00B234D0"/>
    <w:rsid w:val="00B23668"/>
    <w:rsid w:val="00B2394E"/>
    <w:rsid w:val="00B2635D"/>
    <w:rsid w:val="00B26781"/>
    <w:rsid w:val="00B30F88"/>
    <w:rsid w:val="00B30F8E"/>
    <w:rsid w:val="00B32A8C"/>
    <w:rsid w:val="00B34C64"/>
    <w:rsid w:val="00B354DB"/>
    <w:rsid w:val="00B3552E"/>
    <w:rsid w:val="00B357FD"/>
    <w:rsid w:val="00B36822"/>
    <w:rsid w:val="00B379E9"/>
    <w:rsid w:val="00B40543"/>
    <w:rsid w:val="00B406A5"/>
    <w:rsid w:val="00B409B0"/>
    <w:rsid w:val="00B41948"/>
    <w:rsid w:val="00B428F9"/>
    <w:rsid w:val="00B44512"/>
    <w:rsid w:val="00B45A9C"/>
    <w:rsid w:val="00B46165"/>
    <w:rsid w:val="00B4706C"/>
    <w:rsid w:val="00B474D6"/>
    <w:rsid w:val="00B47596"/>
    <w:rsid w:val="00B47E20"/>
    <w:rsid w:val="00B50220"/>
    <w:rsid w:val="00B50940"/>
    <w:rsid w:val="00B514C2"/>
    <w:rsid w:val="00B51EFA"/>
    <w:rsid w:val="00B53AD7"/>
    <w:rsid w:val="00B56DC3"/>
    <w:rsid w:val="00B574E9"/>
    <w:rsid w:val="00B623C7"/>
    <w:rsid w:val="00B63F9C"/>
    <w:rsid w:val="00B6414A"/>
    <w:rsid w:val="00B671DF"/>
    <w:rsid w:val="00B70107"/>
    <w:rsid w:val="00B704A2"/>
    <w:rsid w:val="00B71676"/>
    <w:rsid w:val="00B73337"/>
    <w:rsid w:val="00B7510F"/>
    <w:rsid w:val="00B75133"/>
    <w:rsid w:val="00B75451"/>
    <w:rsid w:val="00B76312"/>
    <w:rsid w:val="00B80563"/>
    <w:rsid w:val="00B8123A"/>
    <w:rsid w:val="00B83A1E"/>
    <w:rsid w:val="00B84A2F"/>
    <w:rsid w:val="00B85021"/>
    <w:rsid w:val="00B8619C"/>
    <w:rsid w:val="00B87571"/>
    <w:rsid w:val="00B87C70"/>
    <w:rsid w:val="00B905E2"/>
    <w:rsid w:val="00B9136B"/>
    <w:rsid w:val="00B91698"/>
    <w:rsid w:val="00B92555"/>
    <w:rsid w:val="00B92576"/>
    <w:rsid w:val="00B95003"/>
    <w:rsid w:val="00BA0342"/>
    <w:rsid w:val="00BA2156"/>
    <w:rsid w:val="00BA4C7E"/>
    <w:rsid w:val="00BA5937"/>
    <w:rsid w:val="00BA5EF1"/>
    <w:rsid w:val="00BA6360"/>
    <w:rsid w:val="00BA6655"/>
    <w:rsid w:val="00BA6895"/>
    <w:rsid w:val="00BB1256"/>
    <w:rsid w:val="00BB1927"/>
    <w:rsid w:val="00BB202A"/>
    <w:rsid w:val="00BB3614"/>
    <w:rsid w:val="00BB4029"/>
    <w:rsid w:val="00BB4C63"/>
    <w:rsid w:val="00BB5609"/>
    <w:rsid w:val="00BB56E5"/>
    <w:rsid w:val="00BB5DA7"/>
    <w:rsid w:val="00BB5EC2"/>
    <w:rsid w:val="00BB5F33"/>
    <w:rsid w:val="00BB6339"/>
    <w:rsid w:val="00BB65EB"/>
    <w:rsid w:val="00BB7675"/>
    <w:rsid w:val="00BC030A"/>
    <w:rsid w:val="00BC1396"/>
    <w:rsid w:val="00BC1A0F"/>
    <w:rsid w:val="00BC272C"/>
    <w:rsid w:val="00BD0DAB"/>
    <w:rsid w:val="00BD157A"/>
    <w:rsid w:val="00BD1EE6"/>
    <w:rsid w:val="00BD3E30"/>
    <w:rsid w:val="00BD401A"/>
    <w:rsid w:val="00BD45A4"/>
    <w:rsid w:val="00BD4EB9"/>
    <w:rsid w:val="00BD5499"/>
    <w:rsid w:val="00BD5945"/>
    <w:rsid w:val="00BD7FEC"/>
    <w:rsid w:val="00BE0E9E"/>
    <w:rsid w:val="00BE1304"/>
    <w:rsid w:val="00BE3E82"/>
    <w:rsid w:val="00BE404D"/>
    <w:rsid w:val="00BE4D36"/>
    <w:rsid w:val="00BE501B"/>
    <w:rsid w:val="00BE68BA"/>
    <w:rsid w:val="00BF1B05"/>
    <w:rsid w:val="00BF3CB2"/>
    <w:rsid w:val="00BF41C6"/>
    <w:rsid w:val="00BF4DDA"/>
    <w:rsid w:val="00BF595E"/>
    <w:rsid w:val="00BF64E5"/>
    <w:rsid w:val="00BF6DC0"/>
    <w:rsid w:val="00BF714E"/>
    <w:rsid w:val="00C00FDF"/>
    <w:rsid w:val="00C02717"/>
    <w:rsid w:val="00C0304C"/>
    <w:rsid w:val="00C03528"/>
    <w:rsid w:val="00C06F67"/>
    <w:rsid w:val="00C07CF8"/>
    <w:rsid w:val="00C11175"/>
    <w:rsid w:val="00C11A48"/>
    <w:rsid w:val="00C12485"/>
    <w:rsid w:val="00C13F0A"/>
    <w:rsid w:val="00C1692B"/>
    <w:rsid w:val="00C17197"/>
    <w:rsid w:val="00C17656"/>
    <w:rsid w:val="00C20984"/>
    <w:rsid w:val="00C20C96"/>
    <w:rsid w:val="00C20FAE"/>
    <w:rsid w:val="00C23114"/>
    <w:rsid w:val="00C24535"/>
    <w:rsid w:val="00C24868"/>
    <w:rsid w:val="00C26EFE"/>
    <w:rsid w:val="00C27ED6"/>
    <w:rsid w:val="00C31E0B"/>
    <w:rsid w:val="00C32B11"/>
    <w:rsid w:val="00C333CA"/>
    <w:rsid w:val="00C333F1"/>
    <w:rsid w:val="00C3356E"/>
    <w:rsid w:val="00C36709"/>
    <w:rsid w:val="00C369CB"/>
    <w:rsid w:val="00C3732F"/>
    <w:rsid w:val="00C40186"/>
    <w:rsid w:val="00C40579"/>
    <w:rsid w:val="00C40A80"/>
    <w:rsid w:val="00C40FA2"/>
    <w:rsid w:val="00C413FF"/>
    <w:rsid w:val="00C41786"/>
    <w:rsid w:val="00C41E13"/>
    <w:rsid w:val="00C42942"/>
    <w:rsid w:val="00C43396"/>
    <w:rsid w:val="00C437B9"/>
    <w:rsid w:val="00C449D1"/>
    <w:rsid w:val="00C44B1A"/>
    <w:rsid w:val="00C452AE"/>
    <w:rsid w:val="00C47C25"/>
    <w:rsid w:val="00C50633"/>
    <w:rsid w:val="00C51626"/>
    <w:rsid w:val="00C51A22"/>
    <w:rsid w:val="00C53CBF"/>
    <w:rsid w:val="00C55DB4"/>
    <w:rsid w:val="00C5616C"/>
    <w:rsid w:val="00C56836"/>
    <w:rsid w:val="00C5704D"/>
    <w:rsid w:val="00C60763"/>
    <w:rsid w:val="00C6203F"/>
    <w:rsid w:val="00C623CE"/>
    <w:rsid w:val="00C624CC"/>
    <w:rsid w:val="00C6260D"/>
    <w:rsid w:val="00C63726"/>
    <w:rsid w:val="00C64388"/>
    <w:rsid w:val="00C661A8"/>
    <w:rsid w:val="00C667B3"/>
    <w:rsid w:val="00C70DF1"/>
    <w:rsid w:val="00C712B1"/>
    <w:rsid w:val="00C71621"/>
    <w:rsid w:val="00C71DED"/>
    <w:rsid w:val="00C732B8"/>
    <w:rsid w:val="00C74522"/>
    <w:rsid w:val="00C74E4F"/>
    <w:rsid w:val="00C75662"/>
    <w:rsid w:val="00C7576C"/>
    <w:rsid w:val="00C76A10"/>
    <w:rsid w:val="00C76C5C"/>
    <w:rsid w:val="00C80548"/>
    <w:rsid w:val="00C837CA"/>
    <w:rsid w:val="00C83E58"/>
    <w:rsid w:val="00C84884"/>
    <w:rsid w:val="00C8707C"/>
    <w:rsid w:val="00C879D4"/>
    <w:rsid w:val="00C87C13"/>
    <w:rsid w:val="00C9010C"/>
    <w:rsid w:val="00C90D4A"/>
    <w:rsid w:val="00C913B7"/>
    <w:rsid w:val="00C92BD8"/>
    <w:rsid w:val="00C9470D"/>
    <w:rsid w:val="00C94F72"/>
    <w:rsid w:val="00C9550A"/>
    <w:rsid w:val="00C95DB4"/>
    <w:rsid w:val="00C95EFA"/>
    <w:rsid w:val="00C97998"/>
    <w:rsid w:val="00CA007E"/>
    <w:rsid w:val="00CA0692"/>
    <w:rsid w:val="00CA0B5F"/>
    <w:rsid w:val="00CA0F61"/>
    <w:rsid w:val="00CA1670"/>
    <w:rsid w:val="00CA2332"/>
    <w:rsid w:val="00CA2AA1"/>
    <w:rsid w:val="00CA3887"/>
    <w:rsid w:val="00CA47B7"/>
    <w:rsid w:val="00CA526F"/>
    <w:rsid w:val="00CA6229"/>
    <w:rsid w:val="00CA75D8"/>
    <w:rsid w:val="00CB09EB"/>
    <w:rsid w:val="00CB0DFB"/>
    <w:rsid w:val="00CB2922"/>
    <w:rsid w:val="00CB3879"/>
    <w:rsid w:val="00CB5114"/>
    <w:rsid w:val="00CB63EF"/>
    <w:rsid w:val="00CB68EA"/>
    <w:rsid w:val="00CB71F4"/>
    <w:rsid w:val="00CC06CD"/>
    <w:rsid w:val="00CC07F5"/>
    <w:rsid w:val="00CC0DF8"/>
    <w:rsid w:val="00CC1496"/>
    <w:rsid w:val="00CC17DB"/>
    <w:rsid w:val="00CC2107"/>
    <w:rsid w:val="00CC34CD"/>
    <w:rsid w:val="00CC535A"/>
    <w:rsid w:val="00CC5739"/>
    <w:rsid w:val="00CC5E87"/>
    <w:rsid w:val="00CC667D"/>
    <w:rsid w:val="00CD1109"/>
    <w:rsid w:val="00CD1172"/>
    <w:rsid w:val="00CD20C0"/>
    <w:rsid w:val="00CD3CD7"/>
    <w:rsid w:val="00CD7025"/>
    <w:rsid w:val="00CE3C40"/>
    <w:rsid w:val="00CE6931"/>
    <w:rsid w:val="00CE777C"/>
    <w:rsid w:val="00CE7859"/>
    <w:rsid w:val="00CF10E4"/>
    <w:rsid w:val="00CF40F8"/>
    <w:rsid w:val="00CF5033"/>
    <w:rsid w:val="00CF5CDE"/>
    <w:rsid w:val="00D04C18"/>
    <w:rsid w:val="00D05E44"/>
    <w:rsid w:val="00D06383"/>
    <w:rsid w:val="00D0772A"/>
    <w:rsid w:val="00D07CFD"/>
    <w:rsid w:val="00D135AA"/>
    <w:rsid w:val="00D13689"/>
    <w:rsid w:val="00D139CF"/>
    <w:rsid w:val="00D13D93"/>
    <w:rsid w:val="00D14842"/>
    <w:rsid w:val="00D156C2"/>
    <w:rsid w:val="00D16281"/>
    <w:rsid w:val="00D172B7"/>
    <w:rsid w:val="00D21569"/>
    <w:rsid w:val="00D23358"/>
    <w:rsid w:val="00D241F4"/>
    <w:rsid w:val="00D2495D"/>
    <w:rsid w:val="00D24E2F"/>
    <w:rsid w:val="00D25BDA"/>
    <w:rsid w:val="00D26CA8"/>
    <w:rsid w:val="00D275BA"/>
    <w:rsid w:val="00D2763E"/>
    <w:rsid w:val="00D2797E"/>
    <w:rsid w:val="00D27B08"/>
    <w:rsid w:val="00D30F42"/>
    <w:rsid w:val="00D31E4C"/>
    <w:rsid w:val="00D31E92"/>
    <w:rsid w:val="00D323C3"/>
    <w:rsid w:val="00D32FD4"/>
    <w:rsid w:val="00D3348E"/>
    <w:rsid w:val="00D35406"/>
    <w:rsid w:val="00D3623C"/>
    <w:rsid w:val="00D36ACA"/>
    <w:rsid w:val="00D375AE"/>
    <w:rsid w:val="00D40571"/>
    <w:rsid w:val="00D40731"/>
    <w:rsid w:val="00D41F7C"/>
    <w:rsid w:val="00D4379C"/>
    <w:rsid w:val="00D45988"/>
    <w:rsid w:val="00D46233"/>
    <w:rsid w:val="00D4673F"/>
    <w:rsid w:val="00D5119E"/>
    <w:rsid w:val="00D517A6"/>
    <w:rsid w:val="00D5207C"/>
    <w:rsid w:val="00D52484"/>
    <w:rsid w:val="00D53289"/>
    <w:rsid w:val="00D535E6"/>
    <w:rsid w:val="00D54CA4"/>
    <w:rsid w:val="00D55204"/>
    <w:rsid w:val="00D559C1"/>
    <w:rsid w:val="00D55AFE"/>
    <w:rsid w:val="00D56920"/>
    <w:rsid w:val="00D56C4F"/>
    <w:rsid w:val="00D603CF"/>
    <w:rsid w:val="00D60A77"/>
    <w:rsid w:val="00D61ABA"/>
    <w:rsid w:val="00D61E34"/>
    <w:rsid w:val="00D622C8"/>
    <w:rsid w:val="00D65478"/>
    <w:rsid w:val="00D65F59"/>
    <w:rsid w:val="00D67510"/>
    <w:rsid w:val="00D71BDA"/>
    <w:rsid w:val="00D720EE"/>
    <w:rsid w:val="00D73C85"/>
    <w:rsid w:val="00D8059F"/>
    <w:rsid w:val="00D8206A"/>
    <w:rsid w:val="00D82456"/>
    <w:rsid w:val="00D82BCD"/>
    <w:rsid w:val="00D82DEB"/>
    <w:rsid w:val="00D833CB"/>
    <w:rsid w:val="00D84217"/>
    <w:rsid w:val="00D84624"/>
    <w:rsid w:val="00D84705"/>
    <w:rsid w:val="00D85A99"/>
    <w:rsid w:val="00D87B39"/>
    <w:rsid w:val="00D903EB"/>
    <w:rsid w:val="00D907FB"/>
    <w:rsid w:val="00D90960"/>
    <w:rsid w:val="00D91534"/>
    <w:rsid w:val="00D924E0"/>
    <w:rsid w:val="00D92A45"/>
    <w:rsid w:val="00D93643"/>
    <w:rsid w:val="00D9405B"/>
    <w:rsid w:val="00D94326"/>
    <w:rsid w:val="00D947B4"/>
    <w:rsid w:val="00D958CA"/>
    <w:rsid w:val="00D96661"/>
    <w:rsid w:val="00D96CD5"/>
    <w:rsid w:val="00D97876"/>
    <w:rsid w:val="00DA1A6E"/>
    <w:rsid w:val="00DA41A6"/>
    <w:rsid w:val="00DA637B"/>
    <w:rsid w:val="00DA6630"/>
    <w:rsid w:val="00DB11DB"/>
    <w:rsid w:val="00DB1952"/>
    <w:rsid w:val="00DB2636"/>
    <w:rsid w:val="00DB3CBF"/>
    <w:rsid w:val="00DB50AE"/>
    <w:rsid w:val="00DB5DB7"/>
    <w:rsid w:val="00DB5E84"/>
    <w:rsid w:val="00DB625F"/>
    <w:rsid w:val="00DB68A5"/>
    <w:rsid w:val="00DB7614"/>
    <w:rsid w:val="00DB7AF9"/>
    <w:rsid w:val="00DC0BB4"/>
    <w:rsid w:val="00DC0F1E"/>
    <w:rsid w:val="00DC162F"/>
    <w:rsid w:val="00DC2A67"/>
    <w:rsid w:val="00DC2EE0"/>
    <w:rsid w:val="00DC3654"/>
    <w:rsid w:val="00DC5273"/>
    <w:rsid w:val="00DC5907"/>
    <w:rsid w:val="00DC6714"/>
    <w:rsid w:val="00DC7CA2"/>
    <w:rsid w:val="00DC7ECF"/>
    <w:rsid w:val="00DD0318"/>
    <w:rsid w:val="00DD03EE"/>
    <w:rsid w:val="00DD0777"/>
    <w:rsid w:val="00DD1734"/>
    <w:rsid w:val="00DD232A"/>
    <w:rsid w:val="00DD4525"/>
    <w:rsid w:val="00DD4AF8"/>
    <w:rsid w:val="00DE0002"/>
    <w:rsid w:val="00DE057F"/>
    <w:rsid w:val="00DE0584"/>
    <w:rsid w:val="00DE08D4"/>
    <w:rsid w:val="00DE0B9D"/>
    <w:rsid w:val="00DE104C"/>
    <w:rsid w:val="00DE2205"/>
    <w:rsid w:val="00DE2221"/>
    <w:rsid w:val="00DE22F0"/>
    <w:rsid w:val="00DE25B2"/>
    <w:rsid w:val="00DE2BB0"/>
    <w:rsid w:val="00DE2BB5"/>
    <w:rsid w:val="00DE5F48"/>
    <w:rsid w:val="00DE6402"/>
    <w:rsid w:val="00DE765C"/>
    <w:rsid w:val="00DE7C29"/>
    <w:rsid w:val="00DF188C"/>
    <w:rsid w:val="00DF1E95"/>
    <w:rsid w:val="00DF21D0"/>
    <w:rsid w:val="00DF4FB8"/>
    <w:rsid w:val="00E00280"/>
    <w:rsid w:val="00E02429"/>
    <w:rsid w:val="00E024D4"/>
    <w:rsid w:val="00E04B48"/>
    <w:rsid w:val="00E04FA5"/>
    <w:rsid w:val="00E0667A"/>
    <w:rsid w:val="00E0772B"/>
    <w:rsid w:val="00E07B46"/>
    <w:rsid w:val="00E1080C"/>
    <w:rsid w:val="00E10973"/>
    <w:rsid w:val="00E11567"/>
    <w:rsid w:val="00E12B47"/>
    <w:rsid w:val="00E12F59"/>
    <w:rsid w:val="00E13867"/>
    <w:rsid w:val="00E141FC"/>
    <w:rsid w:val="00E15308"/>
    <w:rsid w:val="00E156DF"/>
    <w:rsid w:val="00E162F9"/>
    <w:rsid w:val="00E204BE"/>
    <w:rsid w:val="00E207CB"/>
    <w:rsid w:val="00E207F0"/>
    <w:rsid w:val="00E211C3"/>
    <w:rsid w:val="00E2149B"/>
    <w:rsid w:val="00E21D9F"/>
    <w:rsid w:val="00E2319C"/>
    <w:rsid w:val="00E261E6"/>
    <w:rsid w:val="00E276AA"/>
    <w:rsid w:val="00E3155F"/>
    <w:rsid w:val="00E318B0"/>
    <w:rsid w:val="00E32C4A"/>
    <w:rsid w:val="00E32D28"/>
    <w:rsid w:val="00E33CDC"/>
    <w:rsid w:val="00E33CF3"/>
    <w:rsid w:val="00E33FD5"/>
    <w:rsid w:val="00E341DF"/>
    <w:rsid w:val="00E35E10"/>
    <w:rsid w:val="00E36BFA"/>
    <w:rsid w:val="00E37F63"/>
    <w:rsid w:val="00E410D9"/>
    <w:rsid w:val="00E412C6"/>
    <w:rsid w:val="00E42593"/>
    <w:rsid w:val="00E43D3B"/>
    <w:rsid w:val="00E43FC7"/>
    <w:rsid w:val="00E4478C"/>
    <w:rsid w:val="00E45B7C"/>
    <w:rsid w:val="00E46C0A"/>
    <w:rsid w:val="00E51BC7"/>
    <w:rsid w:val="00E52F78"/>
    <w:rsid w:val="00E5347E"/>
    <w:rsid w:val="00E56BDC"/>
    <w:rsid w:val="00E56FCF"/>
    <w:rsid w:val="00E60347"/>
    <w:rsid w:val="00E6048D"/>
    <w:rsid w:val="00E60A24"/>
    <w:rsid w:val="00E60B16"/>
    <w:rsid w:val="00E60ECB"/>
    <w:rsid w:val="00E616B2"/>
    <w:rsid w:val="00E61816"/>
    <w:rsid w:val="00E62506"/>
    <w:rsid w:val="00E6299A"/>
    <w:rsid w:val="00E639D6"/>
    <w:rsid w:val="00E63D10"/>
    <w:rsid w:val="00E647E6"/>
    <w:rsid w:val="00E65523"/>
    <w:rsid w:val="00E655F9"/>
    <w:rsid w:val="00E658C2"/>
    <w:rsid w:val="00E65DB5"/>
    <w:rsid w:val="00E66B31"/>
    <w:rsid w:val="00E66F5E"/>
    <w:rsid w:val="00E7056D"/>
    <w:rsid w:val="00E72A5B"/>
    <w:rsid w:val="00E72B01"/>
    <w:rsid w:val="00E74010"/>
    <w:rsid w:val="00E74B41"/>
    <w:rsid w:val="00E7645B"/>
    <w:rsid w:val="00E7735F"/>
    <w:rsid w:val="00E778DC"/>
    <w:rsid w:val="00E80268"/>
    <w:rsid w:val="00E80B86"/>
    <w:rsid w:val="00E80B8D"/>
    <w:rsid w:val="00E8198F"/>
    <w:rsid w:val="00E826B3"/>
    <w:rsid w:val="00E830D4"/>
    <w:rsid w:val="00E84474"/>
    <w:rsid w:val="00E86D6E"/>
    <w:rsid w:val="00E86E8E"/>
    <w:rsid w:val="00E87F13"/>
    <w:rsid w:val="00E91758"/>
    <w:rsid w:val="00E92AA8"/>
    <w:rsid w:val="00E95058"/>
    <w:rsid w:val="00E968AC"/>
    <w:rsid w:val="00E96D97"/>
    <w:rsid w:val="00EA02F7"/>
    <w:rsid w:val="00EA339E"/>
    <w:rsid w:val="00EA4193"/>
    <w:rsid w:val="00EA41DF"/>
    <w:rsid w:val="00EA4322"/>
    <w:rsid w:val="00EA521A"/>
    <w:rsid w:val="00EA5917"/>
    <w:rsid w:val="00EA5967"/>
    <w:rsid w:val="00EA63D5"/>
    <w:rsid w:val="00EB1A5D"/>
    <w:rsid w:val="00EB286B"/>
    <w:rsid w:val="00EB2BE7"/>
    <w:rsid w:val="00EB2CD8"/>
    <w:rsid w:val="00EB31A0"/>
    <w:rsid w:val="00EB31A8"/>
    <w:rsid w:val="00EB4CF2"/>
    <w:rsid w:val="00EB6C7F"/>
    <w:rsid w:val="00EB6F64"/>
    <w:rsid w:val="00EB7601"/>
    <w:rsid w:val="00EC059A"/>
    <w:rsid w:val="00EC2162"/>
    <w:rsid w:val="00EC2644"/>
    <w:rsid w:val="00EC2E20"/>
    <w:rsid w:val="00EC3725"/>
    <w:rsid w:val="00EC71F9"/>
    <w:rsid w:val="00EC7354"/>
    <w:rsid w:val="00EC7ADD"/>
    <w:rsid w:val="00ED1BA7"/>
    <w:rsid w:val="00ED34E8"/>
    <w:rsid w:val="00ED461A"/>
    <w:rsid w:val="00ED51BE"/>
    <w:rsid w:val="00ED5262"/>
    <w:rsid w:val="00ED6839"/>
    <w:rsid w:val="00ED79C6"/>
    <w:rsid w:val="00EE043D"/>
    <w:rsid w:val="00EE2362"/>
    <w:rsid w:val="00EE25F0"/>
    <w:rsid w:val="00EE377E"/>
    <w:rsid w:val="00EE4277"/>
    <w:rsid w:val="00EE4628"/>
    <w:rsid w:val="00EE51D3"/>
    <w:rsid w:val="00EE6B53"/>
    <w:rsid w:val="00EE791B"/>
    <w:rsid w:val="00EF1646"/>
    <w:rsid w:val="00EF41B8"/>
    <w:rsid w:val="00EF4564"/>
    <w:rsid w:val="00EF48AD"/>
    <w:rsid w:val="00F00889"/>
    <w:rsid w:val="00F00AC4"/>
    <w:rsid w:val="00F01629"/>
    <w:rsid w:val="00F04817"/>
    <w:rsid w:val="00F0520B"/>
    <w:rsid w:val="00F05833"/>
    <w:rsid w:val="00F069CD"/>
    <w:rsid w:val="00F06D02"/>
    <w:rsid w:val="00F071FB"/>
    <w:rsid w:val="00F10A48"/>
    <w:rsid w:val="00F10EC6"/>
    <w:rsid w:val="00F110D6"/>
    <w:rsid w:val="00F11FF2"/>
    <w:rsid w:val="00F124B3"/>
    <w:rsid w:val="00F12C05"/>
    <w:rsid w:val="00F12EC8"/>
    <w:rsid w:val="00F12F10"/>
    <w:rsid w:val="00F12F5B"/>
    <w:rsid w:val="00F13EF2"/>
    <w:rsid w:val="00F14452"/>
    <w:rsid w:val="00F1758F"/>
    <w:rsid w:val="00F20C38"/>
    <w:rsid w:val="00F232ED"/>
    <w:rsid w:val="00F238F4"/>
    <w:rsid w:val="00F25027"/>
    <w:rsid w:val="00F25990"/>
    <w:rsid w:val="00F27C6C"/>
    <w:rsid w:val="00F31937"/>
    <w:rsid w:val="00F321E3"/>
    <w:rsid w:val="00F322C5"/>
    <w:rsid w:val="00F32808"/>
    <w:rsid w:val="00F32BE1"/>
    <w:rsid w:val="00F349E4"/>
    <w:rsid w:val="00F3549B"/>
    <w:rsid w:val="00F357CF"/>
    <w:rsid w:val="00F36BC3"/>
    <w:rsid w:val="00F36D2B"/>
    <w:rsid w:val="00F409C3"/>
    <w:rsid w:val="00F40DFF"/>
    <w:rsid w:val="00F41A81"/>
    <w:rsid w:val="00F41D22"/>
    <w:rsid w:val="00F42A73"/>
    <w:rsid w:val="00F43738"/>
    <w:rsid w:val="00F452B3"/>
    <w:rsid w:val="00F46867"/>
    <w:rsid w:val="00F4698F"/>
    <w:rsid w:val="00F5012F"/>
    <w:rsid w:val="00F50FF2"/>
    <w:rsid w:val="00F50FFC"/>
    <w:rsid w:val="00F524BB"/>
    <w:rsid w:val="00F5257E"/>
    <w:rsid w:val="00F52994"/>
    <w:rsid w:val="00F52C54"/>
    <w:rsid w:val="00F52F91"/>
    <w:rsid w:val="00F538DF"/>
    <w:rsid w:val="00F53D5C"/>
    <w:rsid w:val="00F540E8"/>
    <w:rsid w:val="00F5417A"/>
    <w:rsid w:val="00F54EFE"/>
    <w:rsid w:val="00F56AA1"/>
    <w:rsid w:val="00F56BC5"/>
    <w:rsid w:val="00F57685"/>
    <w:rsid w:val="00F610EF"/>
    <w:rsid w:val="00F61126"/>
    <w:rsid w:val="00F6259A"/>
    <w:rsid w:val="00F634F7"/>
    <w:rsid w:val="00F6526F"/>
    <w:rsid w:val="00F669F2"/>
    <w:rsid w:val="00F71C6D"/>
    <w:rsid w:val="00F73A86"/>
    <w:rsid w:val="00F81603"/>
    <w:rsid w:val="00F83342"/>
    <w:rsid w:val="00F83371"/>
    <w:rsid w:val="00F846E3"/>
    <w:rsid w:val="00F8545B"/>
    <w:rsid w:val="00F855C3"/>
    <w:rsid w:val="00F85DA3"/>
    <w:rsid w:val="00F865DE"/>
    <w:rsid w:val="00F87051"/>
    <w:rsid w:val="00F874EB"/>
    <w:rsid w:val="00F8760A"/>
    <w:rsid w:val="00F91BF8"/>
    <w:rsid w:val="00F922B0"/>
    <w:rsid w:val="00F92722"/>
    <w:rsid w:val="00F9302E"/>
    <w:rsid w:val="00F9338E"/>
    <w:rsid w:val="00F937AE"/>
    <w:rsid w:val="00F937C8"/>
    <w:rsid w:val="00F95616"/>
    <w:rsid w:val="00F9685A"/>
    <w:rsid w:val="00F97FDE"/>
    <w:rsid w:val="00FA0CE8"/>
    <w:rsid w:val="00FA12B2"/>
    <w:rsid w:val="00FA1585"/>
    <w:rsid w:val="00FA2E96"/>
    <w:rsid w:val="00FA3102"/>
    <w:rsid w:val="00FA3B55"/>
    <w:rsid w:val="00FA515A"/>
    <w:rsid w:val="00FA53EC"/>
    <w:rsid w:val="00FA6F96"/>
    <w:rsid w:val="00FA7089"/>
    <w:rsid w:val="00FB0690"/>
    <w:rsid w:val="00FB0E7B"/>
    <w:rsid w:val="00FB13B8"/>
    <w:rsid w:val="00FB2B32"/>
    <w:rsid w:val="00FB2C43"/>
    <w:rsid w:val="00FB37BF"/>
    <w:rsid w:val="00FB4482"/>
    <w:rsid w:val="00FB4760"/>
    <w:rsid w:val="00FB4F0A"/>
    <w:rsid w:val="00FB5463"/>
    <w:rsid w:val="00FB79A4"/>
    <w:rsid w:val="00FB7FDC"/>
    <w:rsid w:val="00FC0293"/>
    <w:rsid w:val="00FC09E0"/>
    <w:rsid w:val="00FC0BEF"/>
    <w:rsid w:val="00FC1A1A"/>
    <w:rsid w:val="00FC2EED"/>
    <w:rsid w:val="00FC4BD0"/>
    <w:rsid w:val="00FC63EE"/>
    <w:rsid w:val="00FD2C0E"/>
    <w:rsid w:val="00FD3B2B"/>
    <w:rsid w:val="00FD3FF0"/>
    <w:rsid w:val="00FD49A8"/>
    <w:rsid w:val="00FD4FEA"/>
    <w:rsid w:val="00FD7362"/>
    <w:rsid w:val="00FD7486"/>
    <w:rsid w:val="00FD7938"/>
    <w:rsid w:val="00FD7C68"/>
    <w:rsid w:val="00FE0720"/>
    <w:rsid w:val="00FE30DF"/>
    <w:rsid w:val="00FE3F7C"/>
    <w:rsid w:val="00FE4661"/>
    <w:rsid w:val="00FE4962"/>
    <w:rsid w:val="00FE7032"/>
    <w:rsid w:val="00FE7FA9"/>
    <w:rsid w:val="00FF020C"/>
    <w:rsid w:val="00FF1621"/>
    <w:rsid w:val="00FF1EE2"/>
    <w:rsid w:val="00FF3CF9"/>
    <w:rsid w:val="00FF4B12"/>
    <w:rsid w:val="00FF527F"/>
    <w:rsid w:val="00FF57BA"/>
    <w:rsid w:val="00FF7486"/>
    <w:rsid w:val="668A55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B8D08"/>
  <w15:docId w15:val="{3E1B5886-DF77-4626-8B0C-DD239C42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AB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E4117"/>
    <w:pPr>
      <w:ind w:left="720"/>
      <w:contextualSpacing/>
    </w:pPr>
  </w:style>
  <w:style w:type="paragraph" w:customStyle="1" w:styleId="BasistekstIKNL">
    <w:name w:val="Basistekst IKNL"/>
    <w:basedOn w:val="Standaard"/>
    <w:rsid w:val="00F00AC4"/>
    <w:pPr>
      <w:spacing w:after="0" w:line="260" w:lineRule="atLeast"/>
    </w:pPr>
    <w:rPr>
      <w:rFonts w:ascii="Arial" w:hAnsi="Arial" w:cs="Maiandra GD"/>
      <w:sz w:val="18"/>
      <w:szCs w:val="18"/>
    </w:rPr>
  </w:style>
  <w:style w:type="table" w:styleId="Tabelraster">
    <w:name w:val="Table Grid"/>
    <w:basedOn w:val="Standaardtabel"/>
    <w:uiPriority w:val="39"/>
    <w:rsid w:val="00F00AC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Verwijzingopmerking">
    <w:name w:val="annotation reference"/>
    <w:basedOn w:val="Standaardalinea-lettertype"/>
    <w:uiPriority w:val="99"/>
    <w:semiHidden/>
    <w:unhideWhenUsed/>
    <w:rsid w:val="00C41786"/>
    <w:rPr>
      <w:sz w:val="16"/>
      <w:szCs w:val="16"/>
    </w:rPr>
  </w:style>
  <w:style w:type="paragraph" w:styleId="Tekstopmerking">
    <w:name w:val="annotation text"/>
    <w:basedOn w:val="Standaard"/>
    <w:link w:val="TekstopmerkingChar"/>
    <w:uiPriority w:val="99"/>
    <w:unhideWhenUsed/>
    <w:rsid w:val="00C41786"/>
    <w:pPr>
      <w:spacing w:line="240" w:lineRule="auto"/>
    </w:pPr>
    <w:rPr>
      <w:sz w:val="20"/>
      <w:szCs w:val="20"/>
    </w:rPr>
  </w:style>
  <w:style w:type="character" w:customStyle="1" w:styleId="TekstopmerkingChar">
    <w:name w:val="Tekst opmerking Char"/>
    <w:basedOn w:val="Standaardalinea-lettertype"/>
    <w:link w:val="Tekstopmerking"/>
    <w:uiPriority w:val="99"/>
    <w:rsid w:val="00C41786"/>
    <w:rPr>
      <w:sz w:val="20"/>
      <w:szCs w:val="20"/>
    </w:rPr>
  </w:style>
  <w:style w:type="paragraph" w:styleId="Onderwerpvanopmerking">
    <w:name w:val="annotation subject"/>
    <w:basedOn w:val="Tekstopmerking"/>
    <w:next w:val="Tekstopmerking"/>
    <w:link w:val="OnderwerpvanopmerkingChar"/>
    <w:uiPriority w:val="99"/>
    <w:semiHidden/>
    <w:unhideWhenUsed/>
    <w:rsid w:val="00C41786"/>
    <w:rPr>
      <w:b/>
      <w:bCs/>
    </w:rPr>
  </w:style>
  <w:style w:type="character" w:customStyle="1" w:styleId="OnderwerpvanopmerkingChar">
    <w:name w:val="Onderwerp van opmerking Char"/>
    <w:basedOn w:val="TekstopmerkingChar"/>
    <w:link w:val="Onderwerpvanopmerking"/>
    <w:uiPriority w:val="99"/>
    <w:semiHidden/>
    <w:rsid w:val="00C41786"/>
    <w:rPr>
      <w:b/>
      <w:bCs/>
      <w:sz w:val="20"/>
      <w:szCs w:val="20"/>
    </w:rPr>
  </w:style>
  <w:style w:type="paragraph" w:styleId="Ballontekst">
    <w:name w:val="Balloon Text"/>
    <w:basedOn w:val="Standaard"/>
    <w:link w:val="BallontekstChar"/>
    <w:uiPriority w:val="99"/>
    <w:semiHidden/>
    <w:unhideWhenUsed/>
    <w:rsid w:val="00C4178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41786"/>
    <w:rPr>
      <w:rFonts w:ascii="Tahoma" w:hAnsi="Tahoma" w:cs="Tahoma"/>
      <w:sz w:val="16"/>
      <w:szCs w:val="16"/>
    </w:rPr>
  </w:style>
  <w:style w:type="paragraph" w:styleId="Koptekst">
    <w:name w:val="header"/>
    <w:basedOn w:val="Standaard"/>
    <w:link w:val="KoptekstChar"/>
    <w:uiPriority w:val="99"/>
    <w:unhideWhenUsed/>
    <w:rsid w:val="00AD74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741B"/>
  </w:style>
  <w:style w:type="paragraph" w:styleId="Voettekst">
    <w:name w:val="footer"/>
    <w:basedOn w:val="Standaard"/>
    <w:link w:val="VoettekstChar"/>
    <w:uiPriority w:val="99"/>
    <w:unhideWhenUsed/>
    <w:rsid w:val="00AD74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741B"/>
  </w:style>
  <w:style w:type="paragraph" w:customStyle="1" w:styleId="Default">
    <w:name w:val="Default"/>
    <w:rsid w:val="00614ED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Standaardalinea-lettertype"/>
    <w:uiPriority w:val="99"/>
    <w:unhideWhenUsed/>
    <w:rsid w:val="00B10B2D"/>
    <w:rPr>
      <w:color w:val="0000FF" w:themeColor="hyperlink"/>
      <w:u w:val="single"/>
    </w:rPr>
  </w:style>
  <w:style w:type="paragraph" w:styleId="Bibliografie">
    <w:name w:val="Bibliography"/>
    <w:basedOn w:val="Standaard"/>
    <w:next w:val="Standaard"/>
    <w:uiPriority w:val="37"/>
    <w:unhideWhenUsed/>
    <w:rsid w:val="00FB0690"/>
  </w:style>
  <w:style w:type="character" w:customStyle="1" w:styleId="Onopgelostemelding1">
    <w:name w:val="Onopgeloste melding1"/>
    <w:basedOn w:val="Standaardalinea-lettertype"/>
    <w:uiPriority w:val="99"/>
    <w:semiHidden/>
    <w:unhideWhenUsed/>
    <w:rsid w:val="001D4D36"/>
    <w:rPr>
      <w:color w:val="808080"/>
      <w:shd w:val="clear" w:color="auto" w:fill="E6E6E6"/>
    </w:rPr>
  </w:style>
  <w:style w:type="character" w:styleId="GevolgdeHyperlink">
    <w:name w:val="FollowedHyperlink"/>
    <w:basedOn w:val="Standaardalinea-lettertype"/>
    <w:uiPriority w:val="99"/>
    <w:semiHidden/>
    <w:unhideWhenUsed/>
    <w:rsid w:val="001D4D36"/>
    <w:rPr>
      <w:color w:val="800080" w:themeColor="followedHyperlink"/>
      <w:u w:val="single"/>
    </w:rPr>
  </w:style>
  <w:style w:type="table" w:customStyle="1" w:styleId="Tabelraster1">
    <w:name w:val="Tabelraster1"/>
    <w:basedOn w:val="Standaardtabel"/>
    <w:next w:val="Tabelraster"/>
    <w:uiPriority w:val="39"/>
    <w:rsid w:val="00E37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F6526F"/>
    <w:rPr>
      <w:b/>
      <w:bCs/>
    </w:rPr>
  </w:style>
  <w:style w:type="character" w:customStyle="1" w:styleId="articlecitation">
    <w:name w:val="articlecitation"/>
    <w:basedOn w:val="Standaardalinea-lettertype"/>
    <w:rsid w:val="00F6526F"/>
  </w:style>
  <w:style w:type="character" w:customStyle="1" w:styleId="journaltitle2">
    <w:name w:val="journaltitle2"/>
    <w:basedOn w:val="Standaardalinea-lettertype"/>
    <w:rsid w:val="00F6526F"/>
    <w:rPr>
      <w:i/>
      <w:iCs/>
    </w:rPr>
  </w:style>
  <w:style w:type="paragraph" w:customStyle="1" w:styleId="msonormal0">
    <w:name w:val="msonormal"/>
    <w:basedOn w:val="Standaard"/>
    <w:rsid w:val="00D936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5">
    <w:name w:val="xl65"/>
    <w:basedOn w:val="Standaard"/>
    <w:rsid w:val="00D936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6">
    <w:name w:val="xl66"/>
    <w:basedOn w:val="Standaard"/>
    <w:rsid w:val="00D93643"/>
    <w:pPr>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67">
    <w:name w:val="xl67"/>
    <w:basedOn w:val="Standaard"/>
    <w:rsid w:val="00032216"/>
    <w:pPr>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paragraph" w:customStyle="1" w:styleId="xl68">
    <w:name w:val="xl68"/>
    <w:basedOn w:val="Standaard"/>
    <w:rsid w:val="00032216"/>
    <w:pPr>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table" w:customStyle="1" w:styleId="Tabelraster2">
    <w:name w:val="Tabelraster2"/>
    <w:basedOn w:val="Standaardtabel"/>
    <w:next w:val="Tabelraster"/>
    <w:rsid w:val="009C54C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Kopbronvermelding">
    <w:name w:val="toa heading"/>
    <w:basedOn w:val="Standaard"/>
    <w:next w:val="Standaard"/>
    <w:uiPriority w:val="99"/>
    <w:semiHidden/>
    <w:unhideWhenUsed/>
    <w:rsid w:val="005B1191"/>
    <w:pPr>
      <w:spacing w:before="120"/>
    </w:pPr>
    <w:rPr>
      <w:rFonts w:asciiTheme="majorHAnsi" w:eastAsiaTheme="majorEastAsia" w:hAnsiTheme="majorHAnsi" w:cstheme="majorBidi"/>
      <w:b/>
      <w:bCs/>
      <w:sz w:val="24"/>
      <w:szCs w:val="24"/>
    </w:rPr>
  </w:style>
  <w:style w:type="paragraph" w:styleId="Revisie">
    <w:name w:val="Revision"/>
    <w:hidden/>
    <w:uiPriority w:val="99"/>
    <w:semiHidden/>
    <w:rsid w:val="000D4A67"/>
    <w:pPr>
      <w:spacing w:after="0" w:line="240" w:lineRule="auto"/>
    </w:pPr>
  </w:style>
  <w:style w:type="character" w:styleId="Onopgelostemelding">
    <w:name w:val="Unresolved Mention"/>
    <w:basedOn w:val="Standaardalinea-lettertype"/>
    <w:uiPriority w:val="99"/>
    <w:semiHidden/>
    <w:unhideWhenUsed/>
    <w:rsid w:val="00E10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91619">
      <w:bodyDiv w:val="1"/>
      <w:marLeft w:val="0"/>
      <w:marRight w:val="0"/>
      <w:marTop w:val="0"/>
      <w:marBottom w:val="0"/>
      <w:divBdr>
        <w:top w:val="none" w:sz="0" w:space="0" w:color="auto"/>
        <w:left w:val="none" w:sz="0" w:space="0" w:color="auto"/>
        <w:bottom w:val="none" w:sz="0" w:space="0" w:color="auto"/>
        <w:right w:val="none" w:sz="0" w:space="0" w:color="auto"/>
      </w:divBdr>
    </w:div>
    <w:div w:id="46804550">
      <w:bodyDiv w:val="1"/>
      <w:marLeft w:val="0"/>
      <w:marRight w:val="0"/>
      <w:marTop w:val="0"/>
      <w:marBottom w:val="0"/>
      <w:divBdr>
        <w:top w:val="none" w:sz="0" w:space="0" w:color="auto"/>
        <w:left w:val="none" w:sz="0" w:space="0" w:color="auto"/>
        <w:bottom w:val="none" w:sz="0" w:space="0" w:color="auto"/>
        <w:right w:val="none" w:sz="0" w:space="0" w:color="auto"/>
      </w:divBdr>
      <w:divsChild>
        <w:div w:id="368264754">
          <w:marLeft w:val="0"/>
          <w:marRight w:val="1"/>
          <w:marTop w:val="0"/>
          <w:marBottom w:val="0"/>
          <w:divBdr>
            <w:top w:val="none" w:sz="0" w:space="0" w:color="auto"/>
            <w:left w:val="none" w:sz="0" w:space="0" w:color="auto"/>
            <w:bottom w:val="none" w:sz="0" w:space="0" w:color="auto"/>
            <w:right w:val="none" w:sz="0" w:space="0" w:color="auto"/>
          </w:divBdr>
          <w:divsChild>
            <w:div w:id="1374693843">
              <w:marLeft w:val="0"/>
              <w:marRight w:val="0"/>
              <w:marTop w:val="0"/>
              <w:marBottom w:val="0"/>
              <w:divBdr>
                <w:top w:val="none" w:sz="0" w:space="0" w:color="auto"/>
                <w:left w:val="none" w:sz="0" w:space="0" w:color="auto"/>
                <w:bottom w:val="none" w:sz="0" w:space="0" w:color="auto"/>
                <w:right w:val="none" w:sz="0" w:space="0" w:color="auto"/>
              </w:divBdr>
              <w:divsChild>
                <w:div w:id="2048219718">
                  <w:marLeft w:val="0"/>
                  <w:marRight w:val="0"/>
                  <w:marTop w:val="0"/>
                  <w:marBottom w:val="0"/>
                  <w:divBdr>
                    <w:top w:val="none" w:sz="0" w:space="0" w:color="auto"/>
                    <w:left w:val="none" w:sz="0" w:space="0" w:color="auto"/>
                    <w:bottom w:val="none" w:sz="0" w:space="0" w:color="auto"/>
                    <w:right w:val="none" w:sz="0" w:space="0" w:color="auto"/>
                  </w:divBdr>
                  <w:divsChild>
                    <w:div w:id="1960525995">
                      <w:marLeft w:val="0"/>
                      <w:marRight w:val="0"/>
                      <w:marTop w:val="0"/>
                      <w:marBottom w:val="0"/>
                      <w:divBdr>
                        <w:top w:val="none" w:sz="0" w:space="0" w:color="auto"/>
                        <w:left w:val="none" w:sz="0" w:space="0" w:color="auto"/>
                        <w:bottom w:val="none" w:sz="0" w:space="0" w:color="auto"/>
                        <w:right w:val="none" w:sz="0" w:space="0" w:color="auto"/>
                      </w:divBdr>
                      <w:divsChild>
                        <w:div w:id="1995639438">
                          <w:marLeft w:val="0"/>
                          <w:marRight w:val="0"/>
                          <w:marTop w:val="0"/>
                          <w:marBottom w:val="0"/>
                          <w:divBdr>
                            <w:top w:val="none" w:sz="0" w:space="0" w:color="auto"/>
                            <w:left w:val="none" w:sz="0" w:space="0" w:color="auto"/>
                            <w:bottom w:val="none" w:sz="0" w:space="0" w:color="auto"/>
                            <w:right w:val="none" w:sz="0" w:space="0" w:color="auto"/>
                          </w:divBdr>
                          <w:divsChild>
                            <w:div w:id="1413745454">
                              <w:marLeft w:val="0"/>
                              <w:marRight w:val="0"/>
                              <w:marTop w:val="0"/>
                              <w:marBottom w:val="0"/>
                              <w:divBdr>
                                <w:top w:val="none" w:sz="0" w:space="0" w:color="auto"/>
                                <w:left w:val="none" w:sz="0" w:space="0" w:color="auto"/>
                                <w:bottom w:val="none" w:sz="0" w:space="0" w:color="auto"/>
                                <w:right w:val="none" w:sz="0" w:space="0" w:color="auto"/>
                              </w:divBdr>
                              <w:divsChild>
                                <w:div w:id="1946307314">
                                  <w:marLeft w:val="0"/>
                                  <w:marRight w:val="0"/>
                                  <w:marTop w:val="591"/>
                                  <w:marBottom w:val="59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125668">
      <w:bodyDiv w:val="1"/>
      <w:marLeft w:val="0"/>
      <w:marRight w:val="0"/>
      <w:marTop w:val="0"/>
      <w:marBottom w:val="0"/>
      <w:divBdr>
        <w:top w:val="none" w:sz="0" w:space="0" w:color="auto"/>
        <w:left w:val="none" w:sz="0" w:space="0" w:color="auto"/>
        <w:bottom w:val="none" w:sz="0" w:space="0" w:color="auto"/>
        <w:right w:val="none" w:sz="0" w:space="0" w:color="auto"/>
      </w:divBdr>
    </w:div>
    <w:div w:id="61802637">
      <w:bodyDiv w:val="1"/>
      <w:marLeft w:val="0"/>
      <w:marRight w:val="0"/>
      <w:marTop w:val="0"/>
      <w:marBottom w:val="0"/>
      <w:divBdr>
        <w:top w:val="none" w:sz="0" w:space="0" w:color="auto"/>
        <w:left w:val="none" w:sz="0" w:space="0" w:color="auto"/>
        <w:bottom w:val="none" w:sz="0" w:space="0" w:color="auto"/>
        <w:right w:val="none" w:sz="0" w:space="0" w:color="auto"/>
      </w:divBdr>
    </w:div>
    <w:div w:id="62535148">
      <w:bodyDiv w:val="1"/>
      <w:marLeft w:val="0"/>
      <w:marRight w:val="0"/>
      <w:marTop w:val="0"/>
      <w:marBottom w:val="0"/>
      <w:divBdr>
        <w:top w:val="none" w:sz="0" w:space="0" w:color="auto"/>
        <w:left w:val="none" w:sz="0" w:space="0" w:color="auto"/>
        <w:bottom w:val="none" w:sz="0" w:space="0" w:color="auto"/>
        <w:right w:val="none" w:sz="0" w:space="0" w:color="auto"/>
      </w:divBdr>
    </w:div>
    <w:div w:id="73675455">
      <w:bodyDiv w:val="1"/>
      <w:marLeft w:val="0"/>
      <w:marRight w:val="0"/>
      <w:marTop w:val="0"/>
      <w:marBottom w:val="0"/>
      <w:divBdr>
        <w:top w:val="none" w:sz="0" w:space="0" w:color="auto"/>
        <w:left w:val="none" w:sz="0" w:space="0" w:color="auto"/>
        <w:bottom w:val="none" w:sz="0" w:space="0" w:color="auto"/>
        <w:right w:val="none" w:sz="0" w:space="0" w:color="auto"/>
      </w:divBdr>
    </w:div>
    <w:div w:id="125004932">
      <w:bodyDiv w:val="1"/>
      <w:marLeft w:val="0"/>
      <w:marRight w:val="0"/>
      <w:marTop w:val="0"/>
      <w:marBottom w:val="0"/>
      <w:divBdr>
        <w:top w:val="none" w:sz="0" w:space="0" w:color="auto"/>
        <w:left w:val="none" w:sz="0" w:space="0" w:color="auto"/>
        <w:bottom w:val="none" w:sz="0" w:space="0" w:color="auto"/>
        <w:right w:val="none" w:sz="0" w:space="0" w:color="auto"/>
      </w:divBdr>
    </w:div>
    <w:div w:id="199977231">
      <w:bodyDiv w:val="1"/>
      <w:marLeft w:val="0"/>
      <w:marRight w:val="0"/>
      <w:marTop w:val="0"/>
      <w:marBottom w:val="0"/>
      <w:divBdr>
        <w:top w:val="none" w:sz="0" w:space="0" w:color="auto"/>
        <w:left w:val="none" w:sz="0" w:space="0" w:color="auto"/>
        <w:bottom w:val="none" w:sz="0" w:space="0" w:color="auto"/>
        <w:right w:val="none" w:sz="0" w:space="0" w:color="auto"/>
      </w:divBdr>
    </w:div>
    <w:div w:id="226259248">
      <w:bodyDiv w:val="1"/>
      <w:marLeft w:val="0"/>
      <w:marRight w:val="0"/>
      <w:marTop w:val="0"/>
      <w:marBottom w:val="0"/>
      <w:divBdr>
        <w:top w:val="none" w:sz="0" w:space="0" w:color="auto"/>
        <w:left w:val="none" w:sz="0" w:space="0" w:color="auto"/>
        <w:bottom w:val="none" w:sz="0" w:space="0" w:color="auto"/>
        <w:right w:val="none" w:sz="0" w:space="0" w:color="auto"/>
      </w:divBdr>
    </w:div>
    <w:div w:id="291402864">
      <w:bodyDiv w:val="1"/>
      <w:marLeft w:val="0"/>
      <w:marRight w:val="0"/>
      <w:marTop w:val="0"/>
      <w:marBottom w:val="0"/>
      <w:divBdr>
        <w:top w:val="none" w:sz="0" w:space="0" w:color="auto"/>
        <w:left w:val="none" w:sz="0" w:space="0" w:color="auto"/>
        <w:bottom w:val="none" w:sz="0" w:space="0" w:color="auto"/>
        <w:right w:val="none" w:sz="0" w:space="0" w:color="auto"/>
      </w:divBdr>
    </w:div>
    <w:div w:id="313797990">
      <w:bodyDiv w:val="1"/>
      <w:marLeft w:val="0"/>
      <w:marRight w:val="0"/>
      <w:marTop w:val="0"/>
      <w:marBottom w:val="0"/>
      <w:divBdr>
        <w:top w:val="none" w:sz="0" w:space="0" w:color="auto"/>
        <w:left w:val="none" w:sz="0" w:space="0" w:color="auto"/>
        <w:bottom w:val="none" w:sz="0" w:space="0" w:color="auto"/>
        <w:right w:val="none" w:sz="0" w:space="0" w:color="auto"/>
      </w:divBdr>
    </w:div>
    <w:div w:id="335620004">
      <w:bodyDiv w:val="1"/>
      <w:marLeft w:val="0"/>
      <w:marRight w:val="0"/>
      <w:marTop w:val="0"/>
      <w:marBottom w:val="0"/>
      <w:divBdr>
        <w:top w:val="none" w:sz="0" w:space="0" w:color="auto"/>
        <w:left w:val="none" w:sz="0" w:space="0" w:color="auto"/>
        <w:bottom w:val="none" w:sz="0" w:space="0" w:color="auto"/>
        <w:right w:val="none" w:sz="0" w:space="0" w:color="auto"/>
      </w:divBdr>
    </w:div>
    <w:div w:id="369496169">
      <w:bodyDiv w:val="1"/>
      <w:marLeft w:val="0"/>
      <w:marRight w:val="0"/>
      <w:marTop w:val="0"/>
      <w:marBottom w:val="0"/>
      <w:divBdr>
        <w:top w:val="none" w:sz="0" w:space="0" w:color="auto"/>
        <w:left w:val="none" w:sz="0" w:space="0" w:color="auto"/>
        <w:bottom w:val="none" w:sz="0" w:space="0" w:color="auto"/>
        <w:right w:val="none" w:sz="0" w:space="0" w:color="auto"/>
      </w:divBdr>
    </w:div>
    <w:div w:id="419183678">
      <w:bodyDiv w:val="1"/>
      <w:marLeft w:val="0"/>
      <w:marRight w:val="0"/>
      <w:marTop w:val="0"/>
      <w:marBottom w:val="0"/>
      <w:divBdr>
        <w:top w:val="none" w:sz="0" w:space="0" w:color="auto"/>
        <w:left w:val="none" w:sz="0" w:space="0" w:color="auto"/>
        <w:bottom w:val="none" w:sz="0" w:space="0" w:color="auto"/>
        <w:right w:val="none" w:sz="0" w:space="0" w:color="auto"/>
      </w:divBdr>
    </w:div>
    <w:div w:id="431820411">
      <w:bodyDiv w:val="1"/>
      <w:marLeft w:val="0"/>
      <w:marRight w:val="0"/>
      <w:marTop w:val="0"/>
      <w:marBottom w:val="0"/>
      <w:divBdr>
        <w:top w:val="none" w:sz="0" w:space="0" w:color="auto"/>
        <w:left w:val="none" w:sz="0" w:space="0" w:color="auto"/>
        <w:bottom w:val="none" w:sz="0" w:space="0" w:color="auto"/>
        <w:right w:val="none" w:sz="0" w:space="0" w:color="auto"/>
      </w:divBdr>
      <w:divsChild>
        <w:div w:id="405957503">
          <w:marLeft w:val="0"/>
          <w:marRight w:val="1"/>
          <w:marTop w:val="0"/>
          <w:marBottom w:val="0"/>
          <w:divBdr>
            <w:top w:val="none" w:sz="0" w:space="0" w:color="auto"/>
            <w:left w:val="none" w:sz="0" w:space="0" w:color="auto"/>
            <w:bottom w:val="none" w:sz="0" w:space="0" w:color="auto"/>
            <w:right w:val="none" w:sz="0" w:space="0" w:color="auto"/>
          </w:divBdr>
          <w:divsChild>
            <w:div w:id="226263009">
              <w:marLeft w:val="0"/>
              <w:marRight w:val="0"/>
              <w:marTop w:val="0"/>
              <w:marBottom w:val="0"/>
              <w:divBdr>
                <w:top w:val="none" w:sz="0" w:space="0" w:color="auto"/>
                <w:left w:val="none" w:sz="0" w:space="0" w:color="auto"/>
                <w:bottom w:val="none" w:sz="0" w:space="0" w:color="auto"/>
                <w:right w:val="none" w:sz="0" w:space="0" w:color="auto"/>
              </w:divBdr>
              <w:divsChild>
                <w:div w:id="1106733517">
                  <w:marLeft w:val="0"/>
                  <w:marRight w:val="0"/>
                  <w:marTop w:val="0"/>
                  <w:marBottom w:val="0"/>
                  <w:divBdr>
                    <w:top w:val="none" w:sz="0" w:space="0" w:color="auto"/>
                    <w:left w:val="none" w:sz="0" w:space="0" w:color="auto"/>
                    <w:bottom w:val="none" w:sz="0" w:space="0" w:color="auto"/>
                    <w:right w:val="none" w:sz="0" w:space="0" w:color="auto"/>
                  </w:divBdr>
                  <w:divsChild>
                    <w:div w:id="931474493">
                      <w:marLeft w:val="0"/>
                      <w:marRight w:val="0"/>
                      <w:marTop w:val="0"/>
                      <w:marBottom w:val="0"/>
                      <w:divBdr>
                        <w:top w:val="none" w:sz="0" w:space="0" w:color="auto"/>
                        <w:left w:val="none" w:sz="0" w:space="0" w:color="auto"/>
                        <w:bottom w:val="none" w:sz="0" w:space="0" w:color="auto"/>
                        <w:right w:val="none" w:sz="0" w:space="0" w:color="auto"/>
                      </w:divBdr>
                      <w:divsChild>
                        <w:div w:id="118228620">
                          <w:marLeft w:val="0"/>
                          <w:marRight w:val="0"/>
                          <w:marTop w:val="0"/>
                          <w:marBottom w:val="0"/>
                          <w:divBdr>
                            <w:top w:val="none" w:sz="0" w:space="0" w:color="auto"/>
                            <w:left w:val="none" w:sz="0" w:space="0" w:color="auto"/>
                            <w:bottom w:val="none" w:sz="0" w:space="0" w:color="auto"/>
                            <w:right w:val="none" w:sz="0" w:space="0" w:color="auto"/>
                          </w:divBdr>
                          <w:divsChild>
                            <w:div w:id="1916738745">
                              <w:marLeft w:val="0"/>
                              <w:marRight w:val="0"/>
                              <w:marTop w:val="0"/>
                              <w:marBottom w:val="0"/>
                              <w:divBdr>
                                <w:top w:val="none" w:sz="0" w:space="0" w:color="auto"/>
                                <w:left w:val="none" w:sz="0" w:space="0" w:color="auto"/>
                                <w:bottom w:val="none" w:sz="0" w:space="0" w:color="auto"/>
                                <w:right w:val="none" w:sz="0" w:space="0" w:color="auto"/>
                              </w:divBdr>
                              <w:divsChild>
                                <w:div w:id="1836799585">
                                  <w:marLeft w:val="0"/>
                                  <w:marRight w:val="0"/>
                                  <w:marTop w:val="591"/>
                                  <w:marBottom w:val="59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935336">
      <w:bodyDiv w:val="1"/>
      <w:marLeft w:val="0"/>
      <w:marRight w:val="0"/>
      <w:marTop w:val="0"/>
      <w:marBottom w:val="0"/>
      <w:divBdr>
        <w:top w:val="none" w:sz="0" w:space="0" w:color="auto"/>
        <w:left w:val="none" w:sz="0" w:space="0" w:color="auto"/>
        <w:bottom w:val="none" w:sz="0" w:space="0" w:color="auto"/>
        <w:right w:val="none" w:sz="0" w:space="0" w:color="auto"/>
      </w:divBdr>
      <w:divsChild>
        <w:div w:id="971711044">
          <w:marLeft w:val="0"/>
          <w:marRight w:val="1"/>
          <w:marTop w:val="0"/>
          <w:marBottom w:val="0"/>
          <w:divBdr>
            <w:top w:val="none" w:sz="0" w:space="0" w:color="auto"/>
            <w:left w:val="none" w:sz="0" w:space="0" w:color="auto"/>
            <w:bottom w:val="none" w:sz="0" w:space="0" w:color="auto"/>
            <w:right w:val="none" w:sz="0" w:space="0" w:color="auto"/>
          </w:divBdr>
          <w:divsChild>
            <w:div w:id="1782450398">
              <w:marLeft w:val="0"/>
              <w:marRight w:val="0"/>
              <w:marTop w:val="0"/>
              <w:marBottom w:val="0"/>
              <w:divBdr>
                <w:top w:val="none" w:sz="0" w:space="0" w:color="auto"/>
                <w:left w:val="none" w:sz="0" w:space="0" w:color="auto"/>
                <w:bottom w:val="none" w:sz="0" w:space="0" w:color="auto"/>
                <w:right w:val="none" w:sz="0" w:space="0" w:color="auto"/>
              </w:divBdr>
              <w:divsChild>
                <w:div w:id="308287245">
                  <w:marLeft w:val="0"/>
                  <w:marRight w:val="0"/>
                  <w:marTop w:val="0"/>
                  <w:marBottom w:val="0"/>
                  <w:divBdr>
                    <w:top w:val="none" w:sz="0" w:space="0" w:color="auto"/>
                    <w:left w:val="none" w:sz="0" w:space="0" w:color="auto"/>
                    <w:bottom w:val="none" w:sz="0" w:space="0" w:color="auto"/>
                    <w:right w:val="none" w:sz="0" w:space="0" w:color="auto"/>
                  </w:divBdr>
                  <w:divsChild>
                    <w:div w:id="1994017381">
                      <w:marLeft w:val="0"/>
                      <w:marRight w:val="0"/>
                      <w:marTop w:val="0"/>
                      <w:marBottom w:val="0"/>
                      <w:divBdr>
                        <w:top w:val="none" w:sz="0" w:space="0" w:color="auto"/>
                        <w:left w:val="none" w:sz="0" w:space="0" w:color="auto"/>
                        <w:bottom w:val="none" w:sz="0" w:space="0" w:color="auto"/>
                        <w:right w:val="none" w:sz="0" w:space="0" w:color="auto"/>
                      </w:divBdr>
                      <w:divsChild>
                        <w:div w:id="935795016">
                          <w:marLeft w:val="0"/>
                          <w:marRight w:val="0"/>
                          <w:marTop w:val="0"/>
                          <w:marBottom w:val="0"/>
                          <w:divBdr>
                            <w:top w:val="none" w:sz="0" w:space="0" w:color="auto"/>
                            <w:left w:val="none" w:sz="0" w:space="0" w:color="auto"/>
                            <w:bottom w:val="none" w:sz="0" w:space="0" w:color="auto"/>
                            <w:right w:val="none" w:sz="0" w:space="0" w:color="auto"/>
                          </w:divBdr>
                          <w:divsChild>
                            <w:div w:id="293996589">
                              <w:marLeft w:val="0"/>
                              <w:marRight w:val="0"/>
                              <w:marTop w:val="0"/>
                              <w:marBottom w:val="0"/>
                              <w:divBdr>
                                <w:top w:val="none" w:sz="0" w:space="0" w:color="auto"/>
                                <w:left w:val="none" w:sz="0" w:space="0" w:color="auto"/>
                                <w:bottom w:val="none" w:sz="0" w:space="0" w:color="auto"/>
                                <w:right w:val="none" w:sz="0" w:space="0" w:color="auto"/>
                              </w:divBdr>
                              <w:divsChild>
                                <w:div w:id="235630887">
                                  <w:marLeft w:val="0"/>
                                  <w:marRight w:val="0"/>
                                  <w:marTop w:val="591"/>
                                  <w:marBottom w:val="591"/>
                                  <w:divBdr>
                                    <w:top w:val="none" w:sz="0" w:space="0" w:color="auto"/>
                                    <w:left w:val="none" w:sz="0" w:space="0" w:color="auto"/>
                                    <w:bottom w:val="none" w:sz="0" w:space="0" w:color="auto"/>
                                    <w:right w:val="none" w:sz="0" w:space="0" w:color="auto"/>
                                  </w:divBdr>
                                  <w:divsChild>
                                    <w:div w:id="411198428">
                                      <w:marLeft w:val="0"/>
                                      <w:marRight w:val="0"/>
                                      <w:marTop w:val="0"/>
                                      <w:marBottom w:val="0"/>
                                      <w:divBdr>
                                        <w:top w:val="none" w:sz="0" w:space="0" w:color="auto"/>
                                        <w:left w:val="none" w:sz="0" w:space="0" w:color="auto"/>
                                        <w:bottom w:val="none" w:sz="0" w:space="0" w:color="auto"/>
                                        <w:right w:val="none" w:sz="0" w:space="0" w:color="auto"/>
                                      </w:divBdr>
                                      <w:divsChild>
                                        <w:div w:id="1275821442">
                                          <w:marLeft w:val="0"/>
                                          <w:marRight w:val="0"/>
                                          <w:marTop w:val="0"/>
                                          <w:marBottom w:val="0"/>
                                          <w:divBdr>
                                            <w:top w:val="none" w:sz="0" w:space="0" w:color="auto"/>
                                            <w:left w:val="none" w:sz="0" w:space="0" w:color="auto"/>
                                            <w:bottom w:val="none" w:sz="0" w:space="0" w:color="auto"/>
                                            <w:right w:val="none" w:sz="0" w:space="0" w:color="auto"/>
                                          </w:divBdr>
                                        </w:div>
                                        <w:div w:id="4068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541144">
      <w:bodyDiv w:val="1"/>
      <w:marLeft w:val="0"/>
      <w:marRight w:val="0"/>
      <w:marTop w:val="0"/>
      <w:marBottom w:val="0"/>
      <w:divBdr>
        <w:top w:val="none" w:sz="0" w:space="0" w:color="auto"/>
        <w:left w:val="none" w:sz="0" w:space="0" w:color="auto"/>
        <w:bottom w:val="none" w:sz="0" w:space="0" w:color="auto"/>
        <w:right w:val="none" w:sz="0" w:space="0" w:color="auto"/>
      </w:divBdr>
      <w:divsChild>
        <w:div w:id="180970294">
          <w:marLeft w:val="0"/>
          <w:marRight w:val="0"/>
          <w:marTop w:val="0"/>
          <w:marBottom w:val="0"/>
          <w:divBdr>
            <w:top w:val="none" w:sz="0" w:space="0" w:color="auto"/>
            <w:left w:val="none" w:sz="0" w:space="0" w:color="auto"/>
            <w:bottom w:val="none" w:sz="0" w:space="0" w:color="auto"/>
            <w:right w:val="none" w:sz="0" w:space="0" w:color="auto"/>
          </w:divBdr>
          <w:divsChild>
            <w:div w:id="1076704680">
              <w:marLeft w:val="0"/>
              <w:marRight w:val="0"/>
              <w:marTop w:val="0"/>
              <w:marBottom w:val="0"/>
              <w:divBdr>
                <w:top w:val="none" w:sz="0" w:space="0" w:color="auto"/>
                <w:left w:val="none" w:sz="0" w:space="0" w:color="auto"/>
                <w:bottom w:val="none" w:sz="0" w:space="0" w:color="auto"/>
                <w:right w:val="none" w:sz="0" w:space="0" w:color="auto"/>
              </w:divBdr>
              <w:divsChild>
                <w:div w:id="768543296">
                  <w:marLeft w:val="0"/>
                  <w:marRight w:val="0"/>
                  <w:marTop w:val="0"/>
                  <w:marBottom w:val="0"/>
                  <w:divBdr>
                    <w:top w:val="none" w:sz="0" w:space="0" w:color="auto"/>
                    <w:left w:val="none" w:sz="0" w:space="0" w:color="auto"/>
                    <w:bottom w:val="none" w:sz="0" w:space="0" w:color="auto"/>
                    <w:right w:val="none" w:sz="0" w:space="0" w:color="auto"/>
                  </w:divBdr>
                  <w:divsChild>
                    <w:div w:id="1677271757">
                      <w:marLeft w:val="0"/>
                      <w:marRight w:val="0"/>
                      <w:marTop w:val="0"/>
                      <w:marBottom w:val="0"/>
                      <w:divBdr>
                        <w:top w:val="none" w:sz="0" w:space="0" w:color="auto"/>
                        <w:left w:val="none" w:sz="0" w:space="0" w:color="auto"/>
                        <w:bottom w:val="none" w:sz="0" w:space="0" w:color="auto"/>
                        <w:right w:val="none" w:sz="0" w:space="0" w:color="auto"/>
                      </w:divBdr>
                      <w:divsChild>
                        <w:div w:id="1211578995">
                          <w:marLeft w:val="0"/>
                          <w:marRight w:val="0"/>
                          <w:marTop w:val="0"/>
                          <w:marBottom w:val="0"/>
                          <w:divBdr>
                            <w:top w:val="none" w:sz="0" w:space="0" w:color="auto"/>
                            <w:left w:val="none" w:sz="0" w:space="0" w:color="auto"/>
                            <w:bottom w:val="none" w:sz="0" w:space="0" w:color="auto"/>
                            <w:right w:val="none" w:sz="0" w:space="0" w:color="auto"/>
                          </w:divBdr>
                          <w:divsChild>
                            <w:div w:id="1279991275">
                              <w:marLeft w:val="0"/>
                              <w:marRight w:val="0"/>
                              <w:marTop w:val="0"/>
                              <w:marBottom w:val="0"/>
                              <w:divBdr>
                                <w:top w:val="none" w:sz="0" w:space="0" w:color="auto"/>
                                <w:left w:val="none" w:sz="0" w:space="0" w:color="auto"/>
                                <w:bottom w:val="none" w:sz="0" w:space="0" w:color="auto"/>
                                <w:right w:val="none" w:sz="0" w:space="0" w:color="auto"/>
                              </w:divBdr>
                              <w:divsChild>
                                <w:div w:id="2117477829">
                                  <w:marLeft w:val="0"/>
                                  <w:marRight w:val="0"/>
                                  <w:marTop w:val="0"/>
                                  <w:marBottom w:val="0"/>
                                  <w:divBdr>
                                    <w:top w:val="none" w:sz="0" w:space="0" w:color="auto"/>
                                    <w:left w:val="none" w:sz="0" w:space="0" w:color="auto"/>
                                    <w:bottom w:val="none" w:sz="0" w:space="0" w:color="auto"/>
                                    <w:right w:val="none" w:sz="0" w:space="0" w:color="auto"/>
                                  </w:divBdr>
                                  <w:divsChild>
                                    <w:div w:id="1660622129">
                                      <w:marLeft w:val="0"/>
                                      <w:marRight w:val="300"/>
                                      <w:marTop w:val="0"/>
                                      <w:marBottom w:val="0"/>
                                      <w:divBdr>
                                        <w:top w:val="none" w:sz="0" w:space="0" w:color="auto"/>
                                        <w:left w:val="none" w:sz="0" w:space="0" w:color="auto"/>
                                        <w:bottom w:val="none" w:sz="0" w:space="0" w:color="auto"/>
                                        <w:right w:val="none" w:sz="0" w:space="0" w:color="auto"/>
                                      </w:divBdr>
                                    </w:div>
                                  </w:divsChild>
                                </w:div>
                                <w:div w:id="1528788822">
                                  <w:marLeft w:val="0"/>
                                  <w:marRight w:val="0"/>
                                  <w:marTop w:val="0"/>
                                  <w:marBottom w:val="0"/>
                                  <w:divBdr>
                                    <w:top w:val="none" w:sz="0" w:space="0" w:color="auto"/>
                                    <w:left w:val="none" w:sz="0" w:space="0" w:color="auto"/>
                                    <w:bottom w:val="none" w:sz="0" w:space="0" w:color="auto"/>
                                    <w:right w:val="none" w:sz="0" w:space="0" w:color="auto"/>
                                  </w:divBdr>
                                  <w:divsChild>
                                    <w:div w:id="1890191840">
                                      <w:marLeft w:val="0"/>
                                      <w:marRight w:val="0"/>
                                      <w:marTop w:val="0"/>
                                      <w:marBottom w:val="0"/>
                                      <w:divBdr>
                                        <w:top w:val="none" w:sz="0" w:space="0" w:color="auto"/>
                                        <w:left w:val="none" w:sz="0" w:space="0" w:color="auto"/>
                                        <w:bottom w:val="none" w:sz="0" w:space="0" w:color="auto"/>
                                        <w:right w:val="none" w:sz="0" w:space="0" w:color="auto"/>
                                      </w:divBdr>
                                      <w:divsChild>
                                        <w:div w:id="367076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4700427">
      <w:bodyDiv w:val="1"/>
      <w:marLeft w:val="0"/>
      <w:marRight w:val="0"/>
      <w:marTop w:val="0"/>
      <w:marBottom w:val="0"/>
      <w:divBdr>
        <w:top w:val="none" w:sz="0" w:space="0" w:color="auto"/>
        <w:left w:val="none" w:sz="0" w:space="0" w:color="auto"/>
        <w:bottom w:val="none" w:sz="0" w:space="0" w:color="auto"/>
        <w:right w:val="none" w:sz="0" w:space="0" w:color="auto"/>
      </w:divBdr>
    </w:div>
    <w:div w:id="646784607">
      <w:bodyDiv w:val="1"/>
      <w:marLeft w:val="0"/>
      <w:marRight w:val="0"/>
      <w:marTop w:val="0"/>
      <w:marBottom w:val="0"/>
      <w:divBdr>
        <w:top w:val="none" w:sz="0" w:space="0" w:color="auto"/>
        <w:left w:val="none" w:sz="0" w:space="0" w:color="auto"/>
        <w:bottom w:val="none" w:sz="0" w:space="0" w:color="auto"/>
        <w:right w:val="none" w:sz="0" w:space="0" w:color="auto"/>
      </w:divBdr>
    </w:div>
    <w:div w:id="686253036">
      <w:bodyDiv w:val="1"/>
      <w:marLeft w:val="0"/>
      <w:marRight w:val="0"/>
      <w:marTop w:val="0"/>
      <w:marBottom w:val="0"/>
      <w:divBdr>
        <w:top w:val="none" w:sz="0" w:space="0" w:color="auto"/>
        <w:left w:val="none" w:sz="0" w:space="0" w:color="auto"/>
        <w:bottom w:val="none" w:sz="0" w:space="0" w:color="auto"/>
        <w:right w:val="none" w:sz="0" w:space="0" w:color="auto"/>
      </w:divBdr>
    </w:div>
    <w:div w:id="705789086">
      <w:bodyDiv w:val="1"/>
      <w:marLeft w:val="0"/>
      <w:marRight w:val="0"/>
      <w:marTop w:val="0"/>
      <w:marBottom w:val="0"/>
      <w:divBdr>
        <w:top w:val="none" w:sz="0" w:space="0" w:color="auto"/>
        <w:left w:val="none" w:sz="0" w:space="0" w:color="auto"/>
        <w:bottom w:val="none" w:sz="0" w:space="0" w:color="auto"/>
        <w:right w:val="none" w:sz="0" w:space="0" w:color="auto"/>
      </w:divBdr>
    </w:div>
    <w:div w:id="728459136">
      <w:bodyDiv w:val="1"/>
      <w:marLeft w:val="0"/>
      <w:marRight w:val="0"/>
      <w:marTop w:val="0"/>
      <w:marBottom w:val="0"/>
      <w:divBdr>
        <w:top w:val="none" w:sz="0" w:space="0" w:color="auto"/>
        <w:left w:val="none" w:sz="0" w:space="0" w:color="auto"/>
        <w:bottom w:val="none" w:sz="0" w:space="0" w:color="auto"/>
        <w:right w:val="none" w:sz="0" w:space="0" w:color="auto"/>
      </w:divBdr>
    </w:div>
    <w:div w:id="753355377">
      <w:bodyDiv w:val="1"/>
      <w:marLeft w:val="0"/>
      <w:marRight w:val="0"/>
      <w:marTop w:val="0"/>
      <w:marBottom w:val="0"/>
      <w:divBdr>
        <w:top w:val="none" w:sz="0" w:space="0" w:color="auto"/>
        <w:left w:val="none" w:sz="0" w:space="0" w:color="auto"/>
        <w:bottom w:val="none" w:sz="0" w:space="0" w:color="auto"/>
        <w:right w:val="none" w:sz="0" w:space="0" w:color="auto"/>
      </w:divBdr>
    </w:div>
    <w:div w:id="778179958">
      <w:bodyDiv w:val="1"/>
      <w:marLeft w:val="0"/>
      <w:marRight w:val="0"/>
      <w:marTop w:val="0"/>
      <w:marBottom w:val="0"/>
      <w:divBdr>
        <w:top w:val="none" w:sz="0" w:space="0" w:color="auto"/>
        <w:left w:val="none" w:sz="0" w:space="0" w:color="auto"/>
        <w:bottom w:val="none" w:sz="0" w:space="0" w:color="auto"/>
        <w:right w:val="none" w:sz="0" w:space="0" w:color="auto"/>
      </w:divBdr>
      <w:divsChild>
        <w:div w:id="1842425847">
          <w:marLeft w:val="0"/>
          <w:marRight w:val="0"/>
          <w:marTop w:val="0"/>
          <w:marBottom w:val="0"/>
          <w:divBdr>
            <w:top w:val="none" w:sz="0" w:space="0" w:color="auto"/>
            <w:left w:val="none" w:sz="0" w:space="0" w:color="auto"/>
            <w:bottom w:val="none" w:sz="0" w:space="0" w:color="auto"/>
            <w:right w:val="none" w:sz="0" w:space="0" w:color="auto"/>
          </w:divBdr>
          <w:divsChild>
            <w:div w:id="322397414">
              <w:marLeft w:val="0"/>
              <w:marRight w:val="0"/>
              <w:marTop w:val="240"/>
              <w:marBottom w:val="240"/>
              <w:divBdr>
                <w:top w:val="none" w:sz="0" w:space="0" w:color="auto"/>
                <w:left w:val="none" w:sz="0" w:space="0" w:color="auto"/>
                <w:bottom w:val="none" w:sz="0" w:space="0" w:color="auto"/>
                <w:right w:val="none" w:sz="0" w:space="0" w:color="auto"/>
              </w:divBdr>
              <w:divsChild>
                <w:div w:id="85835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835690">
      <w:bodyDiv w:val="1"/>
      <w:marLeft w:val="0"/>
      <w:marRight w:val="0"/>
      <w:marTop w:val="0"/>
      <w:marBottom w:val="0"/>
      <w:divBdr>
        <w:top w:val="none" w:sz="0" w:space="0" w:color="auto"/>
        <w:left w:val="none" w:sz="0" w:space="0" w:color="auto"/>
        <w:bottom w:val="none" w:sz="0" w:space="0" w:color="auto"/>
        <w:right w:val="none" w:sz="0" w:space="0" w:color="auto"/>
      </w:divBdr>
    </w:div>
    <w:div w:id="828983407">
      <w:bodyDiv w:val="1"/>
      <w:marLeft w:val="0"/>
      <w:marRight w:val="0"/>
      <w:marTop w:val="0"/>
      <w:marBottom w:val="0"/>
      <w:divBdr>
        <w:top w:val="none" w:sz="0" w:space="0" w:color="auto"/>
        <w:left w:val="none" w:sz="0" w:space="0" w:color="auto"/>
        <w:bottom w:val="none" w:sz="0" w:space="0" w:color="auto"/>
        <w:right w:val="none" w:sz="0" w:space="0" w:color="auto"/>
      </w:divBdr>
    </w:div>
    <w:div w:id="859396043">
      <w:bodyDiv w:val="1"/>
      <w:marLeft w:val="0"/>
      <w:marRight w:val="0"/>
      <w:marTop w:val="0"/>
      <w:marBottom w:val="0"/>
      <w:divBdr>
        <w:top w:val="none" w:sz="0" w:space="0" w:color="auto"/>
        <w:left w:val="none" w:sz="0" w:space="0" w:color="auto"/>
        <w:bottom w:val="none" w:sz="0" w:space="0" w:color="auto"/>
        <w:right w:val="none" w:sz="0" w:space="0" w:color="auto"/>
      </w:divBdr>
    </w:div>
    <w:div w:id="867374986">
      <w:bodyDiv w:val="1"/>
      <w:marLeft w:val="0"/>
      <w:marRight w:val="0"/>
      <w:marTop w:val="0"/>
      <w:marBottom w:val="0"/>
      <w:divBdr>
        <w:top w:val="none" w:sz="0" w:space="0" w:color="auto"/>
        <w:left w:val="none" w:sz="0" w:space="0" w:color="auto"/>
        <w:bottom w:val="none" w:sz="0" w:space="0" w:color="auto"/>
        <w:right w:val="none" w:sz="0" w:space="0" w:color="auto"/>
      </w:divBdr>
    </w:div>
    <w:div w:id="886182344">
      <w:bodyDiv w:val="1"/>
      <w:marLeft w:val="0"/>
      <w:marRight w:val="0"/>
      <w:marTop w:val="0"/>
      <w:marBottom w:val="0"/>
      <w:divBdr>
        <w:top w:val="none" w:sz="0" w:space="0" w:color="auto"/>
        <w:left w:val="none" w:sz="0" w:space="0" w:color="auto"/>
        <w:bottom w:val="none" w:sz="0" w:space="0" w:color="auto"/>
        <w:right w:val="none" w:sz="0" w:space="0" w:color="auto"/>
      </w:divBdr>
    </w:div>
    <w:div w:id="899249271">
      <w:bodyDiv w:val="1"/>
      <w:marLeft w:val="0"/>
      <w:marRight w:val="0"/>
      <w:marTop w:val="0"/>
      <w:marBottom w:val="0"/>
      <w:divBdr>
        <w:top w:val="none" w:sz="0" w:space="0" w:color="auto"/>
        <w:left w:val="none" w:sz="0" w:space="0" w:color="auto"/>
        <w:bottom w:val="none" w:sz="0" w:space="0" w:color="auto"/>
        <w:right w:val="none" w:sz="0" w:space="0" w:color="auto"/>
      </w:divBdr>
    </w:div>
    <w:div w:id="986399901">
      <w:bodyDiv w:val="1"/>
      <w:marLeft w:val="0"/>
      <w:marRight w:val="0"/>
      <w:marTop w:val="0"/>
      <w:marBottom w:val="0"/>
      <w:divBdr>
        <w:top w:val="none" w:sz="0" w:space="0" w:color="auto"/>
        <w:left w:val="none" w:sz="0" w:space="0" w:color="auto"/>
        <w:bottom w:val="none" w:sz="0" w:space="0" w:color="auto"/>
        <w:right w:val="none" w:sz="0" w:space="0" w:color="auto"/>
      </w:divBdr>
    </w:div>
    <w:div w:id="1057509525">
      <w:bodyDiv w:val="1"/>
      <w:marLeft w:val="0"/>
      <w:marRight w:val="0"/>
      <w:marTop w:val="0"/>
      <w:marBottom w:val="0"/>
      <w:divBdr>
        <w:top w:val="none" w:sz="0" w:space="0" w:color="auto"/>
        <w:left w:val="none" w:sz="0" w:space="0" w:color="auto"/>
        <w:bottom w:val="none" w:sz="0" w:space="0" w:color="auto"/>
        <w:right w:val="none" w:sz="0" w:space="0" w:color="auto"/>
      </w:divBdr>
    </w:div>
    <w:div w:id="1159422099">
      <w:bodyDiv w:val="1"/>
      <w:marLeft w:val="0"/>
      <w:marRight w:val="0"/>
      <w:marTop w:val="0"/>
      <w:marBottom w:val="0"/>
      <w:divBdr>
        <w:top w:val="none" w:sz="0" w:space="0" w:color="auto"/>
        <w:left w:val="none" w:sz="0" w:space="0" w:color="auto"/>
        <w:bottom w:val="none" w:sz="0" w:space="0" w:color="auto"/>
        <w:right w:val="none" w:sz="0" w:space="0" w:color="auto"/>
      </w:divBdr>
    </w:div>
    <w:div w:id="1213426171">
      <w:bodyDiv w:val="1"/>
      <w:marLeft w:val="0"/>
      <w:marRight w:val="0"/>
      <w:marTop w:val="0"/>
      <w:marBottom w:val="0"/>
      <w:divBdr>
        <w:top w:val="none" w:sz="0" w:space="0" w:color="auto"/>
        <w:left w:val="none" w:sz="0" w:space="0" w:color="auto"/>
        <w:bottom w:val="none" w:sz="0" w:space="0" w:color="auto"/>
        <w:right w:val="none" w:sz="0" w:space="0" w:color="auto"/>
      </w:divBdr>
    </w:div>
    <w:div w:id="1247496788">
      <w:bodyDiv w:val="1"/>
      <w:marLeft w:val="0"/>
      <w:marRight w:val="0"/>
      <w:marTop w:val="0"/>
      <w:marBottom w:val="0"/>
      <w:divBdr>
        <w:top w:val="none" w:sz="0" w:space="0" w:color="auto"/>
        <w:left w:val="none" w:sz="0" w:space="0" w:color="auto"/>
        <w:bottom w:val="none" w:sz="0" w:space="0" w:color="auto"/>
        <w:right w:val="none" w:sz="0" w:space="0" w:color="auto"/>
      </w:divBdr>
    </w:div>
    <w:div w:id="1253467730">
      <w:bodyDiv w:val="1"/>
      <w:marLeft w:val="0"/>
      <w:marRight w:val="0"/>
      <w:marTop w:val="0"/>
      <w:marBottom w:val="0"/>
      <w:divBdr>
        <w:top w:val="none" w:sz="0" w:space="0" w:color="auto"/>
        <w:left w:val="none" w:sz="0" w:space="0" w:color="auto"/>
        <w:bottom w:val="none" w:sz="0" w:space="0" w:color="auto"/>
        <w:right w:val="none" w:sz="0" w:space="0" w:color="auto"/>
      </w:divBdr>
    </w:div>
    <w:div w:id="1262763593">
      <w:bodyDiv w:val="1"/>
      <w:marLeft w:val="0"/>
      <w:marRight w:val="0"/>
      <w:marTop w:val="0"/>
      <w:marBottom w:val="0"/>
      <w:divBdr>
        <w:top w:val="none" w:sz="0" w:space="0" w:color="auto"/>
        <w:left w:val="none" w:sz="0" w:space="0" w:color="auto"/>
        <w:bottom w:val="none" w:sz="0" w:space="0" w:color="auto"/>
        <w:right w:val="none" w:sz="0" w:space="0" w:color="auto"/>
      </w:divBdr>
      <w:divsChild>
        <w:div w:id="287009895">
          <w:marLeft w:val="0"/>
          <w:marRight w:val="0"/>
          <w:marTop w:val="0"/>
          <w:marBottom w:val="0"/>
          <w:divBdr>
            <w:top w:val="none" w:sz="0" w:space="0" w:color="auto"/>
            <w:left w:val="none" w:sz="0" w:space="0" w:color="auto"/>
            <w:bottom w:val="none" w:sz="0" w:space="0" w:color="auto"/>
            <w:right w:val="none" w:sz="0" w:space="0" w:color="auto"/>
          </w:divBdr>
          <w:divsChild>
            <w:div w:id="714813817">
              <w:marLeft w:val="0"/>
              <w:marRight w:val="0"/>
              <w:marTop w:val="0"/>
              <w:marBottom w:val="0"/>
              <w:divBdr>
                <w:top w:val="none" w:sz="0" w:space="0" w:color="auto"/>
                <w:left w:val="none" w:sz="0" w:space="0" w:color="auto"/>
                <w:bottom w:val="none" w:sz="0" w:space="0" w:color="auto"/>
                <w:right w:val="none" w:sz="0" w:space="0" w:color="auto"/>
              </w:divBdr>
              <w:divsChild>
                <w:div w:id="944193591">
                  <w:marLeft w:val="0"/>
                  <w:marRight w:val="0"/>
                  <w:marTop w:val="0"/>
                  <w:marBottom w:val="0"/>
                  <w:divBdr>
                    <w:top w:val="none" w:sz="0" w:space="0" w:color="auto"/>
                    <w:left w:val="none" w:sz="0" w:space="0" w:color="auto"/>
                    <w:bottom w:val="none" w:sz="0" w:space="0" w:color="auto"/>
                    <w:right w:val="none" w:sz="0" w:space="0" w:color="auto"/>
                  </w:divBdr>
                  <w:divsChild>
                    <w:div w:id="1935160899">
                      <w:marLeft w:val="0"/>
                      <w:marRight w:val="0"/>
                      <w:marTop w:val="0"/>
                      <w:marBottom w:val="0"/>
                      <w:divBdr>
                        <w:top w:val="none" w:sz="0" w:space="0" w:color="auto"/>
                        <w:left w:val="none" w:sz="0" w:space="0" w:color="auto"/>
                        <w:bottom w:val="none" w:sz="0" w:space="0" w:color="auto"/>
                        <w:right w:val="none" w:sz="0" w:space="0" w:color="auto"/>
                      </w:divBdr>
                      <w:divsChild>
                        <w:div w:id="771902088">
                          <w:marLeft w:val="0"/>
                          <w:marRight w:val="0"/>
                          <w:marTop w:val="0"/>
                          <w:marBottom w:val="0"/>
                          <w:divBdr>
                            <w:top w:val="none" w:sz="0" w:space="0" w:color="auto"/>
                            <w:left w:val="none" w:sz="0" w:space="0" w:color="auto"/>
                            <w:bottom w:val="none" w:sz="0" w:space="0" w:color="auto"/>
                            <w:right w:val="none" w:sz="0" w:space="0" w:color="auto"/>
                          </w:divBdr>
                          <w:divsChild>
                            <w:div w:id="57017993">
                              <w:marLeft w:val="0"/>
                              <w:marRight w:val="0"/>
                              <w:marTop w:val="0"/>
                              <w:marBottom w:val="0"/>
                              <w:divBdr>
                                <w:top w:val="none" w:sz="0" w:space="0" w:color="auto"/>
                                <w:left w:val="none" w:sz="0" w:space="0" w:color="auto"/>
                                <w:bottom w:val="none" w:sz="0" w:space="0" w:color="auto"/>
                                <w:right w:val="none" w:sz="0" w:space="0" w:color="auto"/>
                              </w:divBdr>
                              <w:divsChild>
                                <w:div w:id="36470139">
                                  <w:marLeft w:val="0"/>
                                  <w:marRight w:val="0"/>
                                  <w:marTop w:val="0"/>
                                  <w:marBottom w:val="0"/>
                                  <w:divBdr>
                                    <w:top w:val="none" w:sz="0" w:space="0" w:color="auto"/>
                                    <w:left w:val="none" w:sz="0" w:space="0" w:color="auto"/>
                                    <w:bottom w:val="none" w:sz="0" w:space="0" w:color="auto"/>
                                    <w:right w:val="none" w:sz="0" w:space="0" w:color="auto"/>
                                  </w:divBdr>
                                  <w:divsChild>
                                    <w:div w:id="660281853">
                                      <w:marLeft w:val="0"/>
                                      <w:marRight w:val="0"/>
                                      <w:marTop w:val="0"/>
                                      <w:marBottom w:val="0"/>
                                      <w:divBdr>
                                        <w:top w:val="none" w:sz="0" w:space="0" w:color="auto"/>
                                        <w:left w:val="none" w:sz="0" w:space="0" w:color="auto"/>
                                        <w:bottom w:val="none" w:sz="0" w:space="0" w:color="auto"/>
                                        <w:right w:val="none" w:sz="0" w:space="0" w:color="auto"/>
                                      </w:divBdr>
                                      <w:divsChild>
                                        <w:div w:id="1764104034">
                                          <w:marLeft w:val="0"/>
                                          <w:marRight w:val="0"/>
                                          <w:marTop w:val="0"/>
                                          <w:marBottom w:val="0"/>
                                          <w:divBdr>
                                            <w:top w:val="none" w:sz="0" w:space="0" w:color="auto"/>
                                            <w:left w:val="none" w:sz="0" w:space="0" w:color="auto"/>
                                            <w:bottom w:val="none" w:sz="0" w:space="0" w:color="auto"/>
                                            <w:right w:val="none" w:sz="0" w:space="0" w:color="auto"/>
                                          </w:divBdr>
                                          <w:divsChild>
                                            <w:div w:id="1245991070">
                                              <w:marLeft w:val="0"/>
                                              <w:marRight w:val="0"/>
                                              <w:marTop w:val="0"/>
                                              <w:marBottom w:val="0"/>
                                              <w:divBdr>
                                                <w:top w:val="none" w:sz="0" w:space="0" w:color="auto"/>
                                                <w:left w:val="none" w:sz="0" w:space="0" w:color="auto"/>
                                                <w:bottom w:val="none" w:sz="0" w:space="0" w:color="auto"/>
                                                <w:right w:val="none" w:sz="0" w:space="0" w:color="auto"/>
                                              </w:divBdr>
                                              <w:divsChild>
                                                <w:div w:id="2051807042">
                                                  <w:marLeft w:val="0"/>
                                                  <w:marRight w:val="0"/>
                                                  <w:marTop w:val="0"/>
                                                  <w:marBottom w:val="0"/>
                                                  <w:divBdr>
                                                    <w:top w:val="none" w:sz="0" w:space="0" w:color="auto"/>
                                                    <w:left w:val="none" w:sz="0" w:space="0" w:color="auto"/>
                                                    <w:bottom w:val="none" w:sz="0" w:space="0" w:color="auto"/>
                                                    <w:right w:val="none" w:sz="0" w:space="0" w:color="auto"/>
                                                  </w:divBdr>
                                                  <w:divsChild>
                                                    <w:div w:id="8712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7343697">
      <w:bodyDiv w:val="1"/>
      <w:marLeft w:val="0"/>
      <w:marRight w:val="0"/>
      <w:marTop w:val="0"/>
      <w:marBottom w:val="0"/>
      <w:divBdr>
        <w:top w:val="none" w:sz="0" w:space="0" w:color="auto"/>
        <w:left w:val="none" w:sz="0" w:space="0" w:color="auto"/>
        <w:bottom w:val="none" w:sz="0" w:space="0" w:color="auto"/>
        <w:right w:val="none" w:sz="0" w:space="0" w:color="auto"/>
      </w:divBdr>
    </w:div>
    <w:div w:id="1269847102">
      <w:bodyDiv w:val="1"/>
      <w:marLeft w:val="0"/>
      <w:marRight w:val="0"/>
      <w:marTop w:val="0"/>
      <w:marBottom w:val="0"/>
      <w:divBdr>
        <w:top w:val="none" w:sz="0" w:space="0" w:color="auto"/>
        <w:left w:val="none" w:sz="0" w:space="0" w:color="auto"/>
        <w:bottom w:val="none" w:sz="0" w:space="0" w:color="auto"/>
        <w:right w:val="none" w:sz="0" w:space="0" w:color="auto"/>
      </w:divBdr>
    </w:div>
    <w:div w:id="1278221059">
      <w:bodyDiv w:val="1"/>
      <w:marLeft w:val="0"/>
      <w:marRight w:val="0"/>
      <w:marTop w:val="0"/>
      <w:marBottom w:val="0"/>
      <w:divBdr>
        <w:top w:val="none" w:sz="0" w:space="0" w:color="auto"/>
        <w:left w:val="none" w:sz="0" w:space="0" w:color="auto"/>
        <w:bottom w:val="none" w:sz="0" w:space="0" w:color="auto"/>
        <w:right w:val="none" w:sz="0" w:space="0" w:color="auto"/>
      </w:divBdr>
    </w:div>
    <w:div w:id="1407189341">
      <w:bodyDiv w:val="1"/>
      <w:marLeft w:val="0"/>
      <w:marRight w:val="0"/>
      <w:marTop w:val="0"/>
      <w:marBottom w:val="0"/>
      <w:divBdr>
        <w:top w:val="none" w:sz="0" w:space="0" w:color="auto"/>
        <w:left w:val="none" w:sz="0" w:space="0" w:color="auto"/>
        <w:bottom w:val="none" w:sz="0" w:space="0" w:color="auto"/>
        <w:right w:val="none" w:sz="0" w:space="0" w:color="auto"/>
      </w:divBdr>
    </w:div>
    <w:div w:id="1441535844">
      <w:bodyDiv w:val="1"/>
      <w:marLeft w:val="0"/>
      <w:marRight w:val="0"/>
      <w:marTop w:val="0"/>
      <w:marBottom w:val="0"/>
      <w:divBdr>
        <w:top w:val="none" w:sz="0" w:space="0" w:color="auto"/>
        <w:left w:val="none" w:sz="0" w:space="0" w:color="auto"/>
        <w:bottom w:val="none" w:sz="0" w:space="0" w:color="auto"/>
        <w:right w:val="none" w:sz="0" w:space="0" w:color="auto"/>
      </w:divBdr>
      <w:divsChild>
        <w:div w:id="855075786">
          <w:marLeft w:val="0"/>
          <w:marRight w:val="0"/>
          <w:marTop w:val="100"/>
          <w:marBottom w:val="100"/>
          <w:divBdr>
            <w:top w:val="none" w:sz="0" w:space="0" w:color="auto"/>
            <w:left w:val="none" w:sz="0" w:space="0" w:color="auto"/>
            <w:bottom w:val="none" w:sz="0" w:space="0" w:color="auto"/>
            <w:right w:val="none" w:sz="0" w:space="0" w:color="auto"/>
          </w:divBdr>
          <w:divsChild>
            <w:div w:id="2065253078">
              <w:marLeft w:val="0"/>
              <w:marRight w:val="0"/>
              <w:marTop w:val="0"/>
              <w:marBottom w:val="0"/>
              <w:divBdr>
                <w:top w:val="none" w:sz="0" w:space="0" w:color="auto"/>
                <w:left w:val="none" w:sz="0" w:space="0" w:color="auto"/>
                <w:bottom w:val="none" w:sz="0" w:space="0" w:color="auto"/>
                <w:right w:val="none" w:sz="0" w:space="0" w:color="auto"/>
              </w:divBdr>
              <w:divsChild>
                <w:div w:id="1497305189">
                  <w:marLeft w:val="105"/>
                  <w:marRight w:val="105"/>
                  <w:marTop w:val="150"/>
                  <w:marBottom w:val="150"/>
                  <w:divBdr>
                    <w:top w:val="none" w:sz="0" w:space="0" w:color="auto"/>
                    <w:left w:val="none" w:sz="0" w:space="0" w:color="auto"/>
                    <w:bottom w:val="none" w:sz="0" w:space="0" w:color="auto"/>
                    <w:right w:val="none" w:sz="0" w:space="0" w:color="auto"/>
                  </w:divBdr>
                  <w:divsChild>
                    <w:div w:id="937754756">
                      <w:marLeft w:val="0"/>
                      <w:marRight w:val="0"/>
                      <w:marTop w:val="0"/>
                      <w:marBottom w:val="0"/>
                      <w:divBdr>
                        <w:top w:val="none" w:sz="0" w:space="0" w:color="auto"/>
                        <w:left w:val="none" w:sz="0" w:space="0" w:color="auto"/>
                        <w:bottom w:val="none" w:sz="0" w:space="0" w:color="auto"/>
                        <w:right w:val="none" w:sz="0" w:space="0" w:color="auto"/>
                      </w:divBdr>
                      <w:divsChild>
                        <w:div w:id="123353030">
                          <w:marLeft w:val="0"/>
                          <w:marRight w:val="0"/>
                          <w:marTop w:val="0"/>
                          <w:marBottom w:val="0"/>
                          <w:divBdr>
                            <w:top w:val="none" w:sz="0" w:space="0" w:color="auto"/>
                            <w:left w:val="none" w:sz="0" w:space="0" w:color="auto"/>
                            <w:bottom w:val="none" w:sz="0" w:space="0" w:color="auto"/>
                            <w:right w:val="none" w:sz="0" w:space="0" w:color="auto"/>
                          </w:divBdr>
                          <w:divsChild>
                            <w:div w:id="812140569">
                              <w:marLeft w:val="0"/>
                              <w:marRight w:val="0"/>
                              <w:marTop w:val="0"/>
                              <w:marBottom w:val="0"/>
                              <w:divBdr>
                                <w:top w:val="none" w:sz="0" w:space="0" w:color="auto"/>
                                <w:left w:val="none" w:sz="0" w:space="0" w:color="auto"/>
                                <w:bottom w:val="none" w:sz="0" w:space="0" w:color="auto"/>
                                <w:right w:val="none" w:sz="0" w:space="0" w:color="auto"/>
                              </w:divBdr>
                              <w:divsChild>
                                <w:div w:id="1982227718">
                                  <w:marLeft w:val="105"/>
                                  <w:marRight w:val="105"/>
                                  <w:marTop w:val="150"/>
                                  <w:marBottom w:val="150"/>
                                  <w:divBdr>
                                    <w:top w:val="none" w:sz="0" w:space="0" w:color="auto"/>
                                    <w:left w:val="none" w:sz="0" w:space="0" w:color="auto"/>
                                    <w:bottom w:val="none" w:sz="0" w:space="0" w:color="auto"/>
                                    <w:right w:val="none" w:sz="0" w:space="0" w:color="auto"/>
                                  </w:divBdr>
                                  <w:divsChild>
                                    <w:div w:id="1370686961">
                                      <w:marLeft w:val="0"/>
                                      <w:marRight w:val="0"/>
                                      <w:marTop w:val="0"/>
                                      <w:marBottom w:val="0"/>
                                      <w:divBdr>
                                        <w:top w:val="none" w:sz="0" w:space="0" w:color="auto"/>
                                        <w:left w:val="none" w:sz="0" w:space="0" w:color="auto"/>
                                        <w:bottom w:val="none" w:sz="0" w:space="0" w:color="auto"/>
                                        <w:right w:val="none" w:sz="0" w:space="0" w:color="auto"/>
                                      </w:divBdr>
                                      <w:divsChild>
                                        <w:div w:id="2029217564">
                                          <w:marLeft w:val="0"/>
                                          <w:marRight w:val="0"/>
                                          <w:marTop w:val="0"/>
                                          <w:marBottom w:val="0"/>
                                          <w:divBdr>
                                            <w:top w:val="none" w:sz="0" w:space="0" w:color="auto"/>
                                            <w:left w:val="none" w:sz="0" w:space="0" w:color="auto"/>
                                            <w:bottom w:val="none" w:sz="0" w:space="0" w:color="auto"/>
                                            <w:right w:val="none" w:sz="0" w:space="0" w:color="auto"/>
                                          </w:divBdr>
                                          <w:divsChild>
                                            <w:div w:id="1632250713">
                                              <w:marLeft w:val="0"/>
                                              <w:marRight w:val="0"/>
                                              <w:marTop w:val="0"/>
                                              <w:marBottom w:val="0"/>
                                              <w:divBdr>
                                                <w:top w:val="none" w:sz="0" w:space="0" w:color="auto"/>
                                                <w:left w:val="none" w:sz="0" w:space="0" w:color="auto"/>
                                                <w:bottom w:val="none" w:sz="0" w:space="0" w:color="auto"/>
                                                <w:right w:val="none" w:sz="0" w:space="0" w:color="auto"/>
                                              </w:divBdr>
                                              <w:divsChild>
                                                <w:div w:id="812793779">
                                                  <w:marLeft w:val="0"/>
                                                  <w:marRight w:val="0"/>
                                                  <w:marTop w:val="0"/>
                                                  <w:marBottom w:val="0"/>
                                                  <w:divBdr>
                                                    <w:top w:val="none" w:sz="0" w:space="0" w:color="auto"/>
                                                    <w:left w:val="none" w:sz="0" w:space="0" w:color="auto"/>
                                                    <w:bottom w:val="none" w:sz="0" w:space="0" w:color="auto"/>
                                                    <w:right w:val="none" w:sz="0" w:space="0" w:color="auto"/>
                                                  </w:divBdr>
                                                  <w:divsChild>
                                                    <w:div w:id="252277192">
                                                      <w:marLeft w:val="105"/>
                                                      <w:marRight w:val="105"/>
                                                      <w:marTop w:val="150"/>
                                                      <w:marBottom w:val="150"/>
                                                      <w:divBdr>
                                                        <w:top w:val="none" w:sz="0" w:space="0" w:color="auto"/>
                                                        <w:left w:val="none" w:sz="0" w:space="0" w:color="auto"/>
                                                        <w:bottom w:val="none" w:sz="0" w:space="0" w:color="auto"/>
                                                        <w:right w:val="none" w:sz="0" w:space="0" w:color="auto"/>
                                                      </w:divBdr>
                                                      <w:divsChild>
                                                        <w:div w:id="1442645299">
                                                          <w:marLeft w:val="0"/>
                                                          <w:marRight w:val="0"/>
                                                          <w:marTop w:val="0"/>
                                                          <w:marBottom w:val="0"/>
                                                          <w:divBdr>
                                                            <w:top w:val="none" w:sz="0" w:space="0" w:color="auto"/>
                                                            <w:left w:val="none" w:sz="0" w:space="0" w:color="auto"/>
                                                            <w:bottom w:val="none" w:sz="0" w:space="0" w:color="auto"/>
                                                            <w:right w:val="none" w:sz="0" w:space="0" w:color="auto"/>
                                                          </w:divBdr>
                                                          <w:divsChild>
                                                            <w:div w:id="1538658204">
                                                              <w:marLeft w:val="0"/>
                                                              <w:marRight w:val="0"/>
                                                              <w:marTop w:val="0"/>
                                                              <w:marBottom w:val="0"/>
                                                              <w:divBdr>
                                                                <w:top w:val="none" w:sz="0" w:space="0" w:color="auto"/>
                                                                <w:left w:val="none" w:sz="0" w:space="0" w:color="auto"/>
                                                                <w:bottom w:val="none" w:sz="0" w:space="0" w:color="auto"/>
                                                                <w:right w:val="none" w:sz="0" w:space="0" w:color="auto"/>
                                                              </w:divBdr>
                                                              <w:divsChild>
                                                                <w:div w:id="101458907">
                                                                  <w:marLeft w:val="0"/>
                                                                  <w:marRight w:val="0"/>
                                                                  <w:marTop w:val="0"/>
                                                                  <w:marBottom w:val="0"/>
                                                                  <w:divBdr>
                                                                    <w:top w:val="none" w:sz="0" w:space="0" w:color="auto"/>
                                                                    <w:left w:val="none" w:sz="0" w:space="0" w:color="auto"/>
                                                                    <w:bottom w:val="none" w:sz="0" w:space="0" w:color="auto"/>
                                                                    <w:right w:val="none" w:sz="0" w:space="0" w:color="auto"/>
                                                                  </w:divBdr>
                                                                </w:div>
                                                                <w:div w:id="7084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59108505">
      <w:bodyDiv w:val="1"/>
      <w:marLeft w:val="0"/>
      <w:marRight w:val="0"/>
      <w:marTop w:val="0"/>
      <w:marBottom w:val="0"/>
      <w:divBdr>
        <w:top w:val="none" w:sz="0" w:space="0" w:color="auto"/>
        <w:left w:val="none" w:sz="0" w:space="0" w:color="auto"/>
        <w:bottom w:val="none" w:sz="0" w:space="0" w:color="auto"/>
        <w:right w:val="none" w:sz="0" w:space="0" w:color="auto"/>
      </w:divBdr>
    </w:div>
    <w:div w:id="1523666991">
      <w:bodyDiv w:val="1"/>
      <w:marLeft w:val="0"/>
      <w:marRight w:val="0"/>
      <w:marTop w:val="0"/>
      <w:marBottom w:val="0"/>
      <w:divBdr>
        <w:top w:val="none" w:sz="0" w:space="0" w:color="auto"/>
        <w:left w:val="none" w:sz="0" w:space="0" w:color="auto"/>
        <w:bottom w:val="none" w:sz="0" w:space="0" w:color="auto"/>
        <w:right w:val="none" w:sz="0" w:space="0" w:color="auto"/>
      </w:divBdr>
    </w:div>
    <w:div w:id="1535000975">
      <w:bodyDiv w:val="1"/>
      <w:marLeft w:val="0"/>
      <w:marRight w:val="0"/>
      <w:marTop w:val="0"/>
      <w:marBottom w:val="0"/>
      <w:divBdr>
        <w:top w:val="none" w:sz="0" w:space="0" w:color="auto"/>
        <w:left w:val="none" w:sz="0" w:space="0" w:color="auto"/>
        <w:bottom w:val="none" w:sz="0" w:space="0" w:color="auto"/>
        <w:right w:val="none" w:sz="0" w:space="0" w:color="auto"/>
      </w:divBdr>
      <w:divsChild>
        <w:div w:id="428695694">
          <w:marLeft w:val="0"/>
          <w:marRight w:val="0"/>
          <w:marTop w:val="0"/>
          <w:marBottom w:val="0"/>
          <w:divBdr>
            <w:top w:val="none" w:sz="0" w:space="0" w:color="auto"/>
            <w:left w:val="none" w:sz="0" w:space="0" w:color="auto"/>
            <w:bottom w:val="none" w:sz="0" w:space="0" w:color="auto"/>
            <w:right w:val="none" w:sz="0" w:space="0" w:color="auto"/>
          </w:divBdr>
          <w:divsChild>
            <w:div w:id="762608276">
              <w:marLeft w:val="0"/>
              <w:marRight w:val="0"/>
              <w:marTop w:val="240"/>
              <w:marBottom w:val="240"/>
              <w:divBdr>
                <w:top w:val="none" w:sz="0" w:space="0" w:color="auto"/>
                <w:left w:val="none" w:sz="0" w:space="0" w:color="auto"/>
                <w:bottom w:val="none" w:sz="0" w:space="0" w:color="auto"/>
                <w:right w:val="none" w:sz="0" w:space="0" w:color="auto"/>
              </w:divBdr>
              <w:divsChild>
                <w:div w:id="15069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71215">
      <w:bodyDiv w:val="1"/>
      <w:marLeft w:val="0"/>
      <w:marRight w:val="0"/>
      <w:marTop w:val="0"/>
      <w:marBottom w:val="0"/>
      <w:divBdr>
        <w:top w:val="none" w:sz="0" w:space="0" w:color="auto"/>
        <w:left w:val="none" w:sz="0" w:space="0" w:color="auto"/>
        <w:bottom w:val="none" w:sz="0" w:space="0" w:color="auto"/>
        <w:right w:val="none" w:sz="0" w:space="0" w:color="auto"/>
      </w:divBdr>
    </w:div>
    <w:div w:id="1595673194">
      <w:bodyDiv w:val="1"/>
      <w:marLeft w:val="0"/>
      <w:marRight w:val="0"/>
      <w:marTop w:val="0"/>
      <w:marBottom w:val="0"/>
      <w:divBdr>
        <w:top w:val="none" w:sz="0" w:space="0" w:color="auto"/>
        <w:left w:val="none" w:sz="0" w:space="0" w:color="auto"/>
        <w:bottom w:val="none" w:sz="0" w:space="0" w:color="auto"/>
        <w:right w:val="none" w:sz="0" w:space="0" w:color="auto"/>
      </w:divBdr>
    </w:div>
    <w:div w:id="1629580466">
      <w:bodyDiv w:val="1"/>
      <w:marLeft w:val="0"/>
      <w:marRight w:val="0"/>
      <w:marTop w:val="0"/>
      <w:marBottom w:val="0"/>
      <w:divBdr>
        <w:top w:val="none" w:sz="0" w:space="0" w:color="auto"/>
        <w:left w:val="none" w:sz="0" w:space="0" w:color="auto"/>
        <w:bottom w:val="none" w:sz="0" w:space="0" w:color="auto"/>
        <w:right w:val="none" w:sz="0" w:space="0" w:color="auto"/>
      </w:divBdr>
    </w:div>
    <w:div w:id="1664892399">
      <w:bodyDiv w:val="1"/>
      <w:marLeft w:val="0"/>
      <w:marRight w:val="0"/>
      <w:marTop w:val="0"/>
      <w:marBottom w:val="0"/>
      <w:divBdr>
        <w:top w:val="none" w:sz="0" w:space="0" w:color="auto"/>
        <w:left w:val="none" w:sz="0" w:space="0" w:color="auto"/>
        <w:bottom w:val="none" w:sz="0" w:space="0" w:color="auto"/>
        <w:right w:val="none" w:sz="0" w:space="0" w:color="auto"/>
      </w:divBdr>
    </w:div>
    <w:div w:id="1669865834">
      <w:bodyDiv w:val="1"/>
      <w:marLeft w:val="0"/>
      <w:marRight w:val="0"/>
      <w:marTop w:val="0"/>
      <w:marBottom w:val="0"/>
      <w:divBdr>
        <w:top w:val="none" w:sz="0" w:space="0" w:color="auto"/>
        <w:left w:val="none" w:sz="0" w:space="0" w:color="auto"/>
        <w:bottom w:val="none" w:sz="0" w:space="0" w:color="auto"/>
        <w:right w:val="none" w:sz="0" w:space="0" w:color="auto"/>
      </w:divBdr>
    </w:div>
    <w:div w:id="1694914983">
      <w:bodyDiv w:val="1"/>
      <w:marLeft w:val="0"/>
      <w:marRight w:val="0"/>
      <w:marTop w:val="0"/>
      <w:marBottom w:val="0"/>
      <w:divBdr>
        <w:top w:val="none" w:sz="0" w:space="0" w:color="auto"/>
        <w:left w:val="none" w:sz="0" w:space="0" w:color="auto"/>
        <w:bottom w:val="none" w:sz="0" w:space="0" w:color="auto"/>
        <w:right w:val="none" w:sz="0" w:space="0" w:color="auto"/>
      </w:divBdr>
    </w:div>
    <w:div w:id="1724979916">
      <w:bodyDiv w:val="1"/>
      <w:marLeft w:val="0"/>
      <w:marRight w:val="0"/>
      <w:marTop w:val="0"/>
      <w:marBottom w:val="0"/>
      <w:divBdr>
        <w:top w:val="none" w:sz="0" w:space="0" w:color="auto"/>
        <w:left w:val="none" w:sz="0" w:space="0" w:color="auto"/>
        <w:bottom w:val="none" w:sz="0" w:space="0" w:color="auto"/>
        <w:right w:val="none" w:sz="0" w:space="0" w:color="auto"/>
      </w:divBdr>
    </w:div>
    <w:div w:id="1748309490">
      <w:bodyDiv w:val="1"/>
      <w:marLeft w:val="0"/>
      <w:marRight w:val="0"/>
      <w:marTop w:val="0"/>
      <w:marBottom w:val="0"/>
      <w:divBdr>
        <w:top w:val="none" w:sz="0" w:space="0" w:color="auto"/>
        <w:left w:val="none" w:sz="0" w:space="0" w:color="auto"/>
        <w:bottom w:val="none" w:sz="0" w:space="0" w:color="auto"/>
        <w:right w:val="none" w:sz="0" w:space="0" w:color="auto"/>
      </w:divBdr>
    </w:div>
    <w:div w:id="1765151039">
      <w:bodyDiv w:val="1"/>
      <w:marLeft w:val="0"/>
      <w:marRight w:val="0"/>
      <w:marTop w:val="0"/>
      <w:marBottom w:val="0"/>
      <w:divBdr>
        <w:top w:val="none" w:sz="0" w:space="0" w:color="auto"/>
        <w:left w:val="none" w:sz="0" w:space="0" w:color="auto"/>
        <w:bottom w:val="none" w:sz="0" w:space="0" w:color="auto"/>
        <w:right w:val="none" w:sz="0" w:space="0" w:color="auto"/>
      </w:divBdr>
    </w:div>
    <w:div w:id="1788356678">
      <w:bodyDiv w:val="1"/>
      <w:marLeft w:val="0"/>
      <w:marRight w:val="0"/>
      <w:marTop w:val="0"/>
      <w:marBottom w:val="0"/>
      <w:divBdr>
        <w:top w:val="none" w:sz="0" w:space="0" w:color="auto"/>
        <w:left w:val="none" w:sz="0" w:space="0" w:color="auto"/>
        <w:bottom w:val="none" w:sz="0" w:space="0" w:color="auto"/>
        <w:right w:val="none" w:sz="0" w:space="0" w:color="auto"/>
      </w:divBdr>
    </w:div>
    <w:div w:id="1807622790">
      <w:bodyDiv w:val="1"/>
      <w:marLeft w:val="0"/>
      <w:marRight w:val="0"/>
      <w:marTop w:val="0"/>
      <w:marBottom w:val="0"/>
      <w:divBdr>
        <w:top w:val="none" w:sz="0" w:space="0" w:color="auto"/>
        <w:left w:val="none" w:sz="0" w:space="0" w:color="auto"/>
        <w:bottom w:val="none" w:sz="0" w:space="0" w:color="auto"/>
        <w:right w:val="none" w:sz="0" w:space="0" w:color="auto"/>
      </w:divBdr>
    </w:div>
    <w:div w:id="1821341234">
      <w:bodyDiv w:val="1"/>
      <w:marLeft w:val="0"/>
      <w:marRight w:val="0"/>
      <w:marTop w:val="0"/>
      <w:marBottom w:val="0"/>
      <w:divBdr>
        <w:top w:val="none" w:sz="0" w:space="0" w:color="auto"/>
        <w:left w:val="none" w:sz="0" w:space="0" w:color="auto"/>
        <w:bottom w:val="none" w:sz="0" w:space="0" w:color="auto"/>
        <w:right w:val="none" w:sz="0" w:space="0" w:color="auto"/>
      </w:divBdr>
    </w:div>
    <w:div w:id="1829902116">
      <w:bodyDiv w:val="1"/>
      <w:marLeft w:val="0"/>
      <w:marRight w:val="0"/>
      <w:marTop w:val="0"/>
      <w:marBottom w:val="0"/>
      <w:divBdr>
        <w:top w:val="none" w:sz="0" w:space="0" w:color="auto"/>
        <w:left w:val="none" w:sz="0" w:space="0" w:color="auto"/>
        <w:bottom w:val="none" w:sz="0" w:space="0" w:color="auto"/>
        <w:right w:val="none" w:sz="0" w:space="0" w:color="auto"/>
      </w:divBdr>
    </w:div>
    <w:div w:id="1903370417">
      <w:bodyDiv w:val="1"/>
      <w:marLeft w:val="0"/>
      <w:marRight w:val="0"/>
      <w:marTop w:val="0"/>
      <w:marBottom w:val="0"/>
      <w:divBdr>
        <w:top w:val="none" w:sz="0" w:space="0" w:color="auto"/>
        <w:left w:val="none" w:sz="0" w:space="0" w:color="auto"/>
        <w:bottom w:val="none" w:sz="0" w:space="0" w:color="auto"/>
        <w:right w:val="none" w:sz="0" w:space="0" w:color="auto"/>
      </w:divBdr>
    </w:div>
    <w:div w:id="1919168707">
      <w:bodyDiv w:val="1"/>
      <w:marLeft w:val="0"/>
      <w:marRight w:val="0"/>
      <w:marTop w:val="0"/>
      <w:marBottom w:val="0"/>
      <w:divBdr>
        <w:top w:val="none" w:sz="0" w:space="0" w:color="auto"/>
        <w:left w:val="none" w:sz="0" w:space="0" w:color="auto"/>
        <w:bottom w:val="none" w:sz="0" w:space="0" w:color="auto"/>
        <w:right w:val="none" w:sz="0" w:space="0" w:color="auto"/>
      </w:divBdr>
    </w:div>
    <w:div w:id="1950160252">
      <w:bodyDiv w:val="1"/>
      <w:marLeft w:val="0"/>
      <w:marRight w:val="0"/>
      <w:marTop w:val="0"/>
      <w:marBottom w:val="0"/>
      <w:divBdr>
        <w:top w:val="none" w:sz="0" w:space="0" w:color="auto"/>
        <w:left w:val="none" w:sz="0" w:space="0" w:color="auto"/>
        <w:bottom w:val="none" w:sz="0" w:space="0" w:color="auto"/>
        <w:right w:val="none" w:sz="0" w:space="0" w:color="auto"/>
      </w:divBdr>
    </w:div>
    <w:div w:id="1958637337">
      <w:bodyDiv w:val="1"/>
      <w:marLeft w:val="0"/>
      <w:marRight w:val="0"/>
      <w:marTop w:val="0"/>
      <w:marBottom w:val="0"/>
      <w:divBdr>
        <w:top w:val="none" w:sz="0" w:space="0" w:color="auto"/>
        <w:left w:val="none" w:sz="0" w:space="0" w:color="auto"/>
        <w:bottom w:val="none" w:sz="0" w:space="0" w:color="auto"/>
        <w:right w:val="none" w:sz="0" w:space="0" w:color="auto"/>
      </w:divBdr>
    </w:div>
    <w:div w:id="2045017956">
      <w:bodyDiv w:val="1"/>
      <w:marLeft w:val="0"/>
      <w:marRight w:val="0"/>
      <w:marTop w:val="0"/>
      <w:marBottom w:val="0"/>
      <w:divBdr>
        <w:top w:val="none" w:sz="0" w:space="0" w:color="auto"/>
        <w:left w:val="none" w:sz="0" w:space="0" w:color="auto"/>
        <w:bottom w:val="none" w:sz="0" w:space="0" w:color="auto"/>
        <w:right w:val="none" w:sz="0" w:space="0" w:color="auto"/>
      </w:divBdr>
    </w:div>
    <w:div w:id="2072727925">
      <w:bodyDiv w:val="1"/>
      <w:marLeft w:val="0"/>
      <w:marRight w:val="0"/>
      <w:marTop w:val="0"/>
      <w:marBottom w:val="0"/>
      <w:divBdr>
        <w:top w:val="none" w:sz="0" w:space="0" w:color="auto"/>
        <w:left w:val="none" w:sz="0" w:space="0" w:color="auto"/>
        <w:bottom w:val="none" w:sz="0" w:space="0" w:color="auto"/>
        <w:right w:val="none" w:sz="0" w:space="0" w:color="auto"/>
      </w:divBdr>
    </w:div>
    <w:div w:id="2082409466">
      <w:bodyDiv w:val="1"/>
      <w:marLeft w:val="0"/>
      <w:marRight w:val="0"/>
      <w:marTop w:val="0"/>
      <w:marBottom w:val="0"/>
      <w:divBdr>
        <w:top w:val="none" w:sz="0" w:space="0" w:color="auto"/>
        <w:left w:val="none" w:sz="0" w:space="0" w:color="auto"/>
        <w:bottom w:val="none" w:sz="0" w:space="0" w:color="auto"/>
        <w:right w:val="none" w:sz="0" w:space="0" w:color="auto"/>
      </w:divBdr>
    </w:div>
    <w:div w:id="2123648917">
      <w:bodyDiv w:val="1"/>
      <w:marLeft w:val="0"/>
      <w:marRight w:val="0"/>
      <w:marTop w:val="0"/>
      <w:marBottom w:val="0"/>
      <w:divBdr>
        <w:top w:val="none" w:sz="0" w:space="0" w:color="auto"/>
        <w:left w:val="none" w:sz="0" w:space="0" w:color="auto"/>
        <w:bottom w:val="none" w:sz="0" w:space="0" w:color="auto"/>
        <w:right w:val="none" w:sz="0" w:space="0" w:color="auto"/>
      </w:divBdr>
    </w:div>
    <w:div w:id="214257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b:Source>
    <b:Tag>WHO15</b:Tag>
    <b:SourceType>Book</b:SourceType>
    <b:Guid>{D6B617CE-9610-4C10-A634-EB7C5CAFD78D}</b:Guid>
    <b:Author>
      <b:Author>
        <b:NameList>
          <b:Person>
            <b:Last>WHO</b:Last>
          </b:Person>
        </b:NameList>
      </b:Author>
    </b:Author>
    <b:Year>2015</b:Year>
    <b:RefOrder>2</b:RefOrder>
  </b:Source>
  <b:Source>
    <b:Tag>DeB</b:Tag>
    <b:SourceType>Book</b:SourceType>
    <b:Guid>{806615C9-672E-46AB-9539-8C64408F9450}</b:Guid>
    <b:Author>
      <b:Author>
        <b:NameList>
          <b:Person>
            <b:Last>De Bleser L</b:Last>
            <b:First>Depreitere</b:First>
            <b:Middle>R, De Waele K, Vanhaecht K, Vlayen J, Sermeus W. Defining pathways. Journal of Nursing Management, 2006, 14, 553–563.</b:Middle>
          </b:Person>
        </b:NameList>
      </b:Author>
    </b:Autho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97E7E992BF9D094C9E50C335A4A3A883" ma:contentTypeVersion="0" ma:contentTypeDescription="Een nieuw document maken." ma:contentTypeScope="" ma:versionID="87e65d0d9b383fdb76766f247e077b60">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E89C81-DA8A-4368-AD09-87EBDB3F2D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A5A0FE-42D4-41F5-86FE-0501F203669D}">
  <ds:schemaRefs>
    <ds:schemaRef ds:uri="http://schemas.openxmlformats.org/officeDocument/2006/bibliography"/>
  </ds:schemaRefs>
</ds:datastoreItem>
</file>

<file path=customXml/itemProps3.xml><?xml version="1.0" encoding="utf-8"?>
<ds:datastoreItem xmlns:ds="http://schemas.openxmlformats.org/officeDocument/2006/customXml" ds:itemID="{22DBCE24-9A10-40BB-A7DD-15A7F955A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A5FE1F-C0E5-47E7-BA30-7116F38306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5239</Words>
  <Characters>28818</Characters>
  <Application>Microsoft Office Word</Application>
  <DocSecurity>0</DocSecurity>
  <Lines>240</Lines>
  <Paragraphs>67</Paragraphs>
  <ScaleCrop>false</ScaleCrop>
  <HeadingPairs>
    <vt:vector size="2" baseType="variant">
      <vt:variant>
        <vt:lpstr>Titel</vt:lpstr>
      </vt:variant>
      <vt:variant>
        <vt:i4>1</vt:i4>
      </vt:variant>
    </vt:vector>
  </HeadingPairs>
  <TitlesOfParts>
    <vt:vector size="1" baseType="lpstr">
      <vt:lpstr/>
    </vt:vector>
  </TitlesOfParts>
  <Company>IKNL</Company>
  <LinksUpToDate>false</LinksUpToDate>
  <CharactersWithSpaces>33990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Jolanda van Hoeve</dc:creator>
  <cp:lastModifiedBy>Jolanda van Middelkoop - van Hoeve</cp:lastModifiedBy>
  <cp:revision>11</cp:revision>
  <cp:lastPrinted>2019-06-28T14:55:00Z</cp:lastPrinted>
  <dcterms:created xsi:type="dcterms:W3CDTF">2019-08-01T20:54:00Z</dcterms:created>
  <dcterms:modified xsi:type="dcterms:W3CDTF">2020-09-10T08:53:00Z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0x01010097E7E992BF9D094C9E50C335A4A3A883</vt:lpwstr>
  </property>
</Properties>
</file>