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45C252" w14:textId="033B725F" w:rsidR="00E07C90" w:rsidRPr="00F102A8" w:rsidRDefault="00E07C90" w:rsidP="00F102A8">
      <w:pPr>
        <w:pStyle w:val="MyHeading3"/>
        <w:numPr>
          <w:ilvl w:val="0"/>
          <w:numId w:val="0"/>
        </w:numPr>
        <w:ind w:left="567"/>
        <w:jc w:val="center"/>
        <w:rPr>
          <w:rFonts w:ascii="Times New Roman" w:hAnsi="Times New Roman"/>
          <w:highlight w:val="yellow"/>
          <w:u w:val="single"/>
        </w:rPr>
      </w:pPr>
      <w:r w:rsidRPr="00F102A8">
        <w:rPr>
          <w:rFonts w:ascii="Times New Roman" w:hAnsi="Times New Roman"/>
          <w:highlight w:val="yellow"/>
          <w:u w:val="single"/>
        </w:rPr>
        <w:t>ADDITIONAL FILE 2</w:t>
      </w:r>
    </w:p>
    <w:p w14:paraId="75195102" w14:textId="77777777" w:rsidR="00E07C90" w:rsidRPr="00F102A8" w:rsidRDefault="00E07C90" w:rsidP="007F42DE">
      <w:pPr>
        <w:jc w:val="center"/>
        <w:rPr>
          <w:b/>
          <w:color w:val="000000"/>
          <w:highlight w:val="yellow"/>
          <w:shd w:val="clear" w:color="auto" w:fill="FFFFFF"/>
        </w:rPr>
      </w:pPr>
    </w:p>
    <w:p w14:paraId="5BD7CDE9" w14:textId="53A9B4B8" w:rsidR="00F44CF3" w:rsidRPr="007F42DE" w:rsidRDefault="00B12714" w:rsidP="00F102A8">
      <w:pPr>
        <w:jc w:val="center"/>
        <w:rPr>
          <w:rFonts w:asciiTheme="minorBidi" w:hAnsiTheme="minorBidi" w:cstheme="minorBidi"/>
          <w:b/>
          <w:sz w:val="20"/>
          <w:szCs w:val="20"/>
        </w:rPr>
      </w:pPr>
      <w:r w:rsidRPr="00F102A8">
        <w:rPr>
          <w:b/>
          <w:color w:val="000000"/>
          <w:highlight w:val="yellow"/>
          <w:shd w:val="clear" w:color="auto" w:fill="FFFFFF"/>
        </w:rPr>
        <w:t xml:space="preserve">Additional File </w:t>
      </w:r>
      <w:r w:rsidR="002254DE" w:rsidRPr="00F102A8">
        <w:rPr>
          <w:b/>
          <w:color w:val="000000"/>
          <w:highlight w:val="yellow"/>
          <w:shd w:val="clear" w:color="auto" w:fill="FFFFFF"/>
        </w:rPr>
        <w:t>2-A</w:t>
      </w:r>
      <w:r w:rsidR="00F44CF3" w:rsidRPr="00F102A8">
        <w:rPr>
          <w:b/>
          <w:color w:val="000000"/>
          <w:highlight w:val="yellow"/>
          <w:shd w:val="clear" w:color="auto" w:fill="FFFFFF"/>
        </w:rPr>
        <w:t xml:space="preserve">: </w:t>
      </w:r>
      <w:r w:rsidR="00FB35CD" w:rsidRPr="00F102A8">
        <w:rPr>
          <w:rFonts w:asciiTheme="majorBidi" w:hAnsiTheme="majorBidi" w:cstheme="majorBidi"/>
          <w:b/>
          <w:color w:val="000000"/>
          <w:highlight w:val="yellow"/>
          <w:shd w:val="clear" w:color="auto" w:fill="FFFFFF"/>
        </w:rPr>
        <w:t xml:space="preserve">Forest-plots for the </w:t>
      </w:r>
      <w:r w:rsidR="00A5120B">
        <w:rPr>
          <w:rFonts w:asciiTheme="majorBidi" w:hAnsiTheme="majorBidi" w:cstheme="majorBidi"/>
          <w:b/>
          <w:color w:val="000000"/>
          <w:highlight w:val="yellow"/>
          <w:shd w:val="clear" w:color="auto" w:fill="FFFFFF"/>
        </w:rPr>
        <w:t>S</w:t>
      </w:r>
      <w:r w:rsidR="00F44CF3" w:rsidRPr="00F102A8">
        <w:rPr>
          <w:b/>
          <w:color w:val="000000"/>
          <w:highlight w:val="yellow"/>
          <w:shd w:val="clear" w:color="auto" w:fill="FFFFFF"/>
        </w:rPr>
        <w:t xml:space="preserve">ensitivity </w:t>
      </w:r>
      <w:r w:rsidR="00A5120B">
        <w:rPr>
          <w:b/>
          <w:color w:val="000000"/>
          <w:highlight w:val="yellow"/>
          <w:shd w:val="clear" w:color="auto" w:fill="FFFFFF"/>
        </w:rPr>
        <w:t>A</w:t>
      </w:r>
      <w:r w:rsidR="00F44CF3" w:rsidRPr="00F102A8">
        <w:rPr>
          <w:b/>
          <w:color w:val="000000"/>
          <w:highlight w:val="yellow"/>
          <w:shd w:val="clear" w:color="auto" w:fill="FFFFFF"/>
        </w:rPr>
        <w:t>nalysis</w:t>
      </w:r>
    </w:p>
    <w:p w14:paraId="01034A73" w14:textId="77777777" w:rsidR="00F44CF3" w:rsidRDefault="00F44CF3" w:rsidP="00BE0734">
      <w:pPr>
        <w:rPr>
          <w:rFonts w:asciiTheme="minorBidi" w:hAnsiTheme="minorBidi" w:cstheme="minorBidi"/>
          <w:sz w:val="20"/>
          <w:szCs w:val="20"/>
        </w:rPr>
      </w:pPr>
    </w:p>
    <w:p w14:paraId="4B09FD7E" w14:textId="0F9203B7" w:rsidR="00BE0734" w:rsidRPr="0049356E" w:rsidRDefault="00BE0734" w:rsidP="00BE0734">
      <w:pPr>
        <w:rPr>
          <w:rFonts w:asciiTheme="minorBidi" w:hAnsiTheme="minorBidi" w:cstheme="minorBidi"/>
          <w:b/>
          <w:bCs/>
          <w:sz w:val="20"/>
          <w:szCs w:val="20"/>
        </w:rPr>
      </w:pPr>
      <w:r w:rsidRPr="0049356E">
        <w:rPr>
          <w:rFonts w:asciiTheme="minorBidi" w:hAnsiTheme="minorBidi" w:cstheme="minorBidi"/>
          <w:b/>
          <w:bCs/>
          <w:sz w:val="20"/>
          <w:szCs w:val="20"/>
        </w:rPr>
        <w:t xml:space="preserve">Figure </w:t>
      </w:r>
      <w:r w:rsidR="009D74E3" w:rsidRPr="0049356E">
        <w:rPr>
          <w:rFonts w:asciiTheme="minorBidi" w:hAnsiTheme="minorBidi" w:cstheme="minorBidi"/>
          <w:b/>
          <w:bCs/>
          <w:sz w:val="20"/>
          <w:szCs w:val="20"/>
        </w:rPr>
        <w:t>1</w:t>
      </w:r>
      <w:r w:rsidRPr="0049356E">
        <w:rPr>
          <w:rFonts w:asciiTheme="minorBidi" w:hAnsiTheme="minorBidi" w:cstheme="minorBidi"/>
          <w:b/>
          <w:bCs/>
          <w:sz w:val="20"/>
          <w:szCs w:val="20"/>
        </w:rPr>
        <w:t>: Forest plot comparison shows the pooled comparison effect of intravenous iron therapy versus placebo/standard of care groups on the proportion of the transfused patients after exclusion of Weisbach trial as a sensitivity analysis (random effects model).</w:t>
      </w:r>
    </w:p>
    <w:p w14:paraId="3986A747" w14:textId="77777777" w:rsidR="00BE0734" w:rsidRPr="00843D95" w:rsidRDefault="00BE0734" w:rsidP="00BE0734">
      <w:pPr>
        <w:rPr>
          <w:rFonts w:asciiTheme="minorBidi" w:hAnsiTheme="minorBidi" w:cstheme="minorBidi"/>
          <w:sz w:val="20"/>
          <w:szCs w:val="20"/>
        </w:rPr>
      </w:pPr>
    </w:p>
    <w:p w14:paraId="7DCC148C" w14:textId="77777777" w:rsidR="00BE0734" w:rsidRPr="00843D95" w:rsidRDefault="00BE0734" w:rsidP="00BE0734">
      <w:pPr>
        <w:rPr>
          <w:rFonts w:asciiTheme="minorBidi" w:hAnsiTheme="minorBidi" w:cstheme="minorBidi"/>
          <w:sz w:val="20"/>
          <w:szCs w:val="20"/>
        </w:rPr>
      </w:pPr>
      <w:r>
        <w:rPr>
          <w:rFonts w:asciiTheme="minorBidi" w:hAnsiTheme="minorBidi" w:cstheme="minorBidi"/>
          <w:noProof/>
          <w:sz w:val="20"/>
          <w:szCs w:val="20"/>
          <w:lang w:val="en-US"/>
        </w:rPr>
        <w:drawing>
          <wp:inline distT="0" distB="0" distL="0" distR="0" wp14:anchorId="6C906029" wp14:editId="79C605D8">
            <wp:extent cx="8680117" cy="3060000"/>
            <wp:effectExtent l="0" t="0" r="0" b="127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roportion of the transfused patients after exclusion of Weisbach trial .em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80117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D432F" w14:textId="77777777" w:rsidR="00BE0734" w:rsidRPr="00843D95" w:rsidRDefault="00BE0734" w:rsidP="00BE0734">
      <w:pPr>
        <w:rPr>
          <w:rFonts w:asciiTheme="minorBidi" w:hAnsiTheme="minorBidi" w:cstheme="minorBidi"/>
          <w:sz w:val="20"/>
          <w:szCs w:val="20"/>
        </w:rPr>
      </w:pPr>
    </w:p>
    <w:p w14:paraId="5E473385" w14:textId="77777777" w:rsidR="00097B9D" w:rsidRDefault="00097B9D"/>
    <w:p w14:paraId="533E9498" w14:textId="77777777" w:rsidR="007F42DE" w:rsidRDefault="007F42DE" w:rsidP="00145EEE">
      <w:pPr>
        <w:rPr>
          <w:rFonts w:asciiTheme="minorBidi" w:hAnsiTheme="minorBidi" w:cstheme="minorBidi"/>
          <w:sz w:val="20"/>
          <w:szCs w:val="20"/>
        </w:rPr>
      </w:pPr>
    </w:p>
    <w:p w14:paraId="22D777DE" w14:textId="77777777" w:rsidR="007F42DE" w:rsidRDefault="007F42DE" w:rsidP="00145EEE">
      <w:pPr>
        <w:rPr>
          <w:rFonts w:asciiTheme="minorBidi" w:hAnsiTheme="minorBidi" w:cstheme="minorBidi"/>
          <w:sz w:val="20"/>
          <w:szCs w:val="20"/>
        </w:rPr>
      </w:pPr>
    </w:p>
    <w:p w14:paraId="3F1E41A9" w14:textId="77777777" w:rsidR="007F42DE" w:rsidRDefault="007F42DE" w:rsidP="00145EEE">
      <w:pPr>
        <w:rPr>
          <w:rFonts w:asciiTheme="minorBidi" w:hAnsiTheme="minorBidi" w:cstheme="minorBidi"/>
          <w:sz w:val="20"/>
          <w:szCs w:val="20"/>
        </w:rPr>
      </w:pPr>
    </w:p>
    <w:p w14:paraId="06C9CB36" w14:textId="77777777" w:rsidR="007F42DE" w:rsidRDefault="007F42DE" w:rsidP="00145EEE">
      <w:pPr>
        <w:rPr>
          <w:rFonts w:asciiTheme="minorBidi" w:hAnsiTheme="minorBidi" w:cstheme="minorBidi"/>
          <w:sz w:val="20"/>
          <w:szCs w:val="20"/>
        </w:rPr>
      </w:pPr>
    </w:p>
    <w:p w14:paraId="16038682" w14:textId="797D9BAA" w:rsidR="00145EEE" w:rsidRPr="0049356E" w:rsidRDefault="00145EEE" w:rsidP="00145EEE">
      <w:pPr>
        <w:rPr>
          <w:rFonts w:asciiTheme="minorBidi" w:hAnsiTheme="minorBidi" w:cstheme="minorBidi"/>
          <w:b/>
          <w:bCs/>
          <w:sz w:val="20"/>
          <w:szCs w:val="20"/>
        </w:rPr>
      </w:pPr>
      <w:r w:rsidRPr="0049356E">
        <w:rPr>
          <w:rFonts w:asciiTheme="minorBidi" w:hAnsiTheme="minorBidi" w:cstheme="minorBidi"/>
          <w:b/>
          <w:bCs/>
          <w:sz w:val="20"/>
          <w:szCs w:val="20"/>
        </w:rPr>
        <w:lastRenderedPageBreak/>
        <w:t xml:space="preserve">Figure </w:t>
      </w:r>
      <w:r w:rsidR="009D74E3" w:rsidRPr="0049356E">
        <w:rPr>
          <w:rFonts w:asciiTheme="minorBidi" w:hAnsiTheme="minorBidi" w:cstheme="minorBidi"/>
          <w:b/>
          <w:bCs/>
          <w:sz w:val="20"/>
          <w:szCs w:val="20"/>
        </w:rPr>
        <w:t>2</w:t>
      </w:r>
      <w:r w:rsidRPr="0049356E">
        <w:rPr>
          <w:rFonts w:asciiTheme="minorBidi" w:hAnsiTheme="minorBidi" w:cstheme="minorBidi"/>
          <w:b/>
          <w:bCs/>
          <w:sz w:val="20"/>
          <w:szCs w:val="20"/>
        </w:rPr>
        <w:t xml:space="preserve">: Forest plot comparison shows the effect of intravenous iron therapy versus placebo/standard of care groups on the occurrence of associated non-serious adverse effects after </w:t>
      </w:r>
      <w:r w:rsidR="007C33A8" w:rsidRPr="0049356E">
        <w:rPr>
          <w:rFonts w:asciiTheme="minorBidi" w:hAnsiTheme="minorBidi" w:cstheme="minorBidi"/>
          <w:b/>
          <w:bCs/>
          <w:sz w:val="20"/>
          <w:szCs w:val="20"/>
        </w:rPr>
        <w:t>in</w:t>
      </w:r>
      <w:r w:rsidRPr="0049356E">
        <w:rPr>
          <w:rFonts w:asciiTheme="minorBidi" w:hAnsiTheme="minorBidi" w:cstheme="minorBidi"/>
          <w:b/>
          <w:bCs/>
          <w:sz w:val="20"/>
          <w:szCs w:val="20"/>
        </w:rPr>
        <w:t>cluding a trial (Garrido-Martín et al.) with zero events (random effects model).</w:t>
      </w:r>
    </w:p>
    <w:p w14:paraId="204BD79C" w14:textId="77777777" w:rsidR="00145EEE" w:rsidRPr="0049356E" w:rsidRDefault="00145EEE" w:rsidP="00145EEE">
      <w:pPr>
        <w:rPr>
          <w:rFonts w:asciiTheme="minorBidi" w:hAnsiTheme="minorBidi" w:cstheme="minorBidi"/>
          <w:b/>
          <w:bCs/>
          <w:sz w:val="20"/>
          <w:szCs w:val="20"/>
        </w:rPr>
      </w:pPr>
    </w:p>
    <w:p w14:paraId="189B3FDC" w14:textId="55E04829" w:rsidR="00145EEE" w:rsidRPr="00612D2D" w:rsidRDefault="007C33A8" w:rsidP="00145EEE">
      <w:pPr>
        <w:rPr>
          <w:rFonts w:asciiTheme="minorBidi" w:hAnsiTheme="minorBidi" w:cstheme="minorBidi"/>
          <w:sz w:val="20"/>
          <w:szCs w:val="20"/>
        </w:rPr>
      </w:pPr>
      <w:r w:rsidRPr="00B258CB">
        <w:rPr>
          <w:rFonts w:asciiTheme="minorBidi" w:hAnsiTheme="minorBidi"/>
          <w:noProof/>
          <w:sz w:val="20"/>
          <w:szCs w:val="20"/>
          <w:lang w:val="en-US"/>
        </w:rPr>
        <w:drawing>
          <wp:inline distT="0" distB="0" distL="0" distR="0" wp14:anchorId="183D39FE" wp14:editId="01D487C2">
            <wp:extent cx="8229600" cy="2317115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occurrence of associated non-serious adverse effects (random effects model).em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31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D99A4" w14:textId="77777777" w:rsidR="00145EEE" w:rsidRPr="00843D95" w:rsidRDefault="00145EEE" w:rsidP="00145EEE">
      <w:pPr>
        <w:rPr>
          <w:rFonts w:asciiTheme="minorBidi" w:hAnsiTheme="minorBidi" w:cstheme="minorBidi"/>
          <w:sz w:val="20"/>
          <w:szCs w:val="20"/>
        </w:rPr>
      </w:pPr>
    </w:p>
    <w:p w14:paraId="7F19A608" w14:textId="77777777" w:rsidR="00145EEE" w:rsidRDefault="00145EEE"/>
    <w:p w14:paraId="70040484" w14:textId="77777777" w:rsidR="002254DE" w:rsidRDefault="002254DE" w:rsidP="002254DE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br w:type="page"/>
      </w:r>
    </w:p>
    <w:p w14:paraId="334CF5A1" w14:textId="6C255A3F" w:rsidR="00CE7762" w:rsidRPr="0049356E" w:rsidRDefault="00CE7762" w:rsidP="002254DE">
      <w:pPr>
        <w:rPr>
          <w:rFonts w:asciiTheme="minorBidi" w:hAnsiTheme="minorBidi" w:cstheme="minorBidi"/>
          <w:b/>
          <w:bCs/>
          <w:sz w:val="20"/>
          <w:szCs w:val="20"/>
        </w:rPr>
      </w:pPr>
      <w:r w:rsidRPr="0049356E">
        <w:rPr>
          <w:rFonts w:asciiTheme="minorBidi" w:hAnsiTheme="minorBidi" w:cstheme="minorBidi"/>
          <w:b/>
          <w:bCs/>
          <w:sz w:val="20"/>
          <w:szCs w:val="20"/>
        </w:rPr>
        <w:lastRenderedPageBreak/>
        <w:t>Figure 3: Forest plot comparison shows the pooled comparison effect of intravenous iron therapy versus placebo/standard of care groups on the 30-day mortality after including a trial (Johansson et al.) with zero events (random effects model).</w:t>
      </w:r>
    </w:p>
    <w:p w14:paraId="66E05F77" w14:textId="77777777" w:rsidR="002254DE" w:rsidRDefault="002254DE" w:rsidP="00CE7762">
      <w:pPr>
        <w:rPr>
          <w:rFonts w:asciiTheme="minorBidi" w:hAnsiTheme="minorBidi" w:cstheme="minorBidi"/>
          <w:sz w:val="20"/>
          <w:szCs w:val="20"/>
        </w:rPr>
      </w:pPr>
    </w:p>
    <w:p w14:paraId="1783333F" w14:textId="76F6C075" w:rsidR="00CE7762" w:rsidRDefault="007C33A8" w:rsidP="007C33A8">
      <w:pPr>
        <w:rPr>
          <w:rFonts w:asciiTheme="minorBidi" w:hAnsiTheme="minorBidi" w:cstheme="minorBidi"/>
          <w:sz w:val="20"/>
          <w:szCs w:val="20"/>
        </w:rPr>
      </w:pPr>
      <w:r w:rsidRPr="00B258CB">
        <w:rPr>
          <w:rFonts w:asciiTheme="minorBidi" w:hAnsiTheme="minorBidi"/>
          <w:noProof/>
          <w:sz w:val="20"/>
          <w:szCs w:val="20"/>
          <w:lang w:val="en-US"/>
        </w:rPr>
        <w:drawing>
          <wp:inline distT="0" distB="0" distL="0" distR="0" wp14:anchorId="3B6ACD6C" wp14:editId="1B6027AB">
            <wp:extent cx="8229600" cy="1887220"/>
            <wp:effectExtent l="0" t="0" r="0" b="508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30-day mortality .emf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2446F" w14:textId="7EF07008" w:rsidR="0049356E" w:rsidRDefault="0049356E" w:rsidP="007C33A8">
      <w:pPr>
        <w:rPr>
          <w:rFonts w:asciiTheme="minorBidi" w:hAnsiTheme="minorBidi" w:cstheme="minorBidi"/>
          <w:sz w:val="20"/>
          <w:szCs w:val="20"/>
        </w:rPr>
      </w:pPr>
      <w:r>
        <w:rPr>
          <w:rFonts w:asciiTheme="minorBidi" w:hAnsiTheme="minorBidi" w:cstheme="minorBidi"/>
          <w:sz w:val="20"/>
          <w:szCs w:val="20"/>
        </w:rPr>
        <w:br w:type="page"/>
      </w:r>
    </w:p>
    <w:p w14:paraId="160DCB55" w14:textId="47C52CCE" w:rsidR="0049356E" w:rsidRPr="00C054B5" w:rsidRDefault="0049356E" w:rsidP="00C054B5">
      <w:pPr>
        <w:jc w:val="center"/>
      </w:pPr>
      <w:r w:rsidRPr="00F102A8">
        <w:rPr>
          <w:b/>
          <w:color w:val="000000"/>
          <w:highlight w:val="yellow"/>
          <w:shd w:val="clear" w:color="auto" w:fill="FFFFFF"/>
        </w:rPr>
        <w:lastRenderedPageBreak/>
        <w:t xml:space="preserve">Additional File 2-B: </w:t>
      </w:r>
      <w:r w:rsidR="00FB35CD" w:rsidRPr="00F102A8">
        <w:rPr>
          <w:rFonts w:asciiTheme="majorBidi" w:hAnsiTheme="majorBidi" w:cstheme="majorBidi"/>
          <w:b/>
          <w:color w:val="000000"/>
          <w:highlight w:val="yellow"/>
          <w:shd w:val="clear" w:color="auto" w:fill="FFFFFF"/>
        </w:rPr>
        <w:t xml:space="preserve">Forest-plots for the </w:t>
      </w:r>
      <w:r w:rsidR="00A5120B">
        <w:rPr>
          <w:rFonts w:asciiTheme="majorBidi" w:hAnsiTheme="majorBidi" w:cstheme="majorBidi"/>
          <w:b/>
          <w:color w:val="000000"/>
          <w:highlight w:val="yellow"/>
          <w:shd w:val="clear" w:color="auto" w:fill="FFFFFF"/>
        </w:rPr>
        <w:t>S</w:t>
      </w:r>
      <w:r w:rsidRPr="00F102A8">
        <w:rPr>
          <w:b/>
          <w:color w:val="000000"/>
          <w:highlight w:val="yellow"/>
          <w:shd w:val="clear" w:color="auto" w:fill="FFFFFF"/>
        </w:rPr>
        <w:t xml:space="preserve">ubgroup </w:t>
      </w:r>
      <w:r w:rsidR="00A5120B">
        <w:rPr>
          <w:b/>
          <w:color w:val="000000"/>
          <w:highlight w:val="yellow"/>
          <w:shd w:val="clear" w:color="auto" w:fill="FFFFFF"/>
        </w:rPr>
        <w:t>A</w:t>
      </w:r>
      <w:r w:rsidRPr="00F102A8">
        <w:rPr>
          <w:b/>
          <w:color w:val="000000"/>
          <w:highlight w:val="yellow"/>
          <w:shd w:val="clear" w:color="auto" w:fill="FFFFFF"/>
        </w:rPr>
        <w:t>nalysis</w:t>
      </w:r>
    </w:p>
    <w:p w14:paraId="1CBBCB72" w14:textId="77777777" w:rsidR="00C054B5" w:rsidRPr="007C7068" w:rsidRDefault="00C054B5" w:rsidP="0049356E">
      <w:pPr>
        <w:pStyle w:val="MyDoubleSpaceParagraph"/>
        <w:ind w:firstLine="0"/>
        <w:jc w:val="center"/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val="en-CA"/>
        </w:rPr>
      </w:pPr>
    </w:p>
    <w:p w14:paraId="2A3E3EDE" w14:textId="77777777" w:rsidR="0049356E" w:rsidRPr="0049356E" w:rsidRDefault="0049356E" w:rsidP="0049356E">
      <w:pPr>
        <w:pStyle w:val="MyDoubleSpaceParagraph"/>
        <w:spacing w:line="240" w:lineRule="auto"/>
        <w:ind w:firstLine="0"/>
        <w:rPr>
          <w:rFonts w:asciiTheme="minorBidi" w:hAnsiTheme="minorBidi" w:cstheme="minorBidi"/>
          <w:b/>
          <w:bCs/>
          <w:sz w:val="20"/>
          <w:szCs w:val="20"/>
        </w:rPr>
      </w:pPr>
      <w:r w:rsidRPr="0049356E">
        <w:rPr>
          <w:rFonts w:asciiTheme="minorBidi" w:eastAsia="Times New Roman" w:hAnsiTheme="minorBidi" w:cstheme="minorBidi"/>
          <w:b/>
          <w:bCs/>
          <w:sz w:val="20"/>
          <w:szCs w:val="20"/>
          <w:lang w:val="en-CA"/>
        </w:rPr>
        <w:t>Figure 1: Forest plot comparison shows the pooled comparison effect of intravenous iron therapy versus placebo/standard of care groups on the proportion of the transfused patients with the different surgeries as a subgroup analysis (random effects model).</w:t>
      </w:r>
    </w:p>
    <w:p w14:paraId="30FE8CF6" w14:textId="77777777" w:rsidR="0049356E" w:rsidRPr="00843D95" w:rsidRDefault="0049356E" w:rsidP="0049356E">
      <w:pPr>
        <w:rPr>
          <w:rFonts w:asciiTheme="minorBidi" w:hAnsiTheme="minorBidi" w:cstheme="minorBidi"/>
          <w:sz w:val="20"/>
          <w:szCs w:val="20"/>
        </w:rPr>
      </w:pPr>
      <w:r>
        <w:rPr>
          <w:rFonts w:asciiTheme="minorBidi" w:hAnsiTheme="minorBidi" w:cstheme="minorBidi"/>
          <w:noProof/>
          <w:sz w:val="20"/>
          <w:szCs w:val="20"/>
          <w:lang w:val="en-US"/>
        </w:rPr>
        <w:drawing>
          <wp:inline distT="0" distB="0" distL="0" distR="0" wp14:anchorId="2DB5C7EB" wp14:editId="31C33D7E">
            <wp:extent cx="8895683" cy="40667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oportion of the transfused patients with the different surgeries as a subgroup analysis .emf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95683" cy="406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289B1" w14:textId="77777777" w:rsidR="0049356E" w:rsidRPr="00843D95" w:rsidRDefault="0049356E" w:rsidP="0049356E">
      <w:pPr>
        <w:rPr>
          <w:rFonts w:asciiTheme="minorBidi" w:hAnsiTheme="minorBidi" w:cstheme="minorBidi"/>
          <w:sz w:val="20"/>
          <w:szCs w:val="20"/>
        </w:rPr>
      </w:pPr>
    </w:p>
    <w:p w14:paraId="35191A5A" w14:textId="77777777" w:rsidR="0049356E" w:rsidRPr="00843D95" w:rsidRDefault="0049356E" w:rsidP="0049356E">
      <w:pPr>
        <w:rPr>
          <w:rFonts w:asciiTheme="minorBidi" w:hAnsiTheme="minorBidi" w:cstheme="minorBidi"/>
          <w:sz w:val="20"/>
          <w:szCs w:val="20"/>
        </w:rPr>
      </w:pPr>
    </w:p>
    <w:p w14:paraId="1F14BA60" w14:textId="77777777" w:rsidR="0049356E" w:rsidRPr="0049356E" w:rsidRDefault="0049356E" w:rsidP="0049356E">
      <w:pPr>
        <w:rPr>
          <w:rFonts w:asciiTheme="minorBidi" w:hAnsiTheme="minorBidi" w:cstheme="minorBidi"/>
          <w:b/>
          <w:bCs/>
          <w:sz w:val="20"/>
          <w:szCs w:val="20"/>
        </w:rPr>
      </w:pPr>
      <w:r w:rsidRPr="0049356E">
        <w:rPr>
          <w:rFonts w:asciiTheme="minorBidi" w:hAnsiTheme="minorBidi" w:cstheme="minorBidi"/>
          <w:b/>
          <w:bCs/>
          <w:sz w:val="20"/>
          <w:szCs w:val="20"/>
        </w:rPr>
        <w:lastRenderedPageBreak/>
        <w:t xml:space="preserve">Figure 2: Forest plot comparison shows the pooled comparison effect of intravenous iron therapy versus placebo/standard of care groups on the proportion of the transfused patients as a subgroup analysis for different intravenous iron preparations (random effects model). </w:t>
      </w:r>
    </w:p>
    <w:p w14:paraId="793EB9E1" w14:textId="77777777" w:rsidR="0049356E" w:rsidRPr="0049356E" w:rsidRDefault="0049356E" w:rsidP="0049356E">
      <w:pPr>
        <w:rPr>
          <w:rFonts w:asciiTheme="minorBidi" w:hAnsiTheme="minorBidi" w:cstheme="minorBidi"/>
          <w:b/>
          <w:bCs/>
          <w:sz w:val="20"/>
          <w:szCs w:val="20"/>
        </w:rPr>
      </w:pPr>
    </w:p>
    <w:p w14:paraId="766DF81A" w14:textId="77777777" w:rsidR="0049356E" w:rsidRPr="00843D95" w:rsidRDefault="0049356E" w:rsidP="0049356E">
      <w:pPr>
        <w:rPr>
          <w:rFonts w:asciiTheme="minorBidi" w:hAnsiTheme="minorBidi" w:cstheme="minorBidi"/>
          <w:sz w:val="20"/>
          <w:szCs w:val="20"/>
        </w:rPr>
      </w:pPr>
      <w:r>
        <w:rPr>
          <w:rFonts w:asciiTheme="minorBidi" w:hAnsiTheme="minorBidi" w:cstheme="minorBidi"/>
          <w:noProof/>
          <w:sz w:val="20"/>
          <w:szCs w:val="20"/>
          <w:lang w:val="en-US"/>
        </w:rPr>
        <w:drawing>
          <wp:inline distT="0" distB="0" distL="0" distR="0" wp14:anchorId="2A1ACA50" wp14:editId="60D03A19">
            <wp:extent cx="7872218" cy="3598985"/>
            <wp:effectExtent l="0" t="0" r="1905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ron preparations .emf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72218" cy="359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3F7F3" w14:textId="77777777" w:rsidR="0049356E" w:rsidRPr="00843D95" w:rsidRDefault="0049356E" w:rsidP="0049356E">
      <w:pPr>
        <w:rPr>
          <w:rFonts w:asciiTheme="minorBidi" w:hAnsiTheme="minorBidi" w:cstheme="minorBidi"/>
          <w:sz w:val="20"/>
          <w:szCs w:val="20"/>
        </w:rPr>
      </w:pPr>
    </w:p>
    <w:p w14:paraId="25DC24E2" w14:textId="77777777" w:rsidR="0049356E" w:rsidRPr="00843D95" w:rsidRDefault="0049356E" w:rsidP="0049356E">
      <w:pPr>
        <w:rPr>
          <w:rFonts w:asciiTheme="minorBidi" w:hAnsiTheme="minorBidi" w:cstheme="minorBidi"/>
          <w:sz w:val="20"/>
          <w:szCs w:val="20"/>
        </w:rPr>
      </w:pPr>
    </w:p>
    <w:p w14:paraId="097FB278" w14:textId="77777777" w:rsidR="0049356E" w:rsidRPr="0049356E" w:rsidRDefault="0049356E" w:rsidP="0049356E">
      <w:pPr>
        <w:rPr>
          <w:rFonts w:asciiTheme="minorBidi" w:hAnsiTheme="minorBidi" w:cstheme="minorBidi"/>
          <w:b/>
          <w:bCs/>
          <w:sz w:val="20"/>
          <w:szCs w:val="20"/>
        </w:rPr>
      </w:pPr>
      <w:r w:rsidRPr="00843D95">
        <w:rPr>
          <w:rFonts w:asciiTheme="minorBidi" w:hAnsiTheme="minorBidi" w:cstheme="minorBidi"/>
          <w:sz w:val="20"/>
          <w:szCs w:val="20"/>
        </w:rPr>
        <w:br w:type="page"/>
      </w:r>
      <w:r w:rsidRPr="0049356E">
        <w:rPr>
          <w:rFonts w:asciiTheme="minorBidi" w:hAnsiTheme="minorBidi" w:cstheme="minorBidi"/>
          <w:b/>
          <w:bCs/>
          <w:sz w:val="20"/>
          <w:szCs w:val="20"/>
        </w:rPr>
        <w:lastRenderedPageBreak/>
        <w:t>Figure 3: Forest plot comparison shows the pooled comparison effect of intravenous iron therapy versus placebo/standard of care groups on the proportion of the transfused patients as a subgroup analysis for intravenous iron injection timing (random effects model).</w:t>
      </w:r>
    </w:p>
    <w:p w14:paraId="02EE5A33" w14:textId="77777777" w:rsidR="0049356E" w:rsidRDefault="0049356E" w:rsidP="0049356E">
      <w:pPr>
        <w:rPr>
          <w:rFonts w:asciiTheme="minorBidi" w:hAnsiTheme="minorBidi" w:cstheme="minorBidi"/>
          <w:sz w:val="20"/>
          <w:szCs w:val="20"/>
        </w:rPr>
      </w:pPr>
    </w:p>
    <w:p w14:paraId="0D06F746" w14:textId="77777777" w:rsidR="0049356E" w:rsidRPr="00843D95" w:rsidRDefault="0049356E" w:rsidP="0049356E">
      <w:pPr>
        <w:rPr>
          <w:rFonts w:asciiTheme="minorBidi" w:hAnsiTheme="minorBidi" w:cstheme="minorBidi"/>
          <w:sz w:val="20"/>
          <w:szCs w:val="20"/>
        </w:rPr>
      </w:pPr>
      <w:r>
        <w:rPr>
          <w:rFonts w:asciiTheme="minorBidi" w:hAnsiTheme="minorBidi" w:cstheme="minorBidi"/>
          <w:noProof/>
          <w:sz w:val="20"/>
          <w:szCs w:val="20"/>
          <w:lang w:val="en-US"/>
        </w:rPr>
        <w:drawing>
          <wp:inline distT="0" distB="0" distL="0" distR="0" wp14:anchorId="2F51C586" wp14:editId="6F13637E">
            <wp:extent cx="8079193" cy="34897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ron injection timing .emf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79193" cy="348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8FA5E" w14:textId="77777777" w:rsidR="0049356E" w:rsidRPr="00843D95" w:rsidRDefault="0049356E" w:rsidP="0049356E">
      <w:pPr>
        <w:rPr>
          <w:rFonts w:asciiTheme="minorBidi" w:hAnsiTheme="minorBidi" w:cstheme="minorBidi"/>
          <w:sz w:val="20"/>
          <w:szCs w:val="20"/>
        </w:rPr>
      </w:pPr>
    </w:p>
    <w:p w14:paraId="0DB9D2FD" w14:textId="77777777" w:rsidR="0049356E" w:rsidRPr="00843D95" w:rsidRDefault="0049356E" w:rsidP="0049356E">
      <w:pPr>
        <w:rPr>
          <w:rFonts w:asciiTheme="minorBidi" w:hAnsiTheme="minorBidi" w:cstheme="minorBidi"/>
          <w:sz w:val="20"/>
          <w:szCs w:val="20"/>
        </w:rPr>
      </w:pPr>
    </w:p>
    <w:p w14:paraId="2CDFFF37" w14:textId="77777777" w:rsidR="0049356E" w:rsidRPr="00843D95" w:rsidRDefault="0049356E" w:rsidP="0049356E">
      <w:pPr>
        <w:rPr>
          <w:rFonts w:asciiTheme="minorBidi" w:hAnsiTheme="minorBidi" w:cstheme="minorBidi"/>
          <w:sz w:val="20"/>
          <w:szCs w:val="20"/>
        </w:rPr>
      </w:pPr>
    </w:p>
    <w:p w14:paraId="284EA983" w14:textId="77777777" w:rsidR="0049356E" w:rsidRPr="00843D95" w:rsidRDefault="0049356E" w:rsidP="0049356E">
      <w:pPr>
        <w:rPr>
          <w:rFonts w:asciiTheme="minorBidi" w:hAnsiTheme="minorBidi" w:cstheme="minorBidi"/>
          <w:sz w:val="20"/>
          <w:szCs w:val="20"/>
        </w:rPr>
      </w:pPr>
    </w:p>
    <w:p w14:paraId="6CC9D9D5" w14:textId="77777777" w:rsidR="0049356E" w:rsidRPr="00843D95" w:rsidRDefault="0049356E" w:rsidP="0049356E">
      <w:pPr>
        <w:rPr>
          <w:rFonts w:asciiTheme="minorBidi" w:hAnsiTheme="minorBidi" w:cstheme="minorBidi"/>
          <w:sz w:val="20"/>
          <w:szCs w:val="20"/>
        </w:rPr>
      </w:pPr>
    </w:p>
    <w:p w14:paraId="16B6B904" w14:textId="77777777" w:rsidR="0049356E" w:rsidRPr="00843D95" w:rsidRDefault="0049356E" w:rsidP="0049356E">
      <w:pPr>
        <w:rPr>
          <w:rFonts w:asciiTheme="minorBidi" w:hAnsiTheme="minorBidi" w:cstheme="minorBidi"/>
          <w:sz w:val="20"/>
          <w:szCs w:val="20"/>
        </w:rPr>
      </w:pPr>
    </w:p>
    <w:p w14:paraId="7AE49302" w14:textId="77777777" w:rsidR="0049356E" w:rsidRPr="00843D95" w:rsidRDefault="0049356E" w:rsidP="0049356E">
      <w:pPr>
        <w:rPr>
          <w:rFonts w:asciiTheme="minorBidi" w:hAnsiTheme="minorBidi" w:cstheme="minorBidi"/>
          <w:sz w:val="20"/>
          <w:szCs w:val="20"/>
        </w:rPr>
      </w:pPr>
    </w:p>
    <w:p w14:paraId="2DE8BBA6" w14:textId="77777777" w:rsidR="0049356E" w:rsidRPr="005F072D" w:rsidRDefault="0049356E" w:rsidP="0049356E"/>
    <w:p w14:paraId="547395F6" w14:textId="77777777" w:rsidR="0049356E" w:rsidRDefault="0049356E" w:rsidP="0049356E"/>
    <w:p w14:paraId="6207D12F" w14:textId="75B8A507" w:rsidR="00C054B5" w:rsidRPr="007C2387" w:rsidRDefault="00C054B5" w:rsidP="00C054B5">
      <w:pPr>
        <w:pStyle w:val="MyDoubleSpaceParagraph"/>
        <w:ind w:firstLine="0"/>
        <w:jc w:val="center"/>
        <w:rPr>
          <w:rFonts w:asciiTheme="majorBidi" w:eastAsia="Times New Roman" w:hAnsiTheme="majorBidi" w:cstheme="majorBidi"/>
          <w:b/>
          <w:color w:val="000000"/>
          <w:shd w:val="clear" w:color="auto" w:fill="FFFFFF"/>
          <w:lang w:val="en-CA"/>
        </w:rPr>
      </w:pPr>
      <w:r w:rsidRPr="00F102A8">
        <w:rPr>
          <w:rFonts w:asciiTheme="majorBidi" w:eastAsia="Times New Roman" w:hAnsiTheme="majorBidi" w:cstheme="majorBidi"/>
          <w:b/>
          <w:color w:val="000000"/>
          <w:highlight w:val="yellow"/>
          <w:shd w:val="clear" w:color="auto" w:fill="FFFFFF"/>
          <w:lang w:val="en-CA"/>
        </w:rPr>
        <w:lastRenderedPageBreak/>
        <w:t>Additional File 2-C: Forest-plots for H</w:t>
      </w:r>
      <w:r w:rsidR="00A5120B">
        <w:rPr>
          <w:rFonts w:asciiTheme="majorBidi" w:eastAsia="Times New Roman" w:hAnsiTheme="majorBidi" w:cstheme="majorBidi"/>
          <w:b/>
          <w:color w:val="000000"/>
          <w:highlight w:val="yellow"/>
          <w:shd w:val="clear" w:color="auto" w:fill="FFFFFF"/>
          <w:lang w:val="en-CA"/>
        </w:rPr>
        <w:t>emoglobin</w:t>
      </w:r>
      <w:r w:rsidRPr="00F102A8">
        <w:rPr>
          <w:rFonts w:asciiTheme="majorBidi" w:eastAsia="Times New Roman" w:hAnsiTheme="majorBidi" w:cstheme="majorBidi"/>
          <w:b/>
          <w:color w:val="000000"/>
          <w:highlight w:val="yellow"/>
          <w:shd w:val="clear" w:color="auto" w:fill="FFFFFF"/>
          <w:lang w:val="en-CA"/>
        </w:rPr>
        <w:t xml:space="preserve"> </w:t>
      </w:r>
      <w:r w:rsidR="00A5120B">
        <w:rPr>
          <w:rFonts w:asciiTheme="majorBidi" w:eastAsia="Times New Roman" w:hAnsiTheme="majorBidi" w:cstheme="majorBidi"/>
          <w:b/>
          <w:color w:val="000000"/>
          <w:highlight w:val="yellow"/>
          <w:shd w:val="clear" w:color="auto" w:fill="FFFFFF"/>
          <w:lang w:val="en-CA"/>
        </w:rPr>
        <w:t>V</w:t>
      </w:r>
      <w:r w:rsidRPr="00F102A8">
        <w:rPr>
          <w:rFonts w:asciiTheme="majorBidi" w:eastAsia="Times New Roman" w:hAnsiTheme="majorBidi" w:cstheme="majorBidi"/>
          <w:b/>
          <w:color w:val="000000"/>
          <w:highlight w:val="yellow"/>
          <w:shd w:val="clear" w:color="auto" w:fill="FFFFFF"/>
          <w:lang w:val="en-CA"/>
        </w:rPr>
        <w:t xml:space="preserve">alues at </w:t>
      </w:r>
      <w:r w:rsidR="00A5120B">
        <w:rPr>
          <w:rFonts w:asciiTheme="majorBidi" w:eastAsia="Times New Roman" w:hAnsiTheme="majorBidi" w:cstheme="majorBidi"/>
          <w:b/>
          <w:color w:val="000000"/>
          <w:highlight w:val="yellow"/>
          <w:shd w:val="clear" w:color="auto" w:fill="FFFFFF"/>
          <w:lang w:val="en-CA"/>
        </w:rPr>
        <w:t>D</w:t>
      </w:r>
      <w:r w:rsidRPr="00F102A8">
        <w:rPr>
          <w:rFonts w:asciiTheme="majorBidi" w:eastAsia="Times New Roman" w:hAnsiTheme="majorBidi" w:cstheme="majorBidi"/>
          <w:b/>
          <w:color w:val="000000"/>
          <w:highlight w:val="yellow"/>
          <w:shd w:val="clear" w:color="auto" w:fill="FFFFFF"/>
          <w:lang w:val="en-CA"/>
        </w:rPr>
        <w:t xml:space="preserve">ifferent </w:t>
      </w:r>
      <w:r w:rsidR="00A5120B">
        <w:rPr>
          <w:rFonts w:asciiTheme="majorBidi" w:eastAsia="Times New Roman" w:hAnsiTheme="majorBidi" w:cstheme="majorBidi"/>
          <w:b/>
          <w:color w:val="000000"/>
          <w:highlight w:val="yellow"/>
          <w:shd w:val="clear" w:color="auto" w:fill="FFFFFF"/>
          <w:lang w:val="en-CA"/>
        </w:rPr>
        <w:t>T</w:t>
      </w:r>
      <w:r w:rsidRPr="00F102A8">
        <w:rPr>
          <w:rFonts w:asciiTheme="majorBidi" w:eastAsia="Times New Roman" w:hAnsiTheme="majorBidi" w:cstheme="majorBidi"/>
          <w:b/>
          <w:color w:val="000000"/>
          <w:highlight w:val="yellow"/>
          <w:shd w:val="clear" w:color="auto" w:fill="FFFFFF"/>
          <w:lang w:val="en-CA"/>
        </w:rPr>
        <w:t xml:space="preserve">ime </w:t>
      </w:r>
      <w:r w:rsidR="00A5120B">
        <w:rPr>
          <w:rFonts w:asciiTheme="majorBidi" w:eastAsia="Times New Roman" w:hAnsiTheme="majorBidi" w:cstheme="majorBidi"/>
          <w:b/>
          <w:color w:val="000000"/>
          <w:highlight w:val="yellow"/>
          <w:shd w:val="clear" w:color="auto" w:fill="FFFFFF"/>
          <w:lang w:val="en-CA"/>
        </w:rPr>
        <w:t>P</w:t>
      </w:r>
      <w:r w:rsidRPr="00F102A8">
        <w:rPr>
          <w:rFonts w:asciiTheme="majorBidi" w:eastAsia="Times New Roman" w:hAnsiTheme="majorBidi" w:cstheme="majorBidi"/>
          <w:b/>
          <w:color w:val="000000"/>
          <w:highlight w:val="yellow"/>
          <w:shd w:val="clear" w:color="auto" w:fill="FFFFFF"/>
          <w:lang w:val="en-CA"/>
        </w:rPr>
        <w:t>oints</w:t>
      </w:r>
    </w:p>
    <w:p w14:paraId="60F0D6EF" w14:textId="77777777" w:rsidR="00C054B5" w:rsidRPr="00C054B5" w:rsidRDefault="00C054B5" w:rsidP="00C054B5">
      <w:pPr>
        <w:rPr>
          <w:rFonts w:asciiTheme="majorBidi" w:hAnsiTheme="majorBidi" w:cstheme="majorBidi"/>
          <w:b/>
          <w:bCs/>
          <w:sz w:val="20"/>
          <w:szCs w:val="20"/>
        </w:rPr>
      </w:pPr>
      <w:r w:rsidRPr="00C054B5">
        <w:rPr>
          <w:rFonts w:asciiTheme="majorBidi" w:hAnsiTheme="majorBidi" w:cstheme="majorBidi"/>
          <w:b/>
          <w:bCs/>
          <w:sz w:val="20"/>
          <w:szCs w:val="20"/>
        </w:rPr>
        <w:t xml:space="preserve">Figure 1: Forest plot comparison shows the pooled comparison of baseline value of hemoglobin level (g/L) between intravenous iron therapy versus placebo/standard of care groups (random effects model). </w:t>
      </w:r>
    </w:p>
    <w:p w14:paraId="12726705" w14:textId="77777777" w:rsidR="00C054B5" w:rsidRPr="00C054B5" w:rsidRDefault="00C054B5" w:rsidP="00C054B5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49E6D646" w14:textId="77777777" w:rsidR="00C054B5" w:rsidRPr="007C2387" w:rsidRDefault="00C054B5" w:rsidP="00C054B5">
      <w:pPr>
        <w:rPr>
          <w:rFonts w:asciiTheme="majorBidi" w:hAnsiTheme="majorBidi" w:cstheme="majorBidi"/>
          <w:sz w:val="20"/>
          <w:szCs w:val="20"/>
        </w:rPr>
      </w:pPr>
      <w:r w:rsidRPr="007C2387">
        <w:rPr>
          <w:rFonts w:asciiTheme="majorBidi" w:hAnsiTheme="majorBidi" w:cstheme="majorBidi"/>
          <w:noProof/>
          <w:sz w:val="20"/>
          <w:szCs w:val="20"/>
          <w:lang w:val="en-US"/>
        </w:rPr>
        <w:drawing>
          <wp:inline distT="0" distB="0" distL="0" distR="0" wp14:anchorId="2BF89A01" wp14:editId="7B38E6F6">
            <wp:extent cx="8382086" cy="23400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baseline value of hemoglobin .emf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82086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722C2" w14:textId="77777777" w:rsidR="00C054B5" w:rsidRPr="007C2387" w:rsidRDefault="00C054B5" w:rsidP="00C054B5">
      <w:pPr>
        <w:rPr>
          <w:rFonts w:asciiTheme="majorBidi" w:hAnsiTheme="majorBidi" w:cstheme="majorBidi"/>
          <w:sz w:val="20"/>
          <w:szCs w:val="20"/>
        </w:rPr>
      </w:pPr>
      <w:bookmarkStart w:id="0" w:name="_Toc509002235"/>
      <w:bookmarkStart w:id="1" w:name="_Toc509062824"/>
    </w:p>
    <w:p w14:paraId="07BD3277" w14:textId="77777777" w:rsidR="00C054B5" w:rsidRPr="007C2387" w:rsidRDefault="00C054B5" w:rsidP="00C054B5">
      <w:pPr>
        <w:rPr>
          <w:rFonts w:asciiTheme="majorBidi" w:hAnsiTheme="majorBidi" w:cstheme="majorBidi"/>
          <w:sz w:val="20"/>
          <w:szCs w:val="20"/>
        </w:rPr>
      </w:pPr>
    </w:p>
    <w:p w14:paraId="1C10227F" w14:textId="77777777" w:rsidR="00C054B5" w:rsidRDefault="00C054B5" w:rsidP="00C054B5">
      <w:pPr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0045A560" w14:textId="0FA084B7" w:rsidR="00C054B5" w:rsidRPr="00C054B5" w:rsidRDefault="00C054B5" w:rsidP="00C054B5">
      <w:pPr>
        <w:rPr>
          <w:rFonts w:asciiTheme="majorBidi" w:hAnsiTheme="majorBidi" w:cstheme="majorBidi"/>
          <w:b/>
          <w:bCs/>
          <w:sz w:val="20"/>
          <w:szCs w:val="20"/>
        </w:rPr>
      </w:pPr>
      <w:r w:rsidRPr="00C054B5">
        <w:rPr>
          <w:rFonts w:asciiTheme="majorBidi" w:hAnsiTheme="majorBidi" w:cstheme="majorBidi"/>
          <w:b/>
          <w:bCs/>
          <w:sz w:val="20"/>
          <w:szCs w:val="20"/>
        </w:rPr>
        <w:lastRenderedPageBreak/>
        <w:t>Figure 2: Forest plot comparison shows the pooled comparison effect of intravenous iron therapy versus placebo/standard of care groups on the change of hemoglobin level (g/L) at postoperative day # 1 (random effects model).</w:t>
      </w:r>
      <w:bookmarkEnd w:id="0"/>
      <w:bookmarkEnd w:id="1"/>
    </w:p>
    <w:p w14:paraId="0AE5F273" w14:textId="77777777" w:rsidR="00C054B5" w:rsidRPr="00C054B5" w:rsidRDefault="00C054B5" w:rsidP="00C054B5">
      <w:pPr>
        <w:rPr>
          <w:rFonts w:asciiTheme="majorBidi" w:hAnsiTheme="majorBidi" w:cstheme="majorBidi"/>
          <w:b/>
          <w:bCs/>
          <w:sz w:val="20"/>
          <w:szCs w:val="20"/>
        </w:rPr>
      </w:pPr>
    </w:p>
    <w:p w14:paraId="3292DD74" w14:textId="32081696" w:rsidR="00C054B5" w:rsidRPr="007C2387" w:rsidRDefault="00C054B5" w:rsidP="00C054B5">
      <w:pPr>
        <w:rPr>
          <w:rFonts w:asciiTheme="majorBidi" w:hAnsiTheme="majorBidi" w:cstheme="majorBidi"/>
          <w:sz w:val="20"/>
          <w:szCs w:val="20"/>
        </w:rPr>
      </w:pPr>
      <w:r w:rsidRPr="007C2387">
        <w:rPr>
          <w:rFonts w:asciiTheme="majorBidi" w:hAnsiTheme="majorBidi" w:cstheme="majorBidi"/>
          <w:noProof/>
          <w:sz w:val="20"/>
          <w:szCs w:val="20"/>
          <w:lang w:val="en-US"/>
        </w:rPr>
        <w:drawing>
          <wp:inline distT="0" distB="0" distL="0" distR="0" wp14:anchorId="510159F6" wp14:editId="3BE5101A">
            <wp:extent cx="8400659" cy="1620000"/>
            <wp:effectExtent l="0" t="0" r="0" b="571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L) at postoperative day # 1 .emf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400659" cy="1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66B6B" w14:textId="77777777" w:rsidR="00C054B5" w:rsidRPr="007C2387" w:rsidRDefault="00C054B5" w:rsidP="00C054B5">
      <w:pPr>
        <w:rPr>
          <w:rFonts w:asciiTheme="majorBidi" w:hAnsiTheme="majorBidi" w:cstheme="majorBidi"/>
          <w:sz w:val="20"/>
          <w:szCs w:val="20"/>
        </w:rPr>
      </w:pPr>
      <w:bookmarkStart w:id="2" w:name="_Toc482778830"/>
      <w:bookmarkStart w:id="3" w:name="_Toc501903465"/>
      <w:bookmarkStart w:id="4" w:name="_Toc509002236"/>
      <w:bookmarkStart w:id="5" w:name="_Toc509062825"/>
    </w:p>
    <w:p w14:paraId="7393D2FA" w14:textId="77777777" w:rsidR="00C054B5" w:rsidRPr="007C2387" w:rsidRDefault="00C054B5" w:rsidP="00C054B5">
      <w:pPr>
        <w:rPr>
          <w:rFonts w:asciiTheme="majorBidi" w:hAnsiTheme="majorBidi" w:cstheme="majorBidi"/>
          <w:sz w:val="20"/>
          <w:szCs w:val="20"/>
        </w:rPr>
      </w:pPr>
    </w:p>
    <w:p w14:paraId="0911C6F2" w14:textId="77777777" w:rsidR="00C054B5" w:rsidRPr="007C2387" w:rsidRDefault="00C054B5" w:rsidP="00C054B5">
      <w:pPr>
        <w:rPr>
          <w:rFonts w:asciiTheme="majorBidi" w:hAnsiTheme="majorBidi" w:cstheme="majorBidi"/>
          <w:sz w:val="20"/>
          <w:szCs w:val="20"/>
        </w:rPr>
      </w:pPr>
    </w:p>
    <w:p w14:paraId="0A09EACA" w14:textId="77777777" w:rsidR="00C054B5" w:rsidRPr="007C2387" w:rsidRDefault="00C054B5" w:rsidP="00C054B5">
      <w:pPr>
        <w:rPr>
          <w:rFonts w:asciiTheme="majorBidi" w:hAnsiTheme="majorBidi" w:cstheme="majorBidi"/>
          <w:sz w:val="20"/>
          <w:szCs w:val="20"/>
        </w:rPr>
      </w:pPr>
    </w:p>
    <w:p w14:paraId="3980F5B0" w14:textId="77777777" w:rsidR="00C054B5" w:rsidRPr="00C054B5" w:rsidRDefault="00C054B5" w:rsidP="00C054B5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  <w:r w:rsidRPr="00C054B5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Figure 3: Forest plot comparison shows the pooled comparison effect of intravenous iron therapy versus placebo/standard of care groups on the change of hemoglobin level (g/L) at the hospital discharge (random effects model).</w:t>
      </w:r>
      <w:bookmarkEnd w:id="2"/>
      <w:bookmarkEnd w:id="3"/>
      <w:bookmarkEnd w:id="4"/>
      <w:bookmarkEnd w:id="5"/>
    </w:p>
    <w:p w14:paraId="235E4485" w14:textId="77777777" w:rsidR="00C054B5" w:rsidRPr="00C054B5" w:rsidRDefault="00C054B5" w:rsidP="00C054B5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</w:p>
    <w:p w14:paraId="72776526" w14:textId="77777777" w:rsidR="00C054B5" w:rsidRPr="007C2387" w:rsidRDefault="00C054B5" w:rsidP="00C054B5">
      <w:pPr>
        <w:rPr>
          <w:rFonts w:asciiTheme="majorBidi" w:hAnsiTheme="majorBidi" w:cstheme="majorBidi"/>
          <w:sz w:val="20"/>
          <w:szCs w:val="20"/>
        </w:rPr>
      </w:pPr>
      <w:r w:rsidRPr="007C2387">
        <w:rPr>
          <w:rFonts w:asciiTheme="majorBidi" w:hAnsiTheme="majorBidi" w:cstheme="majorBidi"/>
          <w:noProof/>
          <w:sz w:val="20"/>
          <w:szCs w:val="20"/>
          <w:lang w:val="en-US"/>
        </w:rPr>
        <w:drawing>
          <wp:inline distT="0" distB="0" distL="0" distR="0" wp14:anchorId="5DA79833" wp14:editId="0186C5CE">
            <wp:extent cx="8591047" cy="18720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L) at the hospital discharge .emf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591047" cy="18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063E7" w14:textId="77777777" w:rsidR="00C054B5" w:rsidRPr="007C2387" w:rsidRDefault="00C054B5" w:rsidP="00C054B5">
      <w:pPr>
        <w:rPr>
          <w:rFonts w:asciiTheme="majorBidi" w:hAnsiTheme="majorBidi" w:cstheme="majorBidi"/>
          <w:sz w:val="20"/>
          <w:szCs w:val="20"/>
        </w:rPr>
      </w:pPr>
    </w:p>
    <w:p w14:paraId="17B593ED" w14:textId="77777777" w:rsidR="00C054B5" w:rsidRPr="007C2387" w:rsidRDefault="00C054B5" w:rsidP="00C054B5">
      <w:pPr>
        <w:rPr>
          <w:rFonts w:asciiTheme="majorBidi" w:hAnsiTheme="majorBidi" w:cstheme="majorBidi"/>
          <w:sz w:val="20"/>
          <w:szCs w:val="20"/>
        </w:rPr>
      </w:pPr>
    </w:p>
    <w:p w14:paraId="714CE338" w14:textId="77777777" w:rsidR="0049356E" w:rsidRPr="005F072D" w:rsidRDefault="0049356E" w:rsidP="0049356E">
      <w:pPr>
        <w:ind w:firstLine="720"/>
      </w:pPr>
    </w:p>
    <w:p w14:paraId="56EBADDA" w14:textId="42198F79" w:rsidR="003365C8" w:rsidRPr="00C250F1" w:rsidRDefault="003365C8" w:rsidP="003365C8">
      <w:pPr>
        <w:pStyle w:val="MyDoubleSpaceParagraph"/>
        <w:ind w:firstLine="0"/>
        <w:jc w:val="center"/>
        <w:rPr>
          <w:rFonts w:asciiTheme="majorBidi" w:eastAsia="Times New Roman" w:hAnsiTheme="majorBidi" w:cstheme="majorBidi"/>
          <w:b/>
          <w:color w:val="000000"/>
          <w:shd w:val="clear" w:color="auto" w:fill="FFFFFF"/>
          <w:lang w:val="en-CA"/>
        </w:rPr>
      </w:pPr>
      <w:r w:rsidRPr="00F102A8">
        <w:rPr>
          <w:rFonts w:asciiTheme="majorBidi" w:eastAsia="Times New Roman" w:hAnsiTheme="majorBidi" w:cstheme="majorBidi"/>
          <w:b/>
          <w:color w:val="000000"/>
          <w:highlight w:val="yellow"/>
          <w:shd w:val="clear" w:color="auto" w:fill="FFFFFF"/>
          <w:lang w:val="en-CA"/>
        </w:rPr>
        <w:lastRenderedPageBreak/>
        <w:t xml:space="preserve">Additional File 2-D: Forest-plots for </w:t>
      </w:r>
      <w:r w:rsidR="00FB35CD" w:rsidRPr="00F102A8">
        <w:rPr>
          <w:rFonts w:asciiTheme="majorBidi" w:eastAsia="Times New Roman" w:hAnsiTheme="majorBidi" w:cstheme="majorBidi"/>
          <w:b/>
          <w:color w:val="000000"/>
          <w:highlight w:val="yellow"/>
          <w:shd w:val="clear" w:color="auto" w:fill="FFFFFF"/>
          <w:lang w:val="en-CA"/>
        </w:rPr>
        <w:t xml:space="preserve">the </w:t>
      </w:r>
      <w:r w:rsidR="00A5120B">
        <w:rPr>
          <w:rFonts w:asciiTheme="majorBidi" w:eastAsia="Times New Roman" w:hAnsiTheme="majorBidi" w:cstheme="majorBidi"/>
          <w:b/>
          <w:color w:val="000000"/>
          <w:highlight w:val="yellow"/>
          <w:shd w:val="clear" w:color="auto" w:fill="FFFFFF"/>
          <w:lang w:val="en-CA"/>
        </w:rPr>
        <w:t>D</w:t>
      </w:r>
      <w:r w:rsidRPr="00F102A8">
        <w:rPr>
          <w:rFonts w:asciiTheme="majorBidi" w:eastAsia="Times New Roman" w:hAnsiTheme="majorBidi" w:cstheme="majorBidi"/>
          <w:b/>
          <w:color w:val="000000"/>
          <w:highlight w:val="yellow"/>
          <w:shd w:val="clear" w:color="auto" w:fill="FFFFFF"/>
          <w:lang w:val="en-CA"/>
        </w:rPr>
        <w:t xml:space="preserve">ifferent </w:t>
      </w:r>
      <w:r w:rsidR="00A5120B">
        <w:rPr>
          <w:rFonts w:asciiTheme="majorBidi" w:eastAsia="Times New Roman" w:hAnsiTheme="majorBidi" w:cstheme="majorBidi"/>
          <w:b/>
          <w:color w:val="000000"/>
          <w:highlight w:val="yellow"/>
          <w:shd w:val="clear" w:color="auto" w:fill="FFFFFF"/>
          <w:lang w:val="en-CA"/>
        </w:rPr>
        <w:t>I</w:t>
      </w:r>
      <w:r w:rsidRPr="00F102A8">
        <w:rPr>
          <w:rFonts w:asciiTheme="majorBidi" w:eastAsia="Times New Roman" w:hAnsiTheme="majorBidi" w:cstheme="majorBidi"/>
          <w:b/>
          <w:color w:val="000000"/>
          <w:highlight w:val="yellow"/>
          <w:shd w:val="clear" w:color="auto" w:fill="FFFFFF"/>
          <w:lang w:val="en-CA"/>
        </w:rPr>
        <w:t xml:space="preserve">ron-deficiency </w:t>
      </w:r>
      <w:r w:rsidR="00A5120B">
        <w:rPr>
          <w:rFonts w:asciiTheme="majorBidi" w:eastAsia="Times New Roman" w:hAnsiTheme="majorBidi" w:cstheme="majorBidi"/>
          <w:b/>
          <w:color w:val="000000"/>
          <w:highlight w:val="yellow"/>
          <w:shd w:val="clear" w:color="auto" w:fill="FFFFFF"/>
          <w:lang w:val="en-CA"/>
        </w:rPr>
        <w:t>A</w:t>
      </w:r>
      <w:r w:rsidRPr="00F102A8">
        <w:rPr>
          <w:rFonts w:asciiTheme="majorBidi" w:eastAsia="Times New Roman" w:hAnsiTheme="majorBidi" w:cstheme="majorBidi"/>
          <w:b/>
          <w:color w:val="000000"/>
          <w:highlight w:val="yellow"/>
          <w:shd w:val="clear" w:color="auto" w:fill="FFFFFF"/>
          <w:lang w:val="en-CA"/>
        </w:rPr>
        <w:t xml:space="preserve">nemia </w:t>
      </w:r>
      <w:r w:rsidR="00A5120B">
        <w:rPr>
          <w:rFonts w:asciiTheme="majorBidi" w:eastAsia="Times New Roman" w:hAnsiTheme="majorBidi" w:cstheme="majorBidi"/>
          <w:b/>
          <w:color w:val="000000"/>
          <w:highlight w:val="yellow"/>
          <w:shd w:val="clear" w:color="auto" w:fill="FFFFFF"/>
          <w:lang w:val="en-CA"/>
        </w:rPr>
        <w:t>B</w:t>
      </w:r>
      <w:r w:rsidRPr="00F102A8">
        <w:rPr>
          <w:rFonts w:asciiTheme="majorBidi" w:eastAsia="Times New Roman" w:hAnsiTheme="majorBidi" w:cstheme="majorBidi"/>
          <w:b/>
          <w:color w:val="000000"/>
          <w:highlight w:val="yellow"/>
          <w:shd w:val="clear" w:color="auto" w:fill="FFFFFF"/>
          <w:lang w:val="en-CA"/>
        </w:rPr>
        <w:t xml:space="preserve">lood </w:t>
      </w:r>
      <w:r w:rsidR="00A5120B">
        <w:rPr>
          <w:rFonts w:asciiTheme="majorBidi" w:eastAsia="Times New Roman" w:hAnsiTheme="majorBidi" w:cstheme="majorBidi"/>
          <w:b/>
          <w:color w:val="000000"/>
          <w:highlight w:val="yellow"/>
          <w:shd w:val="clear" w:color="auto" w:fill="FFFFFF"/>
          <w:lang w:val="en-CA"/>
        </w:rPr>
        <w:t>T</w:t>
      </w:r>
      <w:r w:rsidRPr="00F102A8">
        <w:rPr>
          <w:rFonts w:asciiTheme="majorBidi" w:eastAsia="Times New Roman" w:hAnsiTheme="majorBidi" w:cstheme="majorBidi"/>
          <w:b/>
          <w:color w:val="000000"/>
          <w:highlight w:val="yellow"/>
          <w:shd w:val="clear" w:color="auto" w:fill="FFFFFF"/>
          <w:lang w:val="en-CA"/>
        </w:rPr>
        <w:t>ests</w:t>
      </w:r>
    </w:p>
    <w:p w14:paraId="2A7970FE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</w:p>
    <w:p w14:paraId="0FF0903A" w14:textId="77777777" w:rsidR="003365C8" w:rsidRP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  <w:bookmarkStart w:id="6" w:name="_Toc501903471"/>
      <w:bookmarkStart w:id="7" w:name="_Toc509002241"/>
      <w:bookmarkStart w:id="8" w:name="_Toc509062830"/>
      <w:bookmarkStart w:id="9" w:name="_Toc482778837"/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 xml:space="preserve">Figure 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begin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instrText xml:space="preserve"> SEQ Figure \* ARABIC </w:instrTex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separate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1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end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: Forest plot comparison shows the pooled comparison of baseline value of ferritin levels (ng/mL) between intravenous iron therapy versus placebo/standard of care groups (random effects model).</w:t>
      </w:r>
      <w:bookmarkEnd w:id="6"/>
      <w:bookmarkEnd w:id="7"/>
      <w:bookmarkEnd w:id="8"/>
    </w:p>
    <w:p w14:paraId="1AD9AD48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</w:p>
    <w:p w14:paraId="2BD95D14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r w:rsidRPr="00C250F1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49D17EC0" wp14:editId="04F87660">
            <wp:extent cx="8229600" cy="17018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48B67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</w:p>
    <w:p w14:paraId="10F4BEAB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bookmarkStart w:id="10" w:name="_Toc482778840"/>
      <w:bookmarkStart w:id="11" w:name="_Toc501903472"/>
      <w:bookmarkStart w:id="12" w:name="_Toc509002242"/>
      <w:bookmarkStart w:id="13" w:name="_Toc509062831"/>
      <w:bookmarkEnd w:id="9"/>
    </w:p>
    <w:p w14:paraId="18436E34" w14:textId="77777777" w:rsidR="003365C8" w:rsidRP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 xml:space="preserve">Figure  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begin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instrText xml:space="preserve"> SEQ Figure \* ARABIC </w:instrTex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separate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2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end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: Forest plot comparison shows the pooled comparison effect of intravenous iron therapy versus placebo/standard of care groups on the ferritin levels (ng/mL) at the post-treatment (pre-surgery) time (random effects model).</w:t>
      </w:r>
      <w:bookmarkEnd w:id="10"/>
      <w:bookmarkEnd w:id="11"/>
      <w:bookmarkEnd w:id="12"/>
      <w:bookmarkEnd w:id="13"/>
    </w:p>
    <w:p w14:paraId="6DE790B0" w14:textId="77777777" w:rsidR="003365C8" w:rsidRP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</w:p>
    <w:p w14:paraId="67A69AEF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r w:rsidRPr="00C250F1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4AE2068F" wp14:editId="5C2272F1">
            <wp:extent cx="8229600" cy="1568450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56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2AB59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</w:p>
    <w:p w14:paraId="7EC45E14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bookmarkStart w:id="14" w:name="_Toc482778841"/>
      <w:bookmarkStart w:id="15" w:name="_Toc501903473"/>
      <w:bookmarkStart w:id="16" w:name="_Toc509002243"/>
      <w:bookmarkStart w:id="17" w:name="_Toc509062832"/>
    </w:p>
    <w:p w14:paraId="4E5A2312" w14:textId="77777777" w:rsidR="003365C8" w:rsidRP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lastRenderedPageBreak/>
        <w:t xml:space="preserve">Figure  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begin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instrText xml:space="preserve"> SEQ Figure \* ARABIC </w:instrTex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separate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3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end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: Forest plot comparison shows the pooled comparison effect of intravenous iron versus oral iron groups on the ferritin levels (ng/mL) at the post-treatment (pre-surgery) time (random effects model).</w:t>
      </w:r>
    </w:p>
    <w:p w14:paraId="7300427A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</w:p>
    <w:p w14:paraId="6C033376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r w:rsidRPr="00C250F1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30A05CF8" wp14:editId="131B72A2">
            <wp:extent cx="8297694" cy="1549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313391" cy="1552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A1A7F" w14:textId="77777777" w:rsidR="003365C8" w:rsidRPr="00C250F1" w:rsidRDefault="003365C8" w:rsidP="003365C8">
      <w:pPr>
        <w:rPr>
          <w:rFonts w:asciiTheme="majorBidi" w:hAnsiTheme="majorBidi" w:cstheme="majorBidi"/>
          <w:noProof/>
          <w:sz w:val="20"/>
          <w:szCs w:val="20"/>
        </w:rPr>
      </w:pPr>
    </w:p>
    <w:p w14:paraId="373751E1" w14:textId="77777777" w:rsidR="003365C8" w:rsidRP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 xml:space="preserve">Figure 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begin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instrText xml:space="preserve"> SEQ Figure \* ARABIC </w:instrTex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separate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4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end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: Forest plot comparison shows the pooled comparison effect of intravenous iron therapy versus placebo/standard of care groups on the ferritin levels (ng/mL) at the hospital discharge time (random effect model).</w:t>
      </w:r>
      <w:bookmarkEnd w:id="14"/>
      <w:bookmarkEnd w:id="15"/>
      <w:bookmarkEnd w:id="16"/>
      <w:bookmarkEnd w:id="17"/>
    </w:p>
    <w:p w14:paraId="604CF31D" w14:textId="77777777" w:rsidR="003365C8" w:rsidRP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</w:p>
    <w:p w14:paraId="0317793A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r w:rsidRPr="00C250F1">
        <w:rPr>
          <w:rFonts w:asciiTheme="majorBidi" w:hAnsiTheme="majorBidi" w:cstheme="majorBidi"/>
          <w:noProof/>
          <w:sz w:val="20"/>
          <w:szCs w:val="20"/>
          <w:lang w:val="en-US"/>
        </w:rPr>
        <w:drawing>
          <wp:inline distT="0" distB="0" distL="0" distR="0" wp14:anchorId="1F0970D8" wp14:editId="483AC697">
            <wp:extent cx="8229600" cy="140589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L) at the hospital discharge time .emf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40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8" w:name="_Toc482778843"/>
      <w:bookmarkStart w:id="19" w:name="_Toc501903475"/>
      <w:bookmarkStart w:id="20" w:name="_Toc509002244"/>
      <w:bookmarkStart w:id="21" w:name="_Toc509062833"/>
    </w:p>
    <w:p w14:paraId="369269CE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r w:rsidRPr="00C250F1">
        <w:rPr>
          <w:rFonts w:asciiTheme="majorBidi" w:hAnsiTheme="majorBidi" w:cstheme="majorBidi"/>
          <w:sz w:val="20"/>
          <w:szCs w:val="20"/>
        </w:rPr>
        <w:br w:type="page"/>
      </w:r>
    </w:p>
    <w:p w14:paraId="29F1E579" w14:textId="77777777" w:rsidR="003365C8" w:rsidRP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lastRenderedPageBreak/>
        <w:t xml:space="preserve">Figure 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begin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instrText xml:space="preserve"> SEQ Figure \* ARABIC </w:instrTex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separate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5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end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: Forest plot comparison shows the pooled comparison effect of intravenous iron therapy versus placebo/standard of care groups on the ferritin levels (ng/mL) as follow-up &gt; 4 weeks postoperatively (random effect model).</w:t>
      </w:r>
      <w:bookmarkEnd w:id="18"/>
      <w:bookmarkEnd w:id="19"/>
      <w:bookmarkEnd w:id="20"/>
      <w:bookmarkEnd w:id="21"/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 xml:space="preserve"> </w:t>
      </w:r>
      <w:bookmarkStart w:id="22" w:name="_Toc482778844"/>
      <w:bookmarkEnd w:id="22"/>
    </w:p>
    <w:p w14:paraId="3FFD1113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</w:p>
    <w:p w14:paraId="6A84CFA1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r w:rsidRPr="00C250F1">
        <w:rPr>
          <w:rFonts w:asciiTheme="majorBidi" w:hAnsiTheme="majorBidi" w:cstheme="majorBidi"/>
          <w:noProof/>
          <w:sz w:val="20"/>
          <w:szCs w:val="20"/>
          <w:lang w:val="en-US"/>
        </w:rPr>
        <w:drawing>
          <wp:inline distT="0" distB="0" distL="0" distR="0" wp14:anchorId="11E16A92" wp14:editId="0FC2231B">
            <wp:extent cx="8229600" cy="12712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L) as follow-up &gt; 4 weeks .emf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271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E4981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bookmarkStart w:id="23" w:name="_Toc482778845"/>
      <w:bookmarkStart w:id="24" w:name="_Toc501903476"/>
      <w:bookmarkStart w:id="25" w:name="_Toc509002245"/>
      <w:bookmarkStart w:id="26" w:name="_Toc509062834"/>
    </w:p>
    <w:p w14:paraId="18F69090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</w:p>
    <w:p w14:paraId="4614AEB7" w14:textId="77777777" w:rsidR="003365C8" w:rsidRP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 xml:space="preserve">Figure 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begin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instrText xml:space="preserve"> SEQ Figure \* ARABIC </w:instrTex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separate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6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end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: Forest plot comparison shows the pooled comparison of baseline value</w:t>
      </w:r>
      <w:r w:rsidRPr="003365C8" w:rsidDel="0093237F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 xml:space="preserve"> 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of the reticulocyte percentage (%) between intravenous iron therapy versus placebo/standard of care groups (random effects model).</w:t>
      </w:r>
    </w:p>
    <w:p w14:paraId="227F8A7C" w14:textId="77777777" w:rsidR="003365C8" w:rsidRP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</w:p>
    <w:p w14:paraId="11F06F05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r w:rsidRPr="00C250F1">
        <w:rPr>
          <w:rFonts w:asciiTheme="majorBidi" w:hAnsiTheme="majorBidi" w:cstheme="majorBidi"/>
          <w:noProof/>
          <w:sz w:val="20"/>
          <w:szCs w:val="20"/>
          <w:lang w:val="en-US"/>
        </w:rPr>
        <w:drawing>
          <wp:inline distT="0" distB="0" distL="0" distR="0" wp14:anchorId="25C981E6" wp14:editId="3E892C25">
            <wp:extent cx="8229600" cy="1317625"/>
            <wp:effectExtent l="0" t="0" r="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aseline value of the reticulocyte percentage  .emf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31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FE097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bookmarkStart w:id="27" w:name="_Toc482778850"/>
    </w:p>
    <w:p w14:paraId="5AB7EF86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bookmarkStart w:id="28" w:name="_Toc501903481"/>
      <w:bookmarkStart w:id="29" w:name="_Toc509002249"/>
      <w:bookmarkStart w:id="30" w:name="_Toc509062838"/>
    </w:p>
    <w:p w14:paraId="5D6CCC62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r w:rsidRPr="00C250F1">
        <w:rPr>
          <w:rFonts w:asciiTheme="majorBidi" w:hAnsiTheme="majorBidi" w:cstheme="majorBidi"/>
          <w:sz w:val="20"/>
          <w:szCs w:val="20"/>
        </w:rPr>
        <w:br w:type="page"/>
      </w:r>
    </w:p>
    <w:p w14:paraId="31E9AA3D" w14:textId="0336B4EC" w:rsid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lastRenderedPageBreak/>
        <w:t xml:space="preserve">Figure 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begin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instrText xml:space="preserve"> SEQ Figure \* ARABIC </w:instrTex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separate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7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end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: Forest plot comparison shows the effect of intravenous iron therapy versus placebo/standard of care groups on the reticulocyte percentage (%) at the post-treatment (pre-surgery) time.</w:t>
      </w:r>
      <w:bookmarkEnd w:id="27"/>
      <w:bookmarkEnd w:id="28"/>
      <w:bookmarkEnd w:id="29"/>
      <w:bookmarkEnd w:id="30"/>
    </w:p>
    <w:p w14:paraId="64C76CF7" w14:textId="77777777" w:rsidR="003365C8" w:rsidRP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</w:p>
    <w:p w14:paraId="6C34A972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r w:rsidRPr="00C250F1">
        <w:rPr>
          <w:rFonts w:asciiTheme="majorBidi" w:hAnsiTheme="majorBidi" w:cstheme="majorBidi"/>
          <w:noProof/>
          <w:sz w:val="20"/>
          <w:szCs w:val="20"/>
          <w:lang w:val="en-US"/>
        </w:rPr>
        <w:drawing>
          <wp:inline distT="0" distB="0" distL="0" distR="0" wp14:anchorId="2F6F6E3F" wp14:editId="60E52274">
            <wp:extent cx="8229600" cy="11811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the reticulocyte percentage at the post-treatment (pre-surgery) time.emf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55899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bookmarkStart w:id="31" w:name="_Toc482778851"/>
      <w:bookmarkStart w:id="32" w:name="_Toc501903482"/>
      <w:bookmarkStart w:id="33" w:name="_Toc509002250"/>
      <w:bookmarkStart w:id="34" w:name="_Toc509062839"/>
    </w:p>
    <w:p w14:paraId="5434CBDC" w14:textId="77777777" w:rsidR="003365C8" w:rsidRP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 xml:space="preserve">Figure 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begin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instrText xml:space="preserve"> SEQ Figure \* ARABIC </w:instrTex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separate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8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end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: Forest plot comparison shows the effect of intravenous iron therapy versus placebo/standard of care groups on the reticulocyte percentage (%) at the hospital discharge time.</w:t>
      </w:r>
      <w:bookmarkEnd w:id="31"/>
      <w:bookmarkEnd w:id="32"/>
      <w:bookmarkEnd w:id="33"/>
      <w:bookmarkEnd w:id="34"/>
    </w:p>
    <w:p w14:paraId="087D8E71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</w:p>
    <w:p w14:paraId="53CE3E85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r w:rsidRPr="00C250F1">
        <w:rPr>
          <w:rFonts w:asciiTheme="majorBidi" w:hAnsiTheme="majorBidi" w:cstheme="majorBidi"/>
          <w:noProof/>
          <w:sz w:val="20"/>
          <w:szCs w:val="20"/>
          <w:lang w:val="en-US"/>
        </w:rPr>
        <w:drawing>
          <wp:inline distT="0" distB="0" distL="0" distR="0" wp14:anchorId="5167A57D" wp14:editId="10449517">
            <wp:extent cx="8229600" cy="1189355"/>
            <wp:effectExtent l="0" t="0" r="0" b="444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reticulocyte percentage at the hospital discharge time.emf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18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15A5F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bookmarkStart w:id="35" w:name="_Toc482778852"/>
      <w:bookmarkStart w:id="36" w:name="_Toc501903483"/>
      <w:bookmarkStart w:id="37" w:name="_Toc509002251"/>
      <w:bookmarkStart w:id="38" w:name="_Toc509062840"/>
    </w:p>
    <w:p w14:paraId="2834B120" w14:textId="77777777" w:rsidR="003365C8" w:rsidRP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 xml:space="preserve">Figure 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begin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instrText xml:space="preserve"> SEQ Figure \* ARABIC </w:instrTex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separate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9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end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: Forest plot comparison shows the effect of intravenous iron therapy versus placebo/standard of care groups on the reticulocyte (%) percentage at a month from hospital discharge.</w:t>
      </w:r>
      <w:bookmarkEnd w:id="35"/>
      <w:bookmarkEnd w:id="36"/>
      <w:bookmarkEnd w:id="37"/>
      <w:bookmarkEnd w:id="38"/>
    </w:p>
    <w:p w14:paraId="087BDE76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</w:p>
    <w:p w14:paraId="1312136F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r w:rsidRPr="00C250F1">
        <w:rPr>
          <w:rFonts w:asciiTheme="majorBidi" w:hAnsiTheme="majorBidi" w:cstheme="majorBidi"/>
          <w:noProof/>
          <w:sz w:val="20"/>
          <w:szCs w:val="20"/>
          <w:lang w:val="en-US"/>
        </w:rPr>
        <w:drawing>
          <wp:inline distT="0" distB="0" distL="0" distR="0" wp14:anchorId="32183D51" wp14:editId="66F51B79">
            <wp:extent cx="8229600" cy="118237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reticulocyte percentage at a month from hospital discharge.emf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05680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r w:rsidRPr="00C250F1">
        <w:rPr>
          <w:rFonts w:asciiTheme="majorBidi" w:hAnsiTheme="majorBidi" w:cstheme="majorBidi"/>
          <w:sz w:val="20"/>
          <w:szCs w:val="20"/>
        </w:rPr>
        <w:br w:type="page"/>
      </w:r>
    </w:p>
    <w:p w14:paraId="518349C9" w14:textId="77777777" w:rsidR="003365C8" w:rsidRP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lastRenderedPageBreak/>
        <w:t xml:space="preserve">Figure 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begin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instrText xml:space="preserve"> SEQ Figure \* ARABIC </w:instrTex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separate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10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end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: Forest plot comparison shows the pooled comparison of baseline value</w:t>
      </w:r>
      <w:r w:rsidRPr="003365C8" w:rsidDel="0093237F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 xml:space="preserve"> 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of the mean corpuscular volume (MCV) level (fL) between intravenous iron versus placebo/standard of care groups (random effects model).</w:t>
      </w:r>
    </w:p>
    <w:p w14:paraId="34B28354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</w:p>
    <w:p w14:paraId="3F650927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r w:rsidRPr="00C250F1">
        <w:rPr>
          <w:rFonts w:asciiTheme="majorBidi" w:hAnsiTheme="majorBidi" w:cstheme="majorBidi"/>
          <w:noProof/>
          <w:sz w:val="20"/>
          <w:szCs w:val="20"/>
          <w:lang w:val="en-US"/>
        </w:rPr>
        <w:drawing>
          <wp:inline distT="0" distB="0" distL="0" distR="0" wp14:anchorId="642BE2FF" wp14:editId="02B03C03">
            <wp:extent cx="8229600" cy="1310005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baseline value of the mean corpuscular volume (MCV) .emf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31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9" w:name="_Toc501903488"/>
      <w:bookmarkStart w:id="40" w:name="_Toc482778857"/>
      <w:bookmarkStart w:id="41" w:name="_Toc509002257"/>
      <w:bookmarkStart w:id="42" w:name="_Toc509062846"/>
    </w:p>
    <w:p w14:paraId="221CFCA1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</w:p>
    <w:p w14:paraId="4D146FB3" w14:textId="77777777" w:rsidR="003365C8" w:rsidRP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 xml:space="preserve">Figure 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begin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instrText xml:space="preserve"> SEQ Figure \* ARABIC </w:instrTex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separate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11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end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: Forest plot comparison shows the pooled comparison effect of intravenous iron versus placebo/standard of care groups on the mean corpuscular volume (MCV) level (fL) at post-treatment (pre-surgery) time (random effects model).</w:t>
      </w:r>
      <w:bookmarkEnd w:id="39"/>
      <w:bookmarkEnd w:id="40"/>
      <w:bookmarkEnd w:id="41"/>
      <w:bookmarkEnd w:id="42"/>
    </w:p>
    <w:p w14:paraId="240DFD3F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</w:p>
    <w:p w14:paraId="47B91DD9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r w:rsidRPr="00C250F1">
        <w:rPr>
          <w:rFonts w:asciiTheme="majorBidi" w:hAnsiTheme="majorBidi" w:cstheme="majorBidi"/>
          <w:noProof/>
          <w:sz w:val="20"/>
          <w:szCs w:val="20"/>
          <w:lang w:val="en-US"/>
        </w:rPr>
        <w:drawing>
          <wp:inline distT="0" distB="0" distL="0" distR="0" wp14:anchorId="3DFAFDBB" wp14:editId="60E4C314">
            <wp:extent cx="8229600" cy="132524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mean corpuscular volume (MCV) level (fL) at post-treatment (pre-surgery) time .emf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32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ADE02" w14:textId="77777777" w:rsidR="003365C8" w:rsidRP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 xml:space="preserve">Figure  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begin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instrText xml:space="preserve"> SEQ Figure \* ARABIC </w:instrTex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separate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12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end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: Forest plot comparison shows the pooled comparison of baseline value</w:t>
      </w:r>
      <w:r w:rsidRPr="003365C8" w:rsidDel="0093237F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 xml:space="preserve"> 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of the hematocrit percentage (%) between intravenous iron therapy versus placebo/standard of care groups (random effects model).</w:t>
      </w:r>
    </w:p>
    <w:p w14:paraId="52E3B3D7" w14:textId="77777777" w:rsidR="003365C8" w:rsidRP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</w:p>
    <w:p w14:paraId="04771307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r w:rsidRPr="00C250F1">
        <w:rPr>
          <w:rFonts w:asciiTheme="majorBidi" w:hAnsiTheme="majorBidi" w:cstheme="majorBidi"/>
          <w:noProof/>
          <w:sz w:val="20"/>
          <w:szCs w:val="20"/>
          <w:lang w:val="en-US"/>
        </w:rPr>
        <w:drawing>
          <wp:inline distT="0" distB="0" distL="0" distR="0" wp14:anchorId="431CC66F" wp14:editId="41F566F1">
            <wp:extent cx="8229600" cy="131191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baseline value of the hematocrit percentage (%) .emf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31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1B7CD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</w:p>
    <w:p w14:paraId="13951F86" w14:textId="77777777" w:rsidR="003365C8" w:rsidRP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 xml:space="preserve">Figure 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begin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instrText xml:space="preserve"> SEQ Figure \* ARABIC </w:instrTex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separate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13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end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 xml:space="preserve">: Forest plot comparison shows the pooled comparison effect of intravenous iron therapy versus placebo/standard of care groups on the hematocrit value (%) at postoperative day # 1 (random effects model). </w:t>
      </w:r>
    </w:p>
    <w:p w14:paraId="5AE7084F" w14:textId="77777777" w:rsidR="003365C8" w:rsidRP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</w:p>
    <w:p w14:paraId="6C36941D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r w:rsidRPr="00C250F1">
        <w:rPr>
          <w:rFonts w:asciiTheme="majorBidi" w:hAnsiTheme="majorBidi" w:cstheme="majorBidi"/>
          <w:noProof/>
          <w:sz w:val="20"/>
          <w:szCs w:val="20"/>
          <w:lang w:val="en-US"/>
        </w:rPr>
        <w:drawing>
          <wp:inline distT="0" distB="0" distL="0" distR="0" wp14:anchorId="7E7B047D" wp14:editId="5068208D">
            <wp:extent cx="8229600" cy="131191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hematocrit value (%) at postoperative day # 1 .emf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31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3" w:name="_Toc482778836"/>
      <w:bookmarkStart w:id="44" w:name="_Toc501903470"/>
    </w:p>
    <w:p w14:paraId="04DD1F70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bookmarkStart w:id="45" w:name="_Toc509002240"/>
      <w:bookmarkStart w:id="46" w:name="_Toc509062829"/>
    </w:p>
    <w:p w14:paraId="320BCBC1" w14:textId="5889820F" w:rsid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 xml:space="preserve">Figure 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begin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instrText xml:space="preserve"> SEQ Figure \* ARABIC </w:instrTex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separate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14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end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: Forest plot comparison shows the pooled comparison effect of intravenous iron therapy versus placebo/standard of care groups on the hematocrit value (%) at the hospital discharge (random effect model).</w:t>
      </w:r>
      <w:bookmarkEnd w:id="43"/>
      <w:bookmarkEnd w:id="44"/>
      <w:bookmarkEnd w:id="45"/>
      <w:bookmarkEnd w:id="46"/>
    </w:p>
    <w:p w14:paraId="2E4F53AA" w14:textId="77777777" w:rsidR="003365C8" w:rsidRP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</w:p>
    <w:p w14:paraId="09946A35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r w:rsidRPr="00C250F1">
        <w:rPr>
          <w:rFonts w:asciiTheme="majorBidi" w:hAnsiTheme="majorBidi" w:cstheme="majorBidi"/>
          <w:noProof/>
          <w:sz w:val="20"/>
          <w:szCs w:val="20"/>
          <w:lang w:val="en-US"/>
        </w:rPr>
        <w:drawing>
          <wp:inline distT="0" distB="0" distL="0" distR="0" wp14:anchorId="45B5A5DA" wp14:editId="64A873DC">
            <wp:extent cx="8229600" cy="131191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hematocrit value (%) at the hospital discharge .emf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31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B247C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r w:rsidRPr="00C250F1">
        <w:rPr>
          <w:rFonts w:asciiTheme="majorBidi" w:hAnsiTheme="majorBidi" w:cstheme="majorBidi"/>
          <w:sz w:val="20"/>
          <w:szCs w:val="20"/>
        </w:rPr>
        <w:br w:type="page"/>
      </w:r>
    </w:p>
    <w:p w14:paraId="2F73697D" w14:textId="77777777" w:rsidR="003365C8" w:rsidRP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lastRenderedPageBreak/>
        <w:t xml:space="preserve">Figure 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begin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instrText xml:space="preserve"> SEQ Figure \* ARABIC </w:instrTex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separate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15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end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: Forest plot comparison shows the pooled comparison of baseline value of the transferrin saturation value (TSAT %)</w:t>
      </w:r>
      <w:r w:rsidRPr="003365C8" w:rsidDel="0093237F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 xml:space="preserve"> 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between intravenous iron therapy versus placebo/standard of care groups (random effect model).</w:t>
      </w:r>
      <w:bookmarkEnd w:id="23"/>
      <w:bookmarkEnd w:id="24"/>
      <w:bookmarkEnd w:id="25"/>
      <w:bookmarkEnd w:id="26"/>
    </w:p>
    <w:p w14:paraId="79A29BFA" w14:textId="77777777" w:rsidR="003365C8" w:rsidRP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</w:p>
    <w:p w14:paraId="6E46AF2B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r w:rsidRPr="00C250F1">
        <w:rPr>
          <w:rFonts w:asciiTheme="majorBidi" w:hAnsiTheme="majorBidi" w:cstheme="majorBidi"/>
          <w:noProof/>
          <w:sz w:val="20"/>
          <w:szCs w:val="20"/>
          <w:lang w:val="en-US"/>
        </w:rPr>
        <w:drawing>
          <wp:inline distT="0" distB="0" distL="0" distR="0" wp14:anchorId="2D71ACB1" wp14:editId="7CFAE01C">
            <wp:extent cx="8229600" cy="146113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aseline value of the transferrin saturation value (TSAT %) .emf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46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7" w:name="_Toc482778846"/>
      <w:bookmarkStart w:id="48" w:name="_Toc501903477"/>
      <w:bookmarkStart w:id="49" w:name="_Toc509002246"/>
      <w:bookmarkStart w:id="50" w:name="_Toc509062835"/>
    </w:p>
    <w:p w14:paraId="28BAED73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</w:p>
    <w:p w14:paraId="26340CC0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</w:p>
    <w:p w14:paraId="35D9EF87" w14:textId="77777777" w:rsidR="003365C8" w:rsidRP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 xml:space="preserve">Figure 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begin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instrText xml:space="preserve"> SEQ Figure \* ARABIC </w:instrTex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separate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16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end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: Forest plot comparison shows the pooled comparison effect of intravenous iron therapy versus placebo/standard of care groups on the transferrin saturation value (TSAT %) at the post-treatment (pre-surgery) time</w:t>
      </w:r>
      <w:r w:rsidRPr="003365C8" w:rsidDel="0050263A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 xml:space="preserve"> 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(random effects model).</w:t>
      </w:r>
      <w:bookmarkEnd w:id="47"/>
      <w:bookmarkEnd w:id="48"/>
      <w:bookmarkEnd w:id="49"/>
      <w:bookmarkEnd w:id="50"/>
    </w:p>
    <w:p w14:paraId="04C6D65A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</w:p>
    <w:p w14:paraId="5B19F909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r w:rsidRPr="00C250F1">
        <w:rPr>
          <w:rFonts w:asciiTheme="majorBidi" w:hAnsiTheme="majorBidi" w:cstheme="majorBidi"/>
          <w:noProof/>
          <w:sz w:val="20"/>
          <w:szCs w:val="20"/>
          <w:lang w:val="en-US"/>
        </w:rPr>
        <w:drawing>
          <wp:inline distT="0" distB="0" distL="0" distR="0" wp14:anchorId="3F747BE5" wp14:editId="72C1E56B">
            <wp:extent cx="8229600" cy="132524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ransferrin saturation value (TSAT %) at the post-treatment (pre-surgery) time .emf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32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3ACE8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bookmarkStart w:id="51" w:name="_Toc482778847"/>
      <w:bookmarkStart w:id="52" w:name="_Toc501903478"/>
      <w:bookmarkStart w:id="53" w:name="_Toc509002247"/>
      <w:bookmarkStart w:id="54" w:name="_Toc509062836"/>
    </w:p>
    <w:p w14:paraId="06BD0392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</w:p>
    <w:p w14:paraId="1C3EAFDD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</w:p>
    <w:p w14:paraId="2BED7120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</w:p>
    <w:p w14:paraId="4F19A92C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</w:p>
    <w:p w14:paraId="267BE0F1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</w:p>
    <w:p w14:paraId="79713CDD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</w:p>
    <w:p w14:paraId="0838D6C9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</w:p>
    <w:p w14:paraId="07949119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</w:p>
    <w:p w14:paraId="698F28C6" w14:textId="4DD075C9" w:rsidR="003365C8" w:rsidRP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lastRenderedPageBreak/>
        <w:t xml:space="preserve">Figure 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begin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instrText xml:space="preserve"> SEQ Figure \* ARABIC </w:instrTex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separate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17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end"/>
      </w:r>
      <w:r w:rsidR="00FB35CD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: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 xml:space="preserve"> Forest plot comparison shows the pooled comparison effect of intravenous iron therapy versus placebo/standard of care groups on the transferrin saturation value (TSAT %) at the hospital discharge time (random effects model).</w:t>
      </w:r>
      <w:bookmarkEnd w:id="51"/>
      <w:bookmarkEnd w:id="52"/>
      <w:bookmarkEnd w:id="53"/>
      <w:bookmarkEnd w:id="54"/>
    </w:p>
    <w:p w14:paraId="341C12B7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</w:p>
    <w:p w14:paraId="3406C7B4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bookmarkStart w:id="55" w:name="_Toc509002248"/>
      <w:bookmarkStart w:id="56" w:name="_Toc509062837"/>
      <w:r w:rsidRPr="00C250F1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138B22EC" wp14:editId="5BC784AF">
            <wp:extent cx="8229600" cy="11811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81A56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</w:p>
    <w:p w14:paraId="348715D5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bookmarkStart w:id="57" w:name="_Toc501903484"/>
      <w:bookmarkStart w:id="58" w:name="_Toc482778853"/>
      <w:bookmarkStart w:id="59" w:name="_Toc509002252"/>
      <w:bookmarkStart w:id="60" w:name="_Toc509062841"/>
      <w:bookmarkEnd w:id="55"/>
      <w:bookmarkEnd w:id="56"/>
    </w:p>
    <w:p w14:paraId="3D5D55E3" w14:textId="77777777" w:rsidR="003365C8" w:rsidRP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 xml:space="preserve">Figure 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begin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instrText xml:space="preserve"> SEQ Figure \* ARABIC </w:instrTex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separate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18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end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: Forest plot comparison shows the pooled comparison of baseline value</w:t>
      </w:r>
      <w:r w:rsidRPr="003365C8" w:rsidDel="0093237F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 xml:space="preserve"> 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of the mean corpuscular hemoglobin (MCH) level (pg/cell) between intravenous iron therapy versus placebo/standard of care groups (random effects model).</w:t>
      </w:r>
      <w:bookmarkEnd w:id="57"/>
      <w:bookmarkEnd w:id="58"/>
      <w:bookmarkEnd w:id="59"/>
      <w:bookmarkEnd w:id="60"/>
    </w:p>
    <w:p w14:paraId="40B4B736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</w:p>
    <w:p w14:paraId="6FE572F9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r w:rsidRPr="00C250F1">
        <w:rPr>
          <w:rFonts w:asciiTheme="majorBidi" w:hAnsiTheme="majorBidi" w:cstheme="majorBidi"/>
          <w:noProof/>
          <w:sz w:val="20"/>
          <w:szCs w:val="20"/>
          <w:lang w:val="en-US"/>
        </w:rPr>
        <w:drawing>
          <wp:inline distT="0" distB="0" distL="0" distR="0" wp14:anchorId="103A1C52" wp14:editId="205D3B1A">
            <wp:extent cx="8229600" cy="117411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baseline value of the mean corpuscular hemoglobin (MCH.emf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17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61" w:name="_Toc482778854"/>
      <w:bookmarkStart w:id="62" w:name="_Toc509002253"/>
      <w:bookmarkStart w:id="63" w:name="_Toc509062842"/>
    </w:p>
    <w:p w14:paraId="5078AAEC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</w:p>
    <w:p w14:paraId="4042124D" w14:textId="77777777" w:rsidR="003365C8" w:rsidRP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 xml:space="preserve">Figure 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begin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instrText xml:space="preserve"> SEQ Figure \* ARABIC </w:instrTex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separate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19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end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: Forest plot comparison shows the pooled comparison effect of intravenous iron therapy versus placebo/standard of care groups on the mean corpuscular Hb (MCH) level (pg/cell) at the post-treatment (pre-surgery) time (random effects model).</w:t>
      </w:r>
      <w:bookmarkEnd w:id="61"/>
      <w:bookmarkEnd w:id="62"/>
      <w:bookmarkEnd w:id="63"/>
    </w:p>
    <w:p w14:paraId="41C4E366" w14:textId="77777777" w:rsidR="003365C8" w:rsidRP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</w:p>
    <w:p w14:paraId="39548836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r w:rsidRPr="00C250F1">
        <w:rPr>
          <w:rFonts w:asciiTheme="majorBidi" w:hAnsiTheme="majorBidi" w:cstheme="majorBidi"/>
          <w:noProof/>
          <w:sz w:val="20"/>
          <w:szCs w:val="20"/>
          <w:lang w:val="en-US"/>
        </w:rPr>
        <w:drawing>
          <wp:inline distT="0" distB="0" distL="0" distR="0" wp14:anchorId="33B10899" wp14:editId="29A3993E">
            <wp:extent cx="8229600" cy="1317625"/>
            <wp:effectExtent l="0" t="0" r="0" b="317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cell) at the post-treatment (pre-surgery) time .emf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31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A5662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bookmarkStart w:id="64" w:name="_Toc501903485"/>
      <w:bookmarkStart w:id="65" w:name="_Toc509002254"/>
      <w:bookmarkStart w:id="66" w:name="_Toc509062843"/>
      <w:bookmarkStart w:id="67" w:name="_Toc482778855"/>
    </w:p>
    <w:p w14:paraId="70D0D47A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 xml:space="preserve">Figure 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begin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instrText xml:space="preserve"> SEQ Figure \* ARABIC </w:instrTex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separate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20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end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: Forest plot comparison shows the comparison of baseline value</w:t>
      </w:r>
      <w:r w:rsidRPr="003365C8" w:rsidDel="0093237F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 xml:space="preserve"> 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of the mean corpuscular hemoglobin concentration (MCHC) level (g/L) between intravenous iron therapy versus placebo/standard of care groups</w:t>
      </w:r>
      <w:r w:rsidRPr="00C250F1">
        <w:rPr>
          <w:rFonts w:asciiTheme="majorBidi" w:hAnsiTheme="majorBidi" w:cstheme="majorBidi"/>
          <w:sz w:val="20"/>
          <w:szCs w:val="20"/>
        </w:rPr>
        <w:t>.</w:t>
      </w:r>
      <w:bookmarkEnd w:id="64"/>
      <w:bookmarkEnd w:id="65"/>
      <w:bookmarkEnd w:id="66"/>
    </w:p>
    <w:p w14:paraId="1674354C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</w:p>
    <w:p w14:paraId="032D6A86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r w:rsidRPr="00C250F1">
        <w:rPr>
          <w:rFonts w:asciiTheme="majorBidi" w:hAnsiTheme="majorBidi" w:cstheme="majorBidi"/>
          <w:noProof/>
          <w:sz w:val="20"/>
          <w:szCs w:val="20"/>
          <w:lang w:val="en-US"/>
        </w:rPr>
        <w:drawing>
          <wp:inline distT="0" distB="0" distL="0" distR="0" wp14:anchorId="043ABA31" wp14:editId="5C059508">
            <wp:extent cx="8005864" cy="104394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1.5.9. Mean corpuscular hemoglobin concentration (MCHC) baseline.emf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021835" cy="1046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C35DB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bookmarkStart w:id="68" w:name="_Toc482778856"/>
      <w:bookmarkStart w:id="69" w:name="_Toc501903486"/>
      <w:bookmarkStart w:id="70" w:name="_Toc509002255"/>
      <w:bookmarkStart w:id="71" w:name="_Toc509062844"/>
      <w:bookmarkEnd w:id="67"/>
    </w:p>
    <w:p w14:paraId="6C8AB540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</w:p>
    <w:p w14:paraId="20584CE9" w14:textId="77777777" w:rsidR="003365C8" w:rsidRP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 xml:space="preserve">Figure 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begin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instrText xml:space="preserve"> SEQ Figure \* ARABIC </w:instrTex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separate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21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end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: Forest plot comparison shows the effect of intravenous iron therapy versus placebo/standard of care groups on the mean corpuscular hemoglobin concentration (MCHC) level (g/L) at the post-treatment (pre-surgery) time.</w:t>
      </w:r>
      <w:bookmarkStart w:id="72" w:name="_Toc501903487"/>
      <w:bookmarkStart w:id="73" w:name="_Toc509002256"/>
      <w:bookmarkStart w:id="74" w:name="_Toc509062845"/>
      <w:bookmarkEnd w:id="68"/>
      <w:bookmarkEnd w:id="69"/>
      <w:bookmarkEnd w:id="70"/>
      <w:bookmarkEnd w:id="71"/>
    </w:p>
    <w:p w14:paraId="768B4941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</w:p>
    <w:p w14:paraId="58862ECF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r w:rsidRPr="00C250F1">
        <w:rPr>
          <w:rFonts w:asciiTheme="majorBidi" w:hAnsiTheme="majorBidi" w:cstheme="majorBidi"/>
          <w:noProof/>
          <w:sz w:val="20"/>
          <w:szCs w:val="20"/>
          <w:lang w:val="en-US"/>
        </w:rPr>
        <w:drawing>
          <wp:inline distT="0" distB="0" distL="0" distR="0" wp14:anchorId="5D334CB0" wp14:editId="1411F4A6">
            <wp:extent cx="8229600" cy="1189355"/>
            <wp:effectExtent l="0" t="0" r="0" b="444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L) at the post-treatment (pre-surgery) time.emf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18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EA021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bookmarkStart w:id="75" w:name="_Toc501903489"/>
      <w:bookmarkStart w:id="76" w:name="_Toc482778858"/>
      <w:bookmarkStart w:id="77" w:name="_Toc509002258"/>
      <w:bookmarkStart w:id="78" w:name="_Toc509062847"/>
      <w:bookmarkEnd w:id="72"/>
      <w:bookmarkEnd w:id="73"/>
      <w:bookmarkEnd w:id="74"/>
    </w:p>
    <w:p w14:paraId="6211DF2A" w14:textId="77777777" w:rsidR="003365C8" w:rsidRP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 xml:space="preserve">Figure 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begin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instrText xml:space="preserve"> SEQ Figure \* ARABIC </w:instrTex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separate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22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end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: Forest plot comparison shows the pooled comparison of baseline value</w:t>
      </w:r>
      <w:r w:rsidRPr="003365C8" w:rsidDel="0093237F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 xml:space="preserve"> 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of serum iron level (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sym w:font="Symbol" w:char="F06D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mol/l) between intravenous iron therapy versus placebo/standard of care groups (random effects model).</w:t>
      </w:r>
      <w:bookmarkEnd w:id="75"/>
      <w:bookmarkEnd w:id="76"/>
      <w:bookmarkEnd w:id="77"/>
      <w:bookmarkEnd w:id="78"/>
    </w:p>
    <w:p w14:paraId="62AB2B8B" w14:textId="77777777" w:rsidR="003365C8" w:rsidRP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</w:p>
    <w:p w14:paraId="5BB252CE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r w:rsidRPr="00C250F1">
        <w:rPr>
          <w:rFonts w:asciiTheme="majorBidi" w:hAnsiTheme="majorBidi" w:cstheme="majorBidi"/>
          <w:noProof/>
          <w:sz w:val="20"/>
          <w:szCs w:val="20"/>
          <w:lang w:val="en-US"/>
        </w:rPr>
        <w:drawing>
          <wp:inline distT="0" distB="0" distL="0" distR="0" wp14:anchorId="0FE34FB0" wp14:editId="1E74BC13">
            <wp:extent cx="8229600" cy="131000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l) .emf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31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F8479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bookmarkStart w:id="79" w:name="_Toc482778859"/>
      <w:bookmarkStart w:id="80" w:name="_Toc501903490"/>
      <w:bookmarkStart w:id="81" w:name="_Toc509002259"/>
      <w:bookmarkStart w:id="82" w:name="_Toc509062848"/>
    </w:p>
    <w:p w14:paraId="4B29F56A" w14:textId="77777777" w:rsidR="003365C8" w:rsidRP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 xml:space="preserve">Figure 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begin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instrText xml:space="preserve"> SEQ Figure \* ARABIC </w:instrTex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separate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23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end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: Forest plot comparison shows the effect of intravenous iron therapy versus placebo/standard of care groups on the change of serum iron level (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sym w:font="Symbol" w:char="F06D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mol/l) at the post-treatment (pre-surgery) time.</w:t>
      </w:r>
      <w:bookmarkEnd w:id="79"/>
      <w:bookmarkEnd w:id="80"/>
      <w:bookmarkEnd w:id="81"/>
      <w:bookmarkEnd w:id="82"/>
    </w:p>
    <w:p w14:paraId="23B8CD15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r w:rsidRPr="00C250F1">
        <w:rPr>
          <w:rFonts w:asciiTheme="majorBidi" w:hAnsiTheme="majorBidi" w:cstheme="majorBidi"/>
          <w:sz w:val="20"/>
          <w:szCs w:val="20"/>
        </w:rPr>
        <w:t xml:space="preserve"> </w:t>
      </w:r>
      <w:r w:rsidRPr="00C250F1">
        <w:rPr>
          <w:rFonts w:asciiTheme="majorBidi" w:hAnsiTheme="majorBidi" w:cstheme="majorBidi"/>
          <w:noProof/>
          <w:sz w:val="20"/>
          <w:szCs w:val="20"/>
          <w:lang w:val="en-US"/>
        </w:rPr>
        <w:drawing>
          <wp:inline distT="0" distB="0" distL="0" distR="0" wp14:anchorId="7F5FF406" wp14:editId="1F218331">
            <wp:extent cx="8229600" cy="1189355"/>
            <wp:effectExtent l="0" t="0" r="0" b="444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L) at the post-treatment (pre-surgery) time.emf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18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075D9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  <w:bookmarkStart w:id="83" w:name="_Toc482778860"/>
      <w:bookmarkStart w:id="84" w:name="_Toc501903491"/>
      <w:bookmarkStart w:id="85" w:name="_Toc509002260"/>
      <w:bookmarkStart w:id="86" w:name="_Toc509062849"/>
    </w:p>
    <w:p w14:paraId="3DD5C9CB" w14:textId="77777777" w:rsidR="003365C8" w:rsidRPr="003365C8" w:rsidRDefault="003365C8" w:rsidP="003365C8">
      <w:pPr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</w:pP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 xml:space="preserve">Figure 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begin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instrText xml:space="preserve"> SEQ Figure \* ARABIC </w:instrTex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separate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24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fldChar w:fldCharType="end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: Forest plot comparison shows the effect of intravenous iron therapy versus placebo/standard of care groups on the change of serum iron (</w:t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sym w:font="Symbol" w:char="F06D"/>
      </w:r>
      <w:r w:rsidRPr="003365C8">
        <w:rPr>
          <w:rFonts w:asciiTheme="majorBidi" w:hAnsiTheme="majorBidi" w:cstheme="majorBidi"/>
          <w:b/>
          <w:bCs/>
          <w:noProof/>
          <w:sz w:val="20"/>
          <w:szCs w:val="20"/>
          <w:lang w:val="en-US"/>
        </w:rPr>
        <w:t>mol/l) at the hospital discharge time.</w:t>
      </w:r>
      <w:bookmarkEnd w:id="83"/>
      <w:bookmarkEnd w:id="84"/>
      <w:bookmarkEnd w:id="85"/>
      <w:bookmarkEnd w:id="86"/>
    </w:p>
    <w:p w14:paraId="4DAB40EB" w14:textId="77777777" w:rsidR="003365C8" w:rsidRPr="00C250F1" w:rsidRDefault="003365C8" w:rsidP="003365C8">
      <w:pPr>
        <w:rPr>
          <w:rFonts w:asciiTheme="majorBidi" w:hAnsiTheme="majorBidi" w:cstheme="majorBidi"/>
          <w:sz w:val="20"/>
          <w:szCs w:val="20"/>
        </w:rPr>
      </w:pPr>
    </w:p>
    <w:p w14:paraId="3DE65ED9" w14:textId="77777777" w:rsidR="003365C8" w:rsidRPr="004734D9" w:rsidRDefault="003365C8" w:rsidP="003365C8">
      <w:pPr>
        <w:rPr>
          <w:rFonts w:asciiTheme="majorBidi" w:hAnsiTheme="majorBidi" w:cstheme="majorBidi"/>
          <w:sz w:val="20"/>
          <w:szCs w:val="20"/>
        </w:rPr>
      </w:pPr>
      <w:r w:rsidRPr="00C250F1">
        <w:rPr>
          <w:rFonts w:asciiTheme="majorBidi" w:hAnsiTheme="majorBidi" w:cstheme="majorBidi"/>
          <w:noProof/>
          <w:sz w:val="20"/>
          <w:szCs w:val="20"/>
          <w:lang w:val="en-US"/>
        </w:rPr>
        <w:drawing>
          <wp:inline distT="0" distB="0" distL="0" distR="0" wp14:anchorId="63B2AFC3" wp14:editId="590DB82F">
            <wp:extent cx="8229600" cy="1189355"/>
            <wp:effectExtent l="0" t="0" r="0" b="444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l) at the hospital discharge time.emf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18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6E73A" w14:textId="393D9AD3" w:rsidR="00FD4503" w:rsidRDefault="00FD4503" w:rsidP="007C33A8">
      <w:pPr>
        <w:rPr>
          <w:rFonts w:asciiTheme="minorBidi" w:hAnsiTheme="minorBidi" w:cstheme="minorBidi"/>
          <w:sz w:val="20"/>
          <w:szCs w:val="20"/>
        </w:rPr>
      </w:pPr>
      <w:r>
        <w:rPr>
          <w:rFonts w:asciiTheme="minorBidi" w:hAnsiTheme="minorBidi" w:cstheme="minorBidi"/>
          <w:sz w:val="20"/>
          <w:szCs w:val="20"/>
        </w:rPr>
        <w:br w:type="page"/>
      </w:r>
    </w:p>
    <w:p w14:paraId="3D4C40B9" w14:textId="21B2C40B" w:rsidR="00FB35CD" w:rsidRPr="00F102A8" w:rsidRDefault="00FD4503" w:rsidP="00FB35CD">
      <w:pPr>
        <w:pStyle w:val="MyDoubleSpaceParagraph"/>
        <w:ind w:firstLine="0"/>
        <w:jc w:val="center"/>
        <w:rPr>
          <w:rFonts w:eastAsia="Times New Roman" w:cs="Times New Roman"/>
          <w:b/>
          <w:color w:val="000000"/>
          <w:highlight w:val="yellow"/>
          <w:shd w:val="clear" w:color="auto" w:fill="FFFFFF"/>
          <w:lang w:val="en-CA"/>
        </w:rPr>
      </w:pPr>
      <w:r w:rsidRPr="00F102A8">
        <w:rPr>
          <w:rFonts w:eastAsia="Times New Roman" w:cs="Times New Roman"/>
          <w:b/>
          <w:color w:val="000000"/>
          <w:highlight w:val="yellow"/>
          <w:shd w:val="clear" w:color="auto" w:fill="FFFFFF"/>
          <w:lang w:val="en-CA"/>
        </w:rPr>
        <w:lastRenderedPageBreak/>
        <w:t xml:space="preserve">Additional File 2-E: Forest-plots for </w:t>
      </w:r>
      <w:r w:rsidR="00FB35CD" w:rsidRPr="00F102A8">
        <w:rPr>
          <w:rFonts w:eastAsia="Times New Roman" w:cs="Times New Roman"/>
          <w:b/>
          <w:color w:val="000000"/>
          <w:highlight w:val="yellow"/>
          <w:shd w:val="clear" w:color="auto" w:fill="FFFFFF"/>
          <w:lang w:val="en-CA"/>
        </w:rPr>
        <w:t xml:space="preserve">the </w:t>
      </w:r>
      <w:r w:rsidR="00A5120B">
        <w:rPr>
          <w:rFonts w:eastAsia="Times New Roman" w:cs="Times New Roman"/>
          <w:b/>
          <w:color w:val="000000"/>
          <w:highlight w:val="yellow"/>
          <w:shd w:val="clear" w:color="auto" w:fill="FFFFFF"/>
          <w:lang w:val="en-CA"/>
        </w:rPr>
        <w:t>S</w:t>
      </w:r>
      <w:r w:rsidRPr="00F102A8">
        <w:rPr>
          <w:rFonts w:eastAsia="Times New Roman" w:cs="Times New Roman"/>
          <w:b/>
          <w:color w:val="000000"/>
          <w:highlight w:val="yellow"/>
          <w:shd w:val="clear" w:color="auto" w:fill="FFFFFF"/>
          <w:lang w:val="en-CA"/>
        </w:rPr>
        <w:t xml:space="preserve">afety </w:t>
      </w:r>
      <w:r w:rsidR="00A5120B">
        <w:rPr>
          <w:rFonts w:eastAsia="Times New Roman" w:cs="Times New Roman"/>
          <w:b/>
          <w:color w:val="000000"/>
          <w:highlight w:val="yellow"/>
          <w:shd w:val="clear" w:color="auto" w:fill="FFFFFF"/>
          <w:lang w:val="en-CA"/>
        </w:rPr>
        <w:t>E</w:t>
      </w:r>
      <w:r w:rsidRPr="00F102A8">
        <w:rPr>
          <w:rFonts w:eastAsia="Times New Roman" w:cs="Times New Roman"/>
          <w:b/>
          <w:color w:val="000000"/>
          <w:highlight w:val="yellow"/>
          <w:shd w:val="clear" w:color="auto" w:fill="FFFFFF"/>
          <w:lang w:val="en-CA"/>
        </w:rPr>
        <w:t>ndpoints</w:t>
      </w:r>
    </w:p>
    <w:p w14:paraId="625BA128" w14:textId="6108D2D0" w:rsidR="00FD4503" w:rsidRPr="00B258CB" w:rsidRDefault="00FD4503" w:rsidP="00FB35CD">
      <w:pPr>
        <w:pStyle w:val="MyDoubleSpaceParagraph"/>
        <w:ind w:firstLine="0"/>
        <w:jc w:val="center"/>
        <w:rPr>
          <w:rFonts w:ascii="Times New Roman" w:eastAsia="Times New Roman" w:hAnsi="Times New Roman" w:cs="Times New Roman"/>
          <w:color w:val="000000"/>
          <w:shd w:val="clear" w:color="auto" w:fill="FFFFFF"/>
          <w:lang w:val="en-CA"/>
        </w:rPr>
      </w:pPr>
      <w:r w:rsidRPr="00F102A8">
        <w:rPr>
          <w:rFonts w:eastAsia="Times New Roman" w:cs="Times New Roman"/>
          <w:b/>
          <w:color w:val="000000"/>
          <w:highlight w:val="yellow"/>
          <w:shd w:val="clear" w:color="auto" w:fill="FFFFFF"/>
          <w:lang w:val="en-CA"/>
        </w:rPr>
        <w:t xml:space="preserve">of </w:t>
      </w:r>
      <w:r w:rsidR="00A5120B">
        <w:rPr>
          <w:rFonts w:eastAsia="Times New Roman" w:cs="Times New Roman"/>
          <w:b/>
          <w:color w:val="000000"/>
          <w:highlight w:val="yellow"/>
          <w:shd w:val="clear" w:color="auto" w:fill="FFFFFF"/>
          <w:lang w:val="en-CA"/>
        </w:rPr>
        <w:t>I</w:t>
      </w:r>
      <w:r w:rsidRPr="00F102A8">
        <w:rPr>
          <w:rFonts w:eastAsia="Times New Roman" w:cs="Times New Roman"/>
          <w:b/>
          <w:color w:val="000000"/>
          <w:highlight w:val="yellow"/>
          <w:shd w:val="clear" w:color="auto" w:fill="FFFFFF"/>
          <w:lang w:val="en-CA"/>
        </w:rPr>
        <w:t xml:space="preserve">ntravenous </w:t>
      </w:r>
      <w:r w:rsidR="00A5120B">
        <w:rPr>
          <w:rFonts w:eastAsia="Times New Roman" w:cs="Times New Roman"/>
          <w:b/>
          <w:color w:val="000000"/>
          <w:highlight w:val="yellow"/>
          <w:shd w:val="clear" w:color="auto" w:fill="FFFFFF"/>
          <w:lang w:val="en-CA"/>
        </w:rPr>
        <w:t>I</w:t>
      </w:r>
      <w:r w:rsidRPr="00F102A8">
        <w:rPr>
          <w:rFonts w:eastAsia="Times New Roman" w:cs="Times New Roman"/>
          <w:b/>
          <w:color w:val="000000"/>
          <w:highlight w:val="yellow"/>
          <w:shd w:val="clear" w:color="auto" w:fill="FFFFFF"/>
          <w:lang w:val="en-CA"/>
        </w:rPr>
        <w:t xml:space="preserve">ron versus </w:t>
      </w:r>
      <w:r w:rsidR="00A5120B">
        <w:rPr>
          <w:rFonts w:eastAsia="Times New Roman" w:cs="Times New Roman"/>
          <w:b/>
          <w:color w:val="000000"/>
          <w:highlight w:val="yellow"/>
          <w:shd w:val="clear" w:color="auto" w:fill="FFFFFF"/>
          <w:lang w:val="en-CA"/>
        </w:rPr>
        <w:t>P</w:t>
      </w:r>
      <w:r w:rsidRPr="00F102A8">
        <w:rPr>
          <w:rFonts w:eastAsia="Times New Roman" w:cs="Times New Roman"/>
          <w:b/>
          <w:color w:val="000000"/>
          <w:highlight w:val="yellow"/>
          <w:shd w:val="clear" w:color="auto" w:fill="FFFFFF"/>
          <w:lang w:val="en-CA"/>
        </w:rPr>
        <w:t xml:space="preserve">lacebo or </w:t>
      </w:r>
      <w:r w:rsidR="00A5120B">
        <w:rPr>
          <w:rFonts w:eastAsia="Times New Roman" w:cs="Times New Roman"/>
          <w:b/>
          <w:color w:val="000000"/>
          <w:highlight w:val="yellow"/>
          <w:shd w:val="clear" w:color="auto" w:fill="FFFFFF"/>
          <w:lang w:val="en-CA"/>
        </w:rPr>
        <w:t>O</w:t>
      </w:r>
      <w:r w:rsidRPr="00F102A8">
        <w:rPr>
          <w:rFonts w:eastAsia="Times New Roman" w:cs="Times New Roman"/>
          <w:b/>
          <w:color w:val="000000"/>
          <w:highlight w:val="yellow"/>
          <w:shd w:val="clear" w:color="auto" w:fill="FFFFFF"/>
          <w:lang w:val="en-CA"/>
        </w:rPr>
        <w:t xml:space="preserve">ral </w:t>
      </w:r>
      <w:r w:rsidR="00A5120B">
        <w:rPr>
          <w:rFonts w:eastAsia="Times New Roman" w:cs="Times New Roman"/>
          <w:b/>
          <w:color w:val="000000"/>
          <w:highlight w:val="yellow"/>
          <w:shd w:val="clear" w:color="auto" w:fill="FFFFFF"/>
          <w:lang w:val="en-CA"/>
        </w:rPr>
        <w:t>I</w:t>
      </w:r>
      <w:r w:rsidRPr="00F102A8">
        <w:rPr>
          <w:rFonts w:eastAsia="Times New Roman" w:cs="Times New Roman"/>
          <w:b/>
          <w:color w:val="000000"/>
          <w:highlight w:val="yellow"/>
          <w:shd w:val="clear" w:color="auto" w:fill="FFFFFF"/>
          <w:lang w:val="en-CA"/>
        </w:rPr>
        <w:t>ron</w:t>
      </w:r>
    </w:p>
    <w:p w14:paraId="704260C2" w14:textId="71A766F6" w:rsidR="00FD4503" w:rsidRDefault="00FD4503" w:rsidP="00FD4503">
      <w:pPr>
        <w:rPr>
          <w:rFonts w:asciiTheme="minorBidi" w:hAnsiTheme="minorBidi"/>
          <w:b/>
          <w:bCs/>
          <w:sz w:val="20"/>
          <w:szCs w:val="20"/>
        </w:rPr>
      </w:pPr>
      <w:bookmarkStart w:id="87" w:name="_Toc482778861"/>
      <w:bookmarkStart w:id="88" w:name="_Toc501903492"/>
      <w:bookmarkStart w:id="89" w:name="_Toc509002261"/>
      <w:bookmarkStart w:id="90" w:name="_Toc509062850"/>
      <w:r w:rsidRPr="00FD4503">
        <w:rPr>
          <w:rFonts w:asciiTheme="minorBidi" w:hAnsiTheme="minorBidi"/>
          <w:b/>
          <w:bCs/>
          <w:sz w:val="20"/>
          <w:szCs w:val="20"/>
        </w:rPr>
        <w:t xml:space="preserve">Figure </w:t>
      </w:r>
      <w:r w:rsidRPr="00FD4503">
        <w:rPr>
          <w:rFonts w:asciiTheme="minorBidi" w:hAnsiTheme="minorBidi"/>
          <w:b/>
          <w:bCs/>
          <w:sz w:val="20"/>
          <w:szCs w:val="20"/>
        </w:rPr>
        <w:fldChar w:fldCharType="begin"/>
      </w:r>
      <w:r w:rsidRPr="00FD4503">
        <w:rPr>
          <w:rFonts w:asciiTheme="minorBidi" w:hAnsiTheme="minorBidi"/>
          <w:b/>
          <w:bCs/>
          <w:sz w:val="20"/>
          <w:szCs w:val="20"/>
        </w:rPr>
        <w:instrText xml:space="preserve"> SEQ Figure \* ARABIC </w:instrText>
      </w:r>
      <w:r w:rsidRPr="00FD4503">
        <w:rPr>
          <w:rFonts w:asciiTheme="minorBidi" w:hAnsiTheme="minorBidi"/>
          <w:b/>
          <w:bCs/>
          <w:sz w:val="20"/>
          <w:szCs w:val="20"/>
        </w:rPr>
        <w:fldChar w:fldCharType="separate"/>
      </w:r>
      <w:r w:rsidRPr="00FD4503">
        <w:rPr>
          <w:rFonts w:asciiTheme="minorBidi" w:hAnsiTheme="minorBidi"/>
          <w:b/>
          <w:bCs/>
          <w:sz w:val="20"/>
          <w:szCs w:val="20"/>
        </w:rPr>
        <w:t>1</w:t>
      </w:r>
      <w:r w:rsidRPr="00FD4503">
        <w:rPr>
          <w:rFonts w:asciiTheme="minorBidi" w:hAnsiTheme="minorBidi"/>
          <w:b/>
          <w:bCs/>
          <w:sz w:val="20"/>
          <w:szCs w:val="20"/>
        </w:rPr>
        <w:fldChar w:fldCharType="end"/>
      </w:r>
      <w:r w:rsidRPr="00FD4503">
        <w:rPr>
          <w:rFonts w:asciiTheme="minorBidi" w:hAnsiTheme="minorBidi"/>
          <w:b/>
          <w:bCs/>
          <w:sz w:val="20"/>
          <w:szCs w:val="20"/>
        </w:rPr>
        <w:t>: Forest plot comparison shows the effect of intravenous iron therapy versus placebo/standard of care groups on the occurrence of associated non-serious adverse effects (random effects model).</w:t>
      </w:r>
      <w:bookmarkEnd w:id="87"/>
      <w:bookmarkEnd w:id="88"/>
      <w:bookmarkEnd w:id="89"/>
      <w:bookmarkEnd w:id="90"/>
    </w:p>
    <w:p w14:paraId="3E25E893" w14:textId="77777777" w:rsidR="00606F04" w:rsidRPr="00FD4503" w:rsidRDefault="00606F04" w:rsidP="00FD4503">
      <w:pPr>
        <w:rPr>
          <w:rFonts w:asciiTheme="minorBidi" w:hAnsiTheme="minorBidi"/>
          <w:b/>
          <w:bCs/>
          <w:sz w:val="20"/>
          <w:szCs w:val="20"/>
        </w:rPr>
      </w:pPr>
    </w:p>
    <w:p w14:paraId="3D86DB87" w14:textId="77777777" w:rsidR="00FD4503" w:rsidRPr="00B258CB" w:rsidRDefault="00FD4503" w:rsidP="00FD4503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noProof/>
          <w:sz w:val="20"/>
          <w:szCs w:val="20"/>
          <w:lang w:val="en-US"/>
        </w:rPr>
        <w:drawing>
          <wp:inline distT="0" distB="0" distL="0" distR="0" wp14:anchorId="75DFC88B" wp14:editId="251D76EE">
            <wp:extent cx="8229600" cy="2173605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non-serious adverse effects (random effects model).emf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17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096FE" w14:textId="77777777" w:rsidR="00FD4503" w:rsidRDefault="00FD4503" w:rsidP="00FD4503">
      <w:pPr>
        <w:rPr>
          <w:rFonts w:asciiTheme="minorBidi" w:hAnsiTheme="minorBidi"/>
          <w:sz w:val="20"/>
          <w:szCs w:val="20"/>
        </w:rPr>
      </w:pPr>
      <w:bookmarkStart w:id="91" w:name="_Toc482778862"/>
      <w:bookmarkStart w:id="92" w:name="_Toc501903493"/>
      <w:bookmarkStart w:id="93" w:name="_Toc509002263"/>
      <w:bookmarkStart w:id="94" w:name="_Toc509062852"/>
    </w:p>
    <w:p w14:paraId="20CD7D05" w14:textId="77777777" w:rsidR="00FD4503" w:rsidRDefault="00FD4503" w:rsidP="00FD4503">
      <w:pPr>
        <w:rPr>
          <w:rFonts w:asciiTheme="minorBidi" w:hAnsiTheme="minorBidi"/>
          <w:sz w:val="20"/>
          <w:szCs w:val="20"/>
        </w:rPr>
      </w:pPr>
    </w:p>
    <w:p w14:paraId="0641EE47" w14:textId="77777777" w:rsidR="00FD4503" w:rsidRPr="00FD4503" w:rsidRDefault="00FD4503" w:rsidP="00FD4503">
      <w:pPr>
        <w:rPr>
          <w:rFonts w:asciiTheme="minorBidi" w:hAnsiTheme="minorBidi"/>
          <w:b/>
          <w:bCs/>
          <w:sz w:val="20"/>
          <w:szCs w:val="20"/>
        </w:rPr>
      </w:pPr>
    </w:p>
    <w:p w14:paraId="4ADDDAB0" w14:textId="77777777" w:rsidR="00FB35CD" w:rsidRDefault="00FB35CD" w:rsidP="00FD4503">
      <w:pPr>
        <w:rPr>
          <w:rFonts w:asciiTheme="minorBidi" w:hAnsiTheme="minorBidi"/>
          <w:b/>
          <w:bCs/>
          <w:sz w:val="20"/>
          <w:szCs w:val="20"/>
        </w:rPr>
      </w:pPr>
    </w:p>
    <w:p w14:paraId="02E00485" w14:textId="77777777" w:rsidR="00FB35CD" w:rsidRDefault="00FB35CD" w:rsidP="00FD4503">
      <w:pPr>
        <w:rPr>
          <w:rFonts w:asciiTheme="minorBidi" w:hAnsiTheme="minorBidi"/>
          <w:b/>
          <w:bCs/>
          <w:sz w:val="20"/>
          <w:szCs w:val="20"/>
        </w:rPr>
      </w:pPr>
    </w:p>
    <w:p w14:paraId="705B0C0E" w14:textId="77777777" w:rsidR="00FB35CD" w:rsidRDefault="00FB35CD" w:rsidP="00FD4503">
      <w:pPr>
        <w:rPr>
          <w:rFonts w:asciiTheme="minorBidi" w:hAnsiTheme="minorBidi"/>
          <w:b/>
          <w:bCs/>
          <w:sz w:val="20"/>
          <w:szCs w:val="20"/>
        </w:rPr>
      </w:pPr>
    </w:p>
    <w:p w14:paraId="0CCE35CF" w14:textId="77777777" w:rsidR="00FB35CD" w:rsidRDefault="00FB35CD" w:rsidP="00FD4503">
      <w:pPr>
        <w:rPr>
          <w:rFonts w:asciiTheme="minorBidi" w:hAnsiTheme="minorBidi"/>
          <w:b/>
          <w:bCs/>
          <w:sz w:val="20"/>
          <w:szCs w:val="20"/>
        </w:rPr>
      </w:pPr>
    </w:p>
    <w:p w14:paraId="4D4A348E" w14:textId="77777777" w:rsidR="00FB35CD" w:rsidRDefault="00FB35CD" w:rsidP="00FD4503">
      <w:pPr>
        <w:rPr>
          <w:rFonts w:asciiTheme="minorBidi" w:hAnsiTheme="minorBidi"/>
          <w:b/>
          <w:bCs/>
          <w:sz w:val="20"/>
          <w:szCs w:val="20"/>
        </w:rPr>
      </w:pPr>
    </w:p>
    <w:p w14:paraId="4A2FC25B" w14:textId="77777777" w:rsidR="00FB35CD" w:rsidRDefault="00FB35CD" w:rsidP="00FD4503">
      <w:pPr>
        <w:rPr>
          <w:rFonts w:asciiTheme="minorBidi" w:hAnsiTheme="minorBidi"/>
          <w:b/>
          <w:bCs/>
          <w:sz w:val="20"/>
          <w:szCs w:val="20"/>
        </w:rPr>
      </w:pPr>
    </w:p>
    <w:p w14:paraId="7DA4F8E7" w14:textId="77777777" w:rsidR="00FB35CD" w:rsidRDefault="00FB35CD" w:rsidP="00FD4503">
      <w:pPr>
        <w:rPr>
          <w:rFonts w:asciiTheme="minorBidi" w:hAnsiTheme="minorBidi"/>
          <w:b/>
          <w:bCs/>
          <w:sz w:val="20"/>
          <w:szCs w:val="20"/>
        </w:rPr>
      </w:pPr>
      <w:r>
        <w:rPr>
          <w:rFonts w:asciiTheme="minorBidi" w:hAnsiTheme="minorBidi"/>
          <w:b/>
          <w:bCs/>
          <w:sz w:val="20"/>
          <w:szCs w:val="20"/>
        </w:rPr>
        <w:br w:type="page"/>
      </w:r>
    </w:p>
    <w:p w14:paraId="2A5EDBE2" w14:textId="240C0EEA" w:rsidR="00FD4503" w:rsidRPr="00FD4503" w:rsidRDefault="00FD4503" w:rsidP="00FD4503">
      <w:pPr>
        <w:rPr>
          <w:rFonts w:asciiTheme="minorBidi" w:hAnsiTheme="minorBidi"/>
          <w:b/>
          <w:bCs/>
          <w:sz w:val="20"/>
          <w:szCs w:val="20"/>
        </w:rPr>
      </w:pPr>
      <w:r w:rsidRPr="00FD4503">
        <w:rPr>
          <w:rFonts w:asciiTheme="minorBidi" w:hAnsiTheme="minorBidi"/>
          <w:b/>
          <w:bCs/>
          <w:sz w:val="20"/>
          <w:szCs w:val="20"/>
        </w:rPr>
        <w:lastRenderedPageBreak/>
        <w:t xml:space="preserve">Figure </w:t>
      </w:r>
      <w:r w:rsidRPr="00FD4503">
        <w:rPr>
          <w:rFonts w:asciiTheme="minorBidi" w:hAnsiTheme="minorBidi"/>
          <w:b/>
          <w:bCs/>
          <w:sz w:val="20"/>
          <w:szCs w:val="20"/>
        </w:rPr>
        <w:fldChar w:fldCharType="begin"/>
      </w:r>
      <w:r w:rsidRPr="00FD4503">
        <w:rPr>
          <w:rFonts w:asciiTheme="minorBidi" w:hAnsiTheme="minorBidi"/>
          <w:b/>
          <w:bCs/>
          <w:sz w:val="20"/>
          <w:szCs w:val="20"/>
        </w:rPr>
        <w:instrText xml:space="preserve"> SEQ Figure \* ARABIC </w:instrText>
      </w:r>
      <w:r w:rsidRPr="00FD4503">
        <w:rPr>
          <w:rFonts w:asciiTheme="minorBidi" w:hAnsiTheme="minorBidi"/>
          <w:b/>
          <w:bCs/>
          <w:sz w:val="20"/>
          <w:szCs w:val="20"/>
        </w:rPr>
        <w:fldChar w:fldCharType="separate"/>
      </w:r>
      <w:r w:rsidRPr="00FD4503">
        <w:rPr>
          <w:rFonts w:asciiTheme="minorBidi" w:hAnsiTheme="minorBidi"/>
          <w:b/>
          <w:bCs/>
          <w:sz w:val="20"/>
          <w:szCs w:val="20"/>
        </w:rPr>
        <w:t>2</w:t>
      </w:r>
      <w:r w:rsidRPr="00FD4503">
        <w:rPr>
          <w:rFonts w:asciiTheme="minorBidi" w:hAnsiTheme="minorBidi"/>
          <w:b/>
          <w:bCs/>
          <w:sz w:val="20"/>
          <w:szCs w:val="20"/>
        </w:rPr>
        <w:fldChar w:fldCharType="end"/>
      </w:r>
      <w:r w:rsidRPr="00FD4503">
        <w:rPr>
          <w:rFonts w:asciiTheme="minorBidi" w:hAnsiTheme="minorBidi"/>
          <w:b/>
          <w:bCs/>
          <w:sz w:val="20"/>
          <w:szCs w:val="20"/>
        </w:rPr>
        <w:t>: Forest plot comparison shows the effect of intravenous iron therapy versus placebo/standard of care on groups on the occurrence of associated serious adverse effects.</w:t>
      </w:r>
      <w:bookmarkEnd w:id="91"/>
      <w:bookmarkEnd w:id="92"/>
      <w:bookmarkEnd w:id="93"/>
      <w:bookmarkEnd w:id="94"/>
    </w:p>
    <w:p w14:paraId="14262886" w14:textId="77777777" w:rsidR="00FD4503" w:rsidRPr="00B258CB" w:rsidRDefault="00FD4503" w:rsidP="00FD4503">
      <w:pPr>
        <w:rPr>
          <w:rFonts w:asciiTheme="minorBidi" w:hAnsiTheme="minorBidi"/>
          <w:sz w:val="20"/>
          <w:szCs w:val="20"/>
        </w:rPr>
      </w:pPr>
    </w:p>
    <w:p w14:paraId="16ED51BB" w14:textId="77777777" w:rsidR="00FD4503" w:rsidRPr="00B258CB" w:rsidRDefault="00FD4503" w:rsidP="00FD4503">
      <w:pPr>
        <w:rPr>
          <w:rFonts w:asciiTheme="minorBidi" w:hAnsiTheme="minorBidi"/>
          <w:sz w:val="20"/>
          <w:szCs w:val="20"/>
        </w:rPr>
      </w:pPr>
      <w:r w:rsidRPr="00B258CB">
        <w:rPr>
          <w:rFonts w:asciiTheme="minorBidi" w:hAnsiTheme="minorBidi"/>
          <w:noProof/>
          <w:sz w:val="20"/>
          <w:szCs w:val="20"/>
          <w:lang w:val="en-US"/>
        </w:rPr>
        <w:drawing>
          <wp:inline distT="0" distB="0" distL="0" distR="0" wp14:anchorId="76685ACE" wp14:editId="1C708294">
            <wp:extent cx="8229600" cy="147447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occurrence of associated serious adverse effects.emf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47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9FEE6" w14:textId="77777777" w:rsidR="00FB35CD" w:rsidRDefault="00FB35CD" w:rsidP="00FD4503">
      <w:pPr>
        <w:rPr>
          <w:rFonts w:asciiTheme="minorBidi" w:hAnsiTheme="minorBidi"/>
          <w:b/>
          <w:bCs/>
          <w:sz w:val="20"/>
          <w:szCs w:val="20"/>
        </w:rPr>
      </w:pPr>
      <w:bookmarkStart w:id="95" w:name="_Toc482778863"/>
      <w:bookmarkStart w:id="96" w:name="_Toc501903494"/>
      <w:bookmarkStart w:id="97" w:name="_Toc509002264"/>
      <w:bookmarkStart w:id="98" w:name="_Toc509062853"/>
    </w:p>
    <w:p w14:paraId="29653D7D" w14:textId="0D9AB763" w:rsidR="00FD4503" w:rsidRPr="00FD4503" w:rsidRDefault="00FD4503" w:rsidP="00FD4503">
      <w:pPr>
        <w:rPr>
          <w:rFonts w:asciiTheme="minorBidi" w:hAnsiTheme="minorBidi"/>
          <w:b/>
          <w:bCs/>
          <w:sz w:val="20"/>
          <w:szCs w:val="20"/>
        </w:rPr>
      </w:pPr>
      <w:r w:rsidRPr="00FD4503">
        <w:rPr>
          <w:rFonts w:asciiTheme="minorBidi" w:hAnsiTheme="minorBidi"/>
          <w:b/>
          <w:bCs/>
          <w:sz w:val="20"/>
          <w:szCs w:val="20"/>
        </w:rPr>
        <w:t xml:space="preserve">Figure </w:t>
      </w:r>
      <w:r w:rsidRPr="00FD4503">
        <w:rPr>
          <w:rFonts w:asciiTheme="minorBidi" w:hAnsiTheme="minorBidi"/>
          <w:b/>
          <w:bCs/>
          <w:sz w:val="20"/>
          <w:szCs w:val="20"/>
        </w:rPr>
        <w:fldChar w:fldCharType="begin"/>
      </w:r>
      <w:r w:rsidRPr="00FD4503">
        <w:rPr>
          <w:rFonts w:asciiTheme="minorBidi" w:hAnsiTheme="minorBidi"/>
          <w:b/>
          <w:bCs/>
          <w:sz w:val="20"/>
          <w:szCs w:val="20"/>
        </w:rPr>
        <w:instrText xml:space="preserve"> SEQ Figure \* ARABIC </w:instrText>
      </w:r>
      <w:r w:rsidRPr="00FD4503">
        <w:rPr>
          <w:rFonts w:asciiTheme="minorBidi" w:hAnsiTheme="minorBidi"/>
          <w:b/>
          <w:bCs/>
          <w:sz w:val="20"/>
          <w:szCs w:val="20"/>
        </w:rPr>
        <w:fldChar w:fldCharType="separate"/>
      </w:r>
      <w:r w:rsidRPr="00FD4503">
        <w:rPr>
          <w:rFonts w:asciiTheme="minorBidi" w:hAnsiTheme="minorBidi"/>
          <w:b/>
          <w:bCs/>
          <w:sz w:val="20"/>
          <w:szCs w:val="20"/>
        </w:rPr>
        <w:t>3</w:t>
      </w:r>
      <w:r w:rsidRPr="00FD4503">
        <w:rPr>
          <w:rFonts w:asciiTheme="minorBidi" w:hAnsiTheme="minorBidi"/>
          <w:b/>
          <w:bCs/>
          <w:sz w:val="20"/>
          <w:szCs w:val="20"/>
        </w:rPr>
        <w:fldChar w:fldCharType="end"/>
      </w:r>
      <w:r w:rsidRPr="00FD4503">
        <w:rPr>
          <w:rFonts w:asciiTheme="minorBidi" w:hAnsiTheme="minorBidi"/>
          <w:b/>
          <w:bCs/>
          <w:sz w:val="20"/>
          <w:szCs w:val="20"/>
        </w:rPr>
        <w:t>: Forest plot comparison shows the pooled comparison effect of intravenous iron therapy versus placebo/standard of care groups on the 30-day mortality (random effects model)</w:t>
      </w:r>
      <w:bookmarkEnd w:id="95"/>
      <w:bookmarkEnd w:id="96"/>
      <w:r w:rsidRPr="00FD4503">
        <w:rPr>
          <w:rFonts w:asciiTheme="minorBidi" w:hAnsiTheme="minorBidi"/>
          <w:b/>
          <w:bCs/>
          <w:sz w:val="20"/>
          <w:szCs w:val="20"/>
        </w:rPr>
        <w:t>.</w:t>
      </w:r>
      <w:bookmarkEnd w:id="97"/>
      <w:bookmarkEnd w:id="98"/>
    </w:p>
    <w:p w14:paraId="2BF4B3FC" w14:textId="77777777" w:rsidR="00FD4503" w:rsidRPr="00B258CB" w:rsidRDefault="00FD4503" w:rsidP="00FD4503">
      <w:pPr>
        <w:rPr>
          <w:rFonts w:asciiTheme="minorBidi" w:hAnsiTheme="minorBidi"/>
          <w:sz w:val="20"/>
          <w:szCs w:val="20"/>
        </w:rPr>
      </w:pPr>
    </w:p>
    <w:p w14:paraId="65A9A0A3" w14:textId="77777777" w:rsidR="00FD4503" w:rsidRPr="00B258CB" w:rsidRDefault="00FD4503" w:rsidP="00FD4503">
      <w:pPr>
        <w:rPr>
          <w:rFonts w:asciiTheme="minorBidi" w:hAnsiTheme="minorBidi"/>
          <w:sz w:val="20"/>
          <w:szCs w:val="20"/>
        </w:rPr>
      </w:pPr>
      <w:r>
        <w:rPr>
          <w:rFonts w:asciiTheme="minorBidi" w:hAnsiTheme="minorBidi"/>
          <w:noProof/>
          <w:sz w:val="20"/>
          <w:szCs w:val="20"/>
          <w:lang w:val="en-US"/>
        </w:rPr>
        <w:drawing>
          <wp:inline distT="0" distB="0" distL="0" distR="0" wp14:anchorId="234E376B" wp14:editId="0AB0BA93">
            <wp:extent cx="8229600" cy="1743692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0-day mortality after including a trial (Johansson et al.) with zero events.emf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743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84821B" w14:textId="77777777" w:rsidR="00FD4503" w:rsidRDefault="00FD4503" w:rsidP="00FD4503">
      <w:pPr>
        <w:rPr>
          <w:rFonts w:asciiTheme="minorBidi" w:hAnsiTheme="minorBidi"/>
          <w:sz w:val="20"/>
          <w:szCs w:val="20"/>
        </w:rPr>
      </w:pPr>
    </w:p>
    <w:p w14:paraId="71800712" w14:textId="77777777" w:rsidR="00FD4503" w:rsidRPr="00B258CB" w:rsidRDefault="00FD4503" w:rsidP="00FD4503">
      <w:pPr>
        <w:rPr>
          <w:rFonts w:asciiTheme="minorBidi" w:hAnsiTheme="minorBidi"/>
          <w:sz w:val="20"/>
          <w:szCs w:val="20"/>
        </w:rPr>
      </w:pPr>
    </w:p>
    <w:p w14:paraId="265EA099" w14:textId="77777777" w:rsidR="00FB35CD" w:rsidRDefault="00FB35CD" w:rsidP="00FD4503">
      <w:pPr>
        <w:rPr>
          <w:rFonts w:asciiTheme="minorBidi" w:hAnsiTheme="minorBidi"/>
          <w:b/>
          <w:bCs/>
          <w:sz w:val="20"/>
          <w:szCs w:val="20"/>
        </w:rPr>
      </w:pPr>
      <w:bookmarkStart w:id="99" w:name="_Toc482778864"/>
      <w:bookmarkStart w:id="100" w:name="_Toc501903495"/>
      <w:bookmarkStart w:id="101" w:name="_Toc509002266"/>
      <w:bookmarkStart w:id="102" w:name="_Toc509062855"/>
      <w:r>
        <w:rPr>
          <w:rFonts w:asciiTheme="minorBidi" w:hAnsiTheme="minorBidi"/>
          <w:b/>
          <w:bCs/>
          <w:sz w:val="20"/>
          <w:szCs w:val="20"/>
        </w:rPr>
        <w:br w:type="page"/>
      </w:r>
    </w:p>
    <w:p w14:paraId="1B6D483A" w14:textId="2BACFC7A" w:rsidR="00FD4503" w:rsidRPr="00FD4503" w:rsidRDefault="00FD4503" w:rsidP="00FD4503">
      <w:pPr>
        <w:rPr>
          <w:rFonts w:asciiTheme="minorBidi" w:hAnsiTheme="minorBidi"/>
          <w:b/>
          <w:bCs/>
          <w:sz w:val="20"/>
          <w:szCs w:val="20"/>
        </w:rPr>
      </w:pPr>
      <w:r w:rsidRPr="00FD4503">
        <w:rPr>
          <w:rFonts w:asciiTheme="minorBidi" w:hAnsiTheme="minorBidi"/>
          <w:b/>
          <w:bCs/>
          <w:sz w:val="20"/>
          <w:szCs w:val="20"/>
        </w:rPr>
        <w:lastRenderedPageBreak/>
        <w:t xml:space="preserve">Figure </w:t>
      </w:r>
      <w:r w:rsidRPr="00FD4503">
        <w:rPr>
          <w:rFonts w:asciiTheme="minorBidi" w:hAnsiTheme="minorBidi"/>
          <w:b/>
          <w:bCs/>
          <w:sz w:val="20"/>
          <w:szCs w:val="20"/>
        </w:rPr>
        <w:fldChar w:fldCharType="begin"/>
      </w:r>
      <w:r w:rsidRPr="00FD4503">
        <w:rPr>
          <w:rFonts w:asciiTheme="minorBidi" w:hAnsiTheme="minorBidi"/>
          <w:b/>
          <w:bCs/>
          <w:sz w:val="20"/>
          <w:szCs w:val="20"/>
        </w:rPr>
        <w:instrText xml:space="preserve"> SEQ Figure \* ARABIC </w:instrText>
      </w:r>
      <w:r w:rsidRPr="00FD4503">
        <w:rPr>
          <w:rFonts w:asciiTheme="minorBidi" w:hAnsiTheme="minorBidi"/>
          <w:b/>
          <w:bCs/>
          <w:sz w:val="20"/>
          <w:szCs w:val="20"/>
        </w:rPr>
        <w:fldChar w:fldCharType="separate"/>
      </w:r>
      <w:r w:rsidRPr="00FD4503">
        <w:rPr>
          <w:rFonts w:asciiTheme="minorBidi" w:hAnsiTheme="minorBidi"/>
          <w:b/>
          <w:bCs/>
          <w:sz w:val="20"/>
          <w:szCs w:val="20"/>
        </w:rPr>
        <w:t>4</w:t>
      </w:r>
      <w:r w:rsidRPr="00FD4503">
        <w:rPr>
          <w:rFonts w:asciiTheme="minorBidi" w:hAnsiTheme="minorBidi"/>
          <w:b/>
          <w:bCs/>
          <w:sz w:val="20"/>
          <w:szCs w:val="20"/>
        </w:rPr>
        <w:fldChar w:fldCharType="end"/>
      </w:r>
      <w:r w:rsidRPr="00FD4503">
        <w:rPr>
          <w:rFonts w:asciiTheme="minorBidi" w:hAnsiTheme="minorBidi"/>
          <w:b/>
          <w:bCs/>
          <w:sz w:val="20"/>
          <w:szCs w:val="20"/>
        </w:rPr>
        <w:t>: Forest plot comparison shows the effect of intravenous iron therapy versus placebo/standard of care groups on the mortality ≥</w:t>
      </w:r>
      <w:r w:rsidR="00FB35CD">
        <w:rPr>
          <w:rFonts w:asciiTheme="minorBidi" w:hAnsiTheme="minorBidi"/>
          <w:b/>
          <w:bCs/>
          <w:sz w:val="20"/>
          <w:szCs w:val="20"/>
        </w:rPr>
        <w:t xml:space="preserve"> </w:t>
      </w:r>
      <w:r w:rsidRPr="00FD4503">
        <w:rPr>
          <w:rFonts w:asciiTheme="minorBidi" w:hAnsiTheme="minorBidi"/>
          <w:b/>
          <w:bCs/>
          <w:sz w:val="20"/>
          <w:szCs w:val="20"/>
        </w:rPr>
        <w:t>2-months post-hospital discharge.</w:t>
      </w:r>
      <w:bookmarkEnd w:id="99"/>
      <w:bookmarkEnd w:id="100"/>
      <w:bookmarkEnd w:id="101"/>
      <w:bookmarkEnd w:id="102"/>
    </w:p>
    <w:p w14:paraId="4A788713" w14:textId="77777777" w:rsidR="00FD4503" w:rsidRPr="00FD4503" w:rsidRDefault="00FD4503" w:rsidP="00FD4503">
      <w:pPr>
        <w:rPr>
          <w:rFonts w:asciiTheme="minorBidi" w:hAnsiTheme="minorBidi"/>
          <w:b/>
          <w:bCs/>
          <w:sz w:val="20"/>
          <w:szCs w:val="20"/>
        </w:rPr>
      </w:pPr>
    </w:p>
    <w:p w14:paraId="4DE50067" w14:textId="30ECF5B4" w:rsidR="00FD4503" w:rsidRDefault="00FD4503" w:rsidP="00FB35CD">
      <w:pPr>
        <w:rPr>
          <w:rFonts w:asciiTheme="minorBidi" w:hAnsiTheme="minorBidi"/>
          <w:sz w:val="20"/>
          <w:szCs w:val="20"/>
        </w:rPr>
      </w:pPr>
      <w:r w:rsidRPr="00B258CB">
        <w:rPr>
          <w:rFonts w:asciiTheme="minorBidi" w:hAnsiTheme="minorBidi"/>
          <w:noProof/>
          <w:sz w:val="20"/>
          <w:szCs w:val="20"/>
          <w:lang w:val="en-US"/>
        </w:rPr>
        <w:drawing>
          <wp:inline distT="0" distB="0" distL="0" distR="0" wp14:anchorId="38F23D72" wp14:editId="402C000D">
            <wp:extent cx="8229600" cy="1457325"/>
            <wp:effectExtent l="0" t="0" r="0" b="317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the mortality &gt; 2-months post-hospital discharge.emf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03" w:name="_Toc482778865"/>
      <w:bookmarkStart w:id="104" w:name="_Toc501903496"/>
      <w:bookmarkStart w:id="105" w:name="_Toc509002267"/>
      <w:bookmarkStart w:id="106" w:name="_Toc509062856"/>
    </w:p>
    <w:p w14:paraId="654D5F0F" w14:textId="77777777" w:rsidR="00FD4503" w:rsidRPr="00B258CB" w:rsidRDefault="00FD4503" w:rsidP="00FD4503">
      <w:pPr>
        <w:rPr>
          <w:rFonts w:asciiTheme="minorBidi" w:hAnsiTheme="minorBidi"/>
          <w:sz w:val="20"/>
          <w:szCs w:val="20"/>
        </w:rPr>
      </w:pPr>
    </w:p>
    <w:p w14:paraId="6444B503" w14:textId="77777777" w:rsidR="00FD4503" w:rsidRDefault="00FD4503" w:rsidP="00FD4503">
      <w:pPr>
        <w:rPr>
          <w:rFonts w:asciiTheme="minorBidi" w:hAnsiTheme="minorBidi"/>
          <w:sz w:val="20"/>
          <w:szCs w:val="20"/>
        </w:rPr>
      </w:pPr>
    </w:p>
    <w:p w14:paraId="3AE129E1" w14:textId="77777777" w:rsidR="00FD4503" w:rsidRPr="00FD4503" w:rsidRDefault="00FD4503" w:rsidP="00FD4503">
      <w:pPr>
        <w:rPr>
          <w:rFonts w:asciiTheme="minorBidi" w:hAnsiTheme="minorBidi"/>
          <w:b/>
          <w:bCs/>
          <w:sz w:val="20"/>
          <w:szCs w:val="20"/>
        </w:rPr>
      </w:pPr>
      <w:r w:rsidRPr="00FD4503">
        <w:rPr>
          <w:rFonts w:asciiTheme="minorBidi" w:hAnsiTheme="minorBidi"/>
          <w:b/>
          <w:bCs/>
          <w:sz w:val="20"/>
          <w:szCs w:val="20"/>
        </w:rPr>
        <w:t xml:space="preserve">Figure </w:t>
      </w:r>
      <w:r w:rsidRPr="00FD4503">
        <w:rPr>
          <w:rFonts w:asciiTheme="minorBidi" w:hAnsiTheme="minorBidi"/>
          <w:b/>
          <w:bCs/>
          <w:sz w:val="20"/>
          <w:szCs w:val="20"/>
        </w:rPr>
        <w:fldChar w:fldCharType="begin"/>
      </w:r>
      <w:r w:rsidRPr="00FD4503">
        <w:rPr>
          <w:rFonts w:asciiTheme="minorBidi" w:hAnsiTheme="minorBidi"/>
          <w:b/>
          <w:bCs/>
          <w:sz w:val="20"/>
          <w:szCs w:val="20"/>
        </w:rPr>
        <w:instrText xml:space="preserve"> SEQ Figure \* ARABIC </w:instrText>
      </w:r>
      <w:r w:rsidRPr="00FD4503">
        <w:rPr>
          <w:rFonts w:asciiTheme="minorBidi" w:hAnsiTheme="minorBidi"/>
          <w:b/>
          <w:bCs/>
          <w:sz w:val="20"/>
          <w:szCs w:val="20"/>
        </w:rPr>
        <w:fldChar w:fldCharType="separate"/>
      </w:r>
      <w:r w:rsidRPr="00FD4503">
        <w:rPr>
          <w:rFonts w:asciiTheme="minorBidi" w:hAnsiTheme="minorBidi"/>
          <w:b/>
          <w:bCs/>
          <w:noProof/>
          <w:sz w:val="20"/>
          <w:szCs w:val="20"/>
        </w:rPr>
        <w:t>5</w:t>
      </w:r>
      <w:r w:rsidRPr="00FD4503">
        <w:rPr>
          <w:rFonts w:asciiTheme="minorBidi" w:hAnsiTheme="minorBidi"/>
          <w:b/>
          <w:bCs/>
          <w:sz w:val="20"/>
          <w:szCs w:val="20"/>
        </w:rPr>
        <w:fldChar w:fldCharType="end"/>
      </w:r>
      <w:r w:rsidRPr="00FD4503">
        <w:rPr>
          <w:rFonts w:asciiTheme="minorBidi" w:hAnsiTheme="minorBidi"/>
          <w:b/>
          <w:bCs/>
          <w:sz w:val="20"/>
          <w:szCs w:val="20"/>
        </w:rPr>
        <w:t>: Forest plot comparison shows the pooled comparison effect of intravenous iron versus placebo/standard of care groups on the postoperative infection occurrence (random effects model).</w:t>
      </w:r>
      <w:bookmarkEnd w:id="103"/>
      <w:bookmarkEnd w:id="104"/>
      <w:bookmarkEnd w:id="105"/>
      <w:bookmarkEnd w:id="106"/>
    </w:p>
    <w:p w14:paraId="6B1064E4" w14:textId="77777777" w:rsidR="00FD4503" w:rsidRPr="00B258CB" w:rsidRDefault="00FD4503" w:rsidP="00FD4503">
      <w:pPr>
        <w:rPr>
          <w:rFonts w:asciiTheme="minorBidi" w:hAnsiTheme="minorBidi"/>
          <w:sz w:val="20"/>
          <w:szCs w:val="20"/>
        </w:rPr>
      </w:pPr>
    </w:p>
    <w:p w14:paraId="6EFB7BF5" w14:textId="77777777" w:rsidR="00FD4503" w:rsidRPr="00843D95" w:rsidRDefault="00FD4503" w:rsidP="00FD4503">
      <w:pPr>
        <w:rPr>
          <w:rFonts w:asciiTheme="minorBidi" w:hAnsiTheme="minorBidi"/>
          <w:sz w:val="20"/>
          <w:szCs w:val="20"/>
        </w:rPr>
      </w:pPr>
      <w:r w:rsidRPr="00B258CB">
        <w:rPr>
          <w:rFonts w:asciiTheme="minorBidi" w:hAnsiTheme="minorBidi"/>
          <w:noProof/>
          <w:sz w:val="20"/>
          <w:szCs w:val="20"/>
          <w:lang w:val="en-US"/>
        </w:rPr>
        <w:drawing>
          <wp:inline distT="0" distB="0" distL="0" distR="0" wp14:anchorId="730AD10E" wp14:editId="0102FA3B">
            <wp:extent cx="8229600" cy="1457325"/>
            <wp:effectExtent l="0" t="0" r="0" b="3175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the postoperative infection occurrence .emf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F4D08" w14:textId="77777777" w:rsidR="00FD4503" w:rsidRPr="00843D95" w:rsidRDefault="00FD4503" w:rsidP="00FD4503">
      <w:pPr>
        <w:pStyle w:val="MyDoubleSpaceParagraph"/>
        <w:ind w:firstLine="0"/>
        <w:rPr>
          <w:rFonts w:asciiTheme="minorBidi" w:hAnsiTheme="minorBidi" w:cstheme="minorBidi"/>
          <w:b/>
          <w:smallCaps/>
          <w:sz w:val="20"/>
          <w:szCs w:val="20"/>
        </w:rPr>
      </w:pPr>
    </w:p>
    <w:p w14:paraId="0B69512B" w14:textId="228DB1DB" w:rsidR="0049356E" w:rsidRPr="007C33A8" w:rsidRDefault="00FD4503" w:rsidP="00FB35CD">
      <w:pPr>
        <w:rPr>
          <w:rFonts w:asciiTheme="minorBidi" w:hAnsiTheme="minorBidi" w:cstheme="minorBidi"/>
          <w:sz w:val="20"/>
          <w:szCs w:val="20"/>
        </w:rPr>
      </w:pPr>
      <w:r>
        <w:rPr>
          <w:rFonts w:asciiTheme="minorBidi" w:hAnsiTheme="minorBidi"/>
          <w:sz w:val="20"/>
          <w:szCs w:val="20"/>
        </w:rPr>
        <w:t xml:space="preserve"> </w:t>
      </w:r>
    </w:p>
    <w:sectPr w:rsidR="0049356E" w:rsidRPr="007C33A8" w:rsidSect="007F42DE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FD3DE9"/>
    <w:multiLevelType w:val="multilevel"/>
    <w:tmpl w:val="FB36E46A"/>
    <w:lvl w:ilvl="0">
      <w:start w:val="1"/>
      <w:numFmt w:val="decimal"/>
      <w:pStyle w:val="MyHeading1"/>
      <w:lvlText w:val="%1."/>
      <w:lvlJc w:val="left"/>
      <w:pPr>
        <w:tabs>
          <w:tab w:val="num" w:pos="788"/>
        </w:tabs>
        <w:ind w:left="644" w:firstLine="0"/>
      </w:pPr>
      <w:rPr>
        <w:rFonts w:ascii="Cambria" w:hAnsi="Cambria" w:hint="default"/>
        <w:b/>
        <w:i w:val="0"/>
        <w:color w:val="FFFFFF"/>
        <w:sz w:val="32"/>
      </w:rPr>
    </w:lvl>
    <w:lvl w:ilvl="1">
      <w:start w:val="1"/>
      <w:numFmt w:val="decimal"/>
      <w:pStyle w:val="MyHeading2"/>
      <w:lvlText w:val="%1.%2."/>
      <w:lvlJc w:val="left"/>
      <w:pPr>
        <w:tabs>
          <w:tab w:val="num" w:pos="144"/>
        </w:tabs>
        <w:ind w:left="0" w:firstLine="0"/>
      </w:pPr>
      <w:rPr>
        <w:rFonts w:hint="default"/>
      </w:rPr>
    </w:lvl>
    <w:lvl w:ilvl="2">
      <w:start w:val="1"/>
      <w:numFmt w:val="decimal"/>
      <w:pStyle w:val="MyHeading3"/>
      <w:lvlText w:val="%1.%2.%3."/>
      <w:lvlJc w:val="left"/>
      <w:pPr>
        <w:tabs>
          <w:tab w:val="num" w:pos="144"/>
        </w:tabs>
        <w:ind w:left="0" w:firstLine="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88"/>
        </w:tabs>
        <w:ind w:left="644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7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8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4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9D9"/>
    <w:rsid w:val="00097B9D"/>
    <w:rsid w:val="00145EEE"/>
    <w:rsid w:val="002254DE"/>
    <w:rsid w:val="003365C8"/>
    <w:rsid w:val="003B558D"/>
    <w:rsid w:val="0049356E"/>
    <w:rsid w:val="004E5E08"/>
    <w:rsid w:val="005C02C5"/>
    <w:rsid w:val="005E09D9"/>
    <w:rsid w:val="00606F04"/>
    <w:rsid w:val="0069513A"/>
    <w:rsid w:val="007C33A8"/>
    <w:rsid w:val="007D3CCB"/>
    <w:rsid w:val="007F42DE"/>
    <w:rsid w:val="009603CF"/>
    <w:rsid w:val="00982C3E"/>
    <w:rsid w:val="009D74E3"/>
    <w:rsid w:val="00A5120B"/>
    <w:rsid w:val="00B12714"/>
    <w:rsid w:val="00BE0734"/>
    <w:rsid w:val="00C054B5"/>
    <w:rsid w:val="00CE7762"/>
    <w:rsid w:val="00D55BF4"/>
    <w:rsid w:val="00E07C90"/>
    <w:rsid w:val="00E20430"/>
    <w:rsid w:val="00F102A8"/>
    <w:rsid w:val="00F44CF3"/>
    <w:rsid w:val="00FB35CD"/>
    <w:rsid w:val="00FD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D7C055B"/>
  <w14:defaultImageDpi w14:val="300"/>
  <w15:docId w15:val="{AF3C2C54-C54F-EB42-8AFA-397D0CF4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734"/>
    <w:rPr>
      <w:rFonts w:ascii="Times New Roman" w:eastAsia="Times New Roman" w:hAnsi="Times New Roman" w:cs="Times New Roman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7C9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02C5"/>
    <w:rPr>
      <w:rFonts w:ascii="Lucida Grande" w:eastAsiaTheme="minorEastAsia" w:hAnsi="Lucida Grande" w:cs="Lucida Grande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2C5"/>
    <w:rPr>
      <w:rFonts w:ascii="Lucida Grande" w:hAnsi="Lucida Grande" w:cs="Lucida Grande"/>
      <w:sz w:val="18"/>
      <w:szCs w:val="18"/>
    </w:rPr>
  </w:style>
  <w:style w:type="paragraph" w:customStyle="1" w:styleId="MyHeading2">
    <w:name w:val="My Heading 2"/>
    <w:qFormat/>
    <w:rsid w:val="00E07C90"/>
    <w:pPr>
      <w:numPr>
        <w:ilvl w:val="1"/>
        <w:numId w:val="1"/>
      </w:numPr>
      <w:spacing w:line="480" w:lineRule="auto"/>
      <w:outlineLvl w:val="1"/>
    </w:pPr>
    <w:rPr>
      <w:rFonts w:ascii="Arial" w:eastAsia="Calibri" w:hAnsi="Arial" w:cs="Times New Roman"/>
      <w:b/>
      <w:smallCaps/>
      <w:sz w:val="28"/>
      <w:szCs w:val="28"/>
      <w:lang w:val="en-US"/>
    </w:rPr>
  </w:style>
  <w:style w:type="paragraph" w:customStyle="1" w:styleId="MyHeading3">
    <w:name w:val="My Heading 3"/>
    <w:link w:val="MyHeading3Char"/>
    <w:qFormat/>
    <w:rsid w:val="00E07C90"/>
    <w:pPr>
      <w:numPr>
        <w:ilvl w:val="2"/>
        <w:numId w:val="1"/>
      </w:numPr>
      <w:spacing w:line="480" w:lineRule="auto"/>
    </w:pPr>
    <w:rPr>
      <w:rFonts w:ascii="Arial" w:eastAsia="Times New Roman" w:hAnsi="Arial" w:cs="Times New Roman"/>
      <w:b/>
      <w:lang w:val="en-US"/>
    </w:rPr>
  </w:style>
  <w:style w:type="character" w:customStyle="1" w:styleId="MyHeading3Char">
    <w:name w:val="My Heading 3 Char"/>
    <w:link w:val="MyHeading3"/>
    <w:rsid w:val="00E07C90"/>
    <w:rPr>
      <w:rFonts w:ascii="Arial" w:eastAsia="Times New Roman" w:hAnsi="Arial" w:cs="Times New Roman"/>
      <w:b/>
      <w:lang w:val="en-US"/>
    </w:rPr>
  </w:style>
  <w:style w:type="paragraph" w:customStyle="1" w:styleId="MyHeading1">
    <w:name w:val="My Heading 1"/>
    <w:basedOn w:val="Heading1"/>
    <w:qFormat/>
    <w:rsid w:val="00E07C90"/>
    <w:pPr>
      <w:keepLines w:val="0"/>
      <w:pageBreakBefore/>
      <w:numPr>
        <w:numId w:val="1"/>
      </w:numPr>
      <w:spacing w:after="60" w:line="480" w:lineRule="auto"/>
      <w:jc w:val="center"/>
    </w:pPr>
    <w:rPr>
      <w:rFonts w:ascii="Arial" w:eastAsia="Times New Roman" w:hAnsi="Arial" w:cs="Arial"/>
      <w:bCs/>
      <w:caps/>
      <w:noProof/>
      <w:color w:val="auto"/>
      <w:kern w:val="32"/>
      <w:szCs w:val="20"/>
      <w:u w:val="single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07C9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CA"/>
    </w:rPr>
  </w:style>
  <w:style w:type="paragraph" w:customStyle="1" w:styleId="MyDoubleSpaceParagraph">
    <w:name w:val="MyDoubleSpaceParagraph"/>
    <w:link w:val="MyDoubleSpaceParagraphChar"/>
    <w:qFormat/>
    <w:rsid w:val="0049356E"/>
    <w:pPr>
      <w:spacing w:after="360" w:line="480" w:lineRule="auto"/>
      <w:ind w:firstLine="720"/>
      <w:contextualSpacing/>
      <w:jc w:val="both"/>
    </w:pPr>
    <w:rPr>
      <w:rFonts w:ascii="Arial" w:eastAsia="Calibri" w:hAnsi="Arial" w:cs="Arial"/>
      <w:lang w:val="en-US"/>
    </w:rPr>
  </w:style>
  <w:style w:type="character" w:customStyle="1" w:styleId="MyDoubleSpaceParagraphChar">
    <w:name w:val="MyDoubleSpaceParagraph Char"/>
    <w:link w:val="MyDoubleSpaceParagraph"/>
    <w:rsid w:val="0049356E"/>
    <w:rPr>
      <w:rFonts w:ascii="Arial" w:eastAsia="Calibri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26" Type="http://schemas.openxmlformats.org/officeDocument/2006/relationships/image" Target="media/image22.emf"/><Relationship Id="rId39" Type="http://schemas.openxmlformats.org/officeDocument/2006/relationships/image" Target="media/image35.emf"/><Relationship Id="rId21" Type="http://schemas.openxmlformats.org/officeDocument/2006/relationships/image" Target="media/image17.emf"/><Relationship Id="rId34" Type="http://schemas.openxmlformats.org/officeDocument/2006/relationships/image" Target="media/image30.emf"/><Relationship Id="rId42" Type="http://schemas.openxmlformats.org/officeDocument/2006/relationships/image" Target="media/image38.emf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29" Type="http://schemas.openxmlformats.org/officeDocument/2006/relationships/image" Target="media/image25.emf"/><Relationship Id="rId41" Type="http://schemas.openxmlformats.org/officeDocument/2006/relationships/image" Target="media/image37.e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image" Target="media/image20.emf"/><Relationship Id="rId32" Type="http://schemas.openxmlformats.org/officeDocument/2006/relationships/image" Target="media/image28.emf"/><Relationship Id="rId37" Type="http://schemas.openxmlformats.org/officeDocument/2006/relationships/image" Target="media/image33.emf"/><Relationship Id="rId40" Type="http://schemas.openxmlformats.org/officeDocument/2006/relationships/image" Target="media/image36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image" Target="media/image19.emf"/><Relationship Id="rId28" Type="http://schemas.openxmlformats.org/officeDocument/2006/relationships/image" Target="media/image24.emf"/><Relationship Id="rId36" Type="http://schemas.openxmlformats.org/officeDocument/2006/relationships/image" Target="media/image32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31" Type="http://schemas.openxmlformats.org/officeDocument/2006/relationships/image" Target="media/image27.emf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Relationship Id="rId27" Type="http://schemas.openxmlformats.org/officeDocument/2006/relationships/image" Target="media/image23.emf"/><Relationship Id="rId30" Type="http://schemas.openxmlformats.org/officeDocument/2006/relationships/image" Target="media/image26.emf"/><Relationship Id="rId35" Type="http://schemas.openxmlformats.org/officeDocument/2006/relationships/image" Target="media/image31.emf"/><Relationship Id="rId43" Type="http://schemas.openxmlformats.org/officeDocument/2006/relationships/fontTable" Target="fontTable.xml"/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5" Type="http://schemas.openxmlformats.org/officeDocument/2006/relationships/image" Target="media/image21.emf"/><Relationship Id="rId33" Type="http://schemas.openxmlformats.org/officeDocument/2006/relationships/image" Target="media/image29.emf"/><Relationship Id="rId38" Type="http://schemas.openxmlformats.org/officeDocument/2006/relationships/image" Target="media/image3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21</Pages>
  <Words>1444</Words>
  <Characters>8237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 of A</Company>
  <LinksUpToDate>false</LinksUpToDate>
  <CharactersWithSpaces>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abdelsalam elhenawy</dc:creator>
  <cp:keywords/>
  <dc:description/>
  <cp:lastModifiedBy>Microsoft Office User</cp:lastModifiedBy>
  <cp:revision>13</cp:revision>
  <dcterms:created xsi:type="dcterms:W3CDTF">2020-10-26T22:30:00Z</dcterms:created>
  <dcterms:modified xsi:type="dcterms:W3CDTF">2020-10-27T02:05:00Z</dcterms:modified>
</cp:coreProperties>
</file>