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Hoofdtekst"/>
        <w:jc w:val="center"/>
        <w:rPr>
          <w:rFonts w:ascii="Helvetica" w:cs="Helvetica" w:hAnsi="Helvetica" w:eastAsia="Helvetica"/>
          <w:sz w:val="30"/>
          <w:szCs w:val="30"/>
        </w:rPr>
      </w:pPr>
      <w:r>
        <w:rPr>
          <w:rFonts w:ascii="Helvetica" w:hAnsi="Helvetica"/>
          <w:sz w:val="30"/>
          <w:szCs w:val="30"/>
          <w:rtl w:val="0"/>
          <w:lang w:val="es-ES_tradnl"/>
        </w:rPr>
        <w:t xml:space="preserve">APPENDIX </w:t>
      </w:r>
      <w:r>
        <w:rPr>
          <w:rFonts w:ascii="Helvetica" w:hAnsi="Helvetica"/>
          <w:sz w:val="30"/>
          <w:szCs w:val="30"/>
          <w:rtl w:val="0"/>
          <w:lang w:val="nl-NL"/>
        </w:rPr>
        <w:t>5</w:t>
      </w:r>
      <w:r>
        <w:rPr>
          <w:rFonts w:ascii="Helvetica" w:hAnsi="Helvetica"/>
          <w:sz w:val="30"/>
          <w:szCs w:val="30"/>
          <w:rtl w:val="0"/>
        </w:rPr>
        <w:t xml:space="preserve"> </w:t>
      </w:r>
      <w:r>
        <w:rPr>
          <w:rFonts w:ascii="Helvetica" w:hAnsi="Helvetica" w:hint="default"/>
          <w:sz w:val="30"/>
          <w:szCs w:val="30"/>
          <w:rtl w:val="0"/>
          <w:lang w:val="en-US"/>
        </w:rPr>
        <w:t xml:space="preserve">– </w:t>
      </w:r>
      <w:r>
        <w:rPr>
          <w:rFonts w:ascii="Helvetica" w:hAnsi="Helvetica"/>
          <w:sz w:val="30"/>
          <w:szCs w:val="30"/>
          <w:rtl w:val="0"/>
          <w:lang w:val="fr-FR"/>
        </w:rPr>
        <w:t>VERTIGO QUESTIONNAIRES</w:t>
      </w:r>
    </w:p>
    <w:tbl>
      <w:tblPr>
        <w:tblW w:w="13985"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796"/>
        <w:gridCol w:w="2797"/>
        <w:gridCol w:w="2798"/>
        <w:gridCol w:w="2797"/>
        <w:gridCol w:w="2797"/>
      </w:tblGrid>
      <w:tr>
        <w:tblPrEx>
          <w:shd w:val="clear" w:color="auto" w:fill="ced7e7"/>
        </w:tblPrEx>
        <w:trPr>
          <w:trHeight w:val="420" w:hRule="atLeast"/>
        </w:trPr>
        <w:tc>
          <w:tcPr>
            <w:tcW w:type="dxa" w:w="2796"/>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tc>
        <w:tc>
          <w:tcPr>
            <w:tcW w:type="dxa" w:w="2796"/>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b w:val="1"/>
                <w:bCs w:val="1"/>
                <w:sz w:val="16"/>
                <w:szCs w:val="16"/>
                <w:rtl w:val="0"/>
                <w:lang w:val="en-US"/>
              </w:rPr>
              <w:t>Dizziness Handicap Inventory</w:t>
            </w:r>
          </w:p>
        </w:tc>
        <w:tc>
          <w:tcPr>
            <w:tcW w:type="dxa" w:w="2797"/>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b w:val="1"/>
                <w:bCs w:val="1"/>
                <w:sz w:val="16"/>
                <w:szCs w:val="16"/>
                <w:rtl w:val="0"/>
                <w:lang w:val="en-US"/>
              </w:rPr>
              <w:t>Dizziness Handicap Inventory - Screening Version</w:t>
            </w:r>
          </w:p>
        </w:tc>
        <w:tc>
          <w:tcPr>
            <w:tcW w:type="dxa" w:w="2796"/>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b w:val="1"/>
                <w:bCs w:val="1"/>
                <w:sz w:val="16"/>
                <w:szCs w:val="16"/>
                <w:rtl w:val="0"/>
                <w:lang w:val="en-US"/>
              </w:rPr>
              <w:t>Dizziness Handicap Inventory - Short Form</w:t>
            </w:r>
          </w:p>
        </w:tc>
        <w:tc>
          <w:tcPr>
            <w:tcW w:type="dxa" w:w="2797"/>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b w:val="1"/>
                <w:bCs w:val="1"/>
                <w:sz w:val="16"/>
                <w:szCs w:val="16"/>
                <w:rtl w:val="0"/>
                <w:lang w:val="en-US"/>
              </w:rPr>
              <w:t>University of California Los Angeles Dizziness Questionnaire</w:t>
            </w:r>
          </w:p>
        </w:tc>
      </w:tr>
      <w:tr>
        <w:tblPrEx>
          <w:shd w:val="clear" w:color="auto" w:fill="ced7e7"/>
        </w:tblPrEx>
        <w:trPr>
          <w:trHeight w:val="220" w:hRule="atLeast"/>
        </w:trPr>
        <w:tc>
          <w:tcPr>
            <w:tcW w:type="dxa" w:w="2796"/>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b w:val="1"/>
                <w:bCs w:val="1"/>
                <w:sz w:val="16"/>
                <w:szCs w:val="16"/>
                <w:rtl w:val="0"/>
                <w:lang w:val="en-US"/>
              </w:rPr>
              <w:t>Author (year)</w:t>
            </w:r>
          </w:p>
        </w:tc>
        <w:tc>
          <w:tcPr>
            <w:tcW w:type="dxa" w:w="2796"/>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sz w:val="16"/>
                <w:szCs w:val="16"/>
                <w:rtl w:val="0"/>
                <w:lang w:val="es-ES_tradnl"/>
              </w:rPr>
              <w:t>Jacobson GP (1990)</w:t>
            </w:r>
            <w:r>
              <w:rPr>
                <w:sz w:val="16"/>
                <w:szCs w:val="16"/>
                <w:vertAlign w:val="superscript"/>
                <w:rtl w:val="0"/>
                <w:lang w:val="nl-NL"/>
              </w:rPr>
              <w:t>1</w:t>
            </w:r>
          </w:p>
        </w:tc>
        <w:tc>
          <w:tcPr>
            <w:tcW w:type="dxa" w:w="2797"/>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sz w:val="16"/>
                <w:szCs w:val="16"/>
                <w:rtl w:val="0"/>
                <w:lang w:val="es-ES_tradnl"/>
              </w:rPr>
              <w:t>Jacobson GP (199</w:t>
            </w:r>
            <w:r>
              <w:rPr>
                <w:sz w:val="16"/>
                <w:szCs w:val="16"/>
                <w:rtl w:val="0"/>
                <w:lang w:val="nl-NL"/>
              </w:rPr>
              <w:t>8</w:t>
            </w:r>
            <w:r>
              <w:rPr>
                <w:sz w:val="16"/>
                <w:szCs w:val="16"/>
                <w:rtl w:val="0"/>
                <w:lang w:val="en-US"/>
              </w:rPr>
              <w:t>)</w:t>
            </w:r>
            <w:r>
              <w:rPr>
                <w:sz w:val="16"/>
                <w:szCs w:val="16"/>
                <w:vertAlign w:val="superscript"/>
                <w:rtl w:val="0"/>
                <w:lang w:val="nl-NL"/>
              </w:rPr>
              <w:t>2</w:t>
            </w:r>
          </w:p>
        </w:tc>
        <w:tc>
          <w:tcPr>
            <w:tcW w:type="dxa" w:w="2796"/>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sz w:val="16"/>
                <w:szCs w:val="16"/>
                <w:rtl w:val="0"/>
                <w:lang w:val="it-IT"/>
              </w:rPr>
              <w:t>Tesio L (1999)</w:t>
            </w:r>
            <w:r>
              <w:rPr>
                <w:sz w:val="16"/>
                <w:szCs w:val="16"/>
                <w:vertAlign w:val="superscript"/>
                <w:rtl w:val="0"/>
                <w:lang w:val="nl-NL"/>
              </w:rPr>
              <w:t>3</w:t>
            </w:r>
          </w:p>
        </w:tc>
        <w:tc>
          <w:tcPr>
            <w:tcW w:type="dxa" w:w="2797"/>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sz w:val="16"/>
                <w:szCs w:val="16"/>
                <w:rtl w:val="0"/>
                <w:lang w:val="nl-NL"/>
              </w:rPr>
              <w:t>Honrubia V (1996)</w:t>
            </w:r>
            <w:r>
              <w:rPr>
                <w:sz w:val="16"/>
                <w:szCs w:val="16"/>
                <w:vertAlign w:val="superscript"/>
                <w:rtl w:val="0"/>
                <w:lang w:val="nl-NL"/>
              </w:rPr>
              <w:t>4</w:t>
            </w:r>
          </w:p>
        </w:tc>
      </w:tr>
      <w:tr>
        <w:tblPrEx>
          <w:shd w:val="clear" w:color="auto" w:fill="ced7e7"/>
        </w:tblPrEx>
        <w:trPr>
          <w:trHeight w:val="810" w:hRule="atLeast"/>
        </w:trPr>
        <w:tc>
          <w:tcPr>
            <w:tcW w:type="dxa" w:w="2796"/>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w:cs="Calibri" w:hAnsi="Helvetica" w:eastAsia="Calibri"/>
                <w:b w:val="1"/>
                <w:bCs w:val="1"/>
                <w:i w:val="0"/>
                <w:iCs w:val="0"/>
                <w:caps w:val="0"/>
                <w:smallCaps w:val="0"/>
                <w:strike w:val="0"/>
                <w:dstrike w:val="0"/>
                <w:outline w:val="0"/>
                <w:color w:val="000000"/>
                <w:spacing w:val="0"/>
                <w:kern w:val="0"/>
                <w:position w:val="0"/>
                <w:sz w:val="16"/>
                <w:szCs w:val="16"/>
                <w:u w:val="none" w:color="000000"/>
                <w:vertAlign w:val="baseline"/>
                <w:rtl w:val="0"/>
              </w:rPr>
              <w:t>Country (institution)</w:t>
            </w:r>
          </w:p>
        </w:tc>
        <w:tc>
          <w:tcPr>
            <w:tcW w:type="dxa" w:w="2796"/>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w:cs="Calibri" w:hAnsi="Helvetica" w:eastAsia="Calibri"/>
                <w:b w:val="0"/>
                <w:bCs w:val="0"/>
                <w:i w:val="0"/>
                <w:iCs w:val="0"/>
                <w:caps w:val="0"/>
                <w:smallCaps w:val="0"/>
                <w:strike w:val="0"/>
                <w:dstrike w:val="0"/>
                <w:outline w:val="0"/>
                <w:color w:val="000000"/>
                <w:spacing w:val="0"/>
                <w:kern w:val="0"/>
                <w:position w:val="0"/>
                <w:sz w:val="16"/>
                <w:szCs w:val="16"/>
                <w:u w:val="none" w:color="000000"/>
                <w:vertAlign w:val="baseline"/>
                <w:rtl w:val="0"/>
              </w:rPr>
              <w:t>USA (Division of Audiology, Henry Ford Hospital, Detroit, Michigan)</w:t>
            </w:r>
          </w:p>
        </w:tc>
        <w:tc>
          <w:tcPr>
            <w:tcW w:type="dxa" w:w="2797"/>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rPr>
              <w:t>USA (Division of Audiology, Henry Ford Hospital, Detroit, Michigan)</w:t>
            </w:r>
          </w:p>
        </w:tc>
        <w:tc>
          <w:tcPr>
            <w:tcW w:type="dxa" w:w="2796"/>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rPr>
              <w:t>ITA (Department of Rehabilitation and Research, Pavia)</w:t>
            </w:r>
          </w:p>
        </w:tc>
        <w:tc>
          <w:tcPr>
            <w:tcW w:type="dxa" w:w="2797"/>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rPr>
              <w:t>USA (Victor Goodhill Ear Center, Division of Head and Neck Surgery, UCLA School of Medicine, Los Angeles)</w:t>
            </w:r>
          </w:p>
        </w:tc>
      </w:tr>
      <w:tr>
        <w:tblPrEx>
          <w:shd w:val="clear" w:color="auto" w:fill="ced7e7"/>
        </w:tblPrEx>
        <w:trPr>
          <w:trHeight w:val="1050" w:hRule="atLeast"/>
        </w:trPr>
        <w:tc>
          <w:tcPr>
            <w:tcW w:type="dxa" w:w="2796"/>
            <w:tcBorders>
              <w:top w:val="nil"/>
              <w:left w:val="nil"/>
              <w:bottom w:val="nil"/>
              <w:right w:val="nil"/>
            </w:tcBorders>
            <w:shd w:val="clear" w:color="auto" w:fill="auto"/>
            <w:tcMar>
              <w:top w:type="dxa" w:w="80"/>
              <w:left w:type="dxa" w:w="80"/>
              <w:bottom w:type="dxa" w:w="80"/>
              <w:right w:type="dxa" w:w="80"/>
            </w:tcMar>
            <w:vAlign w:val="top"/>
          </w:tcPr>
          <w:p>
            <w:pPr>
              <w:pStyle w:val="Standaard"/>
            </w:pPr>
            <w:r>
              <w:rPr>
                <w:b w:val="1"/>
                <w:bCs w:val="1"/>
                <w:sz w:val="16"/>
                <w:szCs w:val="16"/>
                <w:rtl w:val="0"/>
                <w:lang w:val="en-US"/>
              </w:rPr>
              <w:t>Description</w:t>
            </w:r>
          </w:p>
        </w:tc>
        <w:tc>
          <w:tcPr>
            <w:tcW w:type="dxa" w:w="2796"/>
            <w:tcBorders>
              <w:top w:val="nil"/>
              <w:left w:val="nil"/>
              <w:bottom w:val="nil"/>
              <w:right w:val="nil"/>
            </w:tcBorders>
            <w:shd w:val="clear" w:color="auto" w:fill="auto"/>
            <w:tcMar>
              <w:top w:type="dxa" w:w="80"/>
              <w:left w:type="dxa" w:w="80"/>
              <w:bottom w:type="dxa" w:w="80"/>
              <w:right w:type="dxa" w:w="80"/>
            </w:tcMar>
            <w:vAlign w:val="top"/>
          </w:tcPr>
          <w:p>
            <w:pPr>
              <w:pStyle w:val="Standaard"/>
            </w:pPr>
            <w:r>
              <w:rPr>
                <w:sz w:val="16"/>
                <w:szCs w:val="16"/>
                <w:rtl w:val="0"/>
                <w:lang w:val="en-US"/>
              </w:rPr>
              <w:t>Assessment of the self-perceived handicapping effects imposed by vestibular system disease.</w:t>
            </w:r>
          </w:p>
        </w:tc>
        <w:tc>
          <w:tcPr>
            <w:tcW w:type="dxa" w:w="2797"/>
            <w:tcBorders>
              <w:top w:val="nil"/>
              <w:left w:val="nil"/>
              <w:bottom w:val="nil"/>
              <w:right w:val="nil"/>
            </w:tcBorders>
            <w:shd w:val="clear" w:color="auto" w:fill="auto"/>
            <w:tcMar>
              <w:top w:type="dxa" w:w="80"/>
              <w:left w:type="dxa" w:w="80"/>
              <w:bottom w:type="dxa" w:w="80"/>
              <w:right w:type="dxa" w:w="80"/>
            </w:tcMar>
            <w:vAlign w:val="top"/>
          </w:tcPr>
          <w:p>
            <w:pPr>
              <w:pStyle w:val="Standaard"/>
              <w:rPr>
                <w:sz w:val="16"/>
                <w:szCs w:val="16"/>
              </w:rPr>
            </w:pPr>
            <w:r>
              <w:rPr>
                <w:sz w:val="16"/>
                <w:szCs w:val="16"/>
                <w:rtl w:val="0"/>
                <w:lang w:val="en-US"/>
              </w:rPr>
              <w:t>Assessment of self-perceived dizziness disability-handicap.</w:t>
            </w:r>
          </w:p>
          <w:p>
            <w:pPr>
              <w:pStyle w:val="Standaard"/>
              <w:rPr>
                <w:sz w:val="16"/>
                <w:szCs w:val="16"/>
                <w:lang w:val="en-US"/>
              </w:rPr>
            </w:pPr>
          </w:p>
          <w:p>
            <w:pPr>
              <w:pStyle w:val="Standaard"/>
              <w:rPr>
                <w:sz w:val="16"/>
                <w:szCs w:val="16"/>
                <w:lang w:val="en-US"/>
              </w:rPr>
            </w:pPr>
          </w:p>
          <w:p>
            <w:pPr>
              <w:pStyle w:val="Standaard"/>
            </w:pPr>
            <w:r>
              <w:rPr>
                <w:i w:val="1"/>
                <w:iCs w:val="1"/>
                <w:sz w:val="16"/>
                <w:szCs w:val="16"/>
                <w:rtl w:val="0"/>
                <w:lang w:val="en-US"/>
              </w:rPr>
              <w:t>Abbreviated version of the DHI</w:t>
            </w:r>
          </w:p>
        </w:tc>
        <w:tc>
          <w:tcPr>
            <w:tcW w:type="dxa" w:w="2796"/>
            <w:tcBorders>
              <w:top w:val="nil"/>
              <w:left w:val="nil"/>
              <w:bottom w:val="nil"/>
              <w:right w:val="nil"/>
            </w:tcBorders>
            <w:shd w:val="clear" w:color="auto" w:fill="auto"/>
            <w:tcMar>
              <w:top w:type="dxa" w:w="80"/>
              <w:left w:type="dxa" w:w="80"/>
              <w:bottom w:type="dxa" w:w="80"/>
              <w:right w:type="dxa" w:w="80"/>
            </w:tcMar>
            <w:vAlign w:val="top"/>
          </w:tcPr>
          <w:p>
            <w:pPr>
              <w:pStyle w:val="Standaard"/>
              <w:rPr>
                <w:sz w:val="16"/>
                <w:szCs w:val="16"/>
              </w:rPr>
            </w:pPr>
            <w:r>
              <w:rPr>
                <w:sz w:val="16"/>
                <w:szCs w:val="16"/>
                <w:rtl w:val="0"/>
                <w:lang w:val="en-US"/>
              </w:rPr>
              <w:t>Assessment of</w:t>
            </w:r>
            <w:r>
              <w:rPr>
                <w:sz w:val="16"/>
                <w:szCs w:val="16"/>
                <w:rtl w:val="0"/>
                <w:lang w:val="en-US"/>
              </w:rPr>
              <w:t xml:space="preserve"> the severity of self-reported balance deficits</w:t>
            </w:r>
            <w:r>
              <w:rPr>
                <w:sz w:val="16"/>
                <w:szCs w:val="16"/>
                <w:rtl w:val="0"/>
                <w:lang w:val="en-US"/>
              </w:rPr>
              <w:t>.</w:t>
            </w:r>
          </w:p>
          <w:p>
            <w:pPr>
              <w:pStyle w:val="Standaard"/>
              <w:rPr>
                <w:sz w:val="16"/>
                <w:szCs w:val="16"/>
                <w:lang w:val="en-US"/>
              </w:rPr>
            </w:pPr>
          </w:p>
          <w:p>
            <w:pPr>
              <w:pStyle w:val="Standaard"/>
              <w:rPr>
                <w:sz w:val="16"/>
                <w:szCs w:val="16"/>
                <w:lang w:val="en-US"/>
              </w:rPr>
            </w:pPr>
          </w:p>
          <w:p>
            <w:pPr>
              <w:pStyle w:val="Standaard"/>
            </w:pPr>
            <w:r>
              <w:rPr>
                <w:i w:val="1"/>
                <w:iCs w:val="1"/>
                <w:sz w:val="16"/>
                <w:szCs w:val="16"/>
                <w:rtl w:val="0"/>
                <w:lang w:val="en-US"/>
              </w:rPr>
              <w:t>Abbreviated version of the DHI</w:t>
            </w:r>
          </w:p>
        </w:tc>
        <w:tc>
          <w:tcPr>
            <w:tcW w:type="dxa" w:w="2797"/>
            <w:tcBorders>
              <w:top w:val="nil"/>
              <w:left w:val="nil"/>
              <w:bottom w:val="nil"/>
              <w:right w:val="nil"/>
            </w:tcBorders>
            <w:shd w:val="clear" w:color="auto" w:fill="auto"/>
            <w:tcMar>
              <w:top w:type="dxa" w:w="80"/>
              <w:left w:type="dxa" w:w="80"/>
              <w:bottom w:type="dxa" w:w="80"/>
              <w:right w:type="dxa" w:w="80"/>
            </w:tcMar>
            <w:vAlign w:val="top"/>
          </w:tcPr>
          <w:p>
            <w:pPr>
              <w:pStyle w:val="Standaard"/>
            </w:pPr>
            <w:r>
              <w:rPr>
                <w:sz w:val="16"/>
                <w:szCs w:val="16"/>
                <w:rtl w:val="0"/>
                <w:lang w:val="en-US"/>
              </w:rPr>
              <w:t>Assessment of the physical, functional and emotional impact of dizziness</w:t>
            </w:r>
            <w:r>
              <w:rPr>
                <w:sz w:val="16"/>
                <w:szCs w:val="16"/>
                <w:rtl w:val="0"/>
                <w:lang w:val="nl-NL"/>
              </w:rPr>
              <w:t>.</w:t>
            </w:r>
          </w:p>
        </w:tc>
      </w:tr>
      <w:tr>
        <w:tblPrEx>
          <w:shd w:val="clear" w:color="auto" w:fill="ced7e7"/>
        </w:tblPrEx>
        <w:trPr>
          <w:trHeight w:val="1200" w:hRule="atLeast"/>
        </w:trPr>
        <w:tc>
          <w:tcPr>
            <w:tcW w:type="dxa" w:w="2796"/>
            <w:tcBorders>
              <w:top w:val="nil"/>
              <w:left w:val="nil"/>
              <w:bottom w:val="nil"/>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Fonts w:ascii="Helvetica" w:cs="Helvetica" w:hAnsi="Helvetica" w:eastAsia="Helvetica"/>
                <w:b w:val="1"/>
                <w:bCs w:val="1"/>
                <w:i w:val="0"/>
                <w:iCs w:val="0"/>
                <w:caps w:val="0"/>
                <w:smallCaps w:val="0"/>
                <w:strike w:val="0"/>
                <w:dstrike w:val="0"/>
                <w:outline w:val="0"/>
                <w:color w:val="000000"/>
                <w:spacing w:val="0"/>
                <w:kern w:val="0"/>
                <w:position w:val="0"/>
                <w:sz w:val="16"/>
                <w:szCs w:val="16"/>
                <w:u w:val="none" w:color="000000"/>
                <w:vertAlign w:val="baseline"/>
                <w:rtl w:val="0"/>
              </w:rPr>
            </w:pPr>
            <w:r>
              <w:rPr>
                <w:rFonts w:ascii="Helvetica" w:cs="Calibri" w:hAnsi="Helvetica" w:eastAsia="Calibri"/>
                <w:b w:val="1"/>
                <w:bCs w:val="1"/>
                <w:i w:val="0"/>
                <w:iCs w:val="0"/>
                <w:caps w:val="0"/>
                <w:smallCaps w:val="0"/>
                <w:strike w:val="0"/>
                <w:dstrike w:val="0"/>
                <w:outline w:val="0"/>
                <w:color w:val="000000"/>
                <w:spacing w:val="0"/>
                <w:kern w:val="0"/>
                <w:position w:val="0"/>
                <w:sz w:val="16"/>
                <w:szCs w:val="16"/>
                <w:u w:val="none" w:color="000000"/>
                <w:vertAlign w:val="baseline"/>
                <w:rtl w:val="0"/>
                <w:lang w:val="en-US"/>
              </w:rPr>
              <w:t>Study population</w:t>
            </w:r>
          </w:p>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w:cs="Calibri" w:hAnsi="Helvetica" w:eastAsia="Calibri"/>
                <w:b w:val="1"/>
                <w:bCs w:val="1"/>
                <w:i w:val="1"/>
                <w:iCs w:val="1"/>
                <w:caps w:val="0"/>
                <w:smallCaps w:val="0"/>
                <w:strike w:val="0"/>
                <w:dstrike w:val="0"/>
                <w:outline w:val="0"/>
                <w:color w:val="000000"/>
                <w:spacing w:val="0"/>
                <w:kern w:val="0"/>
                <w:position w:val="0"/>
                <w:sz w:val="16"/>
                <w:szCs w:val="16"/>
                <w:u w:val="none" w:color="000000"/>
                <w:vertAlign w:val="baseline"/>
                <w:rtl w:val="0"/>
                <w:lang w:val="en-US"/>
              </w:rPr>
              <w:t>mean age</w:t>
            </w:r>
            <w:r>
              <w:rPr>
                <w:rFonts w:ascii="Helvetica" w:cs="Calibri" w:hAnsi="Helvetica" w:eastAsia="Calibri"/>
                <w:b w:val="1"/>
                <w:bCs w:val="1"/>
                <w:i w:val="1"/>
                <w:iCs w:val="1"/>
                <w:caps w:val="0"/>
                <w:smallCaps w:val="0"/>
                <w:strike w:val="0"/>
                <w:dstrike w:val="0"/>
                <w:outline w:val="0"/>
                <w:color w:val="000000"/>
                <w:spacing w:val="0"/>
                <w:kern w:val="0"/>
                <w:position w:val="0"/>
                <w:sz w:val="16"/>
                <w:szCs w:val="16"/>
                <w:u w:val="none" w:color="000000"/>
                <w:vertAlign w:val="baseline"/>
                <w:rtl w:val="0"/>
                <w:lang w:val="nl-NL"/>
              </w:rPr>
              <w:t>, S</w:t>
            </w:r>
            <w:r>
              <w:rPr>
                <w:rFonts w:ascii="Helvetica" w:cs="Calibri" w:hAnsi="Helvetica" w:eastAsia="Calibri"/>
                <w:b w:val="1"/>
                <w:bCs w:val="1"/>
                <w:i w:val="1"/>
                <w:iCs w:val="1"/>
                <w:caps w:val="0"/>
                <w:smallCaps w:val="0"/>
                <w:strike w:val="0"/>
                <w:dstrike w:val="0"/>
                <w:outline w:val="0"/>
                <w:color w:val="000000"/>
                <w:spacing w:val="0"/>
                <w:kern w:val="0"/>
                <w:position w:val="0"/>
                <w:sz w:val="16"/>
                <w:szCs w:val="16"/>
                <w:u w:val="none" w:color="000000"/>
                <w:vertAlign w:val="baseline"/>
                <w:rtl w:val="0"/>
                <w:lang w:val="en-US"/>
              </w:rPr>
              <w:t xml:space="preserve">D, age range, </w:t>
            </w:r>
            <w:r>
              <w:rPr>
                <w:rFonts w:ascii="Helvetica" w:cs="Calibri" w:hAnsi="Helvetica" w:eastAsia="Calibri"/>
                <w:b w:val="1"/>
                <w:bCs w:val="1"/>
                <w:i w:val="1"/>
                <w:iCs w:val="1"/>
                <w:caps w:val="0"/>
                <w:smallCaps w:val="0"/>
                <w:strike w:val="0"/>
                <w:dstrike w:val="0"/>
                <w:outline w:val="0"/>
                <w:color w:val="000000"/>
                <w:spacing w:val="0"/>
                <w:kern w:val="0"/>
                <w:position w:val="0"/>
                <w:sz w:val="16"/>
                <w:szCs w:val="16"/>
                <w:u w:val="none" w:color="000000"/>
                <w:vertAlign w:val="baseline"/>
                <w:rtl w:val="0"/>
                <w:lang w:val="nl-NL"/>
              </w:rPr>
              <w:t xml:space="preserve">  women (%)</w:t>
            </w:r>
          </w:p>
        </w:tc>
        <w:tc>
          <w:tcPr>
            <w:tcW w:type="dxa" w:w="2796"/>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rPr>
              <w:t xml:space="preserve">106 subjects (patients seen for vestibulometric testing): 48yrs, </w:t>
            </w:r>
            <w:r>
              <w:rPr>
                <w:rFonts w:ascii="Calibri" w:cs="Calibri" w:hAnsi="Calibri" w:eastAsia="Calibri"/>
                <w:sz w:val="16"/>
                <w:szCs w:val="16"/>
                <w:rtl w:val="0"/>
              </w:rPr>
              <w:t>±</w:t>
            </w:r>
            <w:r>
              <w:rPr>
                <w:rFonts w:ascii="Calibri" w:cs="Calibri" w:hAnsi="Calibri" w:eastAsia="Calibri"/>
                <w:sz w:val="16"/>
                <w:szCs w:val="16"/>
                <w:rtl w:val="0"/>
              </w:rPr>
              <w:t>16yrs, woman: 62%.</w:t>
            </w:r>
          </w:p>
        </w:tc>
        <w:tc>
          <w:tcPr>
            <w:tcW w:type="dxa" w:w="2797"/>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rPr>
              <w:t>281 subjects (patients seen for balance function testing): 51yrs, range: 10-80yrs, women 60%.</w:t>
            </w:r>
          </w:p>
        </w:tc>
        <w:tc>
          <w:tcPr>
            <w:tcW w:type="dxa" w:w="2796"/>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rPr>
              <w:t xml:space="preserve">55 subjects (outpatients attending otoneurological referral because of dizziness or imbalance): 63yrs, </w:t>
            </w:r>
            <w:r>
              <w:rPr>
                <w:rFonts w:ascii="Calibri" w:cs="Calibri" w:hAnsi="Calibri" w:eastAsia="Calibri"/>
                <w:sz w:val="16"/>
                <w:szCs w:val="16"/>
                <w:rtl w:val="0"/>
              </w:rPr>
              <w:t>±</w:t>
            </w:r>
            <w:r>
              <w:rPr>
                <w:rFonts w:ascii="Calibri" w:cs="Calibri" w:hAnsi="Calibri" w:eastAsia="Calibri"/>
                <w:sz w:val="16"/>
                <w:szCs w:val="16"/>
                <w:rtl w:val="0"/>
              </w:rPr>
              <w:t>13yrs, woman: 78.1%.</w:t>
            </w:r>
          </w:p>
        </w:tc>
        <w:tc>
          <w:tcPr>
            <w:tcW w:type="dxa" w:w="2797"/>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rPr>
              <w:t>343 subjects (dizziness patients: BPPV: 83, miscellaneous peripheral disease: 27, migraine: 98, Meniere</w:t>
            </w:r>
            <w:r>
              <w:rPr>
                <w:rFonts w:ascii="Calibri" w:cs="Calibri" w:hAnsi="Calibri" w:eastAsia="Calibri"/>
                <w:sz w:val="16"/>
                <w:szCs w:val="16"/>
                <w:rtl w:val="0"/>
              </w:rPr>
              <w:t>’</w:t>
            </w:r>
            <w:r>
              <w:rPr>
                <w:rFonts w:ascii="Calibri" w:cs="Calibri" w:hAnsi="Calibri" w:eastAsia="Calibri"/>
                <w:sz w:val="16"/>
                <w:szCs w:val="16"/>
                <w:rtl w:val="0"/>
              </w:rPr>
              <w:t>s: 47, central: 53, psychogenic: 35): 58yrs, range: 18-93yrs, women: 58%.</w:t>
            </w:r>
          </w:p>
        </w:tc>
      </w:tr>
      <w:tr>
        <w:tblPrEx>
          <w:shd w:val="clear" w:color="auto" w:fill="ced7e7"/>
        </w:tblPrEx>
        <w:trPr>
          <w:trHeight w:val="800" w:hRule="atLeast"/>
        </w:trPr>
        <w:tc>
          <w:tcPr>
            <w:tcW w:type="dxa" w:w="2796"/>
            <w:tcBorders>
              <w:top w:val="nil"/>
              <w:left w:val="nil"/>
              <w:bottom w:val="nil"/>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w:cs="Calibri" w:hAnsi="Helvetica" w:eastAsia="Calibri"/>
                <w:b w:val="1"/>
                <w:bCs w:val="1"/>
                <w:i w:val="0"/>
                <w:iCs w:val="0"/>
                <w:caps w:val="0"/>
                <w:smallCaps w:val="0"/>
                <w:strike w:val="0"/>
                <w:dstrike w:val="0"/>
                <w:outline w:val="0"/>
                <w:color w:val="000000"/>
                <w:spacing w:val="0"/>
                <w:kern w:val="0"/>
                <w:position w:val="0"/>
                <w:sz w:val="16"/>
                <w:szCs w:val="16"/>
                <w:u w:val="none" w:color="000000"/>
                <w:vertAlign w:val="baseline"/>
                <w:rtl w:val="0"/>
              </w:rPr>
              <w:t>Item development</w:t>
            </w:r>
          </w:p>
        </w:tc>
        <w:tc>
          <w:tcPr>
            <w:tcW w:type="dxa" w:w="2796"/>
            <w:tcBorders>
              <w:top w:val="nil"/>
              <w:left w:val="nil"/>
              <w:bottom w:val="nil"/>
              <w:right w:val="nil"/>
            </w:tcBorders>
            <w:shd w:val="clear" w:color="auto" w:fill="auto"/>
            <w:tcMar>
              <w:top w:type="dxa" w:w="80"/>
              <w:left w:type="dxa" w:w="80"/>
              <w:bottom w:type="dxa" w:w="80"/>
              <w:right w:type="dxa" w:w="80"/>
            </w:tcMar>
            <w:vAlign w:val="top"/>
          </w:tcPr>
          <w:p>
            <w:pPr>
              <w:pStyle w:val="Standaard"/>
            </w:pPr>
            <w:r>
              <w:rPr>
                <w:rFonts w:ascii="Helvetica" w:hAnsi="Helvetica"/>
                <w:sz w:val="16"/>
                <w:szCs w:val="16"/>
                <w:rtl w:val="0"/>
              </w:rPr>
              <w:t>Items were generated empirically from case-history reports of patients with dizziness.</w:t>
            </w:r>
          </w:p>
        </w:tc>
        <w:tc>
          <w:tcPr>
            <w:tcW w:type="dxa" w:w="2797"/>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rPr>
              <w:t>Items derived from the dizziness handicap inventory. No information on item selection.</w:t>
            </w:r>
          </w:p>
        </w:tc>
        <w:tc>
          <w:tcPr>
            <w:tcW w:type="dxa" w:w="2796"/>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rPr>
              <w:t>Items derived from dizziness handicap inventory. Item selection is based on Rasch analysis.</w:t>
            </w:r>
          </w:p>
        </w:tc>
        <w:tc>
          <w:tcPr>
            <w:tcW w:type="dxa" w:w="2797"/>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rPr>
              <w:t>Items were generated by the authors and adjusted following patient testing and research team discussion.</w:t>
            </w:r>
          </w:p>
        </w:tc>
      </w:tr>
      <w:tr>
        <w:tblPrEx>
          <w:shd w:val="clear" w:color="auto" w:fill="ced7e7"/>
        </w:tblPrEx>
        <w:trPr>
          <w:trHeight w:val="200" w:hRule="atLeast"/>
        </w:trPr>
        <w:tc>
          <w:tcPr>
            <w:tcW w:type="dxa" w:w="2796"/>
            <w:tcBorders>
              <w:top w:val="nil"/>
              <w:left w:val="nil"/>
              <w:bottom w:val="nil"/>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w:cs="Calibri" w:hAnsi="Helvetica" w:eastAsia="Calibri"/>
                <w:b w:val="1"/>
                <w:bCs w:val="1"/>
                <w:i w:val="0"/>
                <w:iCs w:val="0"/>
                <w:caps w:val="0"/>
                <w:smallCaps w:val="0"/>
                <w:strike w:val="0"/>
                <w:dstrike w:val="0"/>
                <w:outline w:val="0"/>
                <w:color w:val="000000"/>
                <w:spacing w:val="0"/>
                <w:kern w:val="0"/>
                <w:position w:val="0"/>
                <w:sz w:val="16"/>
                <w:szCs w:val="16"/>
                <w:u w:val="none" w:color="000000"/>
                <w:vertAlign w:val="baseline"/>
                <w:rtl w:val="0"/>
              </w:rPr>
              <w:t>Items</w:t>
            </w:r>
          </w:p>
        </w:tc>
        <w:tc>
          <w:tcPr>
            <w:tcW w:type="dxa" w:w="2796"/>
            <w:tcBorders>
              <w:top w:val="nil"/>
              <w:left w:val="nil"/>
              <w:bottom w:val="nil"/>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w:cs="Calibri" w:hAnsi="Helvetica" w:eastAsia="Calibri"/>
                <w:b w:val="0"/>
                <w:bCs w:val="0"/>
                <w:i w:val="0"/>
                <w:iCs w:val="0"/>
                <w:caps w:val="0"/>
                <w:smallCaps w:val="0"/>
                <w:strike w:val="0"/>
                <w:dstrike w:val="0"/>
                <w:outline w:val="0"/>
                <w:color w:val="000000"/>
                <w:spacing w:val="0"/>
                <w:kern w:val="0"/>
                <w:position w:val="0"/>
                <w:sz w:val="16"/>
                <w:szCs w:val="16"/>
                <w:u w:val="none" w:color="000000"/>
                <w:vertAlign w:val="baseline"/>
                <w:rtl w:val="0"/>
              </w:rPr>
              <w:t>25 items</w:t>
            </w:r>
          </w:p>
        </w:tc>
        <w:tc>
          <w:tcPr>
            <w:tcW w:type="dxa" w:w="2797"/>
            <w:tcBorders>
              <w:top w:val="nil"/>
              <w:left w:val="nil"/>
              <w:bottom w:val="nil"/>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w:cs="Calibri" w:hAnsi="Helvetica" w:eastAsia="Calibri"/>
                <w:b w:val="0"/>
                <w:bCs w:val="0"/>
                <w:i w:val="0"/>
                <w:iCs w:val="0"/>
                <w:caps w:val="0"/>
                <w:smallCaps w:val="0"/>
                <w:strike w:val="0"/>
                <w:dstrike w:val="0"/>
                <w:outline w:val="0"/>
                <w:color w:val="000000"/>
                <w:spacing w:val="0"/>
                <w:kern w:val="0"/>
                <w:position w:val="0"/>
                <w:sz w:val="16"/>
                <w:szCs w:val="16"/>
                <w:u w:val="none" w:color="000000"/>
                <w:vertAlign w:val="baseline"/>
                <w:rtl w:val="0"/>
              </w:rPr>
              <w:t>10 items</w:t>
            </w:r>
          </w:p>
        </w:tc>
        <w:tc>
          <w:tcPr>
            <w:tcW w:type="dxa" w:w="2796"/>
            <w:tcBorders>
              <w:top w:val="nil"/>
              <w:left w:val="nil"/>
              <w:bottom w:val="nil"/>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w:cs="Calibri" w:hAnsi="Helvetica" w:eastAsia="Calibri"/>
                <w:b w:val="0"/>
                <w:bCs w:val="0"/>
                <w:i w:val="0"/>
                <w:iCs w:val="0"/>
                <w:caps w:val="0"/>
                <w:smallCaps w:val="0"/>
                <w:strike w:val="0"/>
                <w:dstrike w:val="0"/>
                <w:outline w:val="0"/>
                <w:color w:val="000000"/>
                <w:spacing w:val="0"/>
                <w:kern w:val="0"/>
                <w:position w:val="0"/>
                <w:sz w:val="16"/>
                <w:szCs w:val="16"/>
                <w:u w:val="none" w:color="000000"/>
                <w:vertAlign w:val="baseline"/>
                <w:rtl w:val="0"/>
              </w:rPr>
              <w:t>13 items</w:t>
            </w:r>
          </w:p>
        </w:tc>
        <w:tc>
          <w:tcPr>
            <w:tcW w:type="dxa" w:w="2797"/>
            <w:tcBorders>
              <w:top w:val="nil"/>
              <w:left w:val="nil"/>
              <w:bottom w:val="nil"/>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w:cs="Calibri" w:hAnsi="Helvetica" w:eastAsia="Calibri"/>
                <w:b w:val="0"/>
                <w:bCs w:val="0"/>
                <w:i w:val="0"/>
                <w:iCs w:val="0"/>
                <w:caps w:val="0"/>
                <w:smallCaps w:val="0"/>
                <w:strike w:val="0"/>
                <w:dstrike w:val="0"/>
                <w:outline w:val="0"/>
                <w:color w:val="000000"/>
                <w:spacing w:val="0"/>
                <w:kern w:val="0"/>
                <w:position w:val="0"/>
                <w:sz w:val="16"/>
                <w:szCs w:val="16"/>
                <w:u w:val="none" w:color="000000"/>
                <w:vertAlign w:val="baseline"/>
                <w:rtl w:val="0"/>
              </w:rPr>
              <w:t>05 items</w:t>
            </w:r>
          </w:p>
        </w:tc>
      </w:tr>
      <w:tr>
        <w:tblPrEx>
          <w:shd w:val="clear" w:color="auto" w:fill="ced7e7"/>
        </w:tblPrEx>
        <w:trPr>
          <w:trHeight w:val="810" w:hRule="atLeast"/>
        </w:trPr>
        <w:tc>
          <w:tcPr>
            <w:tcW w:type="dxa" w:w="2796"/>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w:cs="Calibri" w:hAnsi="Helvetica" w:eastAsia="Calibri"/>
                <w:b w:val="1"/>
                <w:bCs w:val="1"/>
                <w:i w:val="0"/>
                <w:iCs w:val="0"/>
                <w:caps w:val="0"/>
                <w:smallCaps w:val="0"/>
                <w:strike w:val="0"/>
                <w:dstrike w:val="0"/>
                <w:outline w:val="0"/>
                <w:color w:val="000000"/>
                <w:spacing w:val="0"/>
                <w:kern w:val="0"/>
                <w:position w:val="0"/>
                <w:sz w:val="16"/>
                <w:szCs w:val="16"/>
                <w:u w:val="none" w:color="000000"/>
                <w:vertAlign w:val="baseline"/>
                <w:rtl w:val="0"/>
              </w:rPr>
              <w:t>Translations</w:t>
            </w:r>
          </w:p>
        </w:tc>
        <w:tc>
          <w:tcPr>
            <w:tcW w:type="dxa" w:w="2796"/>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rPr>
              <w:t>ENG, NOR, FRA, TUR, GRC, ARG, BGR, NLD, BRA, SWE, ESP, JPN, KOR, ITA, CHN (not specified), Arabic, Hebrew.</w:t>
            </w:r>
          </w:p>
        </w:tc>
        <w:tc>
          <w:tcPr>
            <w:tcW w:type="dxa" w:w="2797"/>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w:cs="Calibri" w:hAnsi="Helvetica" w:eastAsia="Calibri"/>
                <w:b w:val="0"/>
                <w:bCs w:val="0"/>
                <w:i w:val="0"/>
                <w:iCs w:val="0"/>
                <w:caps w:val="0"/>
                <w:smallCaps w:val="0"/>
                <w:strike w:val="0"/>
                <w:dstrike w:val="0"/>
                <w:outline w:val="0"/>
                <w:color w:val="000000"/>
                <w:spacing w:val="0"/>
                <w:kern w:val="0"/>
                <w:position w:val="0"/>
                <w:sz w:val="16"/>
                <w:szCs w:val="16"/>
                <w:u w:val="none" w:color="000000"/>
                <w:vertAlign w:val="baseline"/>
                <w:rtl w:val="0"/>
              </w:rPr>
              <w:t>USA, TUR.</w:t>
            </w:r>
          </w:p>
        </w:tc>
        <w:tc>
          <w:tcPr>
            <w:tcW w:type="dxa" w:w="2796"/>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w:cs="Calibri" w:hAnsi="Helvetica" w:eastAsia="Calibri"/>
                <w:b w:val="0"/>
                <w:bCs w:val="0"/>
                <w:i w:val="0"/>
                <w:iCs w:val="0"/>
                <w:caps w:val="0"/>
                <w:smallCaps w:val="0"/>
                <w:strike w:val="0"/>
                <w:dstrike w:val="0"/>
                <w:outline w:val="0"/>
                <w:color w:val="000000"/>
                <w:spacing w:val="0"/>
                <w:kern w:val="0"/>
                <w:position w:val="0"/>
                <w:sz w:val="16"/>
                <w:szCs w:val="16"/>
                <w:u w:val="none" w:color="000000"/>
                <w:vertAlign w:val="baseline"/>
                <w:rtl w:val="0"/>
              </w:rPr>
              <w:t>ENG, ITA, TUR.</w:t>
            </w:r>
          </w:p>
        </w:tc>
        <w:tc>
          <w:tcPr>
            <w:tcW w:type="dxa" w:w="2797"/>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w:cs="Calibri" w:hAnsi="Helvetica" w:eastAsia="Calibri"/>
                <w:b w:val="0"/>
                <w:bCs w:val="0"/>
                <w:i w:val="0"/>
                <w:iCs w:val="0"/>
                <w:caps w:val="0"/>
                <w:smallCaps w:val="0"/>
                <w:strike w:val="0"/>
                <w:dstrike w:val="0"/>
                <w:outline w:val="0"/>
                <w:color w:val="000000"/>
                <w:spacing w:val="0"/>
                <w:kern w:val="0"/>
                <w:position w:val="0"/>
                <w:sz w:val="16"/>
                <w:szCs w:val="16"/>
                <w:u w:val="none" w:color="000000"/>
                <w:vertAlign w:val="baseline"/>
                <w:rtl w:val="0"/>
              </w:rPr>
              <w:t>USA, SWE.</w:t>
            </w:r>
          </w:p>
        </w:tc>
      </w:tr>
    </w:tbl>
    <w:p>
      <w:pPr>
        <w:pStyle w:val="Hoofdtekst"/>
        <w:spacing w:line="240" w:lineRule="auto"/>
        <w:jc w:val="center"/>
        <w:rPr>
          <w:rFonts w:ascii="Helvetica" w:cs="Helvetica" w:hAnsi="Helvetica" w:eastAsia="Helvetica"/>
          <w:sz w:val="24"/>
          <w:szCs w:val="24"/>
        </w:rPr>
      </w:pPr>
    </w:p>
    <w:p>
      <w:pPr>
        <w:pStyle w:val="Hoofdtekst"/>
        <w:jc w:val="center"/>
        <w:rPr>
          <w:rFonts w:ascii="Helvetica" w:cs="Helvetica" w:hAnsi="Helvetica" w:eastAsia="Helvetica"/>
          <w:sz w:val="24"/>
          <w:szCs w:val="24"/>
        </w:rPr>
      </w:pPr>
    </w:p>
    <w:p>
      <w:pPr>
        <w:pStyle w:val="Hoofdtekst"/>
        <w:jc w:val="center"/>
        <w:rPr>
          <w:rFonts w:ascii="Helvetica" w:cs="Helvetica" w:hAnsi="Helvetica" w:eastAsia="Helvetica"/>
          <w:sz w:val="24"/>
          <w:szCs w:val="24"/>
        </w:rPr>
      </w:pPr>
    </w:p>
    <w:p>
      <w:pPr>
        <w:pStyle w:val="Hoofdtekst"/>
        <w:jc w:val="center"/>
        <w:rPr>
          <w:rFonts w:ascii="Helvetica" w:cs="Helvetica" w:hAnsi="Helvetica" w:eastAsia="Helvetica"/>
          <w:sz w:val="24"/>
          <w:szCs w:val="24"/>
        </w:rPr>
      </w:pPr>
    </w:p>
    <w:tbl>
      <w:tblPr>
        <w:tblW w:w="13985"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796"/>
        <w:gridCol w:w="2797"/>
        <w:gridCol w:w="2798"/>
        <w:gridCol w:w="2797"/>
        <w:gridCol w:w="2797"/>
      </w:tblGrid>
      <w:tr>
        <w:tblPrEx>
          <w:shd w:val="clear" w:color="auto" w:fill="ced7e7"/>
        </w:tblPrEx>
        <w:trPr>
          <w:trHeight w:val="620" w:hRule="atLeast"/>
        </w:trPr>
        <w:tc>
          <w:tcPr>
            <w:tcW w:type="dxa" w:w="2796"/>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tc>
        <w:tc>
          <w:tcPr>
            <w:tcW w:type="dxa" w:w="2796"/>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b w:val="1"/>
                <w:bCs w:val="1"/>
                <w:sz w:val="16"/>
                <w:szCs w:val="16"/>
                <w:rtl w:val="0"/>
                <w:lang w:val="en-US"/>
              </w:rPr>
              <w:t>Vertigo Symptom Scale</w:t>
            </w:r>
          </w:p>
        </w:tc>
        <w:tc>
          <w:tcPr>
            <w:tcW w:type="dxa" w:w="2797"/>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b w:val="1"/>
                <w:bCs w:val="1"/>
                <w:sz w:val="16"/>
                <w:szCs w:val="16"/>
                <w:rtl w:val="0"/>
                <w:lang w:val="en-US"/>
              </w:rPr>
              <w:t>Vertigo Symptom Scale</w:t>
            </w:r>
            <w:r>
              <w:rPr>
                <w:b w:val="1"/>
                <w:bCs w:val="1"/>
                <w:sz w:val="16"/>
                <w:szCs w:val="16"/>
                <w:rtl w:val="0"/>
                <w:lang w:val="en-US"/>
              </w:rPr>
              <w:t>–</w:t>
            </w:r>
            <w:r>
              <w:rPr>
                <w:b w:val="1"/>
                <w:bCs w:val="1"/>
                <w:sz w:val="16"/>
                <w:szCs w:val="16"/>
                <w:rtl w:val="0"/>
                <w:lang w:val="en-US"/>
              </w:rPr>
              <w:t>short form</w:t>
            </w:r>
          </w:p>
        </w:tc>
        <w:tc>
          <w:tcPr>
            <w:tcW w:type="dxa" w:w="2796"/>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b w:val="1"/>
                <w:bCs w:val="1"/>
                <w:sz w:val="16"/>
                <w:szCs w:val="16"/>
                <w:rtl w:val="0"/>
                <w:lang w:val="en-US"/>
              </w:rPr>
              <w:t xml:space="preserve">The Niigata Persistant Postural-Positional Dizziness Questionnaire (NPQ) </w:t>
            </w:r>
          </w:p>
        </w:tc>
        <w:tc>
          <w:tcPr>
            <w:tcW w:type="dxa" w:w="2797"/>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b w:val="1"/>
                <w:bCs w:val="1"/>
                <w:sz w:val="16"/>
                <w:szCs w:val="16"/>
                <w:rtl w:val="0"/>
                <w:lang w:val="en-US"/>
              </w:rPr>
              <w:t>Vestibular Screening Tool</w:t>
            </w:r>
          </w:p>
        </w:tc>
      </w:tr>
      <w:tr>
        <w:tblPrEx>
          <w:shd w:val="clear" w:color="auto" w:fill="ced7e7"/>
        </w:tblPrEx>
        <w:trPr>
          <w:trHeight w:val="220" w:hRule="atLeast"/>
        </w:trPr>
        <w:tc>
          <w:tcPr>
            <w:tcW w:type="dxa" w:w="2796"/>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b w:val="1"/>
                <w:bCs w:val="1"/>
                <w:sz w:val="16"/>
                <w:szCs w:val="16"/>
                <w:rtl w:val="0"/>
                <w:lang w:val="en-US"/>
              </w:rPr>
              <w:t>Author (year)</w:t>
            </w:r>
          </w:p>
        </w:tc>
        <w:tc>
          <w:tcPr>
            <w:tcW w:type="dxa" w:w="2796"/>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sz w:val="16"/>
                <w:szCs w:val="16"/>
                <w:rtl w:val="0"/>
                <w:lang w:val="en-US"/>
              </w:rPr>
              <w:t>Yardley L (1992)</w:t>
            </w:r>
            <w:r>
              <w:rPr>
                <w:sz w:val="16"/>
                <w:szCs w:val="16"/>
                <w:vertAlign w:val="superscript"/>
                <w:rtl w:val="0"/>
                <w:lang w:val="nl-NL"/>
              </w:rPr>
              <w:t>5</w:t>
            </w:r>
          </w:p>
        </w:tc>
        <w:tc>
          <w:tcPr>
            <w:tcW w:type="dxa" w:w="2797"/>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sz w:val="16"/>
                <w:szCs w:val="16"/>
                <w:rtl w:val="0"/>
                <w:lang w:val="en-US"/>
              </w:rPr>
              <w:t>Yardley L (199</w:t>
            </w:r>
            <w:r>
              <w:rPr>
                <w:sz w:val="16"/>
                <w:szCs w:val="16"/>
                <w:rtl w:val="0"/>
                <w:lang w:val="nl-NL"/>
              </w:rPr>
              <w:t>8</w:t>
            </w:r>
            <w:r>
              <w:rPr>
                <w:sz w:val="16"/>
                <w:szCs w:val="16"/>
                <w:rtl w:val="0"/>
                <w:lang w:val="en-US"/>
              </w:rPr>
              <w:t>)</w:t>
            </w:r>
            <w:r>
              <w:rPr>
                <w:sz w:val="16"/>
                <w:szCs w:val="16"/>
                <w:vertAlign w:val="superscript"/>
                <w:rtl w:val="0"/>
                <w:lang w:val="nl-NL"/>
              </w:rPr>
              <w:t>6</w:t>
            </w:r>
          </w:p>
        </w:tc>
        <w:tc>
          <w:tcPr>
            <w:tcW w:type="dxa" w:w="2796"/>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sz w:val="16"/>
                <w:szCs w:val="16"/>
                <w:rtl w:val="0"/>
                <w:lang w:val="it-IT"/>
              </w:rPr>
              <w:t>Yagi C</w:t>
            </w:r>
            <w:r>
              <w:rPr>
                <w:sz w:val="16"/>
                <w:szCs w:val="16"/>
                <w:rtl w:val="0"/>
                <w:lang w:val="nl-NL"/>
              </w:rPr>
              <w:t xml:space="preserve"> (2019)</w:t>
            </w:r>
            <w:r>
              <w:rPr>
                <w:sz w:val="16"/>
                <w:szCs w:val="16"/>
                <w:vertAlign w:val="superscript"/>
                <w:rtl w:val="0"/>
                <w:lang w:val="nl-NL"/>
              </w:rPr>
              <w:t>7</w:t>
            </w:r>
          </w:p>
        </w:tc>
        <w:tc>
          <w:tcPr>
            <w:tcW w:type="dxa" w:w="2797"/>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sz w:val="16"/>
                <w:szCs w:val="16"/>
                <w:rtl w:val="0"/>
                <w:lang w:val="nl-NL"/>
              </w:rPr>
              <w:t>Stewart V (2015)</w:t>
            </w:r>
            <w:r>
              <w:rPr>
                <w:sz w:val="16"/>
                <w:szCs w:val="16"/>
                <w:vertAlign w:val="superscript"/>
                <w:rtl w:val="0"/>
                <w:lang w:val="nl-NL"/>
              </w:rPr>
              <w:t>8</w:t>
            </w:r>
          </w:p>
        </w:tc>
      </w:tr>
      <w:tr>
        <w:tblPrEx>
          <w:shd w:val="clear" w:color="auto" w:fill="ced7e7"/>
        </w:tblPrEx>
        <w:trPr>
          <w:trHeight w:val="1010" w:hRule="atLeast"/>
        </w:trPr>
        <w:tc>
          <w:tcPr>
            <w:tcW w:type="dxa" w:w="2796"/>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w:cs="Calibri" w:hAnsi="Helvetica" w:eastAsia="Calibri"/>
                <w:b w:val="1"/>
                <w:bCs w:val="1"/>
                <w:i w:val="0"/>
                <w:iCs w:val="0"/>
                <w:caps w:val="0"/>
                <w:smallCaps w:val="0"/>
                <w:strike w:val="0"/>
                <w:dstrike w:val="0"/>
                <w:outline w:val="0"/>
                <w:color w:val="000000"/>
                <w:spacing w:val="0"/>
                <w:kern w:val="0"/>
                <w:position w:val="0"/>
                <w:sz w:val="16"/>
                <w:szCs w:val="16"/>
                <w:u w:val="none" w:color="000000"/>
                <w:vertAlign w:val="baseline"/>
                <w:rtl w:val="0"/>
              </w:rPr>
              <w:t>Country (institution)</w:t>
            </w:r>
          </w:p>
        </w:tc>
        <w:tc>
          <w:tcPr>
            <w:tcW w:type="dxa" w:w="2796"/>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rPr>
              <w:t>ENG (MRC Human Movement and Balance Unit and Department of Neuro-otology, National Hospital for Neurology and Neurosurgery, London)</w:t>
            </w:r>
          </w:p>
        </w:tc>
        <w:tc>
          <w:tcPr>
            <w:tcW w:type="dxa" w:w="2797"/>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Standaard"/>
              <w:bidi w:val="0"/>
              <w:ind w:left="0" w:right="0" w:firstLine="0"/>
              <w:jc w:val="left"/>
              <w:rPr>
                <w:rtl w:val="0"/>
              </w:rPr>
            </w:pPr>
            <w:r>
              <w:rPr>
                <w:rFonts w:ascii="Calibri" w:cs="Calibri" w:hAnsi="Calibri" w:eastAsia="Calibri"/>
                <w:sz w:val="16"/>
                <w:szCs w:val="16"/>
                <w:rtl w:val="0"/>
              </w:rPr>
              <w:t>ENG (University of Oxford and University of Southampton)</w:t>
            </w:r>
          </w:p>
        </w:tc>
        <w:tc>
          <w:tcPr>
            <w:tcW w:type="dxa" w:w="2796"/>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rPr>
              <w:t>JPN (Department of Otolaryngology, Head and Neck Surgery, Niigata University Graduate School of Medical and Dental Sciences, Niigata)</w:t>
            </w:r>
          </w:p>
        </w:tc>
        <w:tc>
          <w:tcPr>
            <w:tcW w:type="dxa" w:w="2797"/>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rPr>
              <w:t>AUS (Emergency Department, The Prince Charles Hospital, Chermside, Queensland)</w:t>
            </w:r>
          </w:p>
        </w:tc>
      </w:tr>
      <w:tr>
        <w:tblPrEx>
          <w:shd w:val="clear" w:color="auto" w:fill="ced7e7"/>
        </w:tblPrEx>
        <w:trPr>
          <w:trHeight w:val="1050" w:hRule="atLeast"/>
        </w:trPr>
        <w:tc>
          <w:tcPr>
            <w:tcW w:type="dxa" w:w="2796"/>
            <w:tcBorders>
              <w:top w:val="nil"/>
              <w:left w:val="nil"/>
              <w:bottom w:val="nil"/>
              <w:right w:val="nil"/>
            </w:tcBorders>
            <w:shd w:val="clear" w:color="auto" w:fill="auto"/>
            <w:tcMar>
              <w:top w:type="dxa" w:w="80"/>
              <w:left w:type="dxa" w:w="80"/>
              <w:bottom w:type="dxa" w:w="80"/>
              <w:right w:type="dxa" w:w="80"/>
            </w:tcMar>
            <w:vAlign w:val="top"/>
          </w:tcPr>
          <w:p>
            <w:pPr>
              <w:pStyle w:val="Standaard"/>
            </w:pPr>
            <w:r>
              <w:rPr>
                <w:b w:val="1"/>
                <w:bCs w:val="1"/>
                <w:sz w:val="16"/>
                <w:szCs w:val="16"/>
                <w:rtl w:val="0"/>
                <w:lang w:val="en-US"/>
              </w:rPr>
              <w:t xml:space="preserve">Description </w:t>
            </w:r>
          </w:p>
        </w:tc>
        <w:tc>
          <w:tcPr>
            <w:tcW w:type="dxa" w:w="2796"/>
            <w:tcBorders>
              <w:top w:val="nil"/>
              <w:left w:val="nil"/>
              <w:bottom w:val="nil"/>
              <w:right w:val="nil"/>
            </w:tcBorders>
            <w:shd w:val="clear" w:color="auto" w:fill="auto"/>
            <w:tcMar>
              <w:top w:type="dxa" w:w="80"/>
              <w:left w:type="dxa" w:w="80"/>
              <w:bottom w:type="dxa" w:w="80"/>
              <w:right w:type="dxa" w:w="80"/>
            </w:tcMar>
            <w:vAlign w:val="top"/>
          </w:tcPr>
          <w:p>
            <w:pPr>
              <w:pStyle w:val="Standaard"/>
            </w:pPr>
            <w:r>
              <w:rPr>
                <w:sz w:val="16"/>
                <w:szCs w:val="16"/>
                <w:rtl w:val="0"/>
                <w:lang w:val="en-US"/>
              </w:rPr>
              <w:t>Assessment of the severity of vertigo and associated symptoms of anxiety.</w:t>
            </w:r>
          </w:p>
        </w:tc>
        <w:tc>
          <w:tcPr>
            <w:tcW w:type="dxa" w:w="2797"/>
            <w:tcBorders>
              <w:top w:val="nil"/>
              <w:left w:val="nil"/>
              <w:bottom w:val="nil"/>
              <w:right w:val="nil"/>
            </w:tcBorders>
            <w:shd w:val="clear" w:color="auto" w:fill="auto"/>
            <w:tcMar>
              <w:top w:type="dxa" w:w="80"/>
              <w:left w:type="dxa" w:w="80"/>
              <w:bottom w:type="dxa" w:w="80"/>
              <w:right w:type="dxa" w:w="80"/>
            </w:tcMar>
            <w:vAlign w:val="top"/>
          </w:tcPr>
          <w:p>
            <w:pPr>
              <w:pStyle w:val="Standaard"/>
              <w:rPr>
                <w:sz w:val="16"/>
                <w:szCs w:val="16"/>
              </w:rPr>
            </w:pPr>
            <w:r>
              <w:rPr>
                <w:sz w:val="16"/>
                <w:szCs w:val="16"/>
                <w:rtl w:val="0"/>
                <w:lang w:val="en-US"/>
              </w:rPr>
              <w:t xml:space="preserve">Assessment of the severity of vertigo and associated symptoms of anxiety.                                  </w:t>
            </w:r>
          </w:p>
          <w:p>
            <w:pPr>
              <w:pStyle w:val="Standaard"/>
              <w:rPr>
                <w:sz w:val="16"/>
                <w:szCs w:val="16"/>
              </w:rPr>
            </w:pPr>
          </w:p>
          <w:p>
            <w:pPr>
              <w:pStyle w:val="Standaard"/>
              <w:rPr>
                <w:sz w:val="16"/>
                <w:szCs w:val="16"/>
                <w:lang w:val="en-US"/>
              </w:rPr>
            </w:pPr>
          </w:p>
          <w:p>
            <w:pPr>
              <w:pStyle w:val="Standaard"/>
            </w:pPr>
            <w:r>
              <w:rPr>
                <w:i w:val="1"/>
                <w:iCs w:val="1"/>
                <w:sz w:val="16"/>
                <w:szCs w:val="16"/>
                <w:rtl w:val="0"/>
                <w:lang w:val="en-US"/>
              </w:rPr>
              <w:t>Abbreviated version of the DHI</w:t>
            </w:r>
          </w:p>
        </w:tc>
        <w:tc>
          <w:tcPr>
            <w:tcW w:type="dxa" w:w="2796"/>
            <w:tcBorders>
              <w:top w:val="nil"/>
              <w:left w:val="nil"/>
              <w:bottom w:val="nil"/>
              <w:right w:val="nil"/>
            </w:tcBorders>
            <w:shd w:val="clear" w:color="auto" w:fill="auto"/>
            <w:tcMar>
              <w:top w:type="dxa" w:w="80"/>
              <w:left w:type="dxa" w:w="80"/>
              <w:bottom w:type="dxa" w:w="80"/>
              <w:right w:type="dxa" w:w="80"/>
            </w:tcMar>
            <w:vAlign w:val="top"/>
          </w:tcPr>
          <w:p>
            <w:pPr>
              <w:pStyle w:val="Standaard"/>
            </w:pPr>
            <w:r>
              <w:rPr>
                <w:sz w:val="16"/>
                <w:szCs w:val="16"/>
                <w:rtl w:val="0"/>
                <w:lang w:val="en-US"/>
              </w:rPr>
              <w:t>Assessment of persistent postural-perceptual dizziness severity</w:t>
            </w:r>
          </w:p>
        </w:tc>
        <w:tc>
          <w:tcPr>
            <w:tcW w:type="dxa" w:w="2797"/>
            <w:tcBorders>
              <w:top w:val="nil"/>
              <w:left w:val="nil"/>
              <w:bottom w:val="nil"/>
              <w:right w:val="nil"/>
            </w:tcBorders>
            <w:shd w:val="clear" w:color="auto" w:fill="auto"/>
            <w:tcMar>
              <w:top w:type="dxa" w:w="80"/>
              <w:left w:type="dxa" w:w="80"/>
              <w:bottom w:type="dxa" w:w="80"/>
              <w:right w:type="dxa" w:w="80"/>
            </w:tcMar>
            <w:vAlign w:val="top"/>
          </w:tcPr>
          <w:p>
            <w:pPr>
              <w:pStyle w:val="Standaard"/>
            </w:pPr>
            <w:r>
              <w:rPr>
                <w:sz w:val="16"/>
                <w:szCs w:val="16"/>
                <w:rtl w:val="0"/>
                <w:lang w:val="en-US"/>
              </w:rPr>
              <w:t>Identif</w:t>
            </w:r>
            <w:r>
              <w:rPr>
                <w:sz w:val="16"/>
                <w:szCs w:val="16"/>
                <w:rtl w:val="0"/>
                <w:lang w:val="nl-NL"/>
              </w:rPr>
              <w:t>ication of</w:t>
            </w:r>
            <w:r>
              <w:rPr>
                <w:sz w:val="16"/>
                <w:szCs w:val="16"/>
                <w:rtl w:val="0"/>
                <w:lang w:val="en-US"/>
              </w:rPr>
              <w:t xml:space="preserve"> of likely vestibular disorders.</w:t>
            </w:r>
          </w:p>
        </w:tc>
      </w:tr>
      <w:tr>
        <w:tblPrEx>
          <w:shd w:val="clear" w:color="auto" w:fill="ced7e7"/>
        </w:tblPrEx>
        <w:trPr>
          <w:trHeight w:val="1600" w:hRule="atLeast"/>
        </w:trPr>
        <w:tc>
          <w:tcPr>
            <w:tcW w:type="dxa" w:w="2796"/>
            <w:tcBorders>
              <w:top w:val="nil"/>
              <w:left w:val="nil"/>
              <w:bottom w:val="nil"/>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Fonts w:ascii="Helvetica" w:cs="Helvetica" w:hAnsi="Helvetica" w:eastAsia="Helvetica"/>
                <w:b w:val="1"/>
                <w:bCs w:val="1"/>
                <w:i w:val="0"/>
                <w:iCs w:val="0"/>
                <w:caps w:val="0"/>
                <w:smallCaps w:val="0"/>
                <w:strike w:val="0"/>
                <w:dstrike w:val="0"/>
                <w:outline w:val="0"/>
                <w:color w:val="000000"/>
                <w:spacing w:val="0"/>
                <w:kern w:val="0"/>
                <w:position w:val="0"/>
                <w:sz w:val="16"/>
                <w:szCs w:val="16"/>
                <w:u w:val="none" w:color="000000"/>
                <w:vertAlign w:val="baseline"/>
                <w:rtl w:val="0"/>
              </w:rPr>
            </w:pPr>
            <w:r>
              <w:rPr>
                <w:rFonts w:ascii="Helvetica" w:cs="Calibri" w:hAnsi="Helvetica" w:eastAsia="Calibri"/>
                <w:b w:val="1"/>
                <w:bCs w:val="1"/>
                <w:i w:val="0"/>
                <w:iCs w:val="0"/>
                <w:caps w:val="0"/>
                <w:smallCaps w:val="0"/>
                <w:strike w:val="0"/>
                <w:dstrike w:val="0"/>
                <w:outline w:val="0"/>
                <w:color w:val="000000"/>
                <w:spacing w:val="0"/>
                <w:kern w:val="0"/>
                <w:position w:val="0"/>
                <w:sz w:val="16"/>
                <w:szCs w:val="16"/>
                <w:u w:val="none" w:color="000000"/>
                <w:vertAlign w:val="baseline"/>
                <w:rtl w:val="0"/>
                <w:lang w:val="en-US"/>
              </w:rPr>
              <w:t>Study population</w:t>
            </w:r>
          </w:p>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w:cs="Calibri" w:hAnsi="Helvetica" w:eastAsia="Calibri"/>
                <w:b w:val="1"/>
                <w:bCs w:val="1"/>
                <w:i w:val="1"/>
                <w:iCs w:val="1"/>
                <w:caps w:val="0"/>
                <w:smallCaps w:val="0"/>
                <w:strike w:val="0"/>
                <w:dstrike w:val="0"/>
                <w:outline w:val="0"/>
                <w:color w:val="000000"/>
                <w:spacing w:val="0"/>
                <w:kern w:val="0"/>
                <w:position w:val="0"/>
                <w:sz w:val="16"/>
                <w:szCs w:val="16"/>
                <w:u w:val="none" w:color="000000"/>
                <w:vertAlign w:val="baseline"/>
                <w:rtl w:val="0"/>
                <w:lang w:val="en-US"/>
              </w:rPr>
              <w:t>mean age</w:t>
            </w:r>
            <w:r>
              <w:rPr>
                <w:rFonts w:ascii="Helvetica" w:cs="Calibri" w:hAnsi="Helvetica" w:eastAsia="Calibri"/>
                <w:b w:val="1"/>
                <w:bCs w:val="1"/>
                <w:i w:val="1"/>
                <w:iCs w:val="1"/>
                <w:caps w:val="0"/>
                <w:smallCaps w:val="0"/>
                <w:strike w:val="0"/>
                <w:dstrike w:val="0"/>
                <w:outline w:val="0"/>
                <w:color w:val="000000"/>
                <w:spacing w:val="0"/>
                <w:kern w:val="0"/>
                <w:position w:val="0"/>
                <w:sz w:val="16"/>
                <w:szCs w:val="16"/>
                <w:u w:val="none" w:color="000000"/>
                <w:vertAlign w:val="baseline"/>
                <w:rtl w:val="0"/>
                <w:lang w:val="nl-NL"/>
              </w:rPr>
              <w:t>, S</w:t>
            </w:r>
            <w:r>
              <w:rPr>
                <w:rFonts w:ascii="Helvetica" w:cs="Calibri" w:hAnsi="Helvetica" w:eastAsia="Calibri"/>
                <w:b w:val="1"/>
                <w:bCs w:val="1"/>
                <w:i w:val="1"/>
                <w:iCs w:val="1"/>
                <w:caps w:val="0"/>
                <w:smallCaps w:val="0"/>
                <w:strike w:val="0"/>
                <w:dstrike w:val="0"/>
                <w:outline w:val="0"/>
                <w:color w:val="000000"/>
                <w:spacing w:val="0"/>
                <w:kern w:val="0"/>
                <w:position w:val="0"/>
                <w:sz w:val="16"/>
                <w:szCs w:val="16"/>
                <w:u w:val="none" w:color="000000"/>
                <w:vertAlign w:val="baseline"/>
                <w:rtl w:val="0"/>
                <w:lang w:val="en-US"/>
              </w:rPr>
              <w:t xml:space="preserve">D, age range, </w:t>
            </w:r>
            <w:r>
              <w:rPr>
                <w:rFonts w:ascii="Helvetica" w:cs="Calibri" w:hAnsi="Helvetica" w:eastAsia="Calibri"/>
                <w:b w:val="1"/>
                <w:bCs w:val="1"/>
                <w:i w:val="1"/>
                <w:iCs w:val="1"/>
                <w:caps w:val="0"/>
                <w:smallCaps w:val="0"/>
                <w:strike w:val="0"/>
                <w:dstrike w:val="0"/>
                <w:outline w:val="0"/>
                <w:color w:val="000000"/>
                <w:spacing w:val="0"/>
                <w:kern w:val="0"/>
                <w:position w:val="0"/>
                <w:sz w:val="16"/>
                <w:szCs w:val="16"/>
                <w:u w:val="none" w:color="000000"/>
                <w:vertAlign w:val="baseline"/>
                <w:rtl w:val="0"/>
                <w:lang w:val="nl-NL"/>
              </w:rPr>
              <w:t xml:space="preserve">  women (%)</w:t>
            </w:r>
          </w:p>
        </w:tc>
        <w:tc>
          <w:tcPr>
            <w:tcW w:type="dxa" w:w="2796"/>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rPr>
              <w:t>44 patients (vertigo patients attending a neuro-otology department):  49.6yrs, women: 59.09%.</w:t>
            </w:r>
          </w:p>
        </w:tc>
        <w:tc>
          <w:tcPr>
            <w:tcW w:type="dxa" w:w="2797"/>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rPr>
              <w:t xml:space="preserve">143 subjects (dizziness or vertigo patients): 60yrs, </w:t>
            </w:r>
            <w:r>
              <w:rPr>
                <w:rFonts w:ascii="Calibri" w:cs="Calibri" w:hAnsi="Calibri" w:eastAsia="Calibri"/>
                <w:sz w:val="16"/>
                <w:szCs w:val="16"/>
                <w:rtl w:val="0"/>
              </w:rPr>
              <w:t>±</w:t>
            </w:r>
            <w:r>
              <w:rPr>
                <w:rFonts w:ascii="Calibri" w:cs="Calibri" w:hAnsi="Calibri" w:eastAsia="Calibri"/>
                <w:sz w:val="16"/>
                <w:szCs w:val="16"/>
                <w:rtl w:val="0"/>
              </w:rPr>
              <w:t>15.57yrs, women: 80.4%.</w:t>
            </w:r>
          </w:p>
        </w:tc>
        <w:tc>
          <w:tcPr>
            <w:tcW w:type="dxa" w:w="2796"/>
            <w:tcBorders>
              <w:top w:val="nil"/>
              <w:left w:val="nil"/>
              <w:bottom w:val="nil"/>
              <w:right w:val="nil"/>
            </w:tcBorders>
            <w:shd w:val="clear" w:color="auto" w:fill="auto"/>
            <w:tcMar>
              <w:top w:type="dxa" w:w="80"/>
              <w:left w:type="dxa" w:w="80"/>
              <w:bottom w:type="dxa" w:w="80"/>
              <w:right w:type="dxa" w:w="80"/>
            </w:tcMar>
            <w:vAlign w:val="top"/>
          </w:tcPr>
          <w:p>
            <w:pPr>
              <w:pStyle w:val="Standaard"/>
            </w:pPr>
            <w:r>
              <w:rPr>
                <w:sz w:val="16"/>
                <w:szCs w:val="16"/>
                <w:rtl w:val="0"/>
                <w:lang w:val="en-US"/>
              </w:rPr>
              <w:t>100 subjects, 2 groups (</w:t>
            </w:r>
            <w:r>
              <w:rPr>
                <w:sz w:val="16"/>
                <w:szCs w:val="16"/>
                <w:rtl w:val="0"/>
                <w:lang w:val="nl-NL"/>
              </w:rPr>
              <w:t>p</w:t>
            </w:r>
            <w:r>
              <w:rPr>
                <w:sz w:val="16"/>
                <w:szCs w:val="16"/>
                <w:rtl w:val="0"/>
                <w:lang w:val="en-US"/>
              </w:rPr>
              <w:t xml:space="preserve">ersistant </w:t>
            </w:r>
            <w:r>
              <w:rPr>
                <w:sz w:val="16"/>
                <w:szCs w:val="16"/>
                <w:rtl w:val="0"/>
                <w:lang w:val="nl-NL"/>
              </w:rPr>
              <w:t>p</w:t>
            </w:r>
            <w:r>
              <w:rPr>
                <w:sz w:val="16"/>
                <w:szCs w:val="16"/>
                <w:rtl w:val="0"/>
                <w:lang w:val="en-US"/>
              </w:rPr>
              <w:t>ostural-</w:t>
            </w:r>
            <w:r>
              <w:rPr>
                <w:sz w:val="16"/>
                <w:szCs w:val="16"/>
                <w:rtl w:val="0"/>
                <w:lang w:val="nl-NL"/>
              </w:rPr>
              <w:t>p</w:t>
            </w:r>
            <w:r>
              <w:rPr>
                <w:sz w:val="16"/>
                <w:szCs w:val="16"/>
                <w:rtl w:val="0"/>
                <w:lang w:val="en-US"/>
              </w:rPr>
              <w:t xml:space="preserve">ositional </w:t>
            </w:r>
            <w:r>
              <w:rPr>
                <w:sz w:val="16"/>
                <w:szCs w:val="16"/>
                <w:rtl w:val="0"/>
                <w:lang w:val="nl-NL"/>
              </w:rPr>
              <w:t>d</w:t>
            </w:r>
            <w:r>
              <w:rPr>
                <w:sz w:val="16"/>
                <w:szCs w:val="16"/>
                <w:rtl w:val="0"/>
                <w:lang w:val="en-US"/>
              </w:rPr>
              <w:t>izziness</w:t>
            </w:r>
            <w:r>
              <w:rPr>
                <w:sz w:val="16"/>
                <w:szCs w:val="16"/>
                <w:rtl w:val="0"/>
                <w:lang w:val="nl-NL"/>
              </w:rPr>
              <w:t xml:space="preserve"> patients </w:t>
            </w:r>
            <w:r>
              <w:rPr>
                <w:sz w:val="16"/>
                <w:szCs w:val="16"/>
                <w:rtl w:val="0"/>
                <w:lang w:val="en-US"/>
              </w:rPr>
              <w:t xml:space="preserve"> </w:t>
            </w:r>
            <w:r>
              <w:rPr>
                <w:sz w:val="16"/>
                <w:szCs w:val="16"/>
                <w:rtl w:val="0"/>
                <w:lang w:val="nl-NL"/>
              </w:rPr>
              <w:t>(</w:t>
            </w:r>
            <w:r>
              <w:rPr>
                <w:sz w:val="16"/>
                <w:szCs w:val="16"/>
                <w:rtl w:val="0"/>
                <w:lang w:val="es-ES_tradnl"/>
              </w:rPr>
              <w:t>PPPD</w:t>
            </w:r>
            <w:r>
              <w:rPr>
                <w:sz w:val="16"/>
                <w:szCs w:val="16"/>
                <w:rtl w:val="0"/>
                <w:lang w:val="nl-NL"/>
              </w:rPr>
              <w:t xml:space="preserve">) and a control group with </w:t>
            </w:r>
            <w:r>
              <w:rPr>
                <w:sz w:val="16"/>
                <w:szCs w:val="16"/>
                <w:rtl w:val="0"/>
              </w:rPr>
              <w:t>vestibular disorder</w:t>
            </w:r>
            <w:r>
              <w:rPr>
                <w:sz w:val="16"/>
                <w:szCs w:val="16"/>
                <w:rtl w:val="0"/>
                <w:lang w:val="nl-NL"/>
              </w:rPr>
              <w:t>s but</w:t>
            </w:r>
            <w:r>
              <w:rPr>
                <w:sz w:val="16"/>
                <w:szCs w:val="16"/>
                <w:rtl w:val="0"/>
                <w:lang w:val="pt-PT"/>
              </w:rPr>
              <w:t xml:space="preserve"> no PPPD</w:t>
            </w:r>
            <w:r>
              <w:rPr>
                <w:sz w:val="16"/>
                <w:szCs w:val="16"/>
                <w:rtl w:val="0"/>
                <w:lang w:val="nl-NL"/>
              </w:rPr>
              <w:t xml:space="preserve"> (C)): 50 subject (PPPD</w:t>
            </w:r>
            <w:r>
              <w:rPr>
                <w:sz w:val="16"/>
                <w:szCs w:val="16"/>
                <w:rtl w:val="0"/>
                <w:lang w:val="en-US"/>
              </w:rPr>
              <w:t>): 49.5yrs, range</w:t>
            </w:r>
            <w:r>
              <w:rPr>
                <w:sz w:val="16"/>
                <w:szCs w:val="16"/>
                <w:rtl w:val="0"/>
                <w:lang w:val="nl-NL"/>
              </w:rPr>
              <w:t>:</w:t>
            </w:r>
            <w:r>
              <w:rPr>
                <w:sz w:val="16"/>
                <w:szCs w:val="16"/>
                <w:rtl w:val="0"/>
              </w:rPr>
              <w:t xml:space="preserve"> 25</w:t>
            </w:r>
            <w:r>
              <w:rPr>
                <w:sz w:val="16"/>
                <w:szCs w:val="16"/>
                <w:rtl w:val="0"/>
                <w:lang w:val="nl-NL"/>
              </w:rPr>
              <w:t>-</w:t>
            </w:r>
            <w:r>
              <w:rPr>
                <w:sz w:val="16"/>
                <w:szCs w:val="16"/>
                <w:rtl w:val="0"/>
                <w:lang w:val="en-US"/>
              </w:rPr>
              <w:t xml:space="preserve">79yrs, women: 76%. </w:t>
            </w:r>
            <w:r>
              <w:rPr>
                <w:sz w:val="16"/>
                <w:szCs w:val="16"/>
                <w:rtl w:val="0"/>
                <w:lang w:val="nl-NL"/>
              </w:rPr>
              <w:t>50 subjects (C)</w:t>
            </w:r>
            <w:r>
              <w:rPr>
                <w:sz w:val="16"/>
                <w:szCs w:val="16"/>
                <w:rtl w:val="0"/>
                <w:lang w:val="en-US"/>
              </w:rPr>
              <w:t>: 57.3yrs, range</w:t>
            </w:r>
            <w:r>
              <w:rPr>
                <w:sz w:val="16"/>
                <w:szCs w:val="16"/>
                <w:rtl w:val="0"/>
                <w:lang w:val="nl-NL"/>
              </w:rPr>
              <w:t>:</w:t>
            </w:r>
            <w:r>
              <w:rPr>
                <w:sz w:val="16"/>
                <w:szCs w:val="16"/>
                <w:rtl w:val="0"/>
                <w:lang w:val="en-US"/>
              </w:rPr>
              <w:t xml:space="preserve"> 20-82yrs, women: 62%.</w:t>
            </w:r>
          </w:p>
        </w:tc>
        <w:tc>
          <w:tcPr>
            <w:tcW w:type="dxa" w:w="2797"/>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Helvetica" w:hAnsi="Helvetica"/>
                <w:sz w:val="16"/>
                <w:szCs w:val="16"/>
                <w:rtl w:val="0"/>
              </w:rPr>
              <w:t xml:space="preserve">114 subjects (adults who presented to the hospital with dizziness, 86 with a vestibular diagnosis): 67.3yrs, </w:t>
            </w:r>
            <w:r>
              <w:rPr>
                <w:rFonts w:ascii="Helvetica" w:hAnsi="Helvetica" w:hint="default"/>
                <w:sz w:val="16"/>
                <w:szCs w:val="16"/>
                <w:rtl w:val="0"/>
              </w:rPr>
              <w:t>±</w:t>
            </w:r>
            <w:r>
              <w:rPr>
                <w:rFonts w:ascii="Helvetica" w:hAnsi="Helvetica"/>
                <w:sz w:val="16"/>
                <w:szCs w:val="16"/>
                <w:rtl w:val="0"/>
              </w:rPr>
              <w:t>14.8yrs, women: 57%.</w:t>
            </w:r>
          </w:p>
        </w:tc>
      </w:tr>
      <w:tr>
        <w:tblPrEx>
          <w:shd w:val="clear" w:color="auto" w:fill="ced7e7"/>
        </w:tblPrEx>
        <w:trPr>
          <w:trHeight w:val="800" w:hRule="atLeast"/>
        </w:trPr>
        <w:tc>
          <w:tcPr>
            <w:tcW w:type="dxa" w:w="2796"/>
            <w:tcBorders>
              <w:top w:val="nil"/>
              <w:left w:val="nil"/>
              <w:bottom w:val="nil"/>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w:cs="Calibri" w:hAnsi="Helvetica" w:eastAsia="Calibri"/>
                <w:b w:val="1"/>
                <w:bCs w:val="1"/>
                <w:i w:val="0"/>
                <w:iCs w:val="0"/>
                <w:caps w:val="0"/>
                <w:smallCaps w:val="0"/>
                <w:strike w:val="0"/>
                <w:dstrike w:val="0"/>
                <w:outline w:val="0"/>
                <w:color w:val="000000"/>
                <w:spacing w:val="0"/>
                <w:kern w:val="0"/>
                <w:position w:val="0"/>
                <w:sz w:val="16"/>
                <w:szCs w:val="16"/>
                <w:u w:val="none" w:color="000000"/>
                <w:vertAlign w:val="baseline"/>
                <w:rtl w:val="0"/>
              </w:rPr>
              <w:t>Item development</w:t>
            </w:r>
          </w:p>
        </w:tc>
        <w:tc>
          <w:tcPr>
            <w:tcW w:type="dxa" w:w="2796"/>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rPr>
              <w:t>Items generated based on findings from patients interviews and existing literature.</w:t>
            </w:r>
          </w:p>
        </w:tc>
        <w:tc>
          <w:tcPr>
            <w:tcW w:type="dxa" w:w="2797"/>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rPr>
              <w:t>Items derived from vertigo symptom scale. No information on item selection.</w:t>
            </w:r>
          </w:p>
        </w:tc>
        <w:tc>
          <w:tcPr>
            <w:tcW w:type="dxa" w:w="2796"/>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rPr>
              <w:t>No description of item generation.</w:t>
            </w:r>
          </w:p>
        </w:tc>
        <w:tc>
          <w:tcPr>
            <w:tcW w:type="dxa" w:w="2797"/>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rPr>
              <w:t>Items were constructed based on the vestibular rehabilitation benefit questionnaire (VRBQ) and the dizziness handicap inventory (DHI).</w:t>
            </w:r>
          </w:p>
        </w:tc>
      </w:tr>
      <w:tr>
        <w:tblPrEx>
          <w:shd w:val="clear" w:color="auto" w:fill="ced7e7"/>
        </w:tblPrEx>
        <w:trPr>
          <w:trHeight w:val="200" w:hRule="atLeast"/>
        </w:trPr>
        <w:tc>
          <w:tcPr>
            <w:tcW w:type="dxa" w:w="2796"/>
            <w:tcBorders>
              <w:top w:val="nil"/>
              <w:left w:val="nil"/>
              <w:bottom w:val="nil"/>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w:cs="Calibri" w:hAnsi="Helvetica" w:eastAsia="Calibri"/>
                <w:b w:val="1"/>
                <w:bCs w:val="1"/>
                <w:i w:val="0"/>
                <w:iCs w:val="0"/>
                <w:caps w:val="0"/>
                <w:smallCaps w:val="0"/>
                <w:strike w:val="0"/>
                <w:dstrike w:val="0"/>
                <w:outline w:val="0"/>
                <w:color w:val="000000"/>
                <w:spacing w:val="0"/>
                <w:kern w:val="0"/>
                <w:position w:val="0"/>
                <w:sz w:val="16"/>
                <w:szCs w:val="16"/>
                <w:u w:val="none" w:color="000000"/>
                <w:vertAlign w:val="baseline"/>
                <w:rtl w:val="0"/>
              </w:rPr>
              <w:t>Items</w:t>
            </w:r>
          </w:p>
        </w:tc>
        <w:tc>
          <w:tcPr>
            <w:tcW w:type="dxa" w:w="2796"/>
            <w:tcBorders>
              <w:top w:val="nil"/>
              <w:left w:val="nil"/>
              <w:bottom w:val="nil"/>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w:cs="Calibri" w:hAnsi="Helvetica" w:eastAsia="Calibri"/>
                <w:b w:val="0"/>
                <w:bCs w:val="0"/>
                <w:i w:val="0"/>
                <w:iCs w:val="0"/>
                <w:caps w:val="0"/>
                <w:smallCaps w:val="0"/>
                <w:strike w:val="0"/>
                <w:dstrike w:val="0"/>
                <w:outline w:val="0"/>
                <w:color w:val="000000"/>
                <w:spacing w:val="0"/>
                <w:kern w:val="0"/>
                <w:position w:val="0"/>
                <w:sz w:val="16"/>
                <w:szCs w:val="16"/>
                <w:u w:val="none" w:color="000000"/>
                <w:vertAlign w:val="baseline"/>
                <w:rtl w:val="0"/>
              </w:rPr>
              <w:t>27 items</w:t>
            </w:r>
          </w:p>
        </w:tc>
        <w:tc>
          <w:tcPr>
            <w:tcW w:type="dxa" w:w="2797"/>
            <w:tcBorders>
              <w:top w:val="nil"/>
              <w:left w:val="nil"/>
              <w:bottom w:val="nil"/>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w:cs="Calibri" w:hAnsi="Helvetica" w:eastAsia="Calibri"/>
                <w:b w:val="0"/>
                <w:bCs w:val="0"/>
                <w:i w:val="0"/>
                <w:iCs w:val="0"/>
                <w:caps w:val="0"/>
                <w:smallCaps w:val="0"/>
                <w:strike w:val="0"/>
                <w:dstrike w:val="0"/>
                <w:outline w:val="0"/>
                <w:color w:val="000000"/>
                <w:spacing w:val="0"/>
                <w:kern w:val="0"/>
                <w:position w:val="0"/>
                <w:sz w:val="16"/>
                <w:szCs w:val="16"/>
                <w:u w:val="none" w:color="000000"/>
                <w:vertAlign w:val="baseline"/>
                <w:rtl w:val="0"/>
              </w:rPr>
              <w:t>15 items</w:t>
            </w:r>
          </w:p>
        </w:tc>
        <w:tc>
          <w:tcPr>
            <w:tcW w:type="dxa" w:w="2796"/>
            <w:tcBorders>
              <w:top w:val="nil"/>
              <w:left w:val="nil"/>
              <w:bottom w:val="nil"/>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w:cs="Calibri" w:hAnsi="Helvetica" w:eastAsia="Calibri"/>
                <w:b w:val="0"/>
                <w:bCs w:val="0"/>
                <w:i w:val="0"/>
                <w:iCs w:val="0"/>
                <w:caps w:val="0"/>
                <w:smallCaps w:val="0"/>
                <w:strike w:val="0"/>
                <w:dstrike w:val="0"/>
                <w:outline w:val="0"/>
                <w:color w:val="000000"/>
                <w:spacing w:val="0"/>
                <w:kern w:val="0"/>
                <w:position w:val="0"/>
                <w:sz w:val="16"/>
                <w:szCs w:val="16"/>
                <w:u w:val="none" w:color="000000"/>
                <w:vertAlign w:val="baseline"/>
                <w:rtl w:val="0"/>
              </w:rPr>
              <w:t>12 items</w:t>
            </w:r>
          </w:p>
        </w:tc>
        <w:tc>
          <w:tcPr>
            <w:tcW w:type="dxa" w:w="2797"/>
            <w:tcBorders>
              <w:top w:val="nil"/>
              <w:left w:val="nil"/>
              <w:bottom w:val="nil"/>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w:cs="Calibri" w:hAnsi="Helvetica" w:eastAsia="Calibri"/>
                <w:b w:val="0"/>
                <w:bCs w:val="0"/>
                <w:i w:val="0"/>
                <w:iCs w:val="0"/>
                <w:caps w:val="0"/>
                <w:smallCaps w:val="0"/>
                <w:strike w:val="0"/>
                <w:dstrike w:val="0"/>
                <w:outline w:val="0"/>
                <w:color w:val="000000"/>
                <w:spacing w:val="0"/>
                <w:kern w:val="0"/>
                <w:position w:val="0"/>
                <w:sz w:val="16"/>
                <w:szCs w:val="16"/>
                <w:u w:val="none" w:color="000000"/>
                <w:vertAlign w:val="baseline"/>
                <w:rtl w:val="0"/>
              </w:rPr>
              <w:t>04 items</w:t>
            </w:r>
          </w:p>
        </w:tc>
      </w:tr>
      <w:tr>
        <w:tblPrEx>
          <w:shd w:val="clear" w:color="auto" w:fill="ced7e7"/>
        </w:tblPrEx>
        <w:trPr>
          <w:trHeight w:val="610" w:hRule="atLeast"/>
        </w:trPr>
        <w:tc>
          <w:tcPr>
            <w:tcW w:type="dxa" w:w="2796"/>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w:cs="Calibri" w:hAnsi="Helvetica" w:eastAsia="Calibri"/>
                <w:b w:val="1"/>
                <w:bCs w:val="1"/>
                <w:i w:val="0"/>
                <w:iCs w:val="0"/>
                <w:caps w:val="0"/>
                <w:smallCaps w:val="0"/>
                <w:strike w:val="0"/>
                <w:dstrike w:val="0"/>
                <w:outline w:val="0"/>
                <w:color w:val="000000"/>
                <w:spacing w:val="0"/>
                <w:kern w:val="0"/>
                <w:position w:val="0"/>
                <w:sz w:val="16"/>
                <w:szCs w:val="16"/>
                <w:u w:val="none" w:color="000000"/>
                <w:vertAlign w:val="baseline"/>
                <w:rtl w:val="0"/>
              </w:rPr>
              <w:t>Translations</w:t>
            </w:r>
          </w:p>
        </w:tc>
        <w:tc>
          <w:tcPr>
            <w:tcW w:type="dxa" w:w="2796"/>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rPr>
              <w:t>ENG, Malay, ESP, GER, SWE, TUR, FRA, NLD, ZAF (Afrikaans), CHN (not specified), Persian.</w:t>
            </w:r>
          </w:p>
        </w:tc>
        <w:tc>
          <w:tcPr>
            <w:tcW w:type="dxa" w:w="2797"/>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bidi w:val="0"/>
              <w:ind w:left="0" w:right="0" w:firstLine="0"/>
              <w:jc w:val="left"/>
              <w:rPr>
                <w:rtl w:val="0"/>
              </w:rPr>
            </w:pPr>
            <w:r>
              <w:rPr>
                <w:rFonts w:ascii="Calibri" w:cs="Calibri" w:hAnsi="Calibri" w:eastAsia="Calibri"/>
                <w:sz w:val="16"/>
                <w:szCs w:val="16"/>
                <w:rtl w:val="0"/>
              </w:rPr>
              <w:t>ENG, NOR, JPN.</w:t>
            </w:r>
          </w:p>
        </w:tc>
        <w:tc>
          <w:tcPr>
            <w:tcW w:type="dxa" w:w="2796"/>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w:cs="Calibri" w:hAnsi="Helvetica" w:eastAsia="Calibri"/>
                <w:b w:val="0"/>
                <w:bCs w:val="0"/>
                <w:i w:val="0"/>
                <w:iCs w:val="0"/>
                <w:caps w:val="0"/>
                <w:smallCaps w:val="0"/>
                <w:strike w:val="0"/>
                <w:dstrike w:val="0"/>
                <w:outline w:val="0"/>
                <w:color w:val="000000"/>
                <w:spacing w:val="0"/>
                <w:kern w:val="0"/>
                <w:position w:val="0"/>
                <w:sz w:val="16"/>
                <w:szCs w:val="16"/>
                <w:u w:val="none" w:color="000000"/>
                <w:vertAlign w:val="baseline"/>
                <w:rtl w:val="0"/>
              </w:rPr>
              <w:t>AUS.</w:t>
            </w:r>
          </w:p>
        </w:tc>
        <w:tc>
          <w:tcPr>
            <w:tcW w:type="dxa" w:w="2797"/>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w:cs="Calibri" w:hAnsi="Helvetica" w:eastAsia="Calibri"/>
                <w:b w:val="0"/>
                <w:bCs w:val="0"/>
                <w:i w:val="0"/>
                <w:iCs w:val="0"/>
                <w:caps w:val="0"/>
                <w:smallCaps w:val="0"/>
                <w:strike w:val="0"/>
                <w:dstrike w:val="0"/>
                <w:outline w:val="0"/>
                <w:color w:val="000000"/>
                <w:spacing w:val="0"/>
                <w:kern w:val="0"/>
                <w:position w:val="0"/>
                <w:sz w:val="16"/>
                <w:szCs w:val="16"/>
                <w:u w:val="none" w:color="000000"/>
                <w:vertAlign w:val="baseline"/>
                <w:rtl w:val="0"/>
              </w:rPr>
              <w:t>AUS.</w:t>
            </w:r>
          </w:p>
        </w:tc>
      </w:tr>
    </w:tbl>
    <w:p>
      <w:pPr>
        <w:pStyle w:val="Hoofdtekst"/>
        <w:widowControl w:val="0"/>
        <w:spacing w:line="240" w:lineRule="auto"/>
        <w:jc w:val="center"/>
        <w:rPr>
          <w:rFonts w:ascii="Helvetica" w:cs="Helvetica" w:hAnsi="Helvetica" w:eastAsia="Helvetica"/>
          <w:sz w:val="24"/>
          <w:szCs w:val="24"/>
        </w:rPr>
      </w:pPr>
    </w:p>
    <w:p>
      <w:pPr>
        <w:pStyle w:val="Hoofdtekst"/>
        <w:widowControl w:val="0"/>
        <w:spacing w:line="240" w:lineRule="auto"/>
        <w:jc w:val="center"/>
        <w:rPr>
          <w:rFonts w:ascii="Helvetica" w:cs="Helvetica" w:hAnsi="Helvetica" w:eastAsia="Helvetica"/>
          <w:sz w:val="24"/>
          <w:szCs w:val="24"/>
        </w:rPr>
      </w:pPr>
    </w:p>
    <w:p>
      <w:pPr>
        <w:pStyle w:val="Hoofdtekst"/>
        <w:widowControl w:val="0"/>
        <w:spacing w:line="240" w:lineRule="auto"/>
        <w:jc w:val="center"/>
        <w:rPr>
          <w:rFonts w:ascii="Helvetica" w:cs="Helvetica" w:hAnsi="Helvetica" w:eastAsia="Helvetica"/>
          <w:sz w:val="24"/>
          <w:szCs w:val="24"/>
        </w:rPr>
      </w:pPr>
    </w:p>
    <w:p>
      <w:pPr>
        <w:pStyle w:val="Hoofdtekst"/>
        <w:widowControl w:val="0"/>
        <w:spacing w:line="240" w:lineRule="auto"/>
        <w:jc w:val="center"/>
        <w:rPr>
          <w:rFonts w:ascii="Helvetica" w:cs="Helvetica" w:hAnsi="Helvetica" w:eastAsia="Helvetica"/>
          <w:sz w:val="24"/>
          <w:szCs w:val="24"/>
        </w:rPr>
      </w:pPr>
    </w:p>
    <w:tbl>
      <w:tblPr>
        <w:tblW w:w="13985"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796"/>
        <w:gridCol w:w="2797"/>
        <w:gridCol w:w="2798"/>
        <w:gridCol w:w="2797"/>
        <w:gridCol w:w="2797"/>
      </w:tblGrid>
      <w:tr>
        <w:tblPrEx>
          <w:shd w:val="clear" w:color="auto" w:fill="ced7e7"/>
        </w:tblPrEx>
        <w:trPr>
          <w:trHeight w:val="420" w:hRule="atLeast"/>
        </w:trPr>
        <w:tc>
          <w:tcPr>
            <w:tcW w:type="dxa" w:w="2796"/>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tc>
        <w:tc>
          <w:tcPr>
            <w:tcW w:type="dxa" w:w="2796"/>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b w:val="1"/>
                <w:bCs w:val="1"/>
                <w:sz w:val="16"/>
                <w:szCs w:val="16"/>
                <w:rtl w:val="0"/>
                <w:lang w:val="en-US"/>
              </w:rPr>
              <w:t>Vertigo Handicap Questionnaire</w:t>
            </w:r>
          </w:p>
        </w:tc>
        <w:tc>
          <w:tcPr>
            <w:tcW w:type="dxa" w:w="2797"/>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b w:val="1"/>
                <w:bCs w:val="1"/>
                <w:sz w:val="16"/>
                <w:szCs w:val="16"/>
                <w:rtl w:val="0"/>
                <w:lang w:val="en-US"/>
              </w:rPr>
              <w:t xml:space="preserve">Vestibular Rehabilitation Benefit Questionnaire </w:t>
            </w:r>
          </w:p>
        </w:tc>
        <w:tc>
          <w:tcPr>
            <w:tcW w:type="dxa" w:w="2796"/>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b w:val="1"/>
                <w:bCs w:val="1"/>
                <w:sz w:val="16"/>
                <w:szCs w:val="16"/>
                <w:rtl w:val="0"/>
                <w:lang w:val="en-US"/>
              </w:rPr>
              <w:t>Simulator Sickness Questionnaire</w:t>
            </w:r>
          </w:p>
        </w:tc>
        <w:tc>
          <w:tcPr>
            <w:tcW w:type="dxa" w:w="2797"/>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b w:val="1"/>
                <w:bCs w:val="1"/>
                <w:sz w:val="16"/>
                <w:szCs w:val="16"/>
                <w:rtl w:val="0"/>
                <w:lang w:val="en-US"/>
              </w:rPr>
              <w:t>Motion Sickness Assessment Questionnaire</w:t>
            </w:r>
          </w:p>
        </w:tc>
      </w:tr>
      <w:tr>
        <w:tblPrEx>
          <w:shd w:val="clear" w:color="auto" w:fill="ced7e7"/>
        </w:tblPrEx>
        <w:trPr>
          <w:trHeight w:val="220" w:hRule="atLeast"/>
        </w:trPr>
        <w:tc>
          <w:tcPr>
            <w:tcW w:type="dxa" w:w="2796"/>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b w:val="1"/>
                <w:bCs w:val="1"/>
                <w:sz w:val="16"/>
                <w:szCs w:val="16"/>
                <w:rtl w:val="0"/>
                <w:lang w:val="en-US"/>
              </w:rPr>
              <w:t>Author (year)</w:t>
            </w:r>
          </w:p>
        </w:tc>
        <w:tc>
          <w:tcPr>
            <w:tcW w:type="dxa" w:w="2796"/>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sz w:val="16"/>
                <w:szCs w:val="16"/>
                <w:rtl w:val="0"/>
                <w:lang w:val="en-US"/>
              </w:rPr>
              <w:t>Yardley L (1992)</w:t>
            </w:r>
            <w:r>
              <w:rPr>
                <w:sz w:val="16"/>
                <w:szCs w:val="16"/>
                <w:vertAlign w:val="superscript"/>
                <w:rtl w:val="0"/>
                <w:lang w:val="nl-NL"/>
              </w:rPr>
              <w:t>9</w:t>
            </w:r>
          </w:p>
        </w:tc>
        <w:tc>
          <w:tcPr>
            <w:tcW w:type="dxa" w:w="2797"/>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sz w:val="16"/>
                <w:szCs w:val="16"/>
                <w:rtl w:val="0"/>
                <w:lang w:val="en-US"/>
              </w:rPr>
              <w:t>Morris AE (2009)</w:t>
            </w:r>
            <w:r>
              <w:rPr>
                <w:sz w:val="16"/>
                <w:szCs w:val="16"/>
                <w:vertAlign w:val="superscript"/>
                <w:rtl w:val="0"/>
                <w:lang w:val="nl-NL"/>
              </w:rPr>
              <w:t>10</w:t>
            </w:r>
          </w:p>
        </w:tc>
        <w:tc>
          <w:tcPr>
            <w:tcW w:type="dxa" w:w="2796"/>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sz w:val="16"/>
                <w:szCs w:val="16"/>
                <w:rtl w:val="0"/>
                <w:lang w:val="en-US"/>
              </w:rPr>
              <w:t>Kennedy RS (1993)</w:t>
            </w:r>
            <w:r>
              <w:rPr>
                <w:sz w:val="16"/>
                <w:szCs w:val="16"/>
                <w:vertAlign w:val="superscript"/>
                <w:rtl w:val="0"/>
                <w:lang w:val="nl-NL"/>
              </w:rPr>
              <w:t>11</w:t>
            </w:r>
          </w:p>
        </w:tc>
        <w:tc>
          <w:tcPr>
            <w:tcW w:type="dxa" w:w="2797"/>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sz w:val="16"/>
                <w:szCs w:val="16"/>
                <w:rtl w:val="0"/>
                <w:lang w:val="pt-PT"/>
              </w:rPr>
              <w:t>Gianaros PJ (2001)</w:t>
            </w:r>
            <w:r>
              <w:rPr>
                <w:sz w:val="16"/>
                <w:szCs w:val="16"/>
                <w:vertAlign w:val="superscript"/>
                <w:rtl w:val="0"/>
                <w:lang w:val="nl-NL"/>
              </w:rPr>
              <w:t>12</w:t>
            </w:r>
          </w:p>
        </w:tc>
      </w:tr>
      <w:tr>
        <w:tblPrEx>
          <w:shd w:val="clear" w:color="auto" w:fill="ced7e7"/>
        </w:tblPrEx>
        <w:trPr>
          <w:trHeight w:val="810" w:hRule="atLeast"/>
        </w:trPr>
        <w:tc>
          <w:tcPr>
            <w:tcW w:type="dxa" w:w="2796"/>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w:cs="Calibri" w:hAnsi="Helvetica" w:eastAsia="Calibri"/>
                <w:b w:val="1"/>
                <w:bCs w:val="1"/>
                <w:i w:val="0"/>
                <w:iCs w:val="0"/>
                <w:caps w:val="0"/>
                <w:smallCaps w:val="0"/>
                <w:strike w:val="0"/>
                <w:dstrike w:val="0"/>
                <w:outline w:val="0"/>
                <w:color w:val="000000"/>
                <w:spacing w:val="0"/>
                <w:kern w:val="0"/>
                <w:position w:val="0"/>
                <w:sz w:val="16"/>
                <w:szCs w:val="16"/>
                <w:u w:val="none" w:color="000000"/>
                <w:vertAlign w:val="baseline"/>
                <w:rtl w:val="0"/>
              </w:rPr>
              <w:t>Country (institution)</w:t>
            </w:r>
          </w:p>
        </w:tc>
        <w:tc>
          <w:tcPr>
            <w:tcW w:type="dxa" w:w="2796"/>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w:cs="Calibri" w:hAnsi="Helvetica" w:eastAsia="Calibri"/>
                <w:b w:val="0"/>
                <w:bCs w:val="0"/>
                <w:i w:val="0"/>
                <w:iCs w:val="0"/>
                <w:caps w:val="0"/>
                <w:smallCaps w:val="0"/>
                <w:strike w:val="0"/>
                <w:dstrike w:val="0"/>
                <w:outline w:val="0"/>
                <w:color w:val="000000"/>
                <w:spacing w:val="0"/>
                <w:kern w:val="0"/>
                <w:position w:val="0"/>
                <w:sz w:val="16"/>
                <w:szCs w:val="16"/>
                <w:u w:val="none" w:color="000000"/>
                <w:vertAlign w:val="baseline"/>
                <w:rtl w:val="0"/>
              </w:rPr>
              <w:t>ENG(Medical Research Council Humun Movement and Balancc Unit, Section of Neuro-otology, National Hospital, Queen Square, London)</w:t>
            </w:r>
          </w:p>
        </w:tc>
        <w:tc>
          <w:tcPr>
            <w:tcW w:type="dxa" w:w="2797"/>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rPr>
              <w:t>ENG (Institute of Sound and Vibration Research, University of Southampton)</w:t>
            </w:r>
          </w:p>
        </w:tc>
        <w:tc>
          <w:tcPr>
            <w:tcW w:type="dxa" w:w="2796"/>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rPr>
              <w:t>USA (Essex Corporation, Orlando, Florida)</w:t>
            </w:r>
          </w:p>
        </w:tc>
        <w:tc>
          <w:tcPr>
            <w:tcW w:type="dxa" w:w="2797"/>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rPr>
              <w:t>USA ( Department of Psychology, The Pennsylvania State University)</w:t>
            </w:r>
          </w:p>
        </w:tc>
      </w:tr>
      <w:tr>
        <w:tblPrEx>
          <w:shd w:val="clear" w:color="auto" w:fill="ced7e7"/>
        </w:tblPrEx>
        <w:trPr>
          <w:trHeight w:val="800" w:hRule="atLeast"/>
        </w:trPr>
        <w:tc>
          <w:tcPr>
            <w:tcW w:type="dxa" w:w="2796"/>
            <w:tcBorders>
              <w:top w:val="nil"/>
              <w:left w:val="nil"/>
              <w:bottom w:val="nil"/>
              <w:right w:val="nil"/>
            </w:tcBorders>
            <w:shd w:val="clear" w:color="auto" w:fill="auto"/>
            <w:tcMar>
              <w:top w:type="dxa" w:w="80"/>
              <w:left w:type="dxa" w:w="80"/>
              <w:bottom w:type="dxa" w:w="80"/>
              <w:right w:type="dxa" w:w="80"/>
            </w:tcMar>
            <w:vAlign w:val="top"/>
          </w:tcPr>
          <w:p>
            <w:pPr>
              <w:pStyle w:val="Standaard"/>
            </w:pPr>
            <w:r>
              <w:rPr>
                <w:b w:val="1"/>
                <w:bCs w:val="1"/>
                <w:sz w:val="16"/>
                <w:szCs w:val="16"/>
                <w:rtl w:val="0"/>
                <w:lang w:val="en-US"/>
              </w:rPr>
              <w:t xml:space="preserve">Description </w:t>
            </w:r>
          </w:p>
        </w:tc>
        <w:tc>
          <w:tcPr>
            <w:tcW w:type="dxa" w:w="2796"/>
            <w:tcBorders>
              <w:top w:val="nil"/>
              <w:left w:val="nil"/>
              <w:bottom w:val="nil"/>
              <w:right w:val="nil"/>
            </w:tcBorders>
            <w:shd w:val="clear" w:color="auto" w:fill="auto"/>
            <w:tcMar>
              <w:top w:type="dxa" w:w="80"/>
              <w:left w:type="dxa" w:w="80"/>
              <w:bottom w:type="dxa" w:w="80"/>
              <w:right w:type="dxa" w:w="80"/>
            </w:tcMar>
            <w:vAlign w:val="top"/>
          </w:tcPr>
          <w:p>
            <w:pPr>
              <w:pStyle w:val="Standaard"/>
            </w:pPr>
            <w:r>
              <w:rPr>
                <w:sz w:val="16"/>
                <w:szCs w:val="16"/>
                <w:rtl w:val="0"/>
                <w:lang w:val="en-US"/>
              </w:rPr>
              <w:t xml:space="preserve">Assessment of </w:t>
            </w:r>
            <w:r>
              <w:rPr>
                <w:sz w:val="16"/>
                <w:szCs w:val="16"/>
                <w:rtl w:val="0"/>
                <w:lang w:val="en-US"/>
              </w:rPr>
              <w:t>physical and psychosocial</w:t>
            </w:r>
            <w:r>
              <w:rPr>
                <w:sz w:val="16"/>
                <w:szCs w:val="16"/>
                <w:rtl w:val="0"/>
                <w:lang w:val="en-US"/>
              </w:rPr>
              <w:t xml:space="preserve"> </w:t>
            </w:r>
            <w:r>
              <w:rPr>
                <w:color w:val="2e292a"/>
                <w:sz w:val="16"/>
                <w:szCs w:val="16"/>
                <w:u w:color="2e292a"/>
                <w:rtl w:val="0"/>
                <w:lang w:val="en-US"/>
              </w:rPr>
              <w:t>impairments of vertigo or dizziness.</w:t>
            </w:r>
          </w:p>
        </w:tc>
        <w:tc>
          <w:tcPr>
            <w:tcW w:type="dxa" w:w="2797"/>
            <w:tcBorders>
              <w:top w:val="nil"/>
              <w:left w:val="nil"/>
              <w:bottom w:val="nil"/>
              <w:right w:val="nil"/>
            </w:tcBorders>
            <w:shd w:val="clear" w:color="auto" w:fill="auto"/>
            <w:tcMar>
              <w:top w:type="dxa" w:w="80"/>
              <w:left w:type="dxa" w:w="80"/>
              <w:bottom w:type="dxa" w:w="80"/>
              <w:right w:type="dxa" w:w="80"/>
            </w:tcMar>
            <w:vAlign w:val="top"/>
          </w:tcPr>
          <w:p>
            <w:pPr>
              <w:pStyle w:val="Standaard"/>
            </w:pPr>
            <w:r>
              <w:rPr>
                <w:sz w:val="16"/>
                <w:szCs w:val="16"/>
                <w:rtl w:val="0"/>
                <w:lang w:val="en-US"/>
              </w:rPr>
              <w:t xml:space="preserve">Assessment of symptoms of, or related to, dizziness and the disabilities and handicaps associated with these symptoms. </w:t>
            </w:r>
          </w:p>
        </w:tc>
        <w:tc>
          <w:tcPr>
            <w:tcW w:type="dxa" w:w="2796"/>
            <w:tcBorders>
              <w:top w:val="nil"/>
              <w:left w:val="nil"/>
              <w:bottom w:val="nil"/>
              <w:right w:val="nil"/>
            </w:tcBorders>
            <w:shd w:val="clear" w:color="auto" w:fill="auto"/>
            <w:tcMar>
              <w:top w:type="dxa" w:w="80"/>
              <w:left w:type="dxa" w:w="80"/>
              <w:bottom w:type="dxa" w:w="80"/>
              <w:right w:type="dxa" w:w="80"/>
            </w:tcMar>
            <w:vAlign w:val="top"/>
          </w:tcPr>
          <w:p>
            <w:pPr>
              <w:pStyle w:val="Standaard"/>
            </w:pPr>
            <w:r>
              <w:rPr>
                <w:sz w:val="16"/>
                <w:szCs w:val="16"/>
                <w:rtl w:val="0"/>
                <w:lang w:val="en-US"/>
              </w:rPr>
              <w:t>Assessment of simulator sickness severity.</w:t>
            </w:r>
          </w:p>
        </w:tc>
        <w:tc>
          <w:tcPr>
            <w:tcW w:type="dxa" w:w="2797"/>
            <w:tcBorders>
              <w:top w:val="nil"/>
              <w:left w:val="nil"/>
              <w:bottom w:val="nil"/>
              <w:right w:val="nil"/>
            </w:tcBorders>
            <w:shd w:val="clear" w:color="auto" w:fill="auto"/>
            <w:tcMar>
              <w:top w:type="dxa" w:w="80"/>
              <w:left w:type="dxa" w:w="80"/>
              <w:bottom w:type="dxa" w:w="80"/>
              <w:right w:type="dxa" w:w="80"/>
            </w:tcMar>
            <w:vAlign w:val="top"/>
          </w:tcPr>
          <w:p>
            <w:pPr>
              <w:pStyle w:val="Standaard"/>
            </w:pPr>
            <w:r>
              <w:rPr>
                <w:sz w:val="16"/>
                <w:szCs w:val="16"/>
                <w:rtl w:val="0"/>
                <w:lang w:val="en-US"/>
              </w:rPr>
              <w:t>Quantification of the multiple dimensions of motion sickness.</w:t>
            </w:r>
          </w:p>
        </w:tc>
      </w:tr>
      <w:tr>
        <w:tblPrEx>
          <w:shd w:val="clear" w:color="auto" w:fill="ced7e7"/>
        </w:tblPrEx>
        <w:trPr>
          <w:trHeight w:val="1400" w:hRule="atLeast"/>
        </w:trPr>
        <w:tc>
          <w:tcPr>
            <w:tcW w:type="dxa" w:w="2796"/>
            <w:tcBorders>
              <w:top w:val="nil"/>
              <w:left w:val="nil"/>
              <w:bottom w:val="nil"/>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Fonts w:ascii="Helvetica" w:cs="Helvetica" w:hAnsi="Helvetica" w:eastAsia="Helvetica"/>
                <w:b w:val="1"/>
                <w:bCs w:val="1"/>
                <w:i w:val="0"/>
                <w:iCs w:val="0"/>
                <w:caps w:val="0"/>
                <w:smallCaps w:val="0"/>
                <w:strike w:val="0"/>
                <w:dstrike w:val="0"/>
                <w:outline w:val="0"/>
                <w:color w:val="000000"/>
                <w:spacing w:val="0"/>
                <w:kern w:val="0"/>
                <w:position w:val="0"/>
                <w:sz w:val="16"/>
                <w:szCs w:val="16"/>
                <w:u w:val="none" w:color="000000"/>
                <w:vertAlign w:val="baseline"/>
                <w:rtl w:val="0"/>
              </w:rPr>
            </w:pPr>
            <w:r>
              <w:rPr>
                <w:rFonts w:ascii="Helvetica" w:cs="Calibri" w:hAnsi="Helvetica" w:eastAsia="Calibri"/>
                <w:b w:val="1"/>
                <w:bCs w:val="1"/>
                <w:i w:val="0"/>
                <w:iCs w:val="0"/>
                <w:caps w:val="0"/>
                <w:smallCaps w:val="0"/>
                <w:strike w:val="0"/>
                <w:dstrike w:val="0"/>
                <w:outline w:val="0"/>
                <w:color w:val="000000"/>
                <w:spacing w:val="0"/>
                <w:kern w:val="0"/>
                <w:position w:val="0"/>
                <w:sz w:val="16"/>
                <w:szCs w:val="16"/>
                <w:u w:val="none" w:color="000000"/>
                <w:vertAlign w:val="baseline"/>
                <w:rtl w:val="0"/>
                <w:lang w:val="en-US"/>
              </w:rPr>
              <w:t>Study population</w:t>
            </w:r>
          </w:p>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w:cs="Calibri" w:hAnsi="Helvetica" w:eastAsia="Calibri"/>
                <w:b w:val="1"/>
                <w:bCs w:val="1"/>
                <w:i w:val="1"/>
                <w:iCs w:val="1"/>
                <w:caps w:val="0"/>
                <w:smallCaps w:val="0"/>
                <w:strike w:val="0"/>
                <w:dstrike w:val="0"/>
                <w:outline w:val="0"/>
                <w:color w:val="000000"/>
                <w:spacing w:val="0"/>
                <w:kern w:val="0"/>
                <w:position w:val="0"/>
                <w:sz w:val="16"/>
                <w:szCs w:val="16"/>
                <w:u w:val="none" w:color="000000"/>
                <w:vertAlign w:val="baseline"/>
                <w:rtl w:val="0"/>
                <w:lang w:val="en-US"/>
              </w:rPr>
              <w:t>mean age</w:t>
            </w:r>
            <w:r>
              <w:rPr>
                <w:rFonts w:ascii="Helvetica" w:cs="Calibri" w:hAnsi="Helvetica" w:eastAsia="Calibri"/>
                <w:b w:val="1"/>
                <w:bCs w:val="1"/>
                <w:i w:val="1"/>
                <w:iCs w:val="1"/>
                <w:caps w:val="0"/>
                <w:smallCaps w:val="0"/>
                <w:strike w:val="0"/>
                <w:dstrike w:val="0"/>
                <w:outline w:val="0"/>
                <w:color w:val="000000"/>
                <w:spacing w:val="0"/>
                <w:kern w:val="0"/>
                <w:position w:val="0"/>
                <w:sz w:val="16"/>
                <w:szCs w:val="16"/>
                <w:u w:val="none" w:color="000000"/>
                <w:vertAlign w:val="baseline"/>
                <w:rtl w:val="0"/>
                <w:lang w:val="nl-NL"/>
              </w:rPr>
              <w:t>, S</w:t>
            </w:r>
            <w:r>
              <w:rPr>
                <w:rFonts w:ascii="Helvetica" w:cs="Calibri" w:hAnsi="Helvetica" w:eastAsia="Calibri"/>
                <w:b w:val="1"/>
                <w:bCs w:val="1"/>
                <w:i w:val="1"/>
                <w:iCs w:val="1"/>
                <w:caps w:val="0"/>
                <w:smallCaps w:val="0"/>
                <w:strike w:val="0"/>
                <w:dstrike w:val="0"/>
                <w:outline w:val="0"/>
                <w:color w:val="000000"/>
                <w:spacing w:val="0"/>
                <w:kern w:val="0"/>
                <w:position w:val="0"/>
                <w:sz w:val="16"/>
                <w:szCs w:val="16"/>
                <w:u w:val="none" w:color="000000"/>
                <w:vertAlign w:val="baseline"/>
                <w:rtl w:val="0"/>
                <w:lang w:val="en-US"/>
              </w:rPr>
              <w:t xml:space="preserve">D, age range, </w:t>
            </w:r>
            <w:r>
              <w:rPr>
                <w:rFonts w:ascii="Helvetica" w:cs="Calibri" w:hAnsi="Helvetica" w:eastAsia="Calibri"/>
                <w:b w:val="1"/>
                <w:bCs w:val="1"/>
                <w:i w:val="1"/>
                <w:iCs w:val="1"/>
                <w:caps w:val="0"/>
                <w:smallCaps w:val="0"/>
                <w:strike w:val="0"/>
                <w:dstrike w:val="0"/>
                <w:outline w:val="0"/>
                <w:color w:val="000000"/>
                <w:spacing w:val="0"/>
                <w:kern w:val="0"/>
                <w:position w:val="0"/>
                <w:sz w:val="16"/>
                <w:szCs w:val="16"/>
                <w:u w:val="none" w:color="000000"/>
                <w:vertAlign w:val="baseline"/>
                <w:rtl w:val="0"/>
                <w:lang w:val="nl-NL"/>
              </w:rPr>
              <w:t xml:space="preserve">  women (%)</w:t>
            </w:r>
          </w:p>
        </w:tc>
        <w:tc>
          <w:tcPr>
            <w:tcW w:type="dxa" w:w="2796"/>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rPr>
              <w:t>84 subjects (patients referred to the audiology department for audiovestibular testing): 48yrs, 16-78yrs, women: 64.2%.</w:t>
            </w:r>
          </w:p>
        </w:tc>
        <w:tc>
          <w:tcPr>
            <w:tcW w:type="dxa" w:w="2797"/>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rPr>
              <w:t>18 subjects (patients receiving vestibular rehabilitation): women: 88.88%.</w:t>
            </w:r>
          </w:p>
        </w:tc>
        <w:tc>
          <w:tcPr>
            <w:tcW w:type="dxa" w:w="2796"/>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rPr>
              <w:t>Unknown number of subjects (simulator users), 1119 SSQ pairs (pre- and post exposure questionnaires of simulator users).</w:t>
            </w:r>
          </w:p>
        </w:tc>
        <w:tc>
          <w:tcPr>
            <w:tcW w:type="dxa" w:w="2797"/>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rPr>
              <w:t>1145 subjects (students at The Pennsylvania State University), 4 samples: 67 subjects: 21yrs, women: 65.67%. 747 subjects: 19yrs, women: 59.97%, 310 subjects: 19yrs, women: 55.48%. 21 subjects: 19yrs, women: 61.9%.</w:t>
            </w:r>
          </w:p>
        </w:tc>
      </w:tr>
      <w:tr>
        <w:tblPrEx>
          <w:shd w:val="clear" w:color="auto" w:fill="ced7e7"/>
        </w:tblPrEx>
        <w:trPr>
          <w:trHeight w:val="600" w:hRule="atLeast"/>
        </w:trPr>
        <w:tc>
          <w:tcPr>
            <w:tcW w:type="dxa" w:w="2796"/>
            <w:tcBorders>
              <w:top w:val="nil"/>
              <w:left w:val="nil"/>
              <w:bottom w:val="nil"/>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w:cs="Calibri" w:hAnsi="Helvetica" w:eastAsia="Calibri"/>
                <w:b w:val="1"/>
                <w:bCs w:val="1"/>
                <w:i w:val="0"/>
                <w:iCs w:val="0"/>
                <w:caps w:val="0"/>
                <w:smallCaps w:val="0"/>
                <w:strike w:val="0"/>
                <w:dstrike w:val="0"/>
                <w:outline w:val="0"/>
                <w:color w:val="000000"/>
                <w:spacing w:val="0"/>
                <w:kern w:val="0"/>
                <w:position w:val="0"/>
                <w:sz w:val="16"/>
                <w:szCs w:val="16"/>
                <w:u w:val="none" w:color="000000"/>
                <w:vertAlign w:val="baseline"/>
                <w:rtl w:val="0"/>
              </w:rPr>
              <w:t>Item development</w:t>
            </w:r>
          </w:p>
        </w:tc>
        <w:tc>
          <w:tcPr>
            <w:tcW w:type="dxa" w:w="2796"/>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rPr>
              <w:t>Items generated based on patient interviews.</w:t>
            </w:r>
          </w:p>
        </w:tc>
        <w:tc>
          <w:tcPr>
            <w:tcW w:type="dxa" w:w="2797"/>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rPr>
              <w:t xml:space="preserve">Items derived from patient interviews adjusted after feedback from patients and clinicians. </w:t>
            </w:r>
          </w:p>
        </w:tc>
        <w:tc>
          <w:tcPr>
            <w:tcW w:type="dxa" w:w="2796"/>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rPr>
              <w:t>Items are based on that of the (Pensacola) Motion Sickness Questionnaire.</w:t>
            </w:r>
          </w:p>
        </w:tc>
        <w:tc>
          <w:tcPr>
            <w:tcW w:type="dxa" w:w="2797"/>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rPr>
              <w:t>Items generated based on patient interviews.</w:t>
            </w:r>
          </w:p>
        </w:tc>
      </w:tr>
      <w:tr>
        <w:tblPrEx>
          <w:shd w:val="clear" w:color="auto" w:fill="ced7e7"/>
        </w:tblPrEx>
        <w:trPr>
          <w:trHeight w:val="260" w:hRule="atLeast"/>
        </w:trPr>
        <w:tc>
          <w:tcPr>
            <w:tcW w:type="dxa" w:w="2796"/>
            <w:tcBorders>
              <w:top w:val="nil"/>
              <w:left w:val="nil"/>
              <w:bottom w:val="nil"/>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w:cs="Calibri" w:hAnsi="Helvetica" w:eastAsia="Calibri"/>
                <w:b w:val="1"/>
                <w:bCs w:val="1"/>
                <w:i w:val="0"/>
                <w:iCs w:val="0"/>
                <w:caps w:val="0"/>
                <w:smallCaps w:val="0"/>
                <w:strike w:val="0"/>
                <w:dstrike w:val="0"/>
                <w:outline w:val="0"/>
                <w:color w:val="000000"/>
                <w:spacing w:val="0"/>
                <w:kern w:val="0"/>
                <w:position w:val="0"/>
                <w:sz w:val="16"/>
                <w:szCs w:val="16"/>
                <w:u w:val="none" w:color="000000"/>
                <w:vertAlign w:val="baseline"/>
                <w:rtl w:val="0"/>
              </w:rPr>
              <w:t>Items</w:t>
            </w:r>
          </w:p>
        </w:tc>
        <w:tc>
          <w:tcPr>
            <w:tcW w:type="dxa" w:w="2796"/>
            <w:tcBorders>
              <w:top w:val="nil"/>
              <w:left w:val="nil"/>
              <w:bottom w:val="nil"/>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w:cs="Calibri" w:hAnsi="Helvetica" w:eastAsia="Calibri"/>
                <w:b w:val="0"/>
                <w:bCs w:val="0"/>
                <w:i w:val="0"/>
                <w:iCs w:val="0"/>
                <w:caps w:val="0"/>
                <w:smallCaps w:val="0"/>
                <w:strike w:val="0"/>
                <w:dstrike w:val="0"/>
                <w:outline w:val="0"/>
                <w:color w:val="000000"/>
                <w:spacing w:val="0"/>
                <w:kern w:val="0"/>
                <w:position w:val="0"/>
                <w:sz w:val="16"/>
                <w:szCs w:val="16"/>
                <w:u w:val="none" w:color="000000"/>
                <w:vertAlign w:val="baseline"/>
                <w:rtl w:val="0"/>
              </w:rPr>
              <w:t>25 items</w:t>
            </w:r>
          </w:p>
        </w:tc>
        <w:tc>
          <w:tcPr>
            <w:tcW w:type="dxa" w:w="2797"/>
            <w:tcBorders>
              <w:top w:val="nil"/>
              <w:left w:val="nil"/>
              <w:bottom w:val="nil"/>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w:cs="Calibri" w:hAnsi="Helvetica" w:eastAsia="Calibri"/>
                <w:b w:val="0"/>
                <w:bCs w:val="0"/>
                <w:i w:val="0"/>
                <w:iCs w:val="0"/>
                <w:caps w:val="0"/>
                <w:smallCaps w:val="0"/>
                <w:strike w:val="0"/>
                <w:dstrike w:val="0"/>
                <w:outline w:val="0"/>
                <w:color w:val="000000"/>
                <w:spacing w:val="0"/>
                <w:kern w:val="0"/>
                <w:position w:val="0"/>
                <w:sz w:val="16"/>
                <w:szCs w:val="16"/>
                <w:u w:val="none" w:color="000000"/>
                <w:vertAlign w:val="baseline"/>
                <w:rtl w:val="0"/>
              </w:rPr>
              <w:t>22 items</w:t>
            </w:r>
          </w:p>
        </w:tc>
        <w:tc>
          <w:tcPr>
            <w:tcW w:type="dxa" w:w="2796"/>
            <w:tcBorders>
              <w:top w:val="nil"/>
              <w:left w:val="nil"/>
              <w:bottom w:val="nil"/>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w:cs="Calibri" w:hAnsi="Helvetica" w:eastAsia="Calibri"/>
                <w:b w:val="0"/>
                <w:bCs w:val="0"/>
                <w:i w:val="0"/>
                <w:iCs w:val="0"/>
                <w:caps w:val="0"/>
                <w:smallCaps w:val="0"/>
                <w:strike w:val="0"/>
                <w:dstrike w:val="0"/>
                <w:outline w:val="0"/>
                <w:color w:val="000000"/>
                <w:spacing w:val="0"/>
                <w:kern w:val="0"/>
                <w:position w:val="0"/>
                <w:sz w:val="16"/>
                <w:szCs w:val="16"/>
                <w:u w:val="none" w:color="000000"/>
                <w:vertAlign w:val="baseline"/>
                <w:rtl w:val="0"/>
              </w:rPr>
              <w:t>16 items</w:t>
            </w:r>
          </w:p>
        </w:tc>
        <w:tc>
          <w:tcPr>
            <w:tcW w:type="dxa" w:w="2797"/>
            <w:tcBorders>
              <w:top w:val="nil"/>
              <w:left w:val="nil"/>
              <w:bottom w:val="nil"/>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w:cs="Calibri" w:hAnsi="Helvetica" w:eastAsia="Calibri"/>
                <w:b w:val="0"/>
                <w:bCs w:val="0"/>
                <w:i w:val="0"/>
                <w:iCs w:val="0"/>
                <w:caps w:val="0"/>
                <w:smallCaps w:val="0"/>
                <w:strike w:val="0"/>
                <w:dstrike w:val="0"/>
                <w:outline w:val="0"/>
                <w:color w:val="000000"/>
                <w:spacing w:val="0"/>
                <w:kern w:val="0"/>
                <w:position w:val="0"/>
                <w:sz w:val="16"/>
                <w:szCs w:val="16"/>
                <w:u w:val="none" w:color="000000"/>
                <w:vertAlign w:val="baseline"/>
                <w:rtl w:val="0"/>
              </w:rPr>
              <w:t>16 items</w:t>
            </w:r>
          </w:p>
        </w:tc>
      </w:tr>
      <w:tr>
        <w:tblPrEx>
          <w:shd w:val="clear" w:color="auto" w:fill="ced7e7"/>
        </w:tblPrEx>
        <w:trPr>
          <w:trHeight w:val="210" w:hRule="atLeast"/>
        </w:trPr>
        <w:tc>
          <w:tcPr>
            <w:tcW w:type="dxa" w:w="2796"/>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w:cs="Calibri" w:hAnsi="Helvetica" w:eastAsia="Calibri"/>
                <w:b w:val="1"/>
                <w:bCs w:val="1"/>
                <w:i w:val="0"/>
                <w:iCs w:val="0"/>
                <w:caps w:val="0"/>
                <w:smallCaps w:val="0"/>
                <w:strike w:val="0"/>
                <w:dstrike w:val="0"/>
                <w:outline w:val="0"/>
                <w:color w:val="000000"/>
                <w:spacing w:val="0"/>
                <w:kern w:val="0"/>
                <w:position w:val="0"/>
                <w:sz w:val="16"/>
                <w:szCs w:val="16"/>
                <w:u w:val="none" w:color="000000"/>
                <w:vertAlign w:val="baseline"/>
                <w:rtl w:val="0"/>
              </w:rPr>
              <w:t>Translations</w:t>
            </w:r>
          </w:p>
        </w:tc>
        <w:tc>
          <w:tcPr>
            <w:tcW w:type="dxa" w:w="2796"/>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w:cs="Calibri" w:hAnsi="Helvetica" w:eastAsia="Calibri"/>
                <w:b w:val="0"/>
                <w:bCs w:val="0"/>
                <w:i w:val="0"/>
                <w:iCs w:val="0"/>
                <w:caps w:val="0"/>
                <w:smallCaps w:val="0"/>
                <w:strike w:val="0"/>
                <w:dstrike w:val="0"/>
                <w:outline w:val="0"/>
                <w:color w:val="000000"/>
                <w:spacing w:val="0"/>
                <w:kern w:val="0"/>
                <w:position w:val="0"/>
                <w:sz w:val="16"/>
                <w:szCs w:val="16"/>
                <w:u w:val="none" w:color="000000"/>
                <w:vertAlign w:val="baseline"/>
                <w:rtl w:val="0"/>
              </w:rPr>
              <w:t>ENG, GER.</w:t>
            </w:r>
          </w:p>
        </w:tc>
        <w:tc>
          <w:tcPr>
            <w:tcW w:type="dxa" w:w="2797"/>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rPr>
              <w:t>ENG GER.</w:t>
            </w:r>
          </w:p>
        </w:tc>
        <w:tc>
          <w:tcPr>
            <w:tcW w:type="dxa" w:w="2796"/>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rPr>
              <w:t>USA, POL, BRA.</w:t>
            </w:r>
          </w:p>
        </w:tc>
        <w:tc>
          <w:tcPr>
            <w:tcW w:type="dxa" w:w="2797"/>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rPr>
              <w:t>USA, GRK.</w:t>
            </w:r>
          </w:p>
        </w:tc>
      </w:tr>
    </w:tbl>
    <w:p>
      <w:pPr>
        <w:pStyle w:val="Hoofdtekst"/>
        <w:widowControl w:val="0"/>
        <w:spacing w:line="240" w:lineRule="auto"/>
        <w:jc w:val="center"/>
        <w:rPr>
          <w:rFonts w:ascii="Helvetica" w:cs="Helvetica" w:hAnsi="Helvetica" w:eastAsia="Helvetica"/>
          <w:sz w:val="24"/>
          <w:szCs w:val="24"/>
        </w:rPr>
      </w:pPr>
    </w:p>
    <w:p>
      <w:pPr>
        <w:pStyle w:val="Hoofdtekst"/>
        <w:spacing w:line="240" w:lineRule="auto"/>
        <w:rPr>
          <w:rFonts w:ascii="Helvetica" w:cs="Helvetica" w:hAnsi="Helvetica" w:eastAsia="Helvetica"/>
          <w:sz w:val="24"/>
          <w:szCs w:val="24"/>
        </w:rPr>
      </w:pPr>
    </w:p>
    <w:p>
      <w:pPr>
        <w:pStyle w:val="Hoofdtekst"/>
        <w:spacing w:line="240" w:lineRule="auto"/>
        <w:rPr>
          <w:rFonts w:ascii="Helvetica" w:cs="Helvetica" w:hAnsi="Helvetica" w:eastAsia="Helvetica"/>
          <w:sz w:val="24"/>
          <w:szCs w:val="24"/>
        </w:rPr>
      </w:pPr>
    </w:p>
    <w:p>
      <w:pPr>
        <w:pStyle w:val="Hoofdtekst"/>
        <w:spacing w:line="240" w:lineRule="auto"/>
        <w:rPr>
          <w:rFonts w:ascii="Helvetica" w:cs="Helvetica" w:hAnsi="Helvetica" w:eastAsia="Helvetica"/>
          <w:sz w:val="24"/>
          <w:szCs w:val="24"/>
        </w:rPr>
      </w:pPr>
    </w:p>
    <w:p>
      <w:pPr>
        <w:pStyle w:val="Hoofdtekst"/>
        <w:spacing w:line="240" w:lineRule="auto"/>
        <w:rPr>
          <w:rFonts w:ascii="Helvetica" w:cs="Helvetica" w:hAnsi="Helvetica" w:eastAsia="Helvetica"/>
          <w:sz w:val="24"/>
          <w:szCs w:val="24"/>
        </w:rPr>
      </w:pPr>
    </w:p>
    <w:p>
      <w:pPr>
        <w:pStyle w:val="Hoofdtekst"/>
        <w:spacing w:line="240" w:lineRule="auto"/>
        <w:rPr>
          <w:rFonts w:ascii="Helvetica" w:cs="Helvetica" w:hAnsi="Helvetica" w:eastAsia="Helvetica"/>
          <w:sz w:val="24"/>
          <w:szCs w:val="24"/>
        </w:rPr>
      </w:pPr>
    </w:p>
    <w:tbl>
      <w:tblPr>
        <w:tblW w:w="13985"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796"/>
        <w:gridCol w:w="2797"/>
        <w:gridCol w:w="2798"/>
        <w:gridCol w:w="2797"/>
        <w:gridCol w:w="2797"/>
      </w:tblGrid>
      <w:tr>
        <w:tblPrEx>
          <w:shd w:val="clear" w:color="auto" w:fill="ced7e7"/>
        </w:tblPrEx>
        <w:trPr>
          <w:trHeight w:val="620" w:hRule="atLeast"/>
        </w:trPr>
        <w:tc>
          <w:tcPr>
            <w:tcW w:type="dxa" w:w="2796"/>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tc>
        <w:tc>
          <w:tcPr>
            <w:tcW w:type="dxa" w:w="2796"/>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b w:val="1"/>
                <w:bCs w:val="1"/>
                <w:sz w:val="16"/>
                <w:szCs w:val="16"/>
                <w:rtl w:val="0"/>
                <w:lang w:val="en-US"/>
              </w:rPr>
              <w:t>Situational Vertigo Questionnaire</w:t>
            </w:r>
          </w:p>
        </w:tc>
        <w:tc>
          <w:tcPr>
            <w:tcW w:type="dxa" w:w="2797"/>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b w:val="1"/>
                <w:bCs w:val="1"/>
                <w:sz w:val="16"/>
                <w:szCs w:val="16"/>
                <w:rtl w:val="0"/>
                <w:lang w:val="en-US"/>
              </w:rPr>
              <w:t>Vestibular Activities and Participation (VAP) Measure questionnaire</w:t>
            </w:r>
          </w:p>
        </w:tc>
        <w:tc>
          <w:tcPr>
            <w:tcW w:type="dxa" w:w="2796"/>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b w:val="1"/>
                <w:bCs w:val="1"/>
                <w:sz w:val="16"/>
                <w:szCs w:val="16"/>
                <w:rtl w:val="0"/>
                <w:lang w:val="en-US"/>
              </w:rPr>
              <w:t>Revised Simulator Sickness Questionnaire</w:t>
            </w:r>
          </w:p>
        </w:tc>
        <w:tc>
          <w:tcPr>
            <w:tcW w:type="dxa" w:w="2797"/>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b w:val="1"/>
                <w:bCs w:val="1"/>
                <w:sz w:val="16"/>
                <w:szCs w:val="16"/>
                <w:rtl w:val="0"/>
                <w:lang w:val="en-US"/>
              </w:rPr>
              <w:t>(Pensacola) Motion Sickness Questionnaire</w:t>
            </w:r>
          </w:p>
        </w:tc>
      </w:tr>
      <w:tr>
        <w:tblPrEx>
          <w:shd w:val="clear" w:color="auto" w:fill="ced7e7"/>
        </w:tblPrEx>
        <w:trPr>
          <w:trHeight w:val="220" w:hRule="atLeast"/>
        </w:trPr>
        <w:tc>
          <w:tcPr>
            <w:tcW w:type="dxa" w:w="2796"/>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b w:val="1"/>
                <w:bCs w:val="1"/>
                <w:sz w:val="16"/>
                <w:szCs w:val="16"/>
                <w:rtl w:val="0"/>
                <w:lang w:val="en-US"/>
              </w:rPr>
              <w:t>Author (year)</w:t>
            </w:r>
          </w:p>
        </w:tc>
        <w:tc>
          <w:tcPr>
            <w:tcW w:type="dxa" w:w="2796"/>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sz w:val="16"/>
                <w:szCs w:val="16"/>
                <w:rtl w:val="0"/>
                <w:lang w:val="pt-PT"/>
              </w:rPr>
              <w:t>Guerraz M (2001)</w:t>
            </w:r>
            <w:r>
              <w:rPr>
                <w:sz w:val="16"/>
                <w:szCs w:val="16"/>
                <w:vertAlign w:val="superscript"/>
                <w:rtl w:val="0"/>
                <w:lang w:val="nl-NL"/>
              </w:rPr>
              <w:t>13</w:t>
            </w:r>
          </w:p>
        </w:tc>
        <w:tc>
          <w:tcPr>
            <w:tcW w:type="dxa" w:w="2797"/>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sz w:val="16"/>
                <w:szCs w:val="16"/>
                <w:rtl w:val="0"/>
                <w:lang w:val="de-DE"/>
              </w:rPr>
              <w:t>Alghwiri AA (2012)</w:t>
            </w:r>
            <w:r>
              <w:rPr>
                <w:sz w:val="16"/>
                <w:szCs w:val="16"/>
                <w:vertAlign w:val="superscript"/>
                <w:rtl w:val="0"/>
                <w:lang w:val="nl-NL"/>
              </w:rPr>
              <w:t>1</w:t>
            </w:r>
            <w:r>
              <w:rPr>
                <w:sz w:val="16"/>
                <w:szCs w:val="16"/>
                <w:vertAlign w:val="superscript"/>
                <w:rtl w:val="0"/>
                <w:lang w:val="nl-NL"/>
              </w:rPr>
              <w:t>5</w:t>
            </w:r>
          </w:p>
        </w:tc>
        <w:tc>
          <w:tcPr>
            <w:tcW w:type="dxa" w:w="2796"/>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sz w:val="16"/>
                <w:szCs w:val="16"/>
                <w:rtl w:val="0"/>
                <w:lang w:val="en-US"/>
              </w:rPr>
              <w:t>Kim DH (2004)</w:t>
            </w:r>
            <w:r>
              <w:rPr>
                <w:sz w:val="16"/>
                <w:szCs w:val="16"/>
                <w:vertAlign w:val="superscript"/>
                <w:rtl w:val="0"/>
                <w:lang w:val="nl-NL"/>
              </w:rPr>
              <w:t>1</w:t>
            </w:r>
            <w:r>
              <w:rPr>
                <w:sz w:val="16"/>
                <w:szCs w:val="16"/>
                <w:vertAlign w:val="superscript"/>
                <w:rtl w:val="0"/>
                <w:lang w:val="nl-NL"/>
              </w:rPr>
              <w:t>6</w:t>
            </w:r>
          </w:p>
        </w:tc>
        <w:tc>
          <w:tcPr>
            <w:tcW w:type="dxa" w:w="2797"/>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sz w:val="16"/>
                <w:szCs w:val="16"/>
                <w:rtl w:val="0"/>
                <w:lang w:val="en-US"/>
              </w:rPr>
              <w:t>Kelllogg RS (1964)</w:t>
            </w:r>
            <w:r>
              <w:rPr>
                <w:sz w:val="16"/>
                <w:szCs w:val="16"/>
                <w:vertAlign w:val="superscript"/>
                <w:rtl w:val="0"/>
                <w:lang w:val="nl-NL"/>
              </w:rPr>
              <w:t>1</w:t>
            </w:r>
            <w:r>
              <w:rPr>
                <w:sz w:val="16"/>
                <w:szCs w:val="16"/>
                <w:vertAlign w:val="superscript"/>
                <w:rtl w:val="0"/>
                <w:lang w:val="nl-NL"/>
              </w:rPr>
              <w:t>7</w:t>
            </w:r>
          </w:p>
        </w:tc>
      </w:tr>
      <w:tr>
        <w:tblPrEx>
          <w:shd w:val="clear" w:color="auto" w:fill="ced7e7"/>
        </w:tblPrEx>
        <w:trPr>
          <w:trHeight w:val="1210" w:hRule="atLeast"/>
        </w:trPr>
        <w:tc>
          <w:tcPr>
            <w:tcW w:type="dxa" w:w="2796"/>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w:cs="Calibri" w:hAnsi="Helvetica" w:eastAsia="Calibri"/>
                <w:b w:val="1"/>
                <w:bCs w:val="1"/>
                <w:i w:val="0"/>
                <w:iCs w:val="0"/>
                <w:caps w:val="0"/>
                <w:smallCaps w:val="0"/>
                <w:strike w:val="0"/>
                <w:dstrike w:val="0"/>
                <w:outline w:val="0"/>
                <w:color w:val="000000"/>
                <w:spacing w:val="0"/>
                <w:kern w:val="0"/>
                <w:position w:val="0"/>
                <w:sz w:val="16"/>
                <w:szCs w:val="16"/>
                <w:u w:val="none" w:color="000000"/>
                <w:vertAlign w:val="baseline"/>
                <w:rtl w:val="0"/>
              </w:rPr>
              <w:t>Country (institution)</w:t>
            </w:r>
          </w:p>
        </w:tc>
        <w:tc>
          <w:tcPr>
            <w:tcW w:type="dxa" w:w="2796"/>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Helvetica" w:hAnsi="Helvetica"/>
                <w:sz w:val="16"/>
                <w:szCs w:val="16"/>
                <w:rtl w:val="0"/>
              </w:rPr>
              <w:t>FRA (UMR Mouvement et Perception, CNRS et Universit</w:t>
            </w:r>
            <w:r>
              <w:rPr>
                <w:rFonts w:ascii="Helvetica" w:hAnsi="Helvetica" w:hint="default"/>
                <w:sz w:val="16"/>
                <w:szCs w:val="16"/>
                <w:rtl w:val="0"/>
              </w:rPr>
              <w:t xml:space="preserve">é </w:t>
            </w:r>
            <w:r>
              <w:rPr>
                <w:rFonts w:ascii="Helvetica" w:hAnsi="Helvetica"/>
                <w:sz w:val="16"/>
                <w:szCs w:val="16"/>
                <w:rtl w:val="0"/>
              </w:rPr>
              <w:t>de la Mediterranee, Marseille)</w:t>
            </w:r>
          </w:p>
        </w:tc>
        <w:tc>
          <w:tcPr>
            <w:tcW w:type="dxa" w:w="2797"/>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Helvetica" w:hAnsi="Helvetica"/>
                <w:sz w:val="16"/>
                <w:szCs w:val="16"/>
                <w:rtl w:val="0"/>
              </w:rPr>
              <w:t>JOR (Department of Physical Therapy, University of Jordan, Amman)</w:t>
            </w:r>
          </w:p>
        </w:tc>
        <w:tc>
          <w:tcPr>
            <w:tcW w:type="dxa" w:w="2796"/>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rPr>
              <w:t>USA (Human Interface Technology Laboratory, University of Washington, Seattle, Washington)</w:t>
            </w:r>
          </w:p>
        </w:tc>
        <w:tc>
          <w:tcPr>
            <w:tcW w:type="dxa" w:w="2797"/>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Helvetica" w:hAnsi="Helvetica"/>
                <w:sz w:val="16"/>
                <w:szCs w:val="16"/>
                <w:rtl w:val="0"/>
              </w:rPr>
              <w:t>USA (Behavioral Sciences Laboratory, Aerospace Medical Research Laboratories, Aerospace Medical Divsion, Air Force Systems Command, Wright Patterson Air Base, Ohio)</w:t>
            </w:r>
          </w:p>
        </w:tc>
      </w:tr>
      <w:tr>
        <w:tblPrEx>
          <w:shd w:val="clear" w:color="auto" w:fill="ced7e7"/>
        </w:tblPrEx>
        <w:trPr>
          <w:trHeight w:val="1050" w:hRule="atLeast"/>
        </w:trPr>
        <w:tc>
          <w:tcPr>
            <w:tcW w:type="dxa" w:w="2796"/>
            <w:tcBorders>
              <w:top w:val="nil"/>
              <w:left w:val="nil"/>
              <w:bottom w:val="nil"/>
              <w:right w:val="nil"/>
            </w:tcBorders>
            <w:shd w:val="clear" w:color="auto" w:fill="auto"/>
            <w:tcMar>
              <w:top w:type="dxa" w:w="80"/>
              <w:left w:type="dxa" w:w="80"/>
              <w:bottom w:type="dxa" w:w="80"/>
              <w:right w:type="dxa" w:w="80"/>
            </w:tcMar>
            <w:vAlign w:val="top"/>
          </w:tcPr>
          <w:p>
            <w:pPr>
              <w:pStyle w:val="Standaard"/>
            </w:pPr>
            <w:r>
              <w:rPr>
                <w:b w:val="1"/>
                <w:bCs w:val="1"/>
                <w:sz w:val="16"/>
                <w:szCs w:val="16"/>
                <w:rtl w:val="0"/>
                <w:lang w:val="en-US"/>
              </w:rPr>
              <w:t xml:space="preserve">Description </w:t>
            </w:r>
          </w:p>
        </w:tc>
        <w:tc>
          <w:tcPr>
            <w:tcW w:type="dxa" w:w="2796"/>
            <w:tcBorders>
              <w:top w:val="nil"/>
              <w:left w:val="nil"/>
              <w:bottom w:val="nil"/>
              <w:right w:val="nil"/>
            </w:tcBorders>
            <w:shd w:val="clear" w:color="auto" w:fill="auto"/>
            <w:tcMar>
              <w:top w:type="dxa" w:w="80"/>
              <w:left w:type="dxa" w:w="80"/>
              <w:bottom w:type="dxa" w:w="80"/>
              <w:right w:type="dxa" w:w="80"/>
            </w:tcMar>
            <w:vAlign w:val="top"/>
          </w:tcPr>
          <w:p>
            <w:pPr>
              <w:pStyle w:val="Standaard"/>
            </w:pPr>
            <w:r>
              <w:rPr>
                <w:sz w:val="16"/>
                <w:szCs w:val="16"/>
                <w:rtl w:val="0"/>
                <w:lang w:val="en-US"/>
              </w:rPr>
              <w:t>Assessment of the severity of symptoms induced by disorienting environments, especially those with visual-vestibular conflict</w:t>
            </w:r>
            <w:r>
              <w:rPr>
                <w:sz w:val="16"/>
                <w:szCs w:val="16"/>
                <w:rtl w:val="0"/>
                <w:lang w:val="nl-NL"/>
              </w:rPr>
              <w:t>.</w:t>
            </w:r>
          </w:p>
        </w:tc>
        <w:tc>
          <w:tcPr>
            <w:tcW w:type="dxa" w:w="2797"/>
            <w:tcBorders>
              <w:top w:val="nil"/>
              <w:left w:val="nil"/>
              <w:bottom w:val="nil"/>
              <w:right w:val="nil"/>
            </w:tcBorders>
            <w:shd w:val="clear" w:color="auto" w:fill="auto"/>
            <w:tcMar>
              <w:top w:type="dxa" w:w="80"/>
              <w:left w:type="dxa" w:w="80"/>
              <w:bottom w:type="dxa" w:w="80"/>
              <w:right w:type="dxa" w:w="80"/>
            </w:tcMar>
            <w:vAlign w:val="top"/>
          </w:tcPr>
          <w:p>
            <w:pPr>
              <w:pStyle w:val="Standaard"/>
            </w:pPr>
            <w:r>
              <w:rPr>
                <w:sz w:val="16"/>
                <w:szCs w:val="16"/>
                <w:rtl w:val="0"/>
                <w:lang w:val="en-US"/>
              </w:rPr>
              <w:t>Assessment of activities and participation according to the International Classification of Functioning Disability and Health in people with vestibular disorders.</w:t>
            </w:r>
          </w:p>
        </w:tc>
        <w:tc>
          <w:tcPr>
            <w:tcW w:type="dxa" w:w="2796"/>
            <w:tcBorders>
              <w:top w:val="nil"/>
              <w:left w:val="nil"/>
              <w:bottom w:val="nil"/>
              <w:right w:val="nil"/>
            </w:tcBorders>
            <w:shd w:val="clear" w:color="auto" w:fill="auto"/>
            <w:tcMar>
              <w:top w:type="dxa" w:w="80"/>
              <w:left w:type="dxa" w:w="80"/>
              <w:bottom w:type="dxa" w:w="80"/>
              <w:right w:type="dxa" w:w="80"/>
            </w:tcMar>
            <w:vAlign w:val="top"/>
          </w:tcPr>
          <w:p>
            <w:pPr>
              <w:pStyle w:val="Standaard"/>
            </w:pPr>
            <w:r>
              <w:rPr>
                <w:sz w:val="16"/>
                <w:szCs w:val="16"/>
                <w:rtl w:val="0"/>
                <w:lang w:val="en-US"/>
              </w:rPr>
              <w:t>Quantitative assessment of simulator sickness severity.</w:t>
            </w:r>
          </w:p>
        </w:tc>
        <w:tc>
          <w:tcPr>
            <w:tcW w:type="dxa" w:w="2797"/>
            <w:tcBorders>
              <w:top w:val="nil"/>
              <w:left w:val="nil"/>
              <w:bottom w:val="nil"/>
              <w:right w:val="nil"/>
            </w:tcBorders>
            <w:shd w:val="clear" w:color="auto" w:fill="auto"/>
            <w:tcMar>
              <w:top w:type="dxa" w:w="80"/>
              <w:left w:type="dxa" w:w="80"/>
              <w:bottom w:type="dxa" w:w="80"/>
              <w:right w:type="dxa" w:w="80"/>
            </w:tcMar>
            <w:vAlign w:val="top"/>
          </w:tcPr>
          <w:p>
            <w:pPr>
              <w:pStyle w:val="Standaard"/>
            </w:pPr>
            <w:r>
              <w:rPr>
                <w:sz w:val="16"/>
                <w:szCs w:val="16"/>
                <w:rtl w:val="0"/>
                <w:lang w:val="en-US"/>
              </w:rPr>
              <w:t>Assessment of motion sickness severity.</w:t>
            </w:r>
          </w:p>
        </w:tc>
      </w:tr>
      <w:tr>
        <w:tblPrEx>
          <w:shd w:val="clear" w:color="auto" w:fill="ced7e7"/>
        </w:tblPrEx>
        <w:trPr>
          <w:trHeight w:val="2000" w:hRule="atLeast"/>
        </w:trPr>
        <w:tc>
          <w:tcPr>
            <w:tcW w:type="dxa" w:w="2796"/>
            <w:tcBorders>
              <w:top w:val="nil"/>
              <w:left w:val="nil"/>
              <w:bottom w:val="nil"/>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Fonts w:ascii="Helvetica" w:cs="Helvetica" w:hAnsi="Helvetica" w:eastAsia="Helvetica"/>
                <w:b w:val="1"/>
                <w:bCs w:val="1"/>
                <w:i w:val="0"/>
                <w:iCs w:val="0"/>
                <w:caps w:val="0"/>
                <w:smallCaps w:val="0"/>
                <w:strike w:val="0"/>
                <w:dstrike w:val="0"/>
                <w:outline w:val="0"/>
                <w:color w:val="000000"/>
                <w:spacing w:val="0"/>
                <w:kern w:val="0"/>
                <w:position w:val="0"/>
                <w:sz w:val="16"/>
                <w:szCs w:val="16"/>
                <w:u w:val="none" w:color="000000"/>
                <w:vertAlign w:val="baseline"/>
                <w:rtl w:val="0"/>
              </w:rPr>
            </w:pPr>
            <w:r>
              <w:rPr>
                <w:rFonts w:ascii="Helvetica" w:cs="Calibri" w:hAnsi="Helvetica" w:eastAsia="Calibri"/>
                <w:b w:val="1"/>
                <w:bCs w:val="1"/>
                <w:i w:val="0"/>
                <w:iCs w:val="0"/>
                <w:caps w:val="0"/>
                <w:smallCaps w:val="0"/>
                <w:strike w:val="0"/>
                <w:dstrike w:val="0"/>
                <w:outline w:val="0"/>
                <w:color w:val="000000"/>
                <w:spacing w:val="0"/>
                <w:kern w:val="0"/>
                <w:position w:val="0"/>
                <w:sz w:val="16"/>
                <w:szCs w:val="16"/>
                <w:u w:val="none" w:color="000000"/>
                <w:vertAlign w:val="baseline"/>
                <w:rtl w:val="0"/>
                <w:lang w:val="en-US"/>
              </w:rPr>
              <w:t>Study population</w:t>
            </w:r>
          </w:p>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w:cs="Calibri" w:hAnsi="Helvetica" w:eastAsia="Calibri"/>
                <w:b w:val="1"/>
                <w:bCs w:val="1"/>
                <w:i w:val="1"/>
                <w:iCs w:val="1"/>
                <w:caps w:val="0"/>
                <w:smallCaps w:val="0"/>
                <w:strike w:val="0"/>
                <w:dstrike w:val="0"/>
                <w:outline w:val="0"/>
                <w:color w:val="000000"/>
                <w:spacing w:val="0"/>
                <w:kern w:val="0"/>
                <w:position w:val="0"/>
                <w:sz w:val="16"/>
                <w:szCs w:val="16"/>
                <w:u w:val="none" w:color="000000"/>
                <w:vertAlign w:val="baseline"/>
                <w:rtl w:val="0"/>
                <w:lang w:val="en-US"/>
              </w:rPr>
              <w:t>mean age</w:t>
            </w:r>
            <w:r>
              <w:rPr>
                <w:rFonts w:ascii="Helvetica" w:cs="Calibri" w:hAnsi="Helvetica" w:eastAsia="Calibri"/>
                <w:b w:val="1"/>
                <w:bCs w:val="1"/>
                <w:i w:val="1"/>
                <w:iCs w:val="1"/>
                <w:caps w:val="0"/>
                <w:smallCaps w:val="0"/>
                <w:strike w:val="0"/>
                <w:dstrike w:val="0"/>
                <w:outline w:val="0"/>
                <w:color w:val="000000"/>
                <w:spacing w:val="0"/>
                <w:kern w:val="0"/>
                <w:position w:val="0"/>
                <w:sz w:val="16"/>
                <w:szCs w:val="16"/>
                <w:u w:val="none" w:color="000000"/>
                <w:vertAlign w:val="baseline"/>
                <w:rtl w:val="0"/>
                <w:lang w:val="nl-NL"/>
              </w:rPr>
              <w:t>, S</w:t>
            </w:r>
            <w:r>
              <w:rPr>
                <w:rFonts w:ascii="Helvetica" w:cs="Calibri" w:hAnsi="Helvetica" w:eastAsia="Calibri"/>
                <w:b w:val="1"/>
                <w:bCs w:val="1"/>
                <w:i w:val="1"/>
                <w:iCs w:val="1"/>
                <w:caps w:val="0"/>
                <w:smallCaps w:val="0"/>
                <w:strike w:val="0"/>
                <w:dstrike w:val="0"/>
                <w:outline w:val="0"/>
                <w:color w:val="000000"/>
                <w:spacing w:val="0"/>
                <w:kern w:val="0"/>
                <w:position w:val="0"/>
                <w:sz w:val="16"/>
                <w:szCs w:val="16"/>
                <w:u w:val="none" w:color="000000"/>
                <w:vertAlign w:val="baseline"/>
                <w:rtl w:val="0"/>
                <w:lang w:val="en-US"/>
              </w:rPr>
              <w:t xml:space="preserve">D, age range, </w:t>
            </w:r>
            <w:r>
              <w:rPr>
                <w:rFonts w:ascii="Helvetica" w:cs="Calibri" w:hAnsi="Helvetica" w:eastAsia="Calibri"/>
                <w:b w:val="1"/>
                <w:bCs w:val="1"/>
                <w:i w:val="1"/>
                <w:iCs w:val="1"/>
                <w:caps w:val="0"/>
                <w:smallCaps w:val="0"/>
                <w:strike w:val="0"/>
                <w:dstrike w:val="0"/>
                <w:outline w:val="0"/>
                <w:color w:val="000000"/>
                <w:spacing w:val="0"/>
                <w:kern w:val="0"/>
                <w:position w:val="0"/>
                <w:sz w:val="16"/>
                <w:szCs w:val="16"/>
                <w:u w:val="none" w:color="000000"/>
                <w:vertAlign w:val="baseline"/>
                <w:rtl w:val="0"/>
                <w:lang w:val="nl-NL"/>
              </w:rPr>
              <w:t xml:space="preserve">  women (%)</w:t>
            </w:r>
          </w:p>
        </w:tc>
        <w:tc>
          <w:tcPr>
            <w:tcW w:type="dxa" w:w="2796"/>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Helvetica" w:hAnsi="Helvetica"/>
                <w:sz w:val="16"/>
                <w:szCs w:val="16"/>
                <w:rtl w:val="0"/>
              </w:rPr>
              <w:t>46 subject, 2 groups (visual vertigo patients (with and without current/past vestibular disorders) and a control group (without labyrinthine or neurological disease)): 21 subjects (patients): 41yrs, range: 25-60yrs, women: 53.3%. 25 subjects (controls): 46yrs, range: 23-78yrs, women: 32%.</w:t>
            </w:r>
          </w:p>
        </w:tc>
        <w:tc>
          <w:tcPr>
            <w:tcW w:type="dxa" w:w="2797"/>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Helvetica" w:hAnsi="Helvetica"/>
                <w:sz w:val="16"/>
                <w:szCs w:val="16"/>
                <w:rtl w:val="0"/>
              </w:rPr>
              <w:t xml:space="preserve">58 subjects (patients referred to a balance center): 52.6yrs, </w:t>
            </w:r>
            <w:r>
              <w:rPr>
                <w:rFonts w:ascii="Helvetica" w:hAnsi="Helvetica" w:hint="default"/>
                <w:sz w:val="16"/>
                <w:szCs w:val="16"/>
                <w:rtl w:val="0"/>
              </w:rPr>
              <w:t>±</w:t>
            </w:r>
            <w:r>
              <w:rPr>
                <w:rFonts w:ascii="Helvetica" w:hAnsi="Helvetica"/>
                <w:sz w:val="16"/>
                <w:szCs w:val="16"/>
                <w:rtl w:val="0"/>
              </w:rPr>
              <w:t>116.2yrs, range: 19-85yrs, woman: 67%.</w:t>
            </w:r>
          </w:p>
        </w:tc>
        <w:tc>
          <w:tcPr>
            <w:tcW w:type="dxa" w:w="2796"/>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rPr>
              <w:t>64 subjects (virtual reality driving simulator users): range: 22-35yrs, women: 12.5%.</w:t>
            </w:r>
          </w:p>
        </w:tc>
        <w:tc>
          <w:tcPr>
            <w:tcW w:type="dxa" w:w="2797"/>
            <w:tcBorders>
              <w:top w:val="nil"/>
              <w:left w:val="nil"/>
              <w:bottom w:val="nil"/>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w:cs="Calibri" w:hAnsi="Helvetica" w:eastAsia="Calibri"/>
                <w:b w:val="0"/>
                <w:bCs w:val="0"/>
                <w:i w:val="0"/>
                <w:iCs w:val="0"/>
                <w:caps w:val="0"/>
                <w:smallCaps w:val="0"/>
                <w:strike w:val="0"/>
                <w:dstrike w:val="0"/>
                <w:outline w:val="0"/>
                <w:color w:val="000000"/>
                <w:spacing w:val="0"/>
                <w:kern w:val="0"/>
                <w:position w:val="0"/>
                <w:sz w:val="16"/>
                <w:szCs w:val="16"/>
                <w:u w:val="none" w:color="000000"/>
                <w:vertAlign w:val="baseline"/>
                <w:rtl w:val="0"/>
              </w:rPr>
              <w:t>25 subjects, 2 groups (patients with bilateral labyrinthine defects (LD) and without labyrinthine defects (C)):  6 subjects (LD): 26yrs, range: 20-48yrs. 19 subjects (C): range: 18-25yrs.</w:t>
            </w:r>
          </w:p>
        </w:tc>
      </w:tr>
      <w:tr>
        <w:tblPrEx>
          <w:shd w:val="clear" w:color="auto" w:fill="ced7e7"/>
        </w:tblPrEx>
        <w:trPr>
          <w:trHeight w:val="1600" w:hRule="atLeast"/>
        </w:trPr>
        <w:tc>
          <w:tcPr>
            <w:tcW w:type="dxa" w:w="2796"/>
            <w:tcBorders>
              <w:top w:val="nil"/>
              <w:left w:val="nil"/>
              <w:bottom w:val="nil"/>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w:cs="Calibri" w:hAnsi="Helvetica" w:eastAsia="Calibri"/>
                <w:b w:val="1"/>
                <w:bCs w:val="1"/>
                <w:i w:val="0"/>
                <w:iCs w:val="0"/>
                <w:caps w:val="0"/>
                <w:smallCaps w:val="0"/>
                <w:strike w:val="0"/>
                <w:dstrike w:val="0"/>
                <w:outline w:val="0"/>
                <w:color w:val="000000"/>
                <w:spacing w:val="0"/>
                <w:kern w:val="0"/>
                <w:position w:val="0"/>
                <w:sz w:val="16"/>
                <w:szCs w:val="16"/>
                <w:u w:val="none" w:color="000000"/>
                <w:vertAlign w:val="baseline"/>
                <w:rtl w:val="0"/>
              </w:rPr>
              <w:t>Item development</w:t>
            </w:r>
          </w:p>
        </w:tc>
        <w:tc>
          <w:tcPr>
            <w:tcW w:type="dxa" w:w="2796"/>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Helvetica" w:cs="Calibri" w:hAnsi="Helvetica" w:eastAsia="Calibri"/>
                <w:sz w:val="16"/>
                <w:szCs w:val="16"/>
                <w:rtl w:val="0"/>
                <w:lang w:val="nl-NL"/>
              </w:rPr>
              <w:t>I</w:t>
            </w:r>
            <w:r>
              <w:rPr>
                <w:rFonts w:ascii="Helvetica" w:cs="Calibri" w:hAnsi="Helvetica" w:eastAsia="Calibri"/>
                <w:sz w:val="16"/>
                <w:szCs w:val="16"/>
                <w:rtl w:val="0"/>
                <w:lang w:val="en-US"/>
              </w:rPr>
              <w:t>tems were adapted from the situational characteristics questionnaire by</w:t>
            </w:r>
            <w:r>
              <w:rPr>
                <w:rFonts w:ascii="Helvetica" w:cs="Calibri" w:hAnsi="Helvetica" w:eastAsia="Calibri"/>
                <w:b w:val="1"/>
                <w:bCs w:val="1"/>
                <w:sz w:val="16"/>
                <w:szCs w:val="16"/>
                <w:rtl w:val="0"/>
              </w:rPr>
              <w:t xml:space="preserve"> </w:t>
            </w:r>
            <w:r>
              <w:rPr>
                <w:rFonts w:ascii="Helvetica" w:cs="Calibri" w:hAnsi="Helvetica" w:eastAsia="Calibri"/>
                <w:sz w:val="16"/>
                <w:szCs w:val="16"/>
                <w:rtl w:val="0"/>
                <w:lang w:val="da-DK"/>
              </w:rPr>
              <w:t>Jacob</w:t>
            </w:r>
            <w:r>
              <w:rPr>
                <w:rFonts w:ascii="Helvetica" w:cs="Calibri" w:hAnsi="Helvetica" w:eastAsia="Calibri"/>
                <w:sz w:val="16"/>
                <w:szCs w:val="16"/>
                <w:rtl w:val="0"/>
                <w:lang w:val="nl-NL"/>
              </w:rPr>
              <w:t>.</w:t>
            </w:r>
            <w:r>
              <w:rPr>
                <w:rFonts w:ascii="Helvetica" w:cs="Calibri" w:hAnsi="Helvetica" w:eastAsia="Calibri"/>
                <w:sz w:val="16"/>
                <w:szCs w:val="16"/>
                <w:vertAlign w:val="superscript"/>
                <w:rtl w:val="0"/>
                <w:lang w:val="nl-NL"/>
              </w:rPr>
              <w:t>14</w:t>
            </w:r>
          </w:p>
        </w:tc>
        <w:tc>
          <w:tcPr>
            <w:tcW w:type="dxa" w:w="2797"/>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rPr>
              <w:t>Candidate items were adapted from the DHI, ABC, VDADL, UCLA-DQ, VRBQ and VHQ, and selected on the basis of agreement by an expert panel (physical therapy, otolaryngology, audiology, neurology, psychiatry, and occupational therapy).</w:t>
            </w:r>
          </w:p>
        </w:tc>
        <w:tc>
          <w:tcPr>
            <w:tcW w:type="dxa" w:w="2796"/>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rPr>
              <w:t>Items were derived from the SSQ based on interviews with a group of simulator sickness experts.</w:t>
            </w:r>
          </w:p>
        </w:tc>
        <w:tc>
          <w:tcPr>
            <w:tcW w:type="dxa" w:w="2797"/>
            <w:tcBorders>
              <w:top w:val="nil"/>
              <w:left w:val="nil"/>
              <w:bottom w:val="nil"/>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w:cs="Calibri" w:hAnsi="Helvetica" w:eastAsia="Calibri"/>
                <w:b w:val="0"/>
                <w:bCs w:val="0"/>
                <w:i w:val="0"/>
                <w:iCs w:val="0"/>
                <w:caps w:val="0"/>
                <w:smallCaps w:val="0"/>
                <w:strike w:val="0"/>
                <w:dstrike w:val="0"/>
                <w:outline w:val="0"/>
                <w:color w:val="000000"/>
                <w:spacing w:val="0"/>
                <w:kern w:val="0"/>
                <w:position w:val="0"/>
                <w:sz w:val="16"/>
                <w:szCs w:val="16"/>
                <w:u w:val="none" w:color="000000"/>
                <w:vertAlign w:val="baseline"/>
                <w:rtl w:val="0"/>
              </w:rPr>
              <w:t>No information on item generation.</w:t>
            </w:r>
          </w:p>
        </w:tc>
      </w:tr>
      <w:tr>
        <w:tblPrEx>
          <w:shd w:val="clear" w:color="auto" w:fill="ced7e7"/>
        </w:tblPrEx>
        <w:trPr>
          <w:trHeight w:val="260" w:hRule="atLeast"/>
        </w:trPr>
        <w:tc>
          <w:tcPr>
            <w:tcW w:type="dxa" w:w="2796"/>
            <w:tcBorders>
              <w:top w:val="nil"/>
              <w:left w:val="nil"/>
              <w:bottom w:val="nil"/>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w:cs="Calibri" w:hAnsi="Helvetica" w:eastAsia="Calibri"/>
                <w:b w:val="1"/>
                <w:bCs w:val="1"/>
                <w:i w:val="0"/>
                <w:iCs w:val="0"/>
                <w:caps w:val="0"/>
                <w:smallCaps w:val="0"/>
                <w:strike w:val="0"/>
                <w:dstrike w:val="0"/>
                <w:outline w:val="0"/>
                <w:color w:val="000000"/>
                <w:spacing w:val="0"/>
                <w:kern w:val="0"/>
                <w:position w:val="0"/>
                <w:sz w:val="16"/>
                <w:szCs w:val="16"/>
                <w:u w:val="none" w:color="000000"/>
                <w:vertAlign w:val="baseline"/>
                <w:rtl w:val="0"/>
              </w:rPr>
              <w:t>Items</w:t>
            </w:r>
          </w:p>
        </w:tc>
        <w:tc>
          <w:tcPr>
            <w:tcW w:type="dxa" w:w="2796"/>
            <w:tcBorders>
              <w:top w:val="nil"/>
              <w:left w:val="nil"/>
              <w:bottom w:val="nil"/>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w:cs="Calibri" w:hAnsi="Helvetica" w:eastAsia="Calibri"/>
                <w:b w:val="0"/>
                <w:bCs w:val="0"/>
                <w:i w:val="0"/>
                <w:iCs w:val="0"/>
                <w:caps w:val="0"/>
                <w:smallCaps w:val="0"/>
                <w:strike w:val="0"/>
                <w:dstrike w:val="0"/>
                <w:outline w:val="0"/>
                <w:color w:val="000000"/>
                <w:spacing w:val="0"/>
                <w:kern w:val="0"/>
                <w:position w:val="0"/>
                <w:sz w:val="16"/>
                <w:szCs w:val="16"/>
                <w:u w:val="none" w:color="000000"/>
                <w:vertAlign w:val="baseline"/>
                <w:rtl w:val="0"/>
              </w:rPr>
              <w:t>19 items</w:t>
            </w:r>
          </w:p>
        </w:tc>
        <w:tc>
          <w:tcPr>
            <w:tcW w:type="dxa" w:w="2797"/>
            <w:tcBorders>
              <w:top w:val="nil"/>
              <w:left w:val="nil"/>
              <w:bottom w:val="nil"/>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w:cs="Calibri" w:hAnsi="Helvetica" w:eastAsia="Calibri"/>
                <w:b w:val="0"/>
                <w:bCs w:val="0"/>
                <w:i w:val="0"/>
                <w:iCs w:val="0"/>
                <w:caps w:val="0"/>
                <w:smallCaps w:val="0"/>
                <w:strike w:val="0"/>
                <w:dstrike w:val="0"/>
                <w:outline w:val="0"/>
                <w:color w:val="000000"/>
                <w:spacing w:val="0"/>
                <w:kern w:val="0"/>
                <w:position w:val="0"/>
                <w:sz w:val="16"/>
                <w:szCs w:val="16"/>
                <w:u w:val="none" w:color="000000"/>
                <w:vertAlign w:val="baseline"/>
                <w:rtl w:val="0"/>
              </w:rPr>
              <w:t>34 items</w:t>
            </w:r>
          </w:p>
        </w:tc>
        <w:tc>
          <w:tcPr>
            <w:tcW w:type="dxa" w:w="2796"/>
            <w:tcBorders>
              <w:top w:val="nil"/>
              <w:left w:val="nil"/>
              <w:bottom w:val="nil"/>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w:cs="Calibri" w:hAnsi="Helvetica" w:eastAsia="Calibri"/>
                <w:b w:val="0"/>
                <w:bCs w:val="0"/>
                <w:i w:val="0"/>
                <w:iCs w:val="0"/>
                <w:caps w:val="0"/>
                <w:smallCaps w:val="0"/>
                <w:strike w:val="0"/>
                <w:dstrike w:val="0"/>
                <w:outline w:val="0"/>
                <w:color w:val="000000"/>
                <w:spacing w:val="0"/>
                <w:kern w:val="0"/>
                <w:position w:val="0"/>
                <w:sz w:val="16"/>
                <w:szCs w:val="16"/>
                <w:u w:val="none" w:color="000000"/>
                <w:vertAlign w:val="baseline"/>
                <w:rtl w:val="0"/>
              </w:rPr>
              <w:t>24 items</w:t>
            </w:r>
          </w:p>
        </w:tc>
        <w:tc>
          <w:tcPr>
            <w:tcW w:type="dxa" w:w="2797"/>
            <w:tcBorders>
              <w:top w:val="nil"/>
              <w:left w:val="nil"/>
              <w:bottom w:val="nil"/>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w:cs="Calibri" w:hAnsi="Helvetica" w:eastAsia="Calibri"/>
                <w:b w:val="0"/>
                <w:bCs w:val="0"/>
                <w:i w:val="0"/>
                <w:iCs w:val="0"/>
                <w:caps w:val="0"/>
                <w:smallCaps w:val="0"/>
                <w:strike w:val="0"/>
                <w:dstrike w:val="0"/>
                <w:outline w:val="0"/>
                <w:color w:val="000000"/>
                <w:spacing w:val="0"/>
                <w:kern w:val="0"/>
                <w:position w:val="0"/>
                <w:sz w:val="16"/>
                <w:szCs w:val="16"/>
                <w:u w:val="none" w:color="000000"/>
                <w:vertAlign w:val="baseline"/>
                <w:rtl w:val="0"/>
              </w:rPr>
              <w:t>28 items</w:t>
            </w:r>
          </w:p>
        </w:tc>
      </w:tr>
      <w:tr>
        <w:tblPrEx>
          <w:shd w:val="clear" w:color="auto" w:fill="ced7e7"/>
        </w:tblPrEx>
        <w:trPr>
          <w:trHeight w:val="270" w:hRule="atLeast"/>
        </w:trPr>
        <w:tc>
          <w:tcPr>
            <w:tcW w:type="dxa" w:w="2796"/>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w:cs="Calibri" w:hAnsi="Helvetica" w:eastAsia="Calibri"/>
                <w:b w:val="1"/>
                <w:bCs w:val="1"/>
                <w:i w:val="0"/>
                <w:iCs w:val="0"/>
                <w:caps w:val="0"/>
                <w:smallCaps w:val="0"/>
                <w:strike w:val="0"/>
                <w:dstrike w:val="0"/>
                <w:outline w:val="0"/>
                <w:color w:val="000000"/>
                <w:spacing w:val="0"/>
                <w:kern w:val="0"/>
                <w:position w:val="0"/>
                <w:sz w:val="16"/>
                <w:szCs w:val="16"/>
                <w:u w:val="none" w:color="000000"/>
                <w:vertAlign w:val="baseline"/>
                <w:rtl w:val="0"/>
              </w:rPr>
              <w:t>Translations</w:t>
            </w:r>
          </w:p>
        </w:tc>
        <w:tc>
          <w:tcPr>
            <w:tcW w:type="dxa" w:w="2796"/>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rPr>
              <w:t>ENG, ITA.</w:t>
            </w:r>
          </w:p>
        </w:tc>
        <w:tc>
          <w:tcPr>
            <w:tcW w:type="dxa" w:w="2797"/>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rPr>
              <w:t>ENG, GER, Arabic.</w:t>
            </w:r>
          </w:p>
        </w:tc>
        <w:tc>
          <w:tcPr>
            <w:tcW w:type="dxa" w:w="2796"/>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w:cs="Calibri" w:hAnsi="Helvetica" w:eastAsia="Calibri"/>
                <w:b w:val="0"/>
                <w:bCs w:val="0"/>
                <w:i w:val="0"/>
                <w:iCs w:val="0"/>
                <w:caps w:val="0"/>
                <w:smallCaps w:val="0"/>
                <w:strike w:val="0"/>
                <w:dstrike w:val="0"/>
                <w:outline w:val="0"/>
                <w:color w:val="000000"/>
                <w:spacing w:val="0"/>
                <w:kern w:val="0"/>
                <w:position w:val="0"/>
                <w:sz w:val="16"/>
                <w:szCs w:val="16"/>
                <w:u w:val="none" w:color="000000"/>
                <w:vertAlign w:val="baseline"/>
                <w:rtl w:val="0"/>
              </w:rPr>
              <w:t>USA.</w:t>
            </w:r>
          </w:p>
        </w:tc>
        <w:tc>
          <w:tcPr>
            <w:tcW w:type="dxa" w:w="2797"/>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w:cs="Calibri" w:hAnsi="Helvetica" w:eastAsia="Calibri"/>
                <w:b w:val="0"/>
                <w:bCs w:val="0"/>
                <w:i w:val="0"/>
                <w:iCs w:val="0"/>
                <w:caps w:val="0"/>
                <w:smallCaps w:val="0"/>
                <w:strike w:val="0"/>
                <w:dstrike w:val="0"/>
                <w:outline w:val="0"/>
                <w:color w:val="000000"/>
                <w:spacing w:val="0"/>
                <w:kern w:val="0"/>
                <w:position w:val="0"/>
                <w:sz w:val="16"/>
                <w:szCs w:val="16"/>
                <w:u w:val="none" w:color="000000"/>
                <w:vertAlign w:val="baseline"/>
                <w:rtl w:val="0"/>
              </w:rPr>
              <w:t>USA.</w:t>
            </w:r>
          </w:p>
        </w:tc>
      </w:tr>
    </w:tbl>
    <w:p>
      <w:pPr>
        <w:pStyle w:val="Hoofdtekst"/>
        <w:spacing w:line="240" w:lineRule="auto"/>
        <w:rPr>
          <w:rFonts w:ascii="Helvetica" w:cs="Helvetica" w:hAnsi="Helvetica" w:eastAsia="Helvetica"/>
          <w:sz w:val="24"/>
          <w:szCs w:val="24"/>
        </w:rPr>
      </w:pPr>
    </w:p>
    <w:p>
      <w:pPr>
        <w:pStyle w:val="Hoofdtekst"/>
        <w:spacing w:line="240" w:lineRule="auto"/>
        <w:rPr>
          <w:rFonts w:ascii="Helvetica" w:cs="Helvetica" w:hAnsi="Helvetica" w:eastAsia="Helvetica"/>
          <w:sz w:val="24"/>
          <w:szCs w:val="24"/>
        </w:rPr>
      </w:pPr>
    </w:p>
    <w:tbl>
      <w:tblPr>
        <w:tblW w:w="13985"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796"/>
        <w:gridCol w:w="2797"/>
        <w:gridCol w:w="2798"/>
        <w:gridCol w:w="2797"/>
        <w:gridCol w:w="2797"/>
      </w:tblGrid>
      <w:tr>
        <w:tblPrEx>
          <w:shd w:val="clear" w:color="auto" w:fill="ced7e7"/>
        </w:tblPrEx>
        <w:trPr>
          <w:trHeight w:val="420" w:hRule="atLeast"/>
        </w:trPr>
        <w:tc>
          <w:tcPr>
            <w:tcW w:type="dxa" w:w="2796"/>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tc>
        <w:tc>
          <w:tcPr>
            <w:tcW w:type="dxa" w:w="2796"/>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b w:val="1"/>
                <w:bCs w:val="1"/>
                <w:sz w:val="16"/>
                <w:szCs w:val="16"/>
                <w:rtl w:val="0"/>
                <w:lang w:val="en-US"/>
              </w:rPr>
              <w:t xml:space="preserve">Vertigo Dizziness Imbalance (VDI) Questionnaire </w:t>
            </w:r>
          </w:p>
        </w:tc>
        <w:tc>
          <w:tcPr>
            <w:tcW w:type="dxa" w:w="2797"/>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b w:val="1"/>
                <w:bCs w:val="1"/>
                <w:sz w:val="16"/>
                <w:szCs w:val="16"/>
                <w:rtl w:val="0"/>
                <w:lang w:val="en-US"/>
              </w:rPr>
              <w:t>Focused Dizziness Questionnaire</w:t>
            </w:r>
          </w:p>
        </w:tc>
        <w:tc>
          <w:tcPr>
            <w:tcW w:type="dxa" w:w="2796"/>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b w:val="1"/>
                <w:bCs w:val="1"/>
                <w:sz w:val="16"/>
                <w:szCs w:val="16"/>
                <w:rtl w:val="0"/>
                <w:lang w:val="en-US"/>
              </w:rPr>
              <w:t>5 item version of DHI</w:t>
            </w:r>
          </w:p>
        </w:tc>
        <w:tc>
          <w:tcPr>
            <w:tcW w:type="dxa" w:w="2797"/>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b w:val="1"/>
                <w:bCs w:val="1"/>
                <w:sz w:val="16"/>
                <w:szCs w:val="16"/>
                <w:rtl w:val="0"/>
                <w:lang w:val="en-US"/>
              </w:rPr>
              <w:t>2 item version of DHI</w:t>
            </w:r>
          </w:p>
        </w:tc>
      </w:tr>
      <w:tr>
        <w:tblPrEx>
          <w:shd w:val="clear" w:color="auto" w:fill="ced7e7"/>
        </w:tblPrEx>
        <w:trPr>
          <w:trHeight w:val="220" w:hRule="atLeast"/>
        </w:trPr>
        <w:tc>
          <w:tcPr>
            <w:tcW w:type="dxa" w:w="2796"/>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b w:val="1"/>
                <w:bCs w:val="1"/>
                <w:sz w:val="16"/>
                <w:szCs w:val="16"/>
                <w:rtl w:val="0"/>
                <w:lang w:val="en-US"/>
              </w:rPr>
              <w:t>Author (year)</w:t>
            </w:r>
          </w:p>
        </w:tc>
        <w:tc>
          <w:tcPr>
            <w:tcW w:type="dxa" w:w="2796"/>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sz w:val="16"/>
                <w:szCs w:val="16"/>
                <w:rtl w:val="0"/>
                <w:lang w:val="it-IT"/>
              </w:rPr>
              <w:t>Prieto L (1999)</w:t>
            </w:r>
            <w:r>
              <w:rPr>
                <w:sz w:val="16"/>
                <w:szCs w:val="16"/>
                <w:vertAlign w:val="superscript"/>
                <w:rtl w:val="0"/>
                <w:lang w:val="nl-NL"/>
              </w:rPr>
              <w:t>1</w:t>
            </w:r>
            <w:r>
              <w:rPr>
                <w:sz w:val="16"/>
                <w:szCs w:val="16"/>
                <w:vertAlign w:val="superscript"/>
                <w:rtl w:val="0"/>
                <w:lang w:val="nl-NL"/>
              </w:rPr>
              <w:t>8</w:t>
            </w:r>
          </w:p>
        </w:tc>
        <w:tc>
          <w:tcPr>
            <w:tcW w:type="dxa" w:w="2797"/>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sz w:val="16"/>
                <w:szCs w:val="16"/>
                <w:rtl w:val="0"/>
                <w:lang w:val="en-US"/>
              </w:rPr>
              <w:t>Roland LT (2015)</w:t>
            </w:r>
            <w:r>
              <w:rPr>
                <w:sz w:val="16"/>
                <w:szCs w:val="16"/>
                <w:vertAlign w:val="superscript"/>
                <w:rtl w:val="0"/>
                <w:lang w:val="nl-NL"/>
              </w:rPr>
              <w:t>1</w:t>
            </w:r>
            <w:r>
              <w:rPr>
                <w:sz w:val="16"/>
                <w:szCs w:val="16"/>
                <w:vertAlign w:val="superscript"/>
                <w:rtl w:val="0"/>
                <w:lang w:val="nl-NL"/>
              </w:rPr>
              <w:t>9</w:t>
            </w:r>
          </w:p>
        </w:tc>
        <w:tc>
          <w:tcPr>
            <w:tcW w:type="dxa" w:w="2796"/>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sz w:val="16"/>
                <w:szCs w:val="16"/>
                <w:rtl w:val="0"/>
                <w:lang w:val="de-DE"/>
              </w:rPr>
              <w:t>Chen W (2016)</w:t>
            </w:r>
            <w:r>
              <w:rPr>
                <w:sz w:val="16"/>
                <w:szCs w:val="16"/>
                <w:vertAlign w:val="superscript"/>
                <w:rtl w:val="0"/>
                <w:lang w:val="nl-NL"/>
              </w:rPr>
              <w:t>21</w:t>
            </w:r>
          </w:p>
        </w:tc>
        <w:tc>
          <w:tcPr>
            <w:tcW w:type="dxa" w:w="2797"/>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sz w:val="16"/>
                <w:szCs w:val="16"/>
                <w:rtl w:val="0"/>
                <w:lang w:val="de-DE"/>
              </w:rPr>
              <w:t>Chen W (2016)</w:t>
            </w:r>
            <w:r>
              <w:rPr>
                <w:sz w:val="16"/>
                <w:szCs w:val="16"/>
                <w:vertAlign w:val="superscript"/>
                <w:rtl w:val="0"/>
                <w:lang w:val="nl-NL"/>
              </w:rPr>
              <w:t>21</w:t>
            </w:r>
          </w:p>
        </w:tc>
      </w:tr>
      <w:tr>
        <w:tblPrEx>
          <w:shd w:val="clear" w:color="auto" w:fill="ced7e7"/>
        </w:tblPrEx>
        <w:trPr>
          <w:trHeight w:val="1010" w:hRule="atLeast"/>
        </w:trPr>
        <w:tc>
          <w:tcPr>
            <w:tcW w:type="dxa" w:w="2796"/>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w:cs="Calibri" w:hAnsi="Helvetica" w:eastAsia="Calibri"/>
                <w:b w:val="1"/>
                <w:bCs w:val="1"/>
                <w:i w:val="0"/>
                <w:iCs w:val="0"/>
                <w:caps w:val="0"/>
                <w:smallCaps w:val="0"/>
                <w:strike w:val="0"/>
                <w:dstrike w:val="0"/>
                <w:outline w:val="0"/>
                <w:color w:val="000000"/>
                <w:spacing w:val="0"/>
                <w:kern w:val="0"/>
                <w:position w:val="0"/>
                <w:sz w:val="16"/>
                <w:szCs w:val="16"/>
                <w:u w:val="none" w:color="000000"/>
                <w:vertAlign w:val="baseline"/>
                <w:rtl w:val="0"/>
              </w:rPr>
              <w:t>Country (institution)</w:t>
            </w:r>
          </w:p>
        </w:tc>
        <w:tc>
          <w:tcPr>
            <w:tcW w:type="dxa" w:w="2796"/>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Helvetica" w:hAnsi="Helvetica"/>
                <w:sz w:val="16"/>
                <w:szCs w:val="16"/>
                <w:rtl w:val="0"/>
              </w:rPr>
              <w:t>ESP (Health Services Research Unit, Institut Municipal d'Investigaci</w:t>
            </w:r>
            <w:r>
              <w:rPr>
                <w:rFonts w:ascii="Helvetica" w:hAnsi="Helvetica" w:hint="default"/>
                <w:sz w:val="16"/>
                <w:szCs w:val="16"/>
                <w:rtl w:val="0"/>
              </w:rPr>
              <w:t xml:space="preserve">ó </w:t>
            </w:r>
            <w:r>
              <w:rPr>
                <w:rFonts w:ascii="Helvetica" w:hAnsi="Helvetica"/>
                <w:sz w:val="16"/>
                <w:szCs w:val="16"/>
                <w:rtl w:val="0"/>
              </w:rPr>
              <w:t>M</w:t>
            </w:r>
            <w:r>
              <w:rPr>
                <w:rFonts w:ascii="Helvetica" w:hAnsi="Helvetica" w:hint="default"/>
                <w:sz w:val="16"/>
                <w:szCs w:val="16"/>
                <w:rtl w:val="0"/>
              </w:rPr>
              <w:t>è</w:t>
            </w:r>
            <w:r>
              <w:rPr>
                <w:rFonts w:ascii="Helvetica" w:hAnsi="Helvetica"/>
                <w:sz w:val="16"/>
                <w:szCs w:val="16"/>
                <w:rtl w:val="0"/>
              </w:rPr>
              <w:t>dica, Barcelona)</w:t>
            </w:r>
          </w:p>
        </w:tc>
        <w:tc>
          <w:tcPr>
            <w:tcW w:type="dxa" w:w="2797"/>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rPr>
              <w:t>USA (Department of Otolaryngology</w:t>
            </w:r>
            <w:r>
              <w:rPr>
                <w:rFonts w:ascii="Calibri" w:cs="Calibri" w:hAnsi="Calibri" w:eastAsia="Calibri"/>
                <w:sz w:val="16"/>
                <w:szCs w:val="16"/>
                <w:rtl w:val="0"/>
              </w:rPr>
              <w:t>–</w:t>
            </w:r>
            <w:r>
              <w:rPr>
                <w:rFonts w:ascii="Calibri" w:cs="Calibri" w:hAnsi="Calibri" w:eastAsia="Calibri"/>
                <w:sz w:val="16"/>
                <w:szCs w:val="16"/>
                <w:rtl w:val="0"/>
              </w:rPr>
              <w:t>Head and Neck Surgery, Washington University in St Louis School of Medicine, St Louis, Missouri)</w:t>
            </w:r>
          </w:p>
        </w:tc>
        <w:tc>
          <w:tcPr>
            <w:tcW w:type="dxa" w:w="2796"/>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rPr>
              <w:t>CHN (Department of Neurology, Shanghai Ninth People</w:t>
            </w:r>
            <w:r>
              <w:rPr>
                <w:rFonts w:ascii="Calibri" w:cs="Calibri" w:hAnsi="Calibri" w:eastAsia="Calibri"/>
                <w:sz w:val="16"/>
                <w:szCs w:val="16"/>
                <w:rtl w:val="0"/>
              </w:rPr>
              <w:t>’</w:t>
            </w:r>
            <w:r>
              <w:rPr>
                <w:rFonts w:ascii="Calibri" w:cs="Calibri" w:hAnsi="Calibri" w:eastAsia="Calibri"/>
                <w:sz w:val="16"/>
                <w:szCs w:val="16"/>
                <w:rtl w:val="0"/>
              </w:rPr>
              <w:t>s Hospital Affiliated to Shanghai Jiao Tong University School of Medicine, Shanghai)</w:t>
            </w:r>
          </w:p>
        </w:tc>
        <w:tc>
          <w:tcPr>
            <w:tcW w:type="dxa" w:w="2797"/>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rPr>
              <w:t>CHN (Department of Neurology, Shanghai Ninth People</w:t>
            </w:r>
            <w:r>
              <w:rPr>
                <w:rFonts w:ascii="Calibri" w:cs="Calibri" w:hAnsi="Calibri" w:eastAsia="Calibri"/>
                <w:sz w:val="16"/>
                <w:szCs w:val="16"/>
                <w:rtl w:val="0"/>
              </w:rPr>
              <w:t>’</w:t>
            </w:r>
            <w:r>
              <w:rPr>
                <w:rFonts w:ascii="Calibri" w:cs="Calibri" w:hAnsi="Calibri" w:eastAsia="Calibri"/>
                <w:sz w:val="16"/>
                <w:szCs w:val="16"/>
                <w:rtl w:val="0"/>
              </w:rPr>
              <w:t>s Hospital Affiliated to Shanghai Jiao Tong University School of Medicine, Shanghai)</w:t>
            </w:r>
          </w:p>
        </w:tc>
      </w:tr>
      <w:tr>
        <w:tblPrEx>
          <w:shd w:val="clear" w:color="auto" w:fill="ced7e7"/>
        </w:tblPrEx>
        <w:trPr>
          <w:trHeight w:val="800" w:hRule="atLeast"/>
        </w:trPr>
        <w:tc>
          <w:tcPr>
            <w:tcW w:type="dxa" w:w="2796"/>
            <w:tcBorders>
              <w:top w:val="nil"/>
              <w:left w:val="nil"/>
              <w:bottom w:val="nil"/>
              <w:right w:val="nil"/>
            </w:tcBorders>
            <w:shd w:val="clear" w:color="auto" w:fill="auto"/>
            <w:tcMar>
              <w:top w:type="dxa" w:w="80"/>
              <w:left w:type="dxa" w:w="80"/>
              <w:bottom w:type="dxa" w:w="80"/>
              <w:right w:type="dxa" w:w="80"/>
            </w:tcMar>
            <w:vAlign w:val="top"/>
          </w:tcPr>
          <w:p>
            <w:pPr>
              <w:pStyle w:val="Standaard"/>
            </w:pPr>
            <w:r>
              <w:rPr>
                <w:b w:val="1"/>
                <w:bCs w:val="1"/>
                <w:sz w:val="16"/>
                <w:szCs w:val="16"/>
                <w:rtl w:val="0"/>
                <w:lang w:val="en-US"/>
              </w:rPr>
              <w:t xml:space="preserve">Description </w:t>
            </w:r>
          </w:p>
        </w:tc>
        <w:tc>
          <w:tcPr>
            <w:tcW w:type="dxa" w:w="2796"/>
            <w:tcBorders>
              <w:top w:val="nil"/>
              <w:left w:val="nil"/>
              <w:bottom w:val="nil"/>
              <w:right w:val="nil"/>
            </w:tcBorders>
            <w:shd w:val="clear" w:color="auto" w:fill="auto"/>
            <w:tcMar>
              <w:top w:type="dxa" w:w="80"/>
              <w:left w:type="dxa" w:w="80"/>
              <w:bottom w:type="dxa" w:w="80"/>
              <w:right w:type="dxa" w:w="80"/>
            </w:tcMar>
            <w:vAlign w:val="top"/>
          </w:tcPr>
          <w:p>
            <w:pPr>
              <w:pStyle w:val="Standaard"/>
            </w:pPr>
            <w:r>
              <w:rPr>
                <w:sz w:val="16"/>
                <w:szCs w:val="16"/>
                <w:rtl w:val="0"/>
                <w:lang w:val="en-US"/>
              </w:rPr>
              <w:t>Assessment of feelings of dizziness and unsteadiness and their psychosocial consequences.</w:t>
            </w:r>
          </w:p>
        </w:tc>
        <w:tc>
          <w:tcPr>
            <w:tcW w:type="dxa" w:w="2797"/>
            <w:tcBorders>
              <w:top w:val="nil"/>
              <w:left w:val="nil"/>
              <w:bottom w:val="nil"/>
              <w:right w:val="nil"/>
            </w:tcBorders>
            <w:shd w:val="clear" w:color="auto" w:fill="auto"/>
            <w:tcMar>
              <w:top w:type="dxa" w:w="80"/>
              <w:left w:type="dxa" w:w="80"/>
              <w:bottom w:type="dxa" w:w="80"/>
              <w:right w:type="dxa" w:w="80"/>
            </w:tcMar>
            <w:vAlign w:val="top"/>
          </w:tcPr>
          <w:p>
            <w:pPr>
              <w:pStyle w:val="Standaard"/>
            </w:pPr>
            <w:r>
              <w:rPr>
                <w:sz w:val="16"/>
                <w:szCs w:val="16"/>
                <w:rtl w:val="0"/>
                <w:lang w:val="en-US"/>
              </w:rPr>
              <w:t>Determine vertigo diagnosis and discriminat</w:t>
            </w:r>
            <w:r>
              <w:rPr>
                <w:sz w:val="16"/>
                <w:szCs w:val="16"/>
                <w:rtl w:val="0"/>
                <w:lang w:val="nl-NL"/>
              </w:rPr>
              <w:t>e</w:t>
            </w:r>
            <w:r>
              <w:rPr>
                <w:sz w:val="16"/>
                <w:szCs w:val="16"/>
                <w:rtl w:val="0"/>
                <w:lang w:val="en-US"/>
              </w:rPr>
              <w:t xml:space="preserve"> between central, peripheral and other causes of vertigo.</w:t>
            </w:r>
          </w:p>
        </w:tc>
        <w:tc>
          <w:tcPr>
            <w:tcW w:type="dxa" w:w="2796"/>
            <w:tcBorders>
              <w:top w:val="nil"/>
              <w:left w:val="nil"/>
              <w:bottom w:val="nil"/>
              <w:right w:val="nil"/>
            </w:tcBorders>
            <w:shd w:val="clear" w:color="auto" w:fill="auto"/>
            <w:tcMar>
              <w:top w:type="dxa" w:w="80"/>
              <w:left w:type="dxa" w:w="80"/>
              <w:bottom w:type="dxa" w:w="80"/>
              <w:right w:type="dxa" w:w="80"/>
            </w:tcMar>
            <w:vAlign w:val="top"/>
          </w:tcPr>
          <w:p>
            <w:pPr>
              <w:pStyle w:val="Standaard"/>
            </w:pPr>
            <w:r>
              <w:rPr>
                <w:sz w:val="16"/>
                <w:szCs w:val="16"/>
                <w:rtl w:val="0"/>
                <w:lang w:val="en-US"/>
              </w:rPr>
              <w:t>Screening for benign paroxysmal positional vertigo in dizziness patients.</w:t>
            </w:r>
          </w:p>
        </w:tc>
        <w:tc>
          <w:tcPr>
            <w:tcW w:type="dxa" w:w="2797"/>
            <w:tcBorders>
              <w:top w:val="nil"/>
              <w:left w:val="nil"/>
              <w:bottom w:val="nil"/>
              <w:right w:val="nil"/>
            </w:tcBorders>
            <w:shd w:val="clear" w:color="auto" w:fill="auto"/>
            <w:tcMar>
              <w:top w:type="dxa" w:w="80"/>
              <w:left w:type="dxa" w:w="80"/>
              <w:bottom w:type="dxa" w:w="80"/>
              <w:right w:type="dxa" w:w="80"/>
            </w:tcMar>
            <w:vAlign w:val="top"/>
          </w:tcPr>
          <w:p>
            <w:pPr>
              <w:pStyle w:val="Standaard"/>
            </w:pPr>
            <w:r>
              <w:rPr>
                <w:sz w:val="16"/>
                <w:szCs w:val="16"/>
                <w:rtl w:val="0"/>
                <w:lang w:val="en-US"/>
              </w:rPr>
              <w:t>Screening for benign paroxysmal positional vertigo in dizziness patients.</w:t>
            </w:r>
          </w:p>
        </w:tc>
      </w:tr>
      <w:tr>
        <w:tblPrEx>
          <w:shd w:val="clear" w:color="auto" w:fill="ced7e7"/>
        </w:tblPrEx>
        <w:trPr>
          <w:trHeight w:val="1400" w:hRule="atLeast"/>
        </w:trPr>
        <w:tc>
          <w:tcPr>
            <w:tcW w:type="dxa" w:w="2796"/>
            <w:tcBorders>
              <w:top w:val="nil"/>
              <w:left w:val="nil"/>
              <w:bottom w:val="nil"/>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Fonts w:ascii="Helvetica" w:cs="Helvetica" w:hAnsi="Helvetica" w:eastAsia="Helvetica"/>
                <w:b w:val="1"/>
                <w:bCs w:val="1"/>
                <w:i w:val="0"/>
                <w:iCs w:val="0"/>
                <w:caps w:val="0"/>
                <w:smallCaps w:val="0"/>
                <w:strike w:val="0"/>
                <w:dstrike w:val="0"/>
                <w:outline w:val="0"/>
                <w:color w:val="000000"/>
                <w:spacing w:val="0"/>
                <w:kern w:val="0"/>
                <w:position w:val="0"/>
                <w:sz w:val="16"/>
                <w:szCs w:val="16"/>
                <w:u w:val="none" w:color="000000"/>
                <w:vertAlign w:val="baseline"/>
                <w:rtl w:val="0"/>
              </w:rPr>
            </w:pPr>
            <w:r>
              <w:rPr>
                <w:rFonts w:ascii="Helvetica" w:cs="Calibri" w:hAnsi="Helvetica" w:eastAsia="Calibri"/>
                <w:b w:val="1"/>
                <w:bCs w:val="1"/>
                <w:i w:val="0"/>
                <w:iCs w:val="0"/>
                <w:caps w:val="0"/>
                <w:smallCaps w:val="0"/>
                <w:strike w:val="0"/>
                <w:dstrike w:val="0"/>
                <w:outline w:val="0"/>
                <w:color w:val="000000"/>
                <w:spacing w:val="0"/>
                <w:kern w:val="0"/>
                <w:position w:val="0"/>
                <w:sz w:val="16"/>
                <w:szCs w:val="16"/>
                <w:u w:val="none" w:color="000000"/>
                <w:vertAlign w:val="baseline"/>
                <w:rtl w:val="0"/>
                <w:lang w:val="en-US"/>
              </w:rPr>
              <w:t>Study population</w:t>
            </w:r>
          </w:p>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w:cs="Calibri" w:hAnsi="Helvetica" w:eastAsia="Calibri"/>
                <w:b w:val="1"/>
                <w:bCs w:val="1"/>
                <w:i w:val="1"/>
                <w:iCs w:val="1"/>
                <w:caps w:val="0"/>
                <w:smallCaps w:val="0"/>
                <w:strike w:val="0"/>
                <w:dstrike w:val="0"/>
                <w:outline w:val="0"/>
                <w:color w:val="000000"/>
                <w:spacing w:val="0"/>
                <w:kern w:val="0"/>
                <w:position w:val="0"/>
                <w:sz w:val="16"/>
                <w:szCs w:val="16"/>
                <w:u w:val="none" w:color="000000"/>
                <w:vertAlign w:val="baseline"/>
                <w:rtl w:val="0"/>
                <w:lang w:val="en-US"/>
              </w:rPr>
              <w:t>mean age</w:t>
            </w:r>
            <w:r>
              <w:rPr>
                <w:rFonts w:ascii="Helvetica" w:cs="Calibri" w:hAnsi="Helvetica" w:eastAsia="Calibri"/>
                <w:b w:val="1"/>
                <w:bCs w:val="1"/>
                <w:i w:val="1"/>
                <w:iCs w:val="1"/>
                <w:caps w:val="0"/>
                <w:smallCaps w:val="0"/>
                <w:strike w:val="0"/>
                <w:dstrike w:val="0"/>
                <w:outline w:val="0"/>
                <w:color w:val="000000"/>
                <w:spacing w:val="0"/>
                <w:kern w:val="0"/>
                <w:position w:val="0"/>
                <w:sz w:val="16"/>
                <w:szCs w:val="16"/>
                <w:u w:val="none" w:color="000000"/>
                <w:vertAlign w:val="baseline"/>
                <w:rtl w:val="0"/>
                <w:lang w:val="nl-NL"/>
              </w:rPr>
              <w:t>, S</w:t>
            </w:r>
            <w:r>
              <w:rPr>
                <w:rFonts w:ascii="Helvetica" w:cs="Calibri" w:hAnsi="Helvetica" w:eastAsia="Calibri"/>
                <w:b w:val="1"/>
                <w:bCs w:val="1"/>
                <w:i w:val="1"/>
                <w:iCs w:val="1"/>
                <w:caps w:val="0"/>
                <w:smallCaps w:val="0"/>
                <w:strike w:val="0"/>
                <w:dstrike w:val="0"/>
                <w:outline w:val="0"/>
                <w:color w:val="000000"/>
                <w:spacing w:val="0"/>
                <w:kern w:val="0"/>
                <w:position w:val="0"/>
                <w:sz w:val="16"/>
                <w:szCs w:val="16"/>
                <w:u w:val="none" w:color="000000"/>
                <w:vertAlign w:val="baseline"/>
                <w:rtl w:val="0"/>
                <w:lang w:val="en-US"/>
              </w:rPr>
              <w:t xml:space="preserve">D, age range, </w:t>
            </w:r>
            <w:r>
              <w:rPr>
                <w:rFonts w:ascii="Helvetica" w:cs="Calibri" w:hAnsi="Helvetica" w:eastAsia="Calibri"/>
                <w:b w:val="1"/>
                <w:bCs w:val="1"/>
                <w:i w:val="1"/>
                <w:iCs w:val="1"/>
                <w:caps w:val="0"/>
                <w:smallCaps w:val="0"/>
                <w:strike w:val="0"/>
                <w:dstrike w:val="0"/>
                <w:outline w:val="0"/>
                <w:color w:val="000000"/>
                <w:spacing w:val="0"/>
                <w:kern w:val="0"/>
                <w:position w:val="0"/>
                <w:sz w:val="16"/>
                <w:szCs w:val="16"/>
                <w:u w:val="none" w:color="000000"/>
                <w:vertAlign w:val="baseline"/>
                <w:rtl w:val="0"/>
                <w:lang w:val="nl-NL"/>
              </w:rPr>
              <w:t xml:space="preserve">  women (%)</w:t>
            </w:r>
          </w:p>
        </w:tc>
        <w:tc>
          <w:tcPr>
            <w:tcW w:type="dxa" w:w="2796"/>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Helvetica" w:hAnsi="Helvetica"/>
                <w:sz w:val="16"/>
                <w:szCs w:val="16"/>
                <w:rtl w:val="0"/>
              </w:rPr>
              <w:t xml:space="preserve">130 subjects (patients seeking medical help because of vertigo, dizziness or imbalance): 67yrs,  </w:t>
            </w:r>
            <w:r>
              <w:rPr>
                <w:rFonts w:ascii="Helvetica" w:hAnsi="Helvetica" w:hint="default"/>
                <w:sz w:val="16"/>
                <w:szCs w:val="16"/>
                <w:rtl w:val="0"/>
              </w:rPr>
              <w:t>±</w:t>
            </w:r>
            <w:r>
              <w:rPr>
                <w:rFonts w:ascii="Helvetica" w:hAnsi="Helvetica"/>
                <w:sz w:val="16"/>
                <w:szCs w:val="16"/>
                <w:rtl w:val="0"/>
              </w:rPr>
              <w:t>9yrs, women: 69%.</w:t>
            </w:r>
          </w:p>
        </w:tc>
        <w:tc>
          <w:tcPr>
            <w:tcW w:type="dxa" w:w="2797"/>
            <w:tcBorders>
              <w:top w:val="nil"/>
              <w:left w:val="nil"/>
              <w:bottom w:val="nil"/>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Fonts w:ascii="Helvetica" w:cs="Helvetica" w:hAnsi="Helvetica" w:eastAsia="Helvetica"/>
                <w:b w:val="0"/>
                <w:bCs w:val="0"/>
                <w:i w:val="0"/>
                <w:iCs w:val="0"/>
                <w:caps w:val="0"/>
                <w:smallCaps w:val="0"/>
                <w:strike w:val="0"/>
                <w:dstrike w:val="0"/>
                <w:outline w:val="0"/>
                <w:color w:val="000000"/>
                <w:spacing w:val="0"/>
                <w:kern w:val="0"/>
                <w:position w:val="0"/>
                <w:sz w:val="16"/>
                <w:szCs w:val="16"/>
                <w:u w:val="none" w:color="000000"/>
                <w:vertAlign w:val="baseline"/>
                <w:rtl w:val="0"/>
              </w:rPr>
            </w:pPr>
            <w:r>
              <w:rPr>
                <w:rFonts w:ascii="Helvetica" w:cs="Calibri" w:hAnsi="Helvetica" w:eastAsia="Calibri"/>
                <w:b w:val="0"/>
                <w:bCs w:val="0"/>
                <w:i w:val="0"/>
                <w:iCs w:val="0"/>
                <w:caps w:val="0"/>
                <w:smallCaps w:val="0"/>
                <w:strike w:val="0"/>
                <w:dstrike w:val="0"/>
                <w:outline w:val="0"/>
                <w:color w:val="000000"/>
                <w:spacing w:val="0"/>
                <w:kern w:val="0"/>
                <w:position w:val="0"/>
                <w:sz w:val="16"/>
                <w:szCs w:val="16"/>
                <w:u w:val="none" w:color="000000"/>
                <w:vertAlign w:val="baseline"/>
                <w:rtl w:val="0"/>
                <w:lang w:val="en-US"/>
              </w:rPr>
              <w:t>429 subjects</w:t>
            </w:r>
            <w:r>
              <w:rPr>
                <w:rFonts w:ascii="Helvetica" w:cs="Calibri" w:hAnsi="Helvetica" w:eastAsia="Calibri"/>
                <w:b w:val="0"/>
                <w:bCs w:val="0"/>
                <w:i w:val="0"/>
                <w:iCs w:val="0"/>
                <w:caps w:val="0"/>
                <w:smallCaps w:val="0"/>
                <w:strike w:val="0"/>
                <w:dstrike w:val="0"/>
                <w:outline w:val="0"/>
                <w:color w:val="000000"/>
                <w:spacing w:val="0"/>
                <w:kern w:val="0"/>
                <w:position w:val="0"/>
                <w:sz w:val="16"/>
                <w:szCs w:val="16"/>
                <w:u w:val="none" w:color="000000"/>
                <w:vertAlign w:val="baseline"/>
                <w:rtl w:val="0"/>
                <w:lang w:val="nl-NL"/>
              </w:rPr>
              <w:t xml:space="preserve"> (patients consulting a </w:t>
            </w:r>
            <w:r>
              <w:rPr>
                <w:rFonts w:ascii="Helvetica" w:cs="Calibri" w:hAnsi="Helvetica" w:eastAsia="Calibri"/>
                <w:b w:val="0"/>
                <w:bCs w:val="0"/>
                <w:i w:val="0"/>
                <w:iCs w:val="0"/>
                <w:caps w:val="0"/>
                <w:smallCaps w:val="0"/>
                <w:strike w:val="0"/>
                <w:dstrike w:val="0"/>
                <w:outline w:val="0"/>
                <w:color w:val="000000"/>
                <w:spacing w:val="0"/>
                <w:kern w:val="0"/>
                <w:position w:val="0"/>
                <w:sz w:val="16"/>
                <w:szCs w:val="16"/>
                <w:u w:val="none" w:color="000000"/>
                <w:vertAlign w:val="baseline"/>
                <w:rtl w:val="0"/>
                <w:lang w:val="en-US"/>
              </w:rPr>
              <w:t>specialists</w:t>
            </w:r>
            <w:r>
              <w:rPr>
                <w:rFonts w:ascii="Helvetica" w:cs="Calibri" w:hAnsi="Helvetica" w:eastAsia="Calibri"/>
                <w:b w:val="0"/>
                <w:bCs w:val="0"/>
                <w:i w:val="0"/>
                <w:iCs w:val="0"/>
                <w:caps w:val="0"/>
                <w:smallCaps w:val="0"/>
                <w:strike w:val="0"/>
                <w:dstrike w:val="0"/>
                <w:outline w:val="0"/>
                <w:color w:val="000000"/>
                <w:spacing w:val="0"/>
                <w:kern w:val="0"/>
                <w:position w:val="0"/>
                <w:sz w:val="16"/>
                <w:szCs w:val="16"/>
                <w:u w:val="none" w:color="000000"/>
                <w:vertAlign w:val="baseline"/>
                <w:rtl w:val="0"/>
                <w:lang w:val="nl-NL"/>
              </w:rPr>
              <w:t xml:space="preserve"> (otologist, neurologist, psychiatrist)</w:t>
            </w:r>
            <w:r>
              <w:rPr>
                <w:rFonts w:ascii="Helvetica" w:cs="Calibri" w:hAnsi="Helvetica" w:eastAsia="Calibri"/>
                <w:b w:val="0"/>
                <w:bCs w:val="0"/>
                <w:i w:val="0"/>
                <w:iCs w:val="0"/>
                <w:caps w:val="0"/>
                <w:smallCaps w:val="0"/>
                <w:strike w:val="0"/>
                <w:dstrike w:val="0"/>
                <w:outline w:val="0"/>
                <w:color w:val="000000"/>
                <w:spacing w:val="0"/>
                <w:kern w:val="0"/>
                <w:position w:val="0"/>
                <w:sz w:val="16"/>
                <w:szCs w:val="16"/>
                <w:u w:val="none" w:color="000000"/>
                <w:vertAlign w:val="baseline"/>
                <w:rtl w:val="0"/>
                <w:lang w:val="en-US"/>
              </w:rPr>
              <w:t xml:space="preserve"> for a new</w:t>
            </w:r>
          </w:p>
          <w:p>
            <w:pPr>
              <w:pStyle w:val="Standaard"/>
            </w:pPr>
            <w:r>
              <w:rPr>
                <w:sz w:val="16"/>
                <w:szCs w:val="16"/>
                <w:rtl w:val="0"/>
                <w:lang w:val="en-US"/>
              </w:rPr>
              <w:t>dizziness complaint</w:t>
            </w:r>
            <w:r>
              <w:rPr>
                <w:sz w:val="16"/>
                <w:szCs w:val="16"/>
                <w:rtl w:val="0"/>
                <w:lang w:val="nl-NL"/>
              </w:rPr>
              <w:t>)</w:t>
            </w:r>
            <w:r>
              <w:rPr>
                <w:sz w:val="16"/>
                <w:szCs w:val="16"/>
                <w:rtl w:val="0"/>
              </w:rPr>
              <w:t xml:space="preserve">: 54yrs, </w:t>
            </w:r>
            <w:r>
              <w:rPr>
                <w:sz w:val="16"/>
                <w:szCs w:val="16"/>
                <w:rtl w:val="0"/>
              </w:rPr>
              <w:t>±</w:t>
            </w:r>
            <w:r>
              <w:rPr>
                <w:sz w:val="16"/>
                <w:szCs w:val="16"/>
                <w:rtl w:val="0"/>
                <w:lang w:val="en-US"/>
              </w:rPr>
              <w:t>14yrs, women: 62.5%</w:t>
            </w:r>
            <w:r>
              <w:rPr>
                <w:sz w:val="16"/>
                <w:szCs w:val="16"/>
                <w:rtl w:val="0"/>
                <w:lang w:val="nl-NL"/>
              </w:rPr>
              <w:t>.</w:t>
            </w:r>
          </w:p>
        </w:tc>
        <w:tc>
          <w:tcPr>
            <w:tcW w:type="dxa" w:w="2796"/>
            <w:tcBorders>
              <w:top w:val="nil"/>
              <w:left w:val="nil"/>
              <w:bottom w:val="nil"/>
              <w:right w:val="nil"/>
            </w:tcBorders>
            <w:shd w:val="clear" w:color="auto" w:fill="auto"/>
            <w:tcMar>
              <w:top w:type="dxa" w:w="80"/>
              <w:left w:type="dxa" w:w="80"/>
              <w:bottom w:type="dxa" w:w="80"/>
              <w:right w:type="dxa" w:w="80"/>
            </w:tcMar>
            <w:vAlign w:val="top"/>
          </w:tcPr>
          <w:p>
            <w:pPr>
              <w:pStyle w:val="Standaard"/>
            </w:pPr>
            <w:r>
              <w:rPr>
                <w:rFonts w:ascii="Helvetica" w:hAnsi="Helvetica"/>
                <w:sz w:val="16"/>
                <w:szCs w:val="16"/>
                <w:rtl w:val="0"/>
              </w:rPr>
              <w:t xml:space="preserve">108 subjects, 2 groups (patients complaining of episodic vertigo with BPPV and without BPPV): 55 subjects (BPPV): 58.8yrs, </w:t>
            </w:r>
            <w:r>
              <w:rPr>
                <w:rFonts w:ascii="Helvetica" w:hAnsi="Helvetica" w:hint="default"/>
                <w:sz w:val="16"/>
                <w:szCs w:val="16"/>
                <w:rtl w:val="0"/>
              </w:rPr>
              <w:t>±</w:t>
            </w:r>
            <w:r>
              <w:rPr>
                <w:rFonts w:ascii="Helvetica" w:hAnsi="Helvetica"/>
                <w:sz w:val="16"/>
                <w:szCs w:val="16"/>
                <w:rtl w:val="0"/>
              </w:rPr>
              <w:t xml:space="preserve">13.4yrs, women: 69.1%. 53 subjects (without BPPV): 56.7yrs, </w:t>
            </w:r>
            <w:r>
              <w:rPr>
                <w:rFonts w:ascii="Helvetica" w:hAnsi="Helvetica" w:hint="default"/>
                <w:sz w:val="16"/>
                <w:szCs w:val="16"/>
                <w:rtl w:val="0"/>
              </w:rPr>
              <w:t>±</w:t>
            </w:r>
            <w:r>
              <w:rPr>
                <w:rFonts w:ascii="Helvetica" w:hAnsi="Helvetica"/>
                <w:sz w:val="16"/>
                <w:szCs w:val="16"/>
                <w:rtl w:val="0"/>
              </w:rPr>
              <w:t>13.5yrs, women: 69.8%.</w:t>
            </w:r>
          </w:p>
        </w:tc>
        <w:tc>
          <w:tcPr>
            <w:tcW w:type="dxa" w:w="2797"/>
            <w:tcBorders>
              <w:top w:val="nil"/>
              <w:left w:val="nil"/>
              <w:bottom w:val="nil"/>
              <w:right w:val="nil"/>
            </w:tcBorders>
            <w:shd w:val="clear" w:color="auto" w:fill="auto"/>
            <w:tcMar>
              <w:top w:type="dxa" w:w="80"/>
              <w:left w:type="dxa" w:w="80"/>
              <w:bottom w:type="dxa" w:w="80"/>
              <w:right w:type="dxa" w:w="80"/>
            </w:tcMar>
            <w:vAlign w:val="top"/>
          </w:tcPr>
          <w:p>
            <w:pPr>
              <w:pStyle w:val="Standaard"/>
            </w:pPr>
            <w:r>
              <w:rPr>
                <w:rFonts w:ascii="Helvetica" w:hAnsi="Helvetica"/>
                <w:sz w:val="16"/>
                <w:szCs w:val="16"/>
                <w:rtl w:val="0"/>
              </w:rPr>
              <w:t xml:space="preserve">108 subjects, 2 groups (patients complaining of episodic vertigo with BPPV and without BPPV): 55 subjects (BPPV): 58.8yrs, </w:t>
            </w:r>
            <w:r>
              <w:rPr>
                <w:rFonts w:ascii="Helvetica" w:hAnsi="Helvetica" w:hint="default"/>
                <w:sz w:val="16"/>
                <w:szCs w:val="16"/>
                <w:rtl w:val="0"/>
              </w:rPr>
              <w:t>±</w:t>
            </w:r>
            <w:r>
              <w:rPr>
                <w:rFonts w:ascii="Helvetica" w:hAnsi="Helvetica"/>
                <w:sz w:val="16"/>
                <w:szCs w:val="16"/>
                <w:rtl w:val="0"/>
              </w:rPr>
              <w:t xml:space="preserve">13.4yrs, women: 69.1%. 53 subjects (without BPPV): 56.7yrs, </w:t>
            </w:r>
            <w:r>
              <w:rPr>
                <w:rFonts w:ascii="Helvetica" w:hAnsi="Helvetica" w:hint="default"/>
                <w:sz w:val="16"/>
                <w:szCs w:val="16"/>
                <w:rtl w:val="0"/>
              </w:rPr>
              <w:t>±</w:t>
            </w:r>
            <w:r>
              <w:rPr>
                <w:rFonts w:ascii="Helvetica" w:hAnsi="Helvetica"/>
                <w:sz w:val="16"/>
                <w:szCs w:val="16"/>
                <w:rtl w:val="0"/>
              </w:rPr>
              <w:t>13.5yrs, women: 69.8%.</w:t>
            </w:r>
          </w:p>
        </w:tc>
      </w:tr>
      <w:tr>
        <w:tblPrEx>
          <w:shd w:val="clear" w:color="auto" w:fill="ced7e7"/>
        </w:tblPrEx>
        <w:trPr>
          <w:trHeight w:val="1200" w:hRule="atLeast"/>
        </w:trPr>
        <w:tc>
          <w:tcPr>
            <w:tcW w:type="dxa" w:w="2796"/>
            <w:tcBorders>
              <w:top w:val="nil"/>
              <w:left w:val="nil"/>
              <w:bottom w:val="nil"/>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w:cs="Calibri" w:hAnsi="Helvetica" w:eastAsia="Calibri"/>
                <w:b w:val="1"/>
                <w:bCs w:val="1"/>
                <w:i w:val="0"/>
                <w:iCs w:val="0"/>
                <w:caps w:val="0"/>
                <w:smallCaps w:val="0"/>
                <w:strike w:val="0"/>
                <w:dstrike w:val="0"/>
                <w:outline w:val="0"/>
                <w:color w:val="000000"/>
                <w:spacing w:val="0"/>
                <w:kern w:val="0"/>
                <w:position w:val="0"/>
                <w:sz w:val="16"/>
                <w:szCs w:val="16"/>
                <w:u w:val="none" w:color="000000"/>
                <w:vertAlign w:val="baseline"/>
                <w:rtl w:val="0"/>
              </w:rPr>
              <w:t>Item development</w:t>
            </w:r>
          </w:p>
        </w:tc>
        <w:tc>
          <w:tcPr>
            <w:tcW w:type="dxa" w:w="2796"/>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Helvetica" w:hAnsi="Helvetica"/>
                <w:sz w:val="16"/>
                <w:szCs w:val="16"/>
                <w:rtl w:val="0"/>
              </w:rPr>
              <w:t>Items were generated based on input from VSS, VHQ and DHI questionnaires, and patient and expert interviews (experts in neurology, ENT, gerontology, psychiatry, psychology).</w:t>
            </w:r>
          </w:p>
        </w:tc>
        <w:tc>
          <w:tcPr>
            <w:tcW w:type="dxa" w:w="2797"/>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nl-NL"/>
              </w:rPr>
              <w:t>I</w:t>
            </w:r>
            <w:r>
              <w:rPr>
                <w:rFonts w:ascii="Calibri" w:cs="Calibri" w:hAnsi="Calibri" w:eastAsia="Calibri"/>
                <w:sz w:val="16"/>
                <w:szCs w:val="16"/>
                <w:rtl w:val="0"/>
                <w:lang w:val="en-US"/>
              </w:rPr>
              <w:t>tems were derived from Zh</w:t>
            </w:r>
            <w:r>
              <w:rPr>
                <w:rFonts w:ascii="Calibri" w:cs="Calibri" w:hAnsi="Calibri" w:eastAsia="Calibri"/>
                <w:sz w:val="16"/>
                <w:szCs w:val="16"/>
                <w:rtl w:val="0"/>
                <w:lang w:val="nl-NL"/>
              </w:rPr>
              <w:t>ao</w:t>
            </w:r>
            <w:r>
              <w:rPr>
                <w:rFonts w:ascii="Calibri" w:cs="Calibri" w:hAnsi="Calibri" w:eastAsia="Calibri"/>
                <w:sz w:val="16"/>
                <w:szCs w:val="16"/>
                <w:rtl w:val="0"/>
              </w:rPr>
              <w:t>’</w:t>
            </w:r>
            <w:r>
              <w:rPr>
                <w:rFonts w:ascii="Calibri" w:cs="Calibri" w:hAnsi="Calibri" w:eastAsia="Calibri"/>
                <w:sz w:val="16"/>
                <w:szCs w:val="16"/>
                <w:rtl w:val="0"/>
                <w:lang w:val="fr-FR"/>
              </w:rPr>
              <w:t>s* 32-item dizziness questionnaire</w:t>
            </w:r>
            <w:r>
              <w:rPr>
                <w:rFonts w:ascii="Calibri" w:cs="Calibri" w:hAnsi="Calibri" w:eastAsia="Calibri"/>
                <w:sz w:val="16"/>
                <w:szCs w:val="16"/>
                <w:vertAlign w:val="superscript"/>
                <w:rtl w:val="0"/>
                <w:lang w:val="nl-NL"/>
              </w:rPr>
              <w:t>20</w:t>
            </w:r>
            <w:r>
              <w:rPr>
                <w:rFonts w:ascii="Calibri" w:cs="Calibri" w:hAnsi="Calibri" w:eastAsia="Calibri"/>
                <w:sz w:val="16"/>
                <w:szCs w:val="16"/>
                <w:rtl w:val="0"/>
                <w:lang w:val="en-US"/>
              </w:rPr>
              <w:t xml:space="preserve"> and slightly modified</w:t>
            </w:r>
            <w:r>
              <w:rPr>
                <w:rFonts w:ascii="Calibri" w:cs="Calibri" w:hAnsi="Calibri" w:eastAsia="Calibri"/>
                <w:sz w:val="16"/>
                <w:szCs w:val="16"/>
                <w:rtl w:val="0"/>
                <w:lang w:val="nl-NL"/>
              </w:rPr>
              <w:t>.</w:t>
            </w:r>
          </w:p>
        </w:tc>
        <w:tc>
          <w:tcPr>
            <w:tcW w:type="dxa" w:w="2796"/>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Items were selected from dizziness handicap inventory based on assumptions from previous research</w:t>
            </w:r>
            <w:r>
              <w:rPr>
                <w:rFonts w:ascii="Calibri" w:cs="Calibri" w:hAnsi="Calibri" w:eastAsia="Calibri"/>
                <w:sz w:val="16"/>
                <w:szCs w:val="16"/>
                <w:rtl w:val="0"/>
                <w:lang w:val="nl-NL"/>
              </w:rPr>
              <w:t xml:space="preserve"> by Whitney</w:t>
            </w:r>
            <w:r>
              <w:rPr>
                <w:rFonts w:ascii="Calibri" w:cs="Calibri" w:hAnsi="Calibri" w:eastAsia="Calibri"/>
                <w:sz w:val="16"/>
                <w:szCs w:val="16"/>
                <w:vertAlign w:val="superscript"/>
                <w:rtl w:val="0"/>
                <w:lang w:val="nl-NL"/>
              </w:rPr>
              <w:t>22</w:t>
            </w:r>
            <w:r>
              <w:rPr>
                <w:rFonts w:ascii="Calibri" w:cs="Calibri" w:hAnsi="Calibri" w:eastAsia="Calibri"/>
                <w:sz w:val="16"/>
                <w:szCs w:val="16"/>
                <w:rtl w:val="0"/>
                <w:lang w:val="nl-NL"/>
              </w:rPr>
              <w:t>.</w:t>
            </w:r>
          </w:p>
        </w:tc>
        <w:tc>
          <w:tcPr>
            <w:tcW w:type="dxa" w:w="2797"/>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Items were selected from dizziness handicap inventory based on assumptions from previous research</w:t>
            </w:r>
            <w:r>
              <w:rPr>
                <w:rFonts w:ascii="Calibri" w:cs="Calibri" w:hAnsi="Calibri" w:eastAsia="Calibri"/>
                <w:sz w:val="16"/>
                <w:szCs w:val="16"/>
                <w:rtl w:val="0"/>
                <w:lang w:val="nl-NL"/>
              </w:rPr>
              <w:t xml:space="preserve"> by Whitney</w:t>
            </w:r>
            <w:r>
              <w:rPr>
                <w:rFonts w:ascii="Calibri" w:cs="Calibri" w:hAnsi="Calibri" w:eastAsia="Calibri"/>
                <w:sz w:val="16"/>
                <w:szCs w:val="16"/>
                <w:vertAlign w:val="superscript"/>
                <w:rtl w:val="0"/>
                <w:lang w:val="nl-NL"/>
              </w:rPr>
              <w:t>22</w:t>
            </w:r>
            <w:r>
              <w:rPr>
                <w:rFonts w:ascii="Calibri" w:cs="Calibri" w:hAnsi="Calibri" w:eastAsia="Calibri"/>
                <w:sz w:val="16"/>
                <w:szCs w:val="16"/>
                <w:rtl w:val="0"/>
              </w:rPr>
              <w:t>.</w:t>
            </w:r>
          </w:p>
        </w:tc>
      </w:tr>
      <w:tr>
        <w:tblPrEx>
          <w:shd w:val="clear" w:color="auto" w:fill="ced7e7"/>
        </w:tblPrEx>
        <w:trPr>
          <w:trHeight w:val="260" w:hRule="atLeast"/>
        </w:trPr>
        <w:tc>
          <w:tcPr>
            <w:tcW w:type="dxa" w:w="2796"/>
            <w:tcBorders>
              <w:top w:val="nil"/>
              <w:left w:val="nil"/>
              <w:bottom w:val="nil"/>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w:cs="Calibri" w:hAnsi="Helvetica" w:eastAsia="Calibri"/>
                <w:b w:val="1"/>
                <w:bCs w:val="1"/>
                <w:i w:val="0"/>
                <w:iCs w:val="0"/>
                <w:caps w:val="0"/>
                <w:smallCaps w:val="0"/>
                <w:strike w:val="0"/>
                <w:dstrike w:val="0"/>
                <w:outline w:val="0"/>
                <w:color w:val="000000"/>
                <w:spacing w:val="0"/>
                <w:kern w:val="0"/>
                <w:position w:val="0"/>
                <w:sz w:val="16"/>
                <w:szCs w:val="16"/>
                <w:u w:val="none" w:color="000000"/>
                <w:vertAlign w:val="baseline"/>
                <w:rtl w:val="0"/>
              </w:rPr>
              <w:t>Items</w:t>
            </w:r>
          </w:p>
        </w:tc>
        <w:tc>
          <w:tcPr>
            <w:tcW w:type="dxa" w:w="2796"/>
            <w:tcBorders>
              <w:top w:val="nil"/>
              <w:left w:val="nil"/>
              <w:bottom w:val="nil"/>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w:cs="Calibri" w:hAnsi="Helvetica" w:eastAsia="Calibri"/>
                <w:b w:val="0"/>
                <w:bCs w:val="0"/>
                <w:i w:val="0"/>
                <w:iCs w:val="0"/>
                <w:caps w:val="0"/>
                <w:smallCaps w:val="0"/>
                <w:strike w:val="0"/>
                <w:dstrike w:val="0"/>
                <w:outline w:val="0"/>
                <w:color w:val="000000"/>
                <w:spacing w:val="0"/>
                <w:kern w:val="0"/>
                <w:position w:val="0"/>
                <w:sz w:val="16"/>
                <w:szCs w:val="16"/>
                <w:u w:val="none" w:color="000000"/>
                <w:vertAlign w:val="baseline"/>
                <w:rtl w:val="0"/>
              </w:rPr>
              <w:t>36 items</w:t>
            </w:r>
          </w:p>
        </w:tc>
        <w:tc>
          <w:tcPr>
            <w:tcW w:type="dxa" w:w="2797"/>
            <w:tcBorders>
              <w:top w:val="nil"/>
              <w:left w:val="nil"/>
              <w:bottom w:val="nil"/>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w:cs="Calibri" w:hAnsi="Helvetica" w:eastAsia="Calibri"/>
                <w:b w:val="0"/>
                <w:bCs w:val="0"/>
                <w:i w:val="0"/>
                <w:iCs w:val="0"/>
                <w:caps w:val="0"/>
                <w:smallCaps w:val="0"/>
                <w:strike w:val="0"/>
                <w:dstrike w:val="0"/>
                <w:outline w:val="0"/>
                <w:color w:val="000000"/>
                <w:spacing w:val="0"/>
                <w:kern w:val="0"/>
                <w:position w:val="0"/>
                <w:sz w:val="16"/>
                <w:szCs w:val="16"/>
                <w:u w:val="none" w:color="000000"/>
                <w:vertAlign w:val="baseline"/>
                <w:rtl w:val="0"/>
              </w:rPr>
              <w:t>32 items</w:t>
            </w:r>
          </w:p>
        </w:tc>
        <w:tc>
          <w:tcPr>
            <w:tcW w:type="dxa" w:w="2796"/>
            <w:tcBorders>
              <w:top w:val="nil"/>
              <w:left w:val="nil"/>
              <w:bottom w:val="nil"/>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w:cs="Calibri" w:hAnsi="Helvetica" w:eastAsia="Calibri"/>
                <w:b w:val="0"/>
                <w:bCs w:val="0"/>
                <w:i w:val="0"/>
                <w:iCs w:val="0"/>
                <w:caps w:val="0"/>
                <w:smallCaps w:val="0"/>
                <w:strike w:val="0"/>
                <w:dstrike w:val="0"/>
                <w:outline w:val="0"/>
                <w:color w:val="000000"/>
                <w:spacing w:val="0"/>
                <w:kern w:val="0"/>
                <w:position w:val="0"/>
                <w:sz w:val="16"/>
                <w:szCs w:val="16"/>
                <w:u w:val="none" w:color="000000"/>
                <w:vertAlign w:val="baseline"/>
                <w:rtl w:val="0"/>
              </w:rPr>
              <w:t>05 items</w:t>
            </w:r>
          </w:p>
        </w:tc>
        <w:tc>
          <w:tcPr>
            <w:tcW w:type="dxa" w:w="2797"/>
            <w:tcBorders>
              <w:top w:val="nil"/>
              <w:left w:val="nil"/>
              <w:bottom w:val="nil"/>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w:cs="Calibri" w:hAnsi="Helvetica" w:eastAsia="Calibri"/>
                <w:b w:val="0"/>
                <w:bCs w:val="0"/>
                <w:i w:val="0"/>
                <w:iCs w:val="0"/>
                <w:caps w:val="0"/>
                <w:smallCaps w:val="0"/>
                <w:strike w:val="0"/>
                <w:dstrike w:val="0"/>
                <w:outline w:val="0"/>
                <w:color w:val="000000"/>
                <w:spacing w:val="0"/>
                <w:kern w:val="0"/>
                <w:position w:val="0"/>
                <w:sz w:val="16"/>
                <w:szCs w:val="16"/>
                <w:u w:val="none" w:color="000000"/>
                <w:vertAlign w:val="baseline"/>
                <w:rtl w:val="0"/>
              </w:rPr>
              <w:t>03 items</w:t>
            </w:r>
          </w:p>
        </w:tc>
      </w:tr>
      <w:tr>
        <w:tblPrEx>
          <w:shd w:val="clear" w:color="auto" w:fill="ced7e7"/>
        </w:tblPrEx>
        <w:trPr>
          <w:trHeight w:val="270" w:hRule="atLeast"/>
        </w:trPr>
        <w:tc>
          <w:tcPr>
            <w:tcW w:type="dxa" w:w="2796"/>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w:cs="Calibri" w:hAnsi="Helvetica" w:eastAsia="Calibri"/>
                <w:b w:val="1"/>
                <w:bCs w:val="1"/>
                <w:i w:val="0"/>
                <w:iCs w:val="0"/>
                <w:caps w:val="0"/>
                <w:smallCaps w:val="0"/>
                <w:strike w:val="0"/>
                <w:dstrike w:val="0"/>
                <w:outline w:val="0"/>
                <w:color w:val="000000"/>
                <w:spacing w:val="0"/>
                <w:kern w:val="0"/>
                <w:position w:val="0"/>
                <w:sz w:val="16"/>
                <w:szCs w:val="16"/>
                <w:u w:val="none" w:color="000000"/>
                <w:vertAlign w:val="baseline"/>
                <w:rtl w:val="0"/>
              </w:rPr>
              <w:t>Translations</w:t>
            </w:r>
          </w:p>
        </w:tc>
        <w:tc>
          <w:tcPr>
            <w:tcW w:type="dxa" w:w="2796"/>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w:cs="Calibri" w:hAnsi="Helvetica" w:eastAsia="Calibri"/>
                <w:b w:val="0"/>
                <w:bCs w:val="0"/>
                <w:i w:val="0"/>
                <w:iCs w:val="0"/>
                <w:caps w:val="0"/>
                <w:smallCaps w:val="0"/>
                <w:strike w:val="0"/>
                <w:dstrike w:val="0"/>
                <w:outline w:val="0"/>
                <w:color w:val="000000"/>
                <w:spacing w:val="0"/>
                <w:kern w:val="0"/>
                <w:position w:val="0"/>
                <w:sz w:val="16"/>
                <w:szCs w:val="16"/>
                <w:u w:val="none" w:color="000000"/>
                <w:vertAlign w:val="baseline"/>
                <w:rtl w:val="0"/>
              </w:rPr>
              <w:t>ENG, ESP.</w:t>
            </w:r>
          </w:p>
        </w:tc>
        <w:tc>
          <w:tcPr>
            <w:tcW w:type="dxa" w:w="2797"/>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w:cs="Calibri" w:hAnsi="Helvetica" w:eastAsia="Calibri"/>
                <w:b w:val="0"/>
                <w:bCs w:val="0"/>
                <w:i w:val="0"/>
                <w:iCs w:val="0"/>
                <w:caps w:val="0"/>
                <w:smallCaps w:val="0"/>
                <w:strike w:val="0"/>
                <w:dstrike w:val="0"/>
                <w:outline w:val="0"/>
                <w:color w:val="000000"/>
                <w:spacing w:val="0"/>
                <w:kern w:val="0"/>
                <w:position w:val="0"/>
                <w:sz w:val="16"/>
                <w:szCs w:val="16"/>
                <w:u w:val="none" w:color="000000"/>
                <w:vertAlign w:val="baseline"/>
                <w:rtl w:val="0"/>
              </w:rPr>
              <w:t>USA.</w:t>
            </w:r>
          </w:p>
        </w:tc>
        <w:tc>
          <w:tcPr>
            <w:tcW w:type="dxa" w:w="2796"/>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w:cs="Calibri" w:hAnsi="Helvetica" w:eastAsia="Calibri"/>
                <w:b w:val="0"/>
                <w:bCs w:val="0"/>
                <w:i w:val="0"/>
                <w:iCs w:val="0"/>
                <w:caps w:val="0"/>
                <w:smallCaps w:val="0"/>
                <w:strike w:val="0"/>
                <w:dstrike w:val="0"/>
                <w:outline w:val="0"/>
                <w:color w:val="000000"/>
                <w:spacing w:val="0"/>
                <w:kern w:val="0"/>
                <w:position w:val="0"/>
                <w:sz w:val="16"/>
                <w:szCs w:val="16"/>
                <w:u w:val="none" w:color="000000"/>
                <w:vertAlign w:val="baseline"/>
                <w:rtl w:val="0"/>
              </w:rPr>
              <w:t>USA, CHN (not specified).</w:t>
            </w:r>
          </w:p>
        </w:tc>
        <w:tc>
          <w:tcPr>
            <w:tcW w:type="dxa" w:w="2797"/>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w:cs="Calibri" w:hAnsi="Helvetica" w:eastAsia="Calibri"/>
                <w:b w:val="0"/>
                <w:bCs w:val="0"/>
                <w:i w:val="0"/>
                <w:iCs w:val="0"/>
                <w:caps w:val="0"/>
                <w:smallCaps w:val="0"/>
                <w:strike w:val="0"/>
                <w:dstrike w:val="0"/>
                <w:outline w:val="0"/>
                <w:color w:val="000000"/>
                <w:spacing w:val="0"/>
                <w:kern w:val="0"/>
                <w:position w:val="0"/>
                <w:sz w:val="16"/>
                <w:szCs w:val="16"/>
                <w:u w:val="none" w:color="000000"/>
                <w:vertAlign w:val="baseline"/>
                <w:rtl w:val="0"/>
              </w:rPr>
              <w:t>USA, CHN (not specified).</w:t>
            </w:r>
          </w:p>
        </w:tc>
      </w:tr>
    </w:tbl>
    <w:p>
      <w:pPr>
        <w:pStyle w:val="Hoofdtekst"/>
        <w:spacing w:line="240" w:lineRule="auto"/>
        <w:rPr>
          <w:rFonts w:ascii="Helvetica" w:cs="Helvetica" w:hAnsi="Helvetica" w:eastAsia="Helvetica"/>
          <w:sz w:val="24"/>
          <w:szCs w:val="24"/>
        </w:rPr>
      </w:pPr>
    </w:p>
    <w:p>
      <w:pPr>
        <w:pStyle w:val="Hoofdtekst"/>
        <w:spacing w:after="0"/>
        <w:jc w:val="center"/>
        <w:rPr>
          <w:rFonts w:ascii="Helvetica" w:cs="Helvetica" w:hAnsi="Helvetica" w:eastAsia="Helvetica"/>
          <w:sz w:val="24"/>
          <w:szCs w:val="24"/>
        </w:rPr>
      </w:pPr>
    </w:p>
    <w:p>
      <w:pPr>
        <w:pStyle w:val="Hoofdtekst"/>
        <w:spacing w:after="0"/>
        <w:jc w:val="center"/>
        <w:rPr>
          <w:rFonts w:ascii="Helvetica" w:cs="Helvetica" w:hAnsi="Helvetica" w:eastAsia="Helvetica"/>
          <w:sz w:val="24"/>
          <w:szCs w:val="24"/>
        </w:rPr>
      </w:pPr>
    </w:p>
    <w:p>
      <w:pPr>
        <w:pStyle w:val="Hoofdtekst"/>
        <w:spacing w:after="0"/>
        <w:jc w:val="center"/>
        <w:rPr>
          <w:rFonts w:ascii="Helvetica" w:cs="Helvetica" w:hAnsi="Helvetica" w:eastAsia="Helvetica"/>
          <w:sz w:val="24"/>
          <w:szCs w:val="24"/>
        </w:rPr>
      </w:pPr>
    </w:p>
    <w:p>
      <w:pPr>
        <w:pStyle w:val="Hoofdtekst"/>
        <w:spacing w:after="0"/>
        <w:jc w:val="center"/>
        <w:rPr>
          <w:rFonts w:ascii="Helvetica" w:cs="Helvetica" w:hAnsi="Helvetica" w:eastAsia="Helvetica"/>
          <w:sz w:val="24"/>
          <w:szCs w:val="24"/>
        </w:rPr>
      </w:pPr>
    </w:p>
    <w:p>
      <w:pPr>
        <w:pStyle w:val="Hoofdtekst"/>
        <w:spacing w:after="0"/>
        <w:jc w:val="center"/>
        <w:rPr>
          <w:rFonts w:ascii="Helvetica" w:cs="Helvetica" w:hAnsi="Helvetica" w:eastAsia="Helvetica"/>
          <w:sz w:val="24"/>
          <w:szCs w:val="24"/>
        </w:rPr>
      </w:pPr>
    </w:p>
    <w:p>
      <w:pPr>
        <w:pStyle w:val="Hoofdtekst"/>
        <w:spacing w:after="0"/>
        <w:jc w:val="center"/>
        <w:rPr>
          <w:rFonts w:ascii="Helvetica" w:cs="Helvetica" w:hAnsi="Helvetica" w:eastAsia="Helvetica"/>
          <w:sz w:val="24"/>
          <w:szCs w:val="24"/>
        </w:rPr>
      </w:pPr>
    </w:p>
    <w:p>
      <w:pPr>
        <w:pStyle w:val="Hoofdtekst"/>
        <w:spacing w:after="0"/>
        <w:jc w:val="center"/>
        <w:rPr>
          <w:rFonts w:ascii="Helvetica" w:cs="Helvetica" w:hAnsi="Helvetica" w:eastAsia="Helvetica"/>
          <w:sz w:val="24"/>
          <w:szCs w:val="24"/>
        </w:rPr>
      </w:pPr>
    </w:p>
    <w:tbl>
      <w:tblPr>
        <w:tblW w:w="13985"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796"/>
        <w:gridCol w:w="2797"/>
        <w:gridCol w:w="2798"/>
        <w:gridCol w:w="2797"/>
        <w:gridCol w:w="2797"/>
      </w:tblGrid>
      <w:tr>
        <w:tblPrEx>
          <w:shd w:val="clear" w:color="auto" w:fill="ced7e7"/>
        </w:tblPrEx>
        <w:trPr>
          <w:trHeight w:val="620" w:hRule="atLeast"/>
        </w:trPr>
        <w:tc>
          <w:tcPr>
            <w:tcW w:type="dxa" w:w="2796"/>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tc>
        <w:tc>
          <w:tcPr>
            <w:tcW w:type="dxa" w:w="2796"/>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b w:val="1"/>
                <w:bCs w:val="1"/>
                <w:sz w:val="16"/>
                <w:szCs w:val="16"/>
                <w:rtl w:val="0"/>
                <w:lang w:val="en-US"/>
              </w:rPr>
              <w:t>Benign Paroxysmal Positional Vertigo Questionnaire by Imai</w:t>
            </w:r>
          </w:p>
        </w:tc>
        <w:tc>
          <w:tcPr>
            <w:tcW w:type="dxa" w:w="2797"/>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b w:val="1"/>
                <w:bCs w:val="1"/>
                <w:sz w:val="16"/>
                <w:szCs w:val="16"/>
                <w:rtl w:val="0"/>
                <w:lang w:val="en-US"/>
              </w:rPr>
              <w:t xml:space="preserve">Vestibular Disorders Activities of Daily Living Scale </w:t>
            </w:r>
          </w:p>
        </w:tc>
        <w:tc>
          <w:tcPr>
            <w:tcW w:type="dxa" w:w="2796"/>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b w:val="1"/>
                <w:bCs w:val="1"/>
                <w:sz w:val="16"/>
                <w:szCs w:val="16"/>
                <w:rtl w:val="0"/>
                <w:lang w:val="en-US"/>
              </w:rPr>
              <w:t xml:space="preserve">Visual Vertigo Analogue Scale </w:t>
            </w:r>
          </w:p>
        </w:tc>
        <w:tc>
          <w:tcPr>
            <w:tcW w:type="dxa" w:w="2797"/>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tc>
      </w:tr>
      <w:tr>
        <w:tblPrEx>
          <w:shd w:val="clear" w:color="auto" w:fill="ced7e7"/>
        </w:tblPrEx>
        <w:trPr>
          <w:trHeight w:val="280" w:hRule="atLeast"/>
        </w:trPr>
        <w:tc>
          <w:tcPr>
            <w:tcW w:type="dxa" w:w="2796"/>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b w:val="1"/>
                <w:bCs w:val="1"/>
                <w:sz w:val="16"/>
                <w:szCs w:val="16"/>
                <w:rtl w:val="0"/>
                <w:lang w:val="en-US"/>
              </w:rPr>
              <w:t>Author (year)</w:t>
            </w:r>
          </w:p>
        </w:tc>
        <w:tc>
          <w:tcPr>
            <w:tcW w:type="dxa" w:w="2796"/>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sz w:val="16"/>
                <w:szCs w:val="16"/>
                <w:rtl w:val="0"/>
                <w:lang w:val="it-IT"/>
              </w:rPr>
              <w:t>Imai T (2016)</w:t>
            </w:r>
            <w:r>
              <w:rPr>
                <w:sz w:val="16"/>
                <w:szCs w:val="16"/>
                <w:vertAlign w:val="superscript"/>
                <w:rtl w:val="0"/>
                <w:lang w:val="nl-NL"/>
              </w:rPr>
              <w:t>2</w:t>
            </w:r>
            <w:r>
              <w:rPr>
                <w:sz w:val="16"/>
                <w:szCs w:val="16"/>
                <w:vertAlign w:val="superscript"/>
                <w:rtl w:val="0"/>
                <w:lang w:val="nl-NL"/>
              </w:rPr>
              <w:t>3</w:t>
            </w:r>
          </w:p>
        </w:tc>
        <w:tc>
          <w:tcPr>
            <w:tcW w:type="dxa" w:w="2797"/>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sz w:val="16"/>
                <w:szCs w:val="16"/>
                <w:rtl w:val="0"/>
                <w:lang w:val="de-DE"/>
              </w:rPr>
              <w:t xml:space="preserve">Cohen </w:t>
            </w:r>
            <w:r>
              <w:rPr>
                <w:sz w:val="16"/>
                <w:szCs w:val="16"/>
                <w:rtl w:val="0"/>
                <w:lang w:val="nl-NL"/>
              </w:rPr>
              <w:t xml:space="preserve">HS </w:t>
            </w:r>
            <w:r>
              <w:rPr>
                <w:sz w:val="16"/>
                <w:szCs w:val="16"/>
                <w:rtl w:val="0"/>
                <w:lang w:val="en-US"/>
              </w:rPr>
              <w:t>(2000)</w:t>
            </w:r>
            <w:r>
              <w:rPr>
                <w:sz w:val="16"/>
                <w:szCs w:val="16"/>
                <w:vertAlign w:val="superscript"/>
                <w:rtl w:val="0"/>
                <w:lang w:val="nl-NL"/>
              </w:rPr>
              <w:t>24</w:t>
            </w:r>
          </w:p>
        </w:tc>
        <w:tc>
          <w:tcPr>
            <w:tcW w:type="dxa" w:w="2796"/>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pPr>
              <w:pStyle w:val="Standaard"/>
            </w:pPr>
            <w:r>
              <w:rPr>
                <w:sz w:val="16"/>
                <w:szCs w:val="16"/>
                <w:rtl w:val="0"/>
                <w:lang w:val="de-DE"/>
              </w:rPr>
              <w:t>Dannenbaum E (2011)</w:t>
            </w:r>
            <w:r>
              <w:rPr>
                <w:sz w:val="16"/>
                <w:szCs w:val="16"/>
                <w:vertAlign w:val="superscript"/>
                <w:rtl w:val="0"/>
                <w:lang w:val="nl-NL"/>
              </w:rPr>
              <w:t>26</w:t>
            </w:r>
          </w:p>
        </w:tc>
        <w:tc>
          <w:tcPr>
            <w:tcW w:type="dxa" w:w="2797"/>
            <w:tcBorders>
              <w:top w:val="single" w:color="000000" w:sz="8" w:space="0" w:shadow="0" w:frame="0"/>
              <w:left w:val="nil"/>
              <w:bottom w:val="single" w:color="000000" w:sz="8" w:space="0" w:shadow="0" w:frame="0"/>
              <w:right w:val="nil"/>
            </w:tcBorders>
            <w:shd w:val="clear" w:color="auto" w:fill="auto"/>
            <w:tcMar>
              <w:top w:type="dxa" w:w="80"/>
              <w:left w:type="dxa" w:w="80"/>
              <w:bottom w:type="dxa" w:w="80"/>
              <w:right w:type="dxa" w:w="80"/>
            </w:tcMar>
            <w:vAlign w:val="top"/>
          </w:tcPr>
          <w:p/>
        </w:tc>
      </w:tr>
      <w:tr>
        <w:tblPrEx>
          <w:shd w:val="clear" w:color="auto" w:fill="ced7e7"/>
        </w:tblPrEx>
        <w:trPr>
          <w:trHeight w:val="810" w:hRule="atLeast"/>
        </w:trPr>
        <w:tc>
          <w:tcPr>
            <w:tcW w:type="dxa" w:w="2796"/>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w:cs="Calibri" w:hAnsi="Helvetica" w:eastAsia="Calibri"/>
                <w:b w:val="1"/>
                <w:bCs w:val="1"/>
                <w:i w:val="0"/>
                <w:iCs w:val="0"/>
                <w:caps w:val="0"/>
                <w:smallCaps w:val="0"/>
                <w:strike w:val="0"/>
                <w:dstrike w:val="0"/>
                <w:outline w:val="0"/>
                <w:color w:val="000000"/>
                <w:spacing w:val="0"/>
                <w:kern w:val="0"/>
                <w:position w:val="0"/>
                <w:sz w:val="16"/>
                <w:szCs w:val="16"/>
                <w:u w:val="none" w:color="000000"/>
                <w:vertAlign w:val="baseline"/>
                <w:rtl w:val="0"/>
              </w:rPr>
              <w:t>Country (institution)</w:t>
            </w:r>
          </w:p>
        </w:tc>
        <w:tc>
          <w:tcPr>
            <w:tcW w:type="dxa" w:w="2796"/>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rPr>
              <w:t>JPN (Department of Otorhinolaryngology - Head &amp; Neck Surgery, Osaka Rosai Hospital, Osaka)</w:t>
            </w:r>
          </w:p>
        </w:tc>
        <w:tc>
          <w:tcPr>
            <w:tcW w:type="dxa" w:w="2797"/>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Helvetica" w:hAnsi="Helvetica"/>
                <w:sz w:val="16"/>
                <w:szCs w:val="16"/>
                <w:rtl w:val="0"/>
              </w:rPr>
              <w:t>USA (Bobby R. Alford Department of Otolaryngology and Communication, Baylor College of Medicine, Houston, Texas)</w:t>
            </w:r>
          </w:p>
        </w:tc>
        <w:tc>
          <w:tcPr>
            <w:tcW w:type="dxa" w:w="2796"/>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rPr>
              <w:t>CAN (Feil &amp; Oberfeld Research Centre, Jewish Rehabilitation Hospital, Laval, QC)</w:t>
            </w:r>
          </w:p>
        </w:tc>
        <w:tc>
          <w:tcPr>
            <w:tcW w:type="dxa" w:w="2797"/>
            <w:tcBorders>
              <w:top w:val="single" w:color="000000" w:sz="8" w:space="0" w:shadow="0" w:frame="0"/>
              <w:left w:val="nil"/>
              <w:bottom w:val="nil"/>
              <w:right w:val="nil"/>
            </w:tcBorders>
            <w:shd w:val="clear" w:color="auto" w:fill="auto"/>
            <w:tcMar>
              <w:top w:type="dxa" w:w="80"/>
              <w:left w:type="dxa" w:w="80"/>
              <w:bottom w:type="dxa" w:w="80"/>
              <w:right w:type="dxa" w:w="80"/>
            </w:tcMar>
            <w:vAlign w:val="top"/>
          </w:tcPr>
          <w:p/>
        </w:tc>
      </w:tr>
      <w:tr>
        <w:tblPrEx>
          <w:shd w:val="clear" w:color="auto" w:fill="ced7e7"/>
        </w:tblPrEx>
        <w:trPr>
          <w:trHeight w:val="600" w:hRule="atLeast"/>
        </w:trPr>
        <w:tc>
          <w:tcPr>
            <w:tcW w:type="dxa" w:w="2796"/>
            <w:tcBorders>
              <w:top w:val="nil"/>
              <w:left w:val="nil"/>
              <w:bottom w:val="nil"/>
              <w:right w:val="nil"/>
            </w:tcBorders>
            <w:shd w:val="clear" w:color="auto" w:fill="auto"/>
            <w:tcMar>
              <w:top w:type="dxa" w:w="80"/>
              <w:left w:type="dxa" w:w="80"/>
              <w:bottom w:type="dxa" w:w="80"/>
              <w:right w:type="dxa" w:w="80"/>
            </w:tcMar>
            <w:vAlign w:val="top"/>
          </w:tcPr>
          <w:p>
            <w:pPr>
              <w:pStyle w:val="Standaard"/>
            </w:pPr>
            <w:r>
              <w:rPr>
                <w:b w:val="1"/>
                <w:bCs w:val="1"/>
                <w:sz w:val="16"/>
                <w:szCs w:val="16"/>
                <w:rtl w:val="0"/>
                <w:lang w:val="en-US"/>
              </w:rPr>
              <w:t xml:space="preserve">Description </w:t>
            </w:r>
          </w:p>
        </w:tc>
        <w:tc>
          <w:tcPr>
            <w:tcW w:type="dxa" w:w="2796"/>
            <w:tcBorders>
              <w:top w:val="nil"/>
              <w:left w:val="nil"/>
              <w:bottom w:val="nil"/>
              <w:right w:val="nil"/>
            </w:tcBorders>
            <w:shd w:val="clear" w:color="auto" w:fill="auto"/>
            <w:tcMar>
              <w:top w:type="dxa" w:w="80"/>
              <w:left w:type="dxa" w:w="80"/>
              <w:bottom w:type="dxa" w:w="80"/>
              <w:right w:type="dxa" w:w="80"/>
            </w:tcMar>
            <w:vAlign w:val="top"/>
          </w:tcPr>
          <w:p>
            <w:pPr>
              <w:pStyle w:val="Standaard"/>
            </w:pPr>
            <w:r>
              <w:rPr>
                <w:sz w:val="16"/>
                <w:szCs w:val="16"/>
                <w:rtl w:val="0"/>
                <w:lang w:val="en-US"/>
              </w:rPr>
              <w:t>Screening for benign paroxysmal positional vertigo in dizziness patients.</w:t>
            </w:r>
          </w:p>
        </w:tc>
        <w:tc>
          <w:tcPr>
            <w:tcW w:type="dxa" w:w="2797"/>
            <w:tcBorders>
              <w:top w:val="nil"/>
              <w:left w:val="nil"/>
              <w:bottom w:val="nil"/>
              <w:right w:val="nil"/>
            </w:tcBorders>
            <w:shd w:val="clear" w:color="auto" w:fill="auto"/>
            <w:tcMar>
              <w:top w:type="dxa" w:w="80"/>
              <w:left w:type="dxa" w:w="80"/>
              <w:bottom w:type="dxa" w:w="80"/>
              <w:right w:type="dxa" w:w="80"/>
            </w:tcMar>
            <w:vAlign w:val="top"/>
          </w:tcPr>
          <w:p>
            <w:pPr>
              <w:pStyle w:val="Standaard"/>
            </w:pPr>
            <w:r>
              <w:rPr>
                <w:sz w:val="16"/>
                <w:szCs w:val="16"/>
                <w:rtl w:val="0"/>
                <w:lang w:val="en-US"/>
              </w:rPr>
              <w:t>Assessment of self-perceived disablement in patients with vestibular impairment.</w:t>
            </w:r>
          </w:p>
        </w:tc>
        <w:tc>
          <w:tcPr>
            <w:tcW w:type="dxa" w:w="2796"/>
            <w:tcBorders>
              <w:top w:val="nil"/>
              <w:left w:val="nil"/>
              <w:bottom w:val="nil"/>
              <w:right w:val="nil"/>
            </w:tcBorders>
            <w:shd w:val="clear" w:color="auto" w:fill="auto"/>
            <w:tcMar>
              <w:top w:type="dxa" w:w="80"/>
              <w:left w:type="dxa" w:w="80"/>
              <w:bottom w:type="dxa" w:w="80"/>
              <w:right w:type="dxa" w:w="80"/>
            </w:tcMar>
            <w:vAlign w:val="top"/>
          </w:tcPr>
          <w:p>
            <w:pPr>
              <w:pStyle w:val="Standaard"/>
            </w:pPr>
            <w:r>
              <w:rPr>
                <w:sz w:val="16"/>
                <w:szCs w:val="16"/>
                <w:rtl w:val="0"/>
                <w:lang w:val="en-US"/>
              </w:rPr>
              <w:t>Assessment of visual vertigo intensity.</w:t>
            </w:r>
          </w:p>
        </w:tc>
        <w:tc>
          <w:tcPr>
            <w:tcW w:type="dxa" w:w="2797"/>
            <w:tcBorders>
              <w:top w:val="nil"/>
              <w:left w:val="nil"/>
              <w:bottom w:val="nil"/>
              <w:right w:val="nil"/>
            </w:tcBorders>
            <w:shd w:val="clear" w:color="auto" w:fill="auto"/>
            <w:tcMar>
              <w:top w:type="dxa" w:w="80"/>
              <w:left w:type="dxa" w:w="80"/>
              <w:bottom w:type="dxa" w:w="80"/>
              <w:right w:type="dxa" w:w="80"/>
            </w:tcMar>
            <w:vAlign w:val="top"/>
          </w:tcPr>
          <w:p/>
        </w:tc>
      </w:tr>
      <w:tr>
        <w:tblPrEx>
          <w:shd w:val="clear" w:color="auto" w:fill="ced7e7"/>
        </w:tblPrEx>
        <w:trPr>
          <w:trHeight w:val="1000" w:hRule="atLeast"/>
        </w:trPr>
        <w:tc>
          <w:tcPr>
            <w:tcW w:type="dxa" w:w="2796"/>
            <w:tcBorders>
              <w:top w:val="nil"/>
              <w:left w:val="nil"/>
              <w:bottom w:val="nil"/>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Fonts w:ascii="Helvetica" w:cs="Helvetica" w:hAnsi="Helvetica" w:eastAsia="Helvetica"/>
                <w:b w:val="1"/>
                <w:bCs w:val="1"/>
                <w:i w:val="0"/>
                <w:iCs w:val="0"/>
                <w:caps w:val="0"/>
                <w:smallCaps w:val="0"/>
                <w:strike w:val="0"/>
                <w:dstrike w:val="0"/>
                <w:outline w:val="0"/>
                <w:color w:val="000000"/>
                <w:spacing w:val="0"/>
                <w:kern w:val="0"/>
                <w:position w:val="0"/>
                <w:sz w:val="16"/>
                <w:szCs w:val="16"/>
                <w:u w:val="none" w:color="000000"/>
                <w:vertAlign w:val="baseline"/>
                <w:rtl w:val="0"/>
              </w:rPr>
            </w:pPr>
            <w:r>
              <w:rPr>
                <w:rFonts w:ascii="Helvetica" w:cs="Calibri" w:hAnsi="Helvetica" w:eastAsia="Calibri"/>
                <w:b w:val="1"/>
                <w:bCs w:val="1"/>
                <w:i w:val="0"/>
                <w:iCs w:val="0"/>
                <w:caps w:val="0"/>
                <w:smallCaps w:val="0"/>
                <w:strike w:val="0"/>
                <w:dstrike w:val="0"/>
                <w:outline w:val="0"/>
                <w:color w:val="000000"/>
                <w:spacing w:val="0"/>
                <w:kern w:val="0"/>
                <w:position w:val="0"/>
                <w:sz w:val="16"/>
                <w:szCs w:val="16"/>
                <w:u w:val="none" w:color="000000"/>
                <w:vertAlign w:val="baseline"/>
                <w:rtl w:val="0"/>
                <w:lang w:val="en-US"/>
              </w:rPr>
              <w:t>Study population</w:t>
            </w:r>
          </w:p>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w:cs="Calibri" w:hAnsi="Helvetica" w:eastAsia="Calibri"/>
                <w:b w:val="1"/>
                <w:bCs w:val="1"/>
                <w:i w:val="1"/>
                <w:iCs w:val="1"/>
                <w:caps w:val="0"/>
                <w:smallCaps w:val="0"/>
                <w:strike w:val="0"/>
                <w:dstrike w:val="0"/>
                <w:outline w:val="0"/>
                <w:color w:val="000000"/>
                <w:spacing w:val="0"/>
                <w:kern w:val="0"/>
                <w:position w:val="0"/>
                <w:sz w:val="16"/>
                <w:szCs w:val="16"/>
                <w:u w:val="none" w:color="000000"/>
                <w:vertAlign w:val="baseline"/>
                <w:rtl w:val="0"/>
                <w:lang w:val="en-US"/>
              </w:rPr>
              <w:t>mean age</w:t>
            </w:r>
            <w:r>
              <w:rPr>
                <w:rFonts w:ascii="Helvetica" w:cs="Calibri" w:hAnsi="Helvetica" w:eastAsia="Calibri"/>
                <w:b w:val="1"/>
                <w:bCs w:val="1"/>
                <w:i w:val="1"/>
                <w:iCs w:val="1"/>
                <w:caps w:val="0"/>
                <w:smallCaps w:val="0"/>
                <w:strike w:val="0"/>
                <w:dstrike w:val="0"/>
                <w:outline w:val="0"/>
                <w:color w:val="000000"/>
                <w:spacing w:val="0"/>
                <w:kern w:val="0"/>
                <w:position w:val="0"/>
                <w:sz w:val="16"/>
                <w:szCs w:val="16"/>
                <w:u w:val="none" w:color="000000"/>
                <w:vertAlign w:val="baseline"/>
                <w:rtl w:val="0"/>
                <w:lang w:val="nl-NL"/>
              </w:rPr>
              <w:t>, S</w:t>
            </w:r>
            <w:r>
              <w:rPr>
                <w:rFonts w:ascii="Helvetica" w:cs="Calibri" w:hAnsi="Helvetica" w:eastAsia="Calibri"/>
                <w:b w:val="1"/>
                <w:bCs w:val="1"/>
                <w:i w:val="1"/>
                <w:iCs w:val="1"/>
                <w:caps w:val="0"/>
                <w:smallCaps w:val="0"/>
                <w:strike w:val="0"/>
                <w:dstrike w:val="0"/>
                <w:outline w:val="0"/>
                <w:color w:val="000000"/>
                <w:spacing w:val="0"/>
                <w:kern w:val="0"/>
                <w:position w:val="0"/>
                <w:sz w:val="16"/>
                <w:szCs w:val="16"/>
                <w:u w:val="none" w:color="000000"/>
                <w:vertAlign w:val="baseline"/>
                <w:rtl w:val="0"/>
                <w:lang w:val="en-US"/>
              </w:rPr>
              <w:t xml:space="preserve">D, age range, </w:t>
            </w:r>
            <w:r>
              <w:rPr>
                <w:rFonts w:ascii="Helvetica" w:cs="Calibri" w:hAnsi="Helvetica" w:eastAsia="Calibri"/>
                <w:b w:val="1"/>
                <w:bCs w:val="1"/>
                <w:i w:val="1"/>
                <w:iCs w:val="1"/>
                <w:caps w:val="0"/>
                <w:smallCaps w:val="0"/>
                <w:strike w:val="0"/>
                <w:dstrike w:val="0"/>
                <w:outline w:val="0"/>
                <w:color w:val="000000"/>
                <w:spacing w:val="0"/>
                <w:kern w:val="0"/>
                <w:position w:val="0"/>
                <w:sz w:val="16"/>
                <w:szCs w:val="16"/>
                <w:u w:val="none" w:color="000000"/>
                <w:vertAlign w:val="baseline"/>
                <w:rtl w:val="0"/>
                <w:lang w:val="nl-NL"/>
              </w:rPr>
              <w:t xml:space="preserve">  women (%)</w:t>
            </w:r>
          </w:p>
        </w:tc>
        <w:tc>
          <w:tcPr>
            <w:tcW w:type="dxa" w:w="2796"/>
            <w:tcBorders>
              <w:top w:val="nil"/>
              <w:left w:val="nil"/>
              <w:bottom w:val="nil"/>
              <w:right w:val="nil"/>
            </w:tcBorders>
            <w:shd w:val="clear" w:color="auto" w:fill="auto"/>
            <w:tcMar>
              <w:top w:type="dxa" w:w="80"/>
              <w:left w:type="dxa" w:w="80"/>
              <w:bottom w:type="dxa" w:w="80"/>
              <w:right w:type="dxa" w:w="80"/>
            </w:tcMar>
            <w:vAlign w:val="top"/>
          </w:tcPr>
          <w:p>
            <w:pPr>
              <w:pStyle w:val="Standaard"/>
            </w:pPr>
            <w:r>
              <w:rPr>
                <w:rFonts w:ascii="Helvetica" w:hAnsi="Helvetica"/>
                <w:sz w:val="16"/>
                <w:szCs w:val="16"/>
                <w:rtl w:val="0"/>
              </w:rPr>
              <w:t>571 subjects (patients complaining</w:t>
            </w:r>
          </w:p>
          <w:p>
            <w:pPr>
              <w:pStyle w:val="Standaard"/>
            </w:pPr>
            <w:r>
              <w:rPr>
                <w:rFonts w:ascii="Helvetica" w:hAnsi="Helvetica"/>
                <w:sz w:val="16"/>
                <w:szCs w:val="16"/>
                <w:rtl w:val="0"/>
              </w:rPr>
              <w:t>of dizziness/vertigo): range: 3-92yrs, women: 63.74%.</w:t>
            </w:r>
          </w:p>
        </w:tc>
        <w:tc>
          <w:tcPr>
            <w:tcW w:type="dxa" w:w="2797"/>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rPr>
              <w:t xml:space="preserve">93 subjects, 2 groups (BPPV and chronic vestibulopathy (CVP)): 27 subjects (BPPV): 52yrs, </w:t>
            </w:r>
            <w:r>
              <w:rPr>
                <w:rFonts w:ascii="Calibri" w:cs="Calibri" w:hAnsi="Calibri" w:eastAsia="Calibri"/>
                <w:sz w:val="16"/>
                <w:szCs w:val="16"/>
                <w:rtl w:val="0"/>
              </w:rPr>
              <w:t>±</w:t>
            </w:r>
            <w:r>
              <w:rPr>
                <w:rFonts w:ascii="Calibri" w:cs="Calibri" w:hAnsi="Calibri" w:eastAsia="Calibri"/>
                <w:sz w:val="16"/>
                <w:szCs w:val="16"/>
                <w:rtl w:val="0"/>
              </w:rPr>
              <w:t xml:space="preserve">11.7yrs, range: 34-73yrs. 66 subjects (CVP): 55yrs, </w:t>
            </w:r>
            <w:r>
              <w:rPr>
                <w:rFonts w:ascii="Calibri" w:cs="Calibri" w:hAnsi="Calibri" w:eastAsia="Calibri"/>
                <w:sz w:val="16"/>
                <w:szCs w:val="16"/>
                <w:rtl w:val="0"/>
              </w:rPr>
              <w:t>±</w:t>
            </w:r>
            <w:r>
              <w:rPr>
                <w:rFonts w:ascii="Calibri" w:cs="Calibri" w:hAnsi="Calibri" w:eastAsia="Calibri"/>
                <w:sz w:val="16"/>
                <w:szCs w:val="16"/>
                <w:rtl w:val="0"/>
              </w:rPr>
              <w:t>16.6yrs, range: 25-92yrs.</w:t>
            </w:r>
          </w:p>
        </w:tc>
        <w:tc>
          <w:tcPr>
            <w:tcW w:type="dxa" w:w="2796"/>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rPr>
              <w:t xml:space="preserve">102 subjects (patients referred to otolaryngologist for vestibular rehabilitation therapy): 57.6yrs, </w:t>
            </w:r>
            <w:r>
              <w:rPr>
                <w:rFonts w:ascii="Calibri" w:cs="Calibri" w:hAnsi="Calibri" w:eastAsia="Calibri"/>
                <w:sz w:val="16"/>
                <w:szCs w:val="16"/>
                <w:rtl w:val="0"/>
              </w:rPr>
              <w:t>±</w:t>
            </w:r>
            <w:r>
              <w:rPr>
                <w:rFonts w:ascii="Calibri" w:cs="Calibri" w:hAnsi="Calibri" w:eastAsia="Calibri"/>
                <w:sz w:val="16"/>
                <w:szCs w:val="16"/>
                <w:rtl w:val="0"/>
              </w:rPr>
              <w:t>16.2yrs, women: 70%.</w:t>
            </w:r>
          </w:p>
        </w:tc>
        <w:tc>
          <w:tcPr>
            <w:tcW w:type="dxa" w:w="2797"/>
            <w:tcBorders>
              <w:top w:val="nil"/>
              <w:left w:val="nil"/>
              <w:bottom w:val="nil"/>
              <w:right w:val="nil"/>
            </w:tcBorders>
            <w:shd w:val="clear" w:color="auto" w:fill="auto"/>
            <w:tcMar>
              <w:top w:type="dxa" w:w="80"/>
              <w:left w:type="dxa" w:w="80"/>
              <w:bottom w:type="dxa" w:w="80"/>
              <w:right w:type="dxa" w:w="80"/>
            </w:tcMar>
            <w:vAlign w:val="top"/>
          </w:tcPr>
          <w:p/>
        </w:tc>
      </w:tr>
      <w:tr>
        <w:tblPrEx>
          <w:shd w:val="clear" w:color="auto" w:fill="ced7e7"/>
        </w:tblPrEx>
        <w:trPr>
          <w:trHeight w:val="800" w:hRule="atLeast"/>
        </w:trPr>
        <w:tc>
          <w:tcPr>
            <w:tcW w:type="dxa" w:w="2796"/>
            <w:tcBorders>
              <w:top w:val="nil"/>
              <w:left w:val="nil"/>
              <w:bottom w:val="nil"/>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w:cs="Calibri" w:hAnsi="Helvetica" w:eastAsia="Calibri"/>
                <w:b w:val="1"/>
                <w:bCs w:val="1"/>
                <w:i w:val="0"/>
                <w:iCs w:val="0"/>
                <w:caps w:val="0"/>
                <w:smallCaps w:val="0"/>
                <w:strike w:val="0"/>
                <w:dstrike w:val="0"/>
                <w:outline w:val="0"/>
                <w:color w:val="000000"/>
                <w:spacing w:val="0"/>
                <w:kern w:val="0"/>
                <w:position w:val="0"/>
                <w:sz w:val="16"/>
                <w:szCs w:val="16"/>
                <w:u w:val="none" w:color="000000"/>
                <w:vertAlign w:val="baseline"/>
                <w:rtl w:val="0"/>
              </w:rPr>
              <w:t>Item development</w:t>
            </w:r>
          </w:p>
        </w:tc>
        <w:tc>
          <w:tcPr>
            <w:tcW w:type="dxa" w:w="2796"/>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rPr>
              <w:t>No description of item generation.</w:t>
            </w:r>
          </w:p>
        </w:tc>
        <w:tc>
          <w:tcPr>
            <w:tcW w:type="dxa" w:w="2797"/>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sz w:val="16"/>
                <w:szCs w:val="16"/>
                <w:rtl w:val="0"/>
                <w:lang w:val="en-US"/>
              </w:rPr>
              <w:t>Items are based on Cohen</w:t>
            </w:r>
            <w:r>
              <w:rPr>
                <w:sz w:val="16"/>
                <w:szCs w:val="16"/>
                <w:rtl w:val="0"/>
              </w:rPr>
              <w:t>’</w:t>
            </w:r>
            <w:r>
              <w:rPr>
                <w:sz w:val="16"/>
                <w:szCs w:val="16"/>
                <w:rtl w:val="0"/>
              </w:rPr>
              <w:t xml:space="preserve">s ADL </w:t>
            </w:r>
            <w:r>
              <w:rPr>
                <w:sz w:val="16"/>
                <w:szCs w:val="16"/>
                <w:rtl w:val="0"/>
                <w:lang w:val="nl-NL"/>
              </w:rPr>
              <w:t>S</w:t>
            </w:r>
            <w:r>
              <w:rPr>
                <w:sz w:val="16"/>
                <w:szCs w:val="16"/>
                <w:rtl w:val="0"/>
                <w:lang w:val="fr-FR"/>
              </w:rPr>
              <w:t>cale</w:t>
            </w:r>
            <w:r>
              <w:rPr>
                <w:sz w:val="16"/>
                <w:szCs w:val="16"/>
                <w:vertAlign w:val="superscript"/>
                <w:rtl w:val="0"/>
                <w:lang w:val="nl-NL"/>
              </w:rPr>
              <w:t>25</w:t>
            </w:r>
            <w:r>
              <w:rPr>
                <w:sz w:val="16"/>
                <w:szCs w:val="16"/>
                <w:rtl w:val="0"/>
                <w:lang w:val="en-US"/>
              </w:rPr>
              <w:t xml:space="preserve"> adjusted by feedback from a panel of occupational therapists and physical therapists.</w:t>
            </w:r>
          </w:p>
        </w:tc>
        <w:tc>
          <w:tcPr>
            <w:tcW w:type="dxa" w:w="2796"/>
            <w:tcBorders>
              <w:top w:val="nil"/>
              <w:left w:val="nil"/>
              <w:bottom w:val="nil"/>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lang w:val="en-US"/>
              </w:rPr>
              <w:t>Items are adapted  from the Longridge and Mallisson</w:t>
            </w:r>
            <w:r>
              <w:rPr>
                <w:rFonts w:ascii="Calibri" w:cs="Calibri" w:hAnsi="Calibri" w:eastAsia="Calibri"/>
                <w:sz w:val="16"/>
                <w:szCs w:val="16"/>
                <w:vertAlign w:val="superscript"/>
                <w:rtl w:val="0"/>
                <w:lang w:val="nl-NL"/>
              </w:rPr>
              <w:t>27</w:t>
            </w:r>
            <w:r>
              <w:rPr>
                <w:rFonts w:ascii="Calibri" w:cs="Calibri" w:hAnsi="Calibri" w:eastAsia="Calibri"/>
                <w:sz w:val="16"/>
                <w:szCs w:val="16"/>
                <w:rtl w:val="0"/>
                <w:lang w:val="en-US"/>
              </w:rPr>
              <w:t xml:space="preserve"> tool and one question added by authors.</w:t>
            </w:r>
          </w:p>
        </w:tc>
        <w:tc>
          <w:tcPr>
            <w:tcW w:type="dxa" w:w="2797"/>
            <w:tcBorders>
              <w:top w:val="nil"/>
              <w:left w:val="nil"/>
              <w:bottom w:val="nil"/>
              <w:right w:val="nil"/>
            </w:tcBorders>
            <w:shd w:val="clear" w:color="auto" w:fill="auto"/>
            <w:tcMar>
              <w:top w:type="dxa" w:w="80"/>
              <w:left w:type="dxa" w:w="80"/>
              <w:bottom w:type="dxa" w:w="80"/>
              <w:right w:type="dxa" w:w="80"/>
            </w:tcMar>
            <w:vAlign w:val="top"/>
          </w:tcPr>
          <w:p/>
        </w:tc>
      </w:tr>
      <w:tr>
        <w:tblPrEx>
          <w:shd w:val="clear" w:color="auto" w:fill="ced7e7"/>
        </w:tblPrEx>
        <w:trPr>
          <w:trHeight w:val="260" w:hRule="atLeast"/>
        </w:trPr>
        <w:tc>
          <w:tcPr>
            <w:tcW w:type="dxa" w:w="2796"/>
            <w:tcBorders>
              <w:top w:val="nil"/>
              <w:left w:val="nil"/>
              <w:bottom w:val="nil"/>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w:cs="Calibri" w:hAnsi="Helvetica" w:eastAsia="Calibri"/>
                <w:b w:val="1"/>
                <w:bCs w:val="1"/>
                <w:i w:val="0"/>
                <w:iCs w:val="0"/>
                <w:caps w:val="0"/>
                <w:smallCaps w:val="0"/>
                <w:strike w:val="0"/>
                <w:dstrike w:val="0"/>
                <w:outline w:val="0"/>
                <w:color w:val="000000"/>
                <w:spacing w:val="0"/>
                <w:kern w:val="0"/>
                <w:position w:val="0"/>
                <w:sz w:val="16"/>
                <w:szCs w:val="16"/>
                <w:u w:val="none" w:color="000000"/>
                <w:vertAlign w:val="baseline"/>
                <w:rtl w:val="0"/>
              </w:rPr>
              <w:t>Items</w:t>
            </w:r>
          </w:p>
        </w:tc>
        <w:tc>
          <w:tcPr>
            <w:tcW w:type="dxa" w:w="2796"/>
            <w:tcBorders>
              <w:top w:val="nil"/>
              <w:left w:val="nil"/>
              <w:bottom w:val="nil"/>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w:cs="Calibri" w:hAnsi="Helvetica" w:eastAsia="Calibri"/>
                <w:b w:val="0"/>
                <w:bCs w:val="0"/>
                <w:i w:val="0"/>
                <w:iCs w:val="0"/>
                <w:caps w:val="0"/>
                <w:smallCaps w:val="0"/>
                <w:strike w:val="0"/>
                <w:dstrike w:val="0"/>
                <w:outline w:val="0"/>
                <w:color w:val="000000"/>
                <w:spacing w:val="0"/>
                <w:kern w:val="0"/>
                <w:position w:val="0"/>
                <w:sz w:val="16"/>
                <w:szCs w:val="16"/>
                <w:u w:val="none" w:color="000000"/>
                <w:vertAlign w:val="baseline"/>
                <w:rtl w:val="0"/>
              </w:rPr>
              <w:t>04 items</w:t>
            </w:r>
          </w:p>
        </w:tc>
        <w:tc>
          <w:tcPr>
            <w:tcW w:type="dxa" w:w="2797"/>
            <w:tcBorders>
              <w:top w:val="nil"/>
              <w:left w:val="nil"/>
              <w:bottom w:val="nil"/>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w:cs="Calibri" w:hAnsi="Helvetica" w:eastAsia="Calibri"/>
                <w:b w:val="0"/>
                <w:bCs w:val="0"/>
                <w:i w:val="0"/>
                <w:iCs w:val="0"/>
                <w:caps w:val="0"/>
                <w:smallCaps w:val="0"/>
                <w:strike w:val="0"/>
                <w:dstrike w:val="0"/>
                <w:outline w:val="0"/>
                <w:color w:val="000000"/>
                <w:spacing w:val="0"/>
                <w:kern w:val="0"/>
                <w:position w:val="0"/>
                <w:sz w:val="16"/>
                <w:szCs w:val="16"/>
                <w:u w:val="none" w:color="000000"/>
                <w:vertAlign w:val="baseline"/>
                <w:rtl w:val="0"/>
              </w:rPr>
              <w:t>28 items</w:t>
            </w:r>
          </w:p>
        </w:tc>
        <w:tc>
          <w:tcPr>
            <w:tcW w:type="dxa" w:w="2796"/>
            <w:tcBorders>
              <w:top w:val="nil"/>
              <w:left w:val="nil"/>
              <w:bottom w:val="nil"/>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w:cs="Calibri" w:hAnsi="Helvetica" w:eastAsia="Calibri"/>
                <w:b w:val="0"/>
                <w:bCs w:val="0"/>
                <w:i w:val="0"/>
                <w:iCs w:val="0"/>
                <w:caps w:val="0"/>
                <w:smallCaps w:val="0"/>
                <w:strike w:val="0"/>
                <w:dstrike w:val="0"/>
                <w:outline w:val="0"/>
                <w:color w:val="000000"/>
                <w:spacing w:val="0"/>
                <w:kern w:val="0"/>
                <w:position w:val="0"/>
                <w:sz w:val="16"/>
                <w:szCs w:val="16"/>
                <w:u w:val="none" w:color="000000"/>
                <w:vertAlign w:val="baseline"/>
                <w:rtl w:val="0"/>
              </w:rPr>
              <w:t>09 items</w:t>
            </w:r>
          </w:p>
        </w:tc>
        <w:tc>
          <w:tcPr>
            <w:tcW w:type="dxa" w:w="2797"/>
            <w:tcBorders>
              <w:top w:val="nil"/>
              <w:left w:val="nil"/>
              <w:bottom w:val="nil"/>
              <w:right w:val="nil"/>
            </w:tcBorders>
            <w:shd w:val="clear" w:color="auto" w:fill="auto"/>
            <w:tcMar>
              <w:top w:type="dxa" w:w="80"/>
              <w:left w:type="dxa" w:w="80"/>
              <w:bottom w:type="dxa" w:w="80"/>
              <w:right w:type="dxa" w:w="80"/>
            </w:tcMar>
            <w:vAlign w:val="top"/>
          </w:tcPr>
          <w:p/>
        </w:tc>
      </w:tr>
      <w:tr>
        <w:tblPrEx>
          <w:shd w:val="clear" w:color="auto" w:fill="ced7e7"/>
        </w:tblPrEx>
        <w:trPr>
          <w:trHeight w:val="270" w:hRule="atLeast"/>
        </w:trPr>
        <w:tc>
          <w:tcPr>
            <w:tcW w:type="dxa" w:w="2796"/>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w:cs="Calibri" w:hAnsi="Helvetica" w:eastAsia="Calibri"/>
                <w:b w:val="1"/>
                <w:bCs w:val="1"/>
                <w:i w:val="0"/>
                <w:iCs w:val="0"/>
                <w:caps w:val="0"/>
                <w:smallCaps w:val="0"/>
                <w:strike w:val="0"/>
                <w:dstrike w:val="0"/>
                <w:outline w:val="0"/>
                <w:color w:val="000000"/>
                <w:spacing w:val="0"/>
                <w:kern w:val="0"/>
                <w:position w:val="0"/>
                <w:sz w:val="16"/>
                <w:szCs w:val="16"/>
                <w:u w:val="none" w:color="000000"/>
                <w:vertAlign w:val="baseline"/>
                <w:rtl w:val="0"/>
              </w:rPr>
              <w:t>Translations</w:t>
            </w:r>
          </w:p>
        </w:tc>
        <w:tc>
          <w:tcPr>
            <w:tcW w:type="dxa" w:w="2796"/>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w:cs="Calibri" w:hAnsi="Helvetica" w:eastAsia="Calibri"/>
                <w:b w:val="0"/>
                <w:bCs w:val="0"/>
                <w:i w:val="0"/>
                <w:iCs w:val="0"/>
                <w:caps w:val="0"/>
                <w:smallCaps w:val="0"/>
                <w:strike w:val="0"/>
                <w:dstrike w:val="0"/>
                <w:outline w:val="0"/>
                <w:color w:val="000000"/>
                <w:spacing w:val="0"/>
                <w:kern w:val="0"/>
                <w:position w:val="0"/>
                <w:sz w:val="16"/>
                <w:szCs w:val="16"/>
                <w:u w:val="none" w:color="000000"/>
                <w:vertAlign w:val="baseline"/>
                <w:rtl w:val="0"/>
              </w:rPr>
              <w:t>ENG, JAP.</w:t>
            </w:r>
          </w:p>
        </w:tc>
        <w:tc>
          <w:tcPr>
            <w:tcW w:type="dxa" w:w="2797"/>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pStyle w:val="Tabelstijl 2"/>
            </w:pPr>
            <w:r>
              <w:rPr>
                <w:rFonts w:ascii="Calibri" w:cs="Calibri" w:hAnsi="Calibri" w:eastAsia="Calibri"/>
                <w:sz w:val="16"/>
                <w:szCs w:val="16"/>
                <w:rtl w:val="0"/>
              </w:rPr>
              <w:t>USA, BRA.</w:t>
            </w:r>
          </w:p>
        </w:tc>
        <w:tc>
          <w:tcPr>
            <w:tcW w:type="dxa" w:w="2796"/>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Helvetica" w:cs="Calibri" w:hAnsi="Helvetica" w:eastAsia="Calibri"/>
                <w:b w:val="0"/>
                <w:bCs w:val="0"/>
                <w:i w:val="0"/>
                <w:iCs w:val="0"/>
                <w:caps w:val="0"/>
                <w:smallCaps w:val="0"/>
                <w:strike w:val="0"/>
                <w:dstrike w:val="0"/>
                <w:outline w:val="0"/>
                <w:color w:val="000000"/>
                <w:spacing w:val="0"/>
                <w:kern w:val="0"/>
                <w:position w:val="0"/>
                <w:sz w:val="16"/>
                <w:szCs w:val="16"/>
                <w:u w:val="none" w:color="000000"/>
                <w:vertAlign w:val="baseline"/>
                <w:rtl w:val="0"/>
              </w:rPr>
              <w:t>CAN (English. French?).</w:t>
            </w:r>
          </w:p>
        </w:tc>
        <w:tc>
          <w:tcPr>
            <w:tcW w:type="dxa" w:w="2797"/>
            <w:tcBorders>
              <w:top w:val="nil"/>
              <w:left w:val="nil"/>
              <w:bottom w:val="single" w:color="000000" w:sz="8" w:space="0" w:shadow="0" w:frame="0"/>
              <w:right w:val="nil"/>
            </w:tcBorders>
            <w:shd w:val="clear" w:color="auto" w:fill="auto"/>
            <w:tcMar>
              <w:top w:type="dxa" w:w="80"/>
              <w:left w:type="dxa" w:w="80"/>
              <w:bottom w:type="dxa" w:w="80"/>
              <w:right w:type="dxa" w:w="80"/>
            </w:tcMar>
            <w:vAlign w:val="top"/>
          </w:tcPr>
          <w:p/>
        </w:tc>
      </w:tr>
    </w:tbl>
    <w:p>
      <w:pPr>
        <w:pStyle w:val="Hoofdtekst"/>
        <w:spacing w:after="0" w:line="240" w:lineRule="auto"/>
        <w:jc w:val="center"/>
        <w:rPr>
          <w:rFonts w:ascii="Helvetica" w:cs="Helvetica" w:hAnsi="Helvetica" w:eastAsia="Helvetica"/>
          <w:sz w:val="24"/>
          <w:szCs w:val="24"/>
        </w:rPr>
      </w:pPr>
    </w:p>
    <w:p>
      <w:pPr>
        <w:pStyle w:val="Hoofdtekst"/>
        <w:spacing w:after="0"/>
        <w:jc w:val="center"/>
        <w:rPr>
          <w:rFonts w:ascii="Helvetica" w:cs="Helvetica" w:hAnsi="Helvetica" w:eastAsia="Helvetica"/>
          <w:sz w:val="24"/>
          <w:szCs w:val="24"/>
        </w:rPr>
      </w:pPr>
    </w:p>
    <w:p>
      <w:pPr>
        <w:pStyle w:val="Hoofdtekst A"/>
        <w:spacing w:line="480" w:lineRule="auto"/>
        <w:rPr>
          <w:lang w:val="en-US"/>
        </w:rPr>
      </w:pPr>
    </w:p>
    <w:p>
      <w:pPr>
        <w:pStyle w:val="Hoofdtekst A"/>
        <w:spacing w:line="480" w:lineRule="auto"/>
        <w:rPr>
          <w:lang w:val="en-US"/>
        </w:rPr>
      </w:pPr>
    </w:p>
    <w:p>
      <w:pPr>
        <w:pStyle w:val="Hoofdtekst A"/>
        <w:spacing w:line="480" w:lineRule="auto"/>
        <w:rPr>
          <w:lang w:val="en-US"/>
        </w:rPr>
      </w:pPr>
    </w:p>
    <w:p>
      <w:pPr>
        <w:pStyle w:val="Hoofdtekst A"/>
        <w:spacing w:line="480" w:lineRule="auto"/>
        <w:rPr>
          <w:lang w:val="en-US"/>
        </w:rPr>
      </w:pPr>
    </w:p>
    <w:p>
      <w:pPr>
        <w:pStyle w:val="Hoofdtekst A"/>
        <w:spacing w:line="480" w:lineRule="auto"/>
        <w:rPr>
          <w:lang w:val="en-US"/>
        </w:rPr>
      </w:pPr>
    </w:p>
    <w:p>
      <w:pPr>
        <w:pStyle w:val="Hoofdtekst A"/>
        <w:spacing w:line="480" w:lineRule="auto"/>
        <w:rPr>
          <w:lang w:val="en-US"/>
        </w:rPr>
      </w:pPr>
      <w:r>
        <w:rPr>
          <w:rtl w:val="0"/>
          <w:lang w:val="en-US"/>
        </w:rPr>
        <w:t>References:</w:t>
      </w:r>
    </w:p>
    <w:p>
      <w:pPr>
        <w:pStyle w:val="Hoofdtekst A"/>
        <w:spacing w:line="480" w:lineRule="auto"/>
        <w:rPr>
          <w:lang w:val="en-US"/>
        </w:rPr>
      </w:pPr>
    </w:p>
    <w:p>
      <w:pPr>
        <w:pStyle w:val="EndNote Bibliography"/>
        <w:spacing w:line="480" w:lineRule="auto"/>
      </w:pPr>
      <w:r>
        <w:rPr>
          <w:rtl w:val="0"/>
          <w:lang w:val="en-US"/>
        </w:rPr>
        <w:t>1.</w:t>
        <w:tab/>
        <w:t xml:space="preserve">Jacobson GP, Newman CW. The development of the Dizziness Handicap Inventory. Arch Otolaryngol Head Neck Surg. </w:t>
      </w:r>
    </w:p>
    <w:p>
      <w:pPr>
        <w:pStyle w:val="EndNote Bibliography"/>
        <w:spacing w:line="480" w:lineRule="auto"/>
        <w:ind w:left="360" w:firstLine="0"/>
      </w:pPr>
      <w:r>
        <w:rPr>
          <w:rtl w:val="0"/>
          <w:lang w:val="en-US"/>
        </w:rPr>
        <w:t xml:space="preserve">     1990;116(4):424-7.</w:t>
      </w:r>
    </w:p>
    <w:p>
      <w:pPr>
        <w:pStyle w:val="EndNote Bibliography"/>
        <w:spacing w:line="480" w:lineRule="auto"/>
      </w:pPr>
      <w:r>
        <w:rPr>
          <w:rtl w:val="0"/>
          <w:lang w:val="en-US"/>
        </w:rPr>
        <w:t>2.</w:t>
        <w:tab/>
        <w:t>Jacobson GP, Calder JH. A screening version of the Dizziness Handicap Inventory (DHI-S). Am J Otol. 1998;19(6):804-8.</w:t>
      </w:r>
    </w:p>
    <w:p>
      <w:pPr>
        <w:pStyle w:val="EndNote Bibliography"/>
        <w:spacing w:line="480" w:lineRule="auto"/>
        <w:ind w:left="720" w:hanging="720"/>
      </w:pPr>
      <w:r>
        <w:rPr>
          <w:rtl w:val="0"/>
          <w:lang w:val="en-US"/>
        </w:rPr>
        <w:t>3.</w:t>
        <w:tab/>
        <w:t xml:space="preserve">Tesio L, Alpini D, Cesarani A, Perucca L. Short form of the Dizziness Handicap Inventory: construction and validation through Rasch analysis. </w:t>
      </w:r>
      <w:r>
        <w:rPr>
          <w:rtl w:val="0"/>
          <w:lang w:val="de-DE"/>
        </w:rPr>
        <w:t>Am J Phys Med Rehabil. 1999;78(3):233-41.</w:t>
      </w:r>
    </w:p>
    <w:p>
      <w:pPr>
        <w:pStyle w:val="EndNote Bibliography"/>
        <w:spacing w:line="480" w:lineRule="auto"/>
        <w:ind w:left="720" w:hanging="720"/>
      </w:pPr>
      <w:r>
        <w:rPr>
          <w:rtl w:val="0"/>
          <w:lang w:val="en-US"/>
        </w:rPr>
        <w:t>4.</w:t>
        <w:tab/>
        <w:t>Honrubia V, Bell TS, Harris MR, Baloh RW, Fisher LM. Quantitative evaluation of dizziness characteristics and impact on quality of life. Am J Otol. 1996;17(4):595-602.</w:t>
      </w:r>
    </w:p>
    <w:p>
      <w:pPr>
        <w:pStyle w:val="EndNote Bibliography"/>
        <w:spacing w:line="480" w:lineRule="auto"/>
        <w:ind w:left="720" w:hanging="720"/>
      </w:pPr>
      <w:r>
        <w:rPr>
          <w:rtl w:val="0"/>
          <w:lang w:val="en-US"/>
        </w:rPr>
        <w:t>5.</w:t>
        <w:tab/>
        <w:t>Yardley L, Masson E, Verschuur C, Haacke N, Luxon L. Symptoms, anxiety and handicap in dizzy patients: development of the vertigo symptom scale. J Psychosom Res. 1992;36(8):731-41.</w:t>
      </w:r>
    </w:p>
    <w:p>
      <w:pPr>
        <w:pStyle w:val="EndNote Bibliography"/>
        <w:spacing w:line="480" w:lineRule="auto"/>
        <w:ind w:left="720" w:hanging="720"/>
      </w:pPr>
      <w:r>
        <w:rPr>
          <w:rtl w:val="0"/>
          <w:lang w:val="en-US"/>
        </w:rPr>
        <w:t>6.</w:t>
        <w:tab/>
        <w:t>Yardley L, Beech S, Zander L, Evans T, Weinman J. A randomized controlled trial of exercise therapy for dizziness and vertigo in primary care. Br J Gen Pract. 1998;48(429):1136-40.</w:t>
      </w:r>
    </w:p>
    <w:p>
      <w:pPr>
        <w:pStyle w:val="Hoofdtekst"/>
        <w:spacing w:after="0" w:line="480" w:lineRule="auto"/>
        <w:ind w:left="720" w:hanging="720"/>
      </w:pPr>
      <w:r>
        <w:rPr>
          <w:rtl w:val="0"/>
          <w:lang w:val="nl-NL"/>
        </w:rPr>
        <w:t>7.</w:t>
        <w:tab/>
      </w:r>
      <w:r>
        <w:rPr>
          <w:rFonts w:ascii="Helvetica" w:hAnsi="Helvetica"/>
          <w:rtl w:val="0"/>
          <w:lang w:val="en-US"/>
        </w:rPr>
        <w:t>Yagi C, Morita Y, Kitazawa M, Nonomura Y, Yamagishi T, Ohshima S, et al. A Validated Questionnaire to Assess the Severity of Persistent Postural-Perceptual Dizziness (PPPD): The Niigata PPPD Questionnaire (NPQ). Otol Neurotol. 2019;40(7):747-752.</w:t>
      </w:r>
    </w:p>
    <w:p>
      <w:pPr>
        <w:pStyle w:val="EndNote Bibliography"/>
        <w:spacing w:line="480" w:lineRule="auto"/>
        <w:ind w:left="720" w:hanging="720"/>
        <w:rPr>
          <w:lang w:val="fr-FR"/>
        </w:rPr>
      </w:pPr>
      <w:r>
        <w:rPr>
          <w:rtl w:val="0"/>
          <w:lang w:val="fr-FR"/>
        </w:rPr>
        <w:t>8.</w:t>
        <w:tab/>
        <w:t>Stewart V, Mendis MD, Rowland J, Choy NL. Construction and Validation of the Vestibular Screening Tool for Use in the Emergency Department and Acute Hospital Setting. Arch Phys Med Rehabil. 2015;96(12):2153-60.</w:t>
      </w:r>
    </w:p>
    <w:p>
      <w:pPr>
        <w:pStyle w:val="EndNote Bibliography"/>
        <w:spacing w:line="480" w:lineRule="auto"/>
        <w:ind w:left="720" w:hanging="720"/>
      </w:pPr>
      <w:r>
        <w:rPr>
          <w:rtl w:val="0"/>
          <w:lang w:val="en-US"/>
        </w:rPr>
        <w:t>9.</w:t>
        <w:tab/>
        <w:t>Yardley L, Putman J. Quantitative analysis of factors contributing to handicap and distress in vertiginous patients: a questionnaire study. Clin Otolaryngol Allied Sci. 1992;17(3):231-6.</w:t>
      </w:r>
    </w:p>
    <w:p>
      <w:pPr>
        <w:pStyle w:val="EndNote Bibliography"/>
        <w:spacing w:line="480" w:lineRule="auto"/>
        <w:ind w:left="720" w:hanging="720"/>
      </w:pPr>
      <w:r>
        <w:rPr>
          <w:rtl w:val="0"/>
          <w:lang w:val="en-US"/>
        </w:rPr>
        <w:t>10.</w:t>
        <w:tab/>
        <w:t>Morris AE, Lutman ME, Yardley L. Measuring outcome from vestibular rehabilitation, part II: refinement and validation of a new self-report measure. Int J Audiol. 2009;48(1):24-37.</w:t>
      </w:r>
    </w:p>
    <w:p>
      <w:pPr>
        <w:pStyle w:val="EndNote Bibliography"/>
        <w:spacing w:line="480" w:lineRule="auto"/>
        <w:ind w:left="720" w:hanging="720"/>
        <w:rPr>
          <w:color w:val="000000"/>
          <w:u w:color="ff2600"/>
        </w:rPr>
      </w:pPr>
      <w:r>
        <w:rPr>
          <w:color w:val="000000"/>
          <w:u w:color="000000"/>
          <w:rtl w:val="0"/>
          <w:lang w:val="en-US"/>
        </w:rPr>
        <w:t>11.</w:t>
        <w:tab/>
      </w:r>
      <w:r>
        <w:rPr>
          <w:color w:val="000000"/>
          <w:u w:color="ff2600"/>
          <w:rtl w:val="0"/>
          <w:lang w:val="de-DE"/>
        </w:rPr>
        <w:t xml:space="preserve">Kennedy </w:t>
      </w:r>
      <w:r>
        <w:rPr>
          <w:color w:val="000000"/>
          <w:u w:color="ff2600"/>
          <w:rtl w:val="0"/>
          <w:lang w:val="en-US"/>
        </w:rPr>
        <w:t>RS</w:t>
      </w:r>
      <w:r>
        <w:rPr>
          <w:color w:val="000000"/>
          <w:u w:color="ff2600"/>
          <w:rtl w:val="0"/>
          <w:lang w:val="de-DE"/>
        </w:rPr>
        <w:t xml:space="preserve">, Lane </w:t>
      </w:r>
      <w:r>
        <w:rPr>
          <w:color w:val="000000"/>
          <w:u w:color="ff2600"/>
          <w:rtl w:val="0"/>
          <w:lang w:val="en-US"/>
        </w:rPr>
        <w:t>NE</w:t>
      </w:r>
      <w:r>
        <w:rPr>
          <w:color w:val="000000"/>
          <w:u w:color="ff2600"/>
          <w:rtl w:val="0"/>
          <w:lang w:val="de-DE"/>
        </w:rPr>
        <w:t xml:space="preserve">, Berbaum </w:t>
      </w:r>
      <w:r>
        <w:rPr>
          <w:color w:val="000000"/>
          <w:u w:color="ff2600"/>
          <w:rtl w:val="0"/>
          <w:lang w:val="en-US"/>
        </w:rPr>
        <w:t>KS,</w:t>
      </w:r>
      <w:r>
        <w:rPr>
          <w:color w:val="000000"/>
          <w:u w:color="ff2600"/>
          <w:rtl w:val="0"/>
          <w:lang w:val="de-DE"/>
        </w:rPr>
        <w:t xml:space="preserve"> Lilienthal</w:t>
      </w:r>
      <w:r>
        <w:rPr>
          <w:color w:val="000000"/>
          <w:u w:color="ff2600"/>
          <w:rtl w:val="0"/>
          <w:lang w:val="en-US"/>
        </w:rPr>
        <w:t xml:space="preserve"> MG. </w:t>
      </w:r>
      <w:r>
        <w:rPr>
          <w:color w:val="000000"/>
          <w:u w:color="ff2600"/>
          <w:rtl w:val="0"/>
          <w:lang w:val="de-DE"/>
        </w:rPr>
        <w:t>Simulator Sickness Questionnaire: An Enhanced Method for Quantifying Simulator Sickness</w:t>
      </w:r>
      <w:r>
        <w:rPr>
          <w:color w:val="000000"/>
          <w:u w:color="ff2600"/>
          <w:rtl w:val="0"/>
          <w:lang w:val="en-US"/>
        </w:rPr>
        <w:t xml:space="preserve">. </w:t>
      </w:r>
      <w:r>
        <w:rPr>
          <w:color w:val="000000"/>
          <w:u w:color="ff2600"/>
          <w:rtl w:val="0"/>
          <w:lang w:val="de-DE"/>
        </w:rPr>
        <w:t xml:space="preserve">Int J Aviat Psychol. </w:t>
      </w:r>
      <w:r>
        <w:rPr>
          <w:color w:val="000000"/>
          <w:u w:color="ff2600"/>
          <w:rtl w:val="0"/>
          <w:lang w:val="en-US"/>
        </w:rPr>
        <w:t>2009;</w:t>
      </w:r>
      <w:r>
        <w:rPr>
          <w:color w:val="000000"/>
          <w:u w:color="ff2600"/>
          <w:rtl w:val="0"/>
          <w:lang w:val="de-DE"/>
        </w:rPr>
        <w:t>3</w:t>
      </w:r>
      <w:r>
        <w:rPr>
          <w:color w:val="000000"/>
          <w:u w:color="ff2600"/>
          <w:rtl w:val="0"/>
          <w:lang w:val="en-US"/>
        </w:rPr>
        <w:t>(</w:t>
      </w:r>
      <w:r>
        <w:rPr>
          <w:color w:val="000000"/>
          <w:u w:color="ff2600"/>
          <w:rtl w:val="0"/>
          <w:lang w:val="de-DE"/>
        </w:rPr>
        <w:t>3</w:t>
      </w:r>
      <w:r>
        <w:rPr>
          <w:color w:val="000000"/>
          <w:u w:color="ff2600"/>
          <w:rtl w:val="0"/>
          <w:lang w:val="en-US"/>
        </w:rPr>
        <w:t>):</w:t>
      </w:r>
      <w:r>
        <w:rPr>
          <w:color w:val="000000"/>
          <w:u w:color="ff2600"/>
          <w:rtl w:val="0"/>
          <w:lang w:val="de-DE"/>
        </w:rPr>
        <w:t>203-20</w:t>
      </w:r>
      <w:r>
        <w:rPr>
          <w:color w:val="000000"/>
          <w:u w:color="ff2600"/>
          <w:rtl w:val="0"/>
          <w:lang w:val="en-US"/>
        </w:rPr>
        <w:t>.</w:t>
      </w:r>
    </w:p>
    <w:p>
      <w:pPr>
        <w:pStyle w:val="EndNote Bibliography"/>
        <w:spacing w:line="480" w:lineRule="auto"/>
        <w:ind w:left="720" w:hanging="720"/>
      </w:pPr>
      <w:r>
        <w:rPr>
          <w:rtl w:val="0"/>
          <w:lang w:val="en-US"/>
        </w:rPr>
        <w:t>12.</w:t>
        <w:tab/>
        <w:t xml:space="preserve">Gianaros PJ, Muth ER, Mordkoff JT, Levine ME, Stern RM. </w:t>
      </w:r>
      <w:r>
        <w:rPr>
          <w:rtl w:val="0"/>
          <w:lang w:val="en-US"/>
        </w:rPr>
        <w:t>A questionnaire for the assessment of the multiple dimensions of motion sickness. Aviat Space Environ Med. 2001;72(2):115-9.</w:t>
      </w:r>
    </w:p>
    <w:p>
      <w:pPr>
        <w:pStyle w:val="EndNote Bibliography"/>
        <w:spacing w:line="480" w:lineRule="auto"/>
        <w:ind w:left="720" w:hanging="720"/>
      </w:pPr>
      <w:r>
        <w:rPr>
          <w:rtl w:val="0"/>
          <w:lang w:val="en-US"/>
        </w:rPr>
        <w:t>13.</w:t>
        <w:tab/>
        <w:t>Guerraz M, Yardley L, Bertholon P, Pollak L, Rudge P, Gresty MA, et al. Visual vertigo: symptom assessment, spatial orientation and postural control. Brain. 2001;124(Pt 8):1646-56.</w:t>
      </w:r>
    </w:p>
    <w:p>
      <w:pPr>
        <w:pStyle w:val="EndNote Bibliography"/>
        <w:spacing w:line="480" w:lineRule="auto"/>
        <w:ind w:left="720" w:hanging="720"/>
      </w:pPr>
      <w:r>
        <w:rPr>
          <w:rtl w:val="0"/>
          <w:lang w:val="nl-NL"/>
        </w:rPr>
        <w:t>14.</w:t>
        <w:tab/>
        <w:t xml:space="preserve">Jacob RG, Scott O, Lilienfeld MA, Furman JMR,  Durant JD, Turner SM. </w:t>
      </w:r>
      <w:r>
        <w:rPr>
          <w:rtl w:val="0"/>
          <w:lang w:val="en-US"/>
        </w:rPr>
        <w:t>Panic disorder with vestibular dysfunction: Further clinical observations and description of space and motion phobic stimuli</w:t>
      </w:r>
      <w:r>
        <w:rPr>
          <w:rtl w:val="0"/>
          <w:lang w:val="nl-NL"/>
        </w:rPr>
        <w:t xml:space="preserve">. </w:t>
      </w:r>
      <w:r>
        <w:rPr>
          <w:rtl w:val="0"/>
          <w:lang w:val="en-US"/>
        </w:rPr>
        <w:t>J Anxiety Disord</w:t>
      </w:r>
      <w:r>
        <w:rPr>
          <w:rtl w:val="0"/>
          <w:lang w:val="nl-NL"/>
        </w:rPr>
        <w:t>. 1989;3(2):</w:t>
      </w:r>
      <w:r>
        <w:rPr>
          <w:rtl w:val="0"/>
          <w:lang w:val="en-US"/>
        </w:rPr>
        <w:t>117-30</w:t>
      </w:r>
      <w:r>
        <w:rPr>
          <w:rtl w:val="0"/>
          <w:lang w:val="nl-NL"/>
        </w:rPr>
        <w:t>.</w:t>
      </w:r>
    </w:p>
    <w:p>
      <w:pPr>
        <w:pStyle w:val="EndNote Bibliography"/>
        <w:spacing w:line="480" w:lineRule="auto"/>
        <w:ind w:left="720" w:hanging="720"/>
        <w:rPr>
          <w:color w:val="000000"/>
          <w:u w:color="000000"/>
        </w:rPr>
      </w:pPr>
      <w:r>
        <w:rPr>
          <w:rtl w:val="0"/>
          <w:lang w:val="en-US"/>
        </w:rPr>
        <w:t>1</w:t>
      </w:r>
      <w:r>
        <w:rPr>
          <w:rtl w:val="0"/>
          <w:lang w:val="nl-NL"/>
        </w:rPr>
        <w:t>5</w:t>
      </w:r>
      <w:r>
        <w:rPr>
          <w:rtl w:val="0"/>
          <w:lang w:val="en-US"/>
        </w:rPr>
        <w:t>.</w:t>
        <w:tab/>
        <w:t xml:space="preserve">Alghwiri AA, Whitney SL, Baker CE, Sparto PJ, Marchetti GF, Rogers JC, et al. The development and validation of the vestibular activities and participation </w:t>
      </w:r>
      <w:r>
        <w:rPr>
          <w:color w:val="000000"/>
          <w:u w:color="000000"/>
          <w:rtl w:val="0"/>
          <w:lang w:val="en-US"/>
        </w:rPr>
        <w:t>measure. Arch Phys Med Rehabil. 2012;93(10):1822-31.</w:t>
      </w:r>
    </w:p>
    <w:p>
      <w:pPr>
        <w:pStyle w:val="EndNote Bibliography"/>
        <w:spacing w:line="480" w:lineRule="auto"/>
        <w:ind w:left="720" w:hanging="720"/>
        <w:rPr>
          <w:color w:val="000000"/>
          <w:u w:color="000000"/>
        </w:rPr>
      </w:pPr>
      <w:r>
        <w:rPr>
          <w:color w:val="000000"/>
          <w:u w:color="000000"/>
          <w:rtl w:val="0"/>
          <w:lang w:val="nl-NL"/>
        </w:rPr>
        <w:t>16.</w:t>
      </w:r>
      <w:r>
        <w:rPr>
          <w:color w:val="000000"/>
          <w:u w:color="000000"/>
          <w:lang w:val="en-US"/>
        </w:rPr>
        <w:tab/>
      </w:r>
      <w:r>
        <w:rPr>
          <w:color w:val="000000"/>
          <w:u w:color="ff2600"/>
          <w:rtl w:val="0"/>
          <w:lang w:val="en-US"/>
        </w:rPr>
        <w:t>Kim DH</w:t>
      </w:r>
      <w:r>
        <w:rPr>
          <w:color w:val="000000"/>
          <w:u w:color="ff2600"/>
          <w:rtl w:val="0"/>
          <w:lang w:val="da-DK"/>
        </w:rPr>
        <w:t>, Parker</w:t>
      </w:r>
      <w:r>
        <w:rPr>
          <w:color w:val="000000"/>
          <w:u w:color="ff2600"/>
          <w:rtl w:val="0"/>
          <w:lang w:val="en-US"/>
        </w:rPr>
        <w:t xml:space="preserve"> DE, Park MY. A NEW PROCEDURE FOR MEASURING SIMULATOR SICKNESS </w:t>
      </w:r>
      <w:r>
        <w:rPr>
          <w:color w:val="000000"/>
          <w:u w:color="ff2600"/>
          <w:rtl w:val="0"/>
          <w:lang w:val="en-US"/>
        </w:rPr>
        <w:t xml:space="preserve">– </w:t>
      </w:r>
      <w:r>
        <w:rPr>
          <w:color w:val="000000"/>
          <w:u w:color="ff2600"/>
          <w:rtl w:val="0"/>
          <w:lang w:val="en-US"/>
        </w:rPr>
        <w:t>THE RSSQ. University of Washington, Human Interface Technology Laboratory Technical Report R-2004-52.</w:t>
      </w:r>
    </w:p>
    <w:p>
      <w:pPr>
        <w:pStyle w:val="EndNote Bibliography"/>
        <w:spacing w:line="480" w:lineRule="auto"/>
        <w:ind w:left="720" w:hanging="720"/>
      </w:pPr>
      <w:r>
        <w:rPr>
          <w:rtl w:val="0"/>
          <w:lang w:val="en-US"/>
        </w:rPr>
        <w:t>1</w:t>
      </w:r>
      <w:r>
        <w:rPr>
          <w:rtl w:val="0"/>
          <w:lang w:val="nl-NL"/>
        </w:rPr>
        <w:t>7</w:t>
      </w:r>
      <w:r>
        <w:rPr>
          <w:rtl w:val="0"/>
          <w:lang w:val="en-US"/>
        </w:rPr>
        <w:t>.</w:t>
        <w:tab/>
        <w:t>Kellogg RS, Kennedy RS, Graybiel A. MOTION SICKNESS SYMPTOMATOLOGY OF LABYRINTHINE DEFECTIVE AND NORMAL SUBJECTS DURING ZERO GRAVITY MANEUVERS. TECHN DOCUM REP NO. AMRL-TDR-64-47. Amrl tr. 1964:1-11.</w:t>
      </w:r>
    </w:p>
    <w:p>
      <w:pPr>
        <w:pStyle w:val="EndNote Bibliography"/>
        <w:spacing w:line="480" w:lineRule="auto"/>
        <w:ind w:left="720" w:hanging="720"/>
      </w:pPr>
      <w:r>
        <w:rPr>
          <w:rtl w:val="0"/>
          <w:lang w:val="en-US"/>
        </w:rPr>
        <w:t>1</w:t>
      </w:r>
      <w:r>
        <w:rPr>
          <w:rtl w:val="0"/>
          <w:lang w:val="nl-NL"/>
        </w:rPr>
        <w:t>8</w:t>
      </w:r>
      <w:r>
        <w:rPr>
          <w:rtl w:val="0"/>
          <w:lang w:val="en-US"/>
        </w:rPr>
        <w:t>.</w:t>
        <w:tab/>
        <w:t>Prieto L, Santed R, Cobo E, Alonso J. A new measure for assessing the health-related quality of life of patients with vertigo, dizziness or imbalance: the VDI questionnaire. Qual Life Res. 1999;8(1-2):131-9.</w:t>
      </w:r>
      <w:r>
        <w:rPr>
          <w:rtl w:val="0"/>
          <w:lang w:val="nl-NL"/>
        </w:rPr>
        <w:t>19</w:t>
        <w:tab/>
      </w:r>
      <w:r>
        <w:rPr>
          <w:rtl w:val="0"/>
          <w:lang w:val="en-US"/>
        </w:rPr>
        <w:t>Zhao JG, Piccirillo JF, Spitznagel EL, Kallogjeri D, Goebel JA.</w:t>
      </w:r>
      <w:r>
        <w:rPr>
          <w:rtl w:val="0"/>
          <w:lang w:val="nl-NL"/>
        </w:rPr>
        <w:t xml:space="preserve"> </w:t>
      </w:r>
      <w:r>
        <w:rPr>
          <w:rtl w:val="0"/>
          <w:lang w:val="en-US"/>
        </w:rPr>
        <w:t>Predictive capability of historical data for diagnosis of dizziness.</w:t>
      </w:r>
      <w:r>
        <w:rPr>
          <w:rtl w:val="0"/>
          <w:lang w:val="nl-NL"/>
        </w:rPr>
        <w:t xml:space="preserve"> </w:t>
      </w:r>
      <w:r>
        <w:rPr>
          <w:rtl w:val="0"/>
          <w:lang w:val="en-US"/>
        </w:rPr>
        <w:t>Otol Neurotol. 2011;32(2):284-90.</w:t>
      </w:r>
    </w:p>
    <w:p>
      <w:pPr>
        <w:pStyle w:val="EndNote Bibliography"/>
        <w:spacing w:line="480" w:lineRule="auto"/>
        <w:ind w:left="720" w:hanging="720"/>
      </w:pPr>
      <w:r>
        <w:rPr>
          <w:rtl w:val="0"/>
          <w:lang w:val="en-US"/>
        </w:rPr>
        <w:t>1</w:t>
      </w:r>
      <w:r>
        <w:rPr>
          <w:rtl w:val="0"/>
          <w:lang w:val="nl-NL"/>
        </w:rPr>
        <w:t>9</w:t>
      </w:r>
      <w:r>
        <w:rPr>
          <w:rtl w:val="0"/>
          <w:lang w:val="en-US"/>
        </w:rPr>
        <w:t>.</w:t>
        <w:tab/>
        <w:t xml:space="preserve">Roland LT, Kallogjeri D, Sinks BC, Rauch SD, Shepard NT, White JA, et al. Utility of an Abbreviated Dizziness Questionnaire to Differentiate Between Causes of Vertigo and Guide Appropriate Referral: A Multicenter Prospective Blinded Study. </w:t>
      </w:r>
      <w:r>
        <w:rPr>
          <w:rtl w:val="0"/>
          <w:lang w:val="nl-NL"/>
        </w:rPr>
        <w:t>Otol Neurotol. 2015;36(10):1687-94.</w:t>
      </w:r>
    </w:p>
    <w:p>
      <w:pPr>
        <w:pStyle w:val="EndNote Bibliography"/>
        <w:spacing w:line="480" w:lineRule="auto"/>
        <w:ind w:left="720" w:hanging="720"/>
        <w:rPr>
          <w:lang w:val="en-US"/>
        </w:rPr>
      </w:pPr>
      <w:r>
        <w:rPr>
          <w:rtl w:val="0"/>
          <w:lang w:val="nl-NL"/>
        </w:rPr>
        <w:t>20</w:t>
      </w:r>
      <w:r>
        <w:rPr>
          <w:rtl w:val="0"/>
          <w:lang w:val="nl-NL"/>
        </w:rPr>
        <w:t>.</w:t>
        <w:tab/>
        <w:t xml:space="preserve">Chen W, Shu L, Wang Q, Pan H, Wu J, Fang J, et al. </w:t>
      </w:r>
      <w:r>
        <w:rPr>
          <w:rtl w:val="0"/>
          <w:lang w:val="en-US"/>
        </w:rPr>
        <w:t>Validation of 5-item and 2-item questionnaires in Chinese version of Dizziness Handicap Inventory for screening objective benign paroxysmal positional vertigo. Neurol Sci. 2016;37(8):1241-6.</w:t>
      </w:r>
    </w:p>
    <w:p>
      <w:pPr>
        <w:pStyle w:val="EndNote Bibliography"/>
        <w:spacing w:line="480" w:lineRule="auto"/>
        <w:ind w:left="720" w:hanging="720"/>
      </w:pPr>
      <w:r>
        <w:rPr>
          <w:rtl w:val="0"/>
          <w:lang w:val="nl-NL"/>
        </w:rPr>
        <w:t>21.</w:t>
        <w:tab/>
      </w:r>
      <w:r>
        <w:rPr>
          <w:rtl w:val="0"/>
          <w:lang w:val="en-US"/>
        </w:rPr>
        <w:t>Whitney SL, Marchetti GF, Morris LO.</w:t>
      </w:r>
      <w:r>
        <w:rPr>
          <w:rtl w:val="0"/>
          <w:lang w:val="nl-NL"/>
        </w:rPr>
        <w:t xml:space="preserve"> </w:t>
      </w:r>
      <w:r>
        <w:rPr>
          <w:rtl w:val="0"/>
          <w:lang w:val="en-US"/>
        </w:rPr>
        <w:t>Usefulness of the dizziness handicap inventory in the screening for benign paroxysmal positional vertigo.</w:t>
      </w:r>
      <w:r>
        <w:rPr>
          <w:rtl w:val="0"/>
          <w:lang w:val="nl-NL"/>
        </w:rPr>
        <w:t xml:space="preserve"> </w:t>
      </w:r>
      <w:r>
        <w:rPr>
          <w:rtl w:val="0"/>
          <w:lang w:val="en-US"/>
        </w:rPr>
        <w:t>Otol Neurotol. 2005;26(5):1027-33.</w:t>
      </w:r>
    </w:p>
    <w:p>
      <w:pPr>
        <w:pStyle w:val="EndNote Bibliography"/>
        <w:spacing w:line="480" w:lineRule="auto"/>
        <w:ind w:left="720" w:hanging="720"/>
      </w:pPr>
      <w:r>
        <w:rPr>
          <w:rtl w:val="0"/>
          <w:lang w:val="en-US"/>
        </w:rPr>
        <w:t>2</w:t>
      </w:r>
      <w:r>
        <w:rPr>
          <w:rtl w:val="0"/>
          <w:lang w:val="nl-NL"/>
        </w:rPr>
        <w:t>2</w:t>
      </w:r>
      <w:r>
        <w:rPr>
          <w:rtl w:val="0"/>
          <w:lang w:val="en-US"/>
        </w:rPr>
        <w:t>.</w:t>
        <w:tab/>
        <w:t>Imai T, Higashi-Shingai K, Takimoto Y, Masumura C, Hattori K, Inohara H. New scoring system of an interview for the diagnosis of benign paroxysmal positional vertigo. Acta Otolaryngol. 2016;136(3):283-8.</w:t>
      </w:r>
    </w:p>
    <w:p>
      <w:pPr>
        <w:pStyle w:val="EndNote Bibliography"/>
        <w:spacing w:line="480" w:lineRule="auto"/>
        <w:ind w:left="720" w:hanging="720"/>
      </w:pPr>
      <w:r>
        <w:rPr>
          <w:rtl w:val="0"/>
          <w:lang w:val="en-US"/>
        </w:rPr>
        <w:t>2</w:t>
      </w:r>
      <w:r>
        <w:rPr>
          <w:rtl w:val="0"/>
          <w:lang w:val="nl-NL"/>
        </w:rPr>
        <w:t>4</w:t>
      </w:r>
      <w:r>
        <w:rPr>
          <w:rtl w:val="0"/>
          <w:lang w:val="en-US"/>
        </w:rPr>
        <w:t>.</w:t>
        <w:tab/>
        <w:t>Cohen HS, Kimball KT. Development of the vestibular disorders activities of daily living scale. Arch Otolaryngol Head Neck Surg. 2000;126(7):881-7.</w:t>
      </w:r>
    </w:p>
    <w:p>
      <w:pPr>
        <w:pStyle w:val="Hoofdtekst"/>
        <w:spacing w:after="0" w:line="480" w:lineRule="auto"/>
        <w:ind w:left="720" w:hanging="720"/>
        <w:rPr>
          <w:rFonts w:ascii="Helvetica" w:cs="Helvetica" w:hAnsi="Helvetica" w:eastAsia="Helvetica"/>
        </w:rPr>
      </w:pPr>
      <w:r>
        <w:rPr>
          <w:rFonts w:ascii="Helvetica" w:hAnsi="Helvetica"/>
          <w:rtl w:val="0"/>
          <w:lang w:val="nl-NL"/>
        </w:rPr>
        <w:t>25</w:t>
        <w:tab/>
      </w:r>
      <w:r>
        <w:rPr>
          <w:rFonts w:ascii="Helvetica" w:hAnsi="Helvetica"/>
          <w:rtl w:val="0"/>
          <w:lang w:val="de-DE"/>
        </w:rPr>
        <w:t>Cohen H</w:t>
      </w:r>
      <w:r>
        <w:rPr>
          <w:rFonts w:ascii="Helvetica" w:hAnsi="Helvetica"/>
          <w:rtl w:val="0"/>
          <w:lang w:val="nl-NL"/>
        </w:rPr>
        <w:t xml:space="preserve">. </w:t>
      </w:r>
      <w:r>
        <w:rPr>
          <w:rFonts w:ascii="Helvetica" w:hAnsi="Helvetica"/>
          <w:rtl w:val="0"/>
          <w:lang w:val="en-US"/>
        </w:rPr>
        <w:t>Vestibular rehabilitation reduces functional disability.</w:t>
      </w:r>
      <w:r>
        <w:rPr>
          <w:rFonts w:ascii="Helvetica" w:hAnsi="Helvetica"/>
          <w:rtl w:val="0"/>
          <w:lang w:val="nl-NL"/>
        </w:rPr>
        <w:t xml:space="preserve"> </w:t>
      </w:r>
      <w:r>
        <w:rPr>
          <w:rFonts w:ascii="Helvetica" w:hAnsi="Helvetica"/>
          <w:rtl w:val="0"/>
          <w:lang w:val="it-IT"/>
        </w:rPr>
        <w:t>Otolaryngol Head Neck Surg. 1992;107(5):638-43.</w:t>
      </w:r>
    </w:p>
    <w:p>
      <w:pPr>
        <w:pStyle w:val="Hoofdtekst"/>
        <w:spacing w:after="0" w:line="480" w:lineRule="auto"/>
        <w:ind w:left="720" w:hanging="720"/>
      </w:pPr>
      <w:r>
        <w:rPr>
          <w:rtl w:val="0"/>
          <w:lang w:val="nl-NL"/>
        </w:rPr>
        <w:t>26.</w:t>
        <w:tab/>
      </w:r>
      <w:r>
        <w:rPr>
          <w:rtl w:val="0"/>
          <w:lang w:val="fr-FR"/>
        </w:rPr>
        <w:t>Dannenbaum E, Chilingaryan G, Fung J. Visual vertigo analogue scale: an assessment questionnaire for visual vertigo. J Vestib Res. 2011;21(3):153-9.</w:t>
      </w:r>
    </w:p>
    <w:p>
      <w:pPr>
        <w:pStyle w:val="Hoofdtekst"/>
        <w:spacing w:after="0" w:line="480" w:lineRule="auto"/>
        <w:ind w:left="720" w:hanging="720"/>
      </w:pPr>
      <w:r>
        <w:rPr>
          <w:rtl w:val="0"/>
          <w:lang w:val="nl-NL"/>
        </w:rPr>
        <w:t>27.</w:t>
        <w:tab/>
      </w:r>
      <w:r>
        <w:rPr>
          <w:rtl w:val="0"/>
          <w:lang w:val="en-US"/>
        </w:rPr>
        <w:t>Longridge NS, Mallinson AI, Denton A.</w:t>
      </w:r>
      <w:r>
        <w:rPr>
          <w:rtl w:val="0"/>
          <w:lang w:val="nl-NL"/>
        </w:rPr>
        <w:t xml:space="preserve"> </w:t>
      </w:r>
      <w:r>
        <w:rPr>
          <w:rtl w:val="0"/>
          <w:lang w:val="en-US"/>
        </w:rPr>
        <w:t>Visual vestibular mismatch in patients treated with intratympanic gentamicin for Meniere's disease.</w:t>
      </w:r>
      <w:r>
        <w:rPr>
          <w:rtl w:val="0"/>
          <w:lang w:val="nl-NL"/>
        </w:rPr>
        <w:t xml:space="preserve"> </w:t>
      </w:r>
      <w:r>
        <w:rPr>
          <w:rtl w:val="0"/>
        </w:rPr>
        <w:t>J Otolaryngol. 2002;31(1):5-8.</w:t>
      </w:r>
      <w:r>
        <w:rPr>
          <w:sz w:val="24"/>
          <w:szCs w:val="24"/>
        </w:rPr>
      </w:r>
    </w:p>
    <w:sectPr>
      <w:headerReference w:type="default" r:id="rId4"/>
      <w:footerReference w:type="default" r:id="rId5"/>
      <w:pgSz w:w="16840" w:h="11900" w:orient="landscape"/>
      <w:pgMar w:top="1417" w:right="1417" w:bottom="1417" w:left="1417"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Kop- en voettekst"/>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Kop- en voettekst"/>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Nederlands" w:val="‘“(〔[{〈《「『【⦅〘〖«〝︵︷︹︻︽︿﹁﹃﹇﹙﹛﹝｢"/>
  <w:noLineBreaksBefore w:lang="Nederlands"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Kop- en voettekst">
    <w:name w:val="Kop- en voettekst"/>
    <w:next w:val="Kop- en voettekst"/>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Hoofdtekst">
    <w:name w:val="Hoofdtekst"/>
    <w:next w:val="Hoofdtekst"/>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s-ES_tradnl"/>
    </w:rPr>
  </w:style>
  <w:style w:type="paragraph" w:styleId="Standaard">
    <w:name w:val="Standaard"/>
    <w:next w:val="Standaard"/>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Tabelstijl 2">
    <w:name w:val="Tabelstijl 2"/>
    <w:next w:val="Tabelstijl 2"/>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0"/>
      <w:szCs w:val="20"/>
      <w:u w:val="none"/>
      <w:vertAlign w:val="baseline"/>
    </w:rPr>
  </w:style>
  <w:style w:type="paragraph" w:styleId="Hoofdtekst A">
    <w:name w:val="Hoofdtekst A"/>
    <w:next w:val="Hoofdtekst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color="000000"/>
      <w:vertAlign w:val="baseline"/>
      <w:lang w:val="nl-NL"/>
    </w:rPr>
  </w:style>
  <w:style w:type="paragraph" w:styleId="EndNote Bibliography">
    <w:name w:val="EndNote Bibliography"/>
    <w:next w:val="EndNote Bibliograph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