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oofdtekst A"/>
      </w:pPr>
    </w:p>
    <w:p>
      <w:pPr>
        <w:pStyle w:val="Hoofdtekst A"/>
        <w:jc w:val="center"/>
      </w:pPr>
      <w:r>
        <w:rPr>
          <w:sz w:val="30"/>
          <w:szCs w:val="30"/>
          <w:rtl w:val="0"/>
          <w:lang w:val="en-US"/>
        </w:rPr>
        <w:t>A</w:t>
      </w:r>
      <w:r>
        <w:rPr>
          <w:sz w:val="30"/>
          <w:szCs w:val="30"/>
          <w:rtl w:val="0"/>
          <w:lang w:val="nl-NL"/>
        </w:rPr>
        <w:t>DDITIONAL FILE</w:t>
      </w:r>
      <w:r>
        <w:rPr>
          <w:sz w:val="30"/>
          <w:szCs w:val="30"/>
          <w:rtl w:val="0"/>
          <w:lang w:val="en-US"/>
        </w:rPr>
        <w:t xml:space="preserve"> </w:t>
      </w:r>
      <w:r>
        <w:rPr>
          <w:sz w:val="30"/>
          <w:szCs w:val="30"/>
          <w:rtl w:val="0"/>
          <w:lang w:val="nl-NL"/>
        </w:rPr>
        <w:t>7</w:t>
      </w:r>
      <w:r>
        <w:rPr>
          <w:sz w:val="30"/>
          <w:szCs w:val="30"/>
          <w:rtl w:val="0"/>
          <w:lang w:val="en-US"/>
        </w:rPr>
        <w:t xml:space="preserve"> - MULTIPLE COMPLAINT QUESTIONNAIRES</w:t>
      </w:r>
    </w:p>
    <w:p>
      <w:pPr>
        <w:pStyle w:val="Hoofdtekst A"/>
        <w:jc w:val="center"/>
      </w:pPr>
    </w:p>
    <w:p>
      <w:pPr>
        <w:pStyle w:val="Hoofdtekst A"/>
        <w:jc w:val="center"/>
      </w:pPr>
    </w:p>
    <w:p>
      <w:pPr>
        <w:pStyle w:val="Hoofdtekst A"/>
        <w:jc w:val="center"/>
      </w:pPr>
    </w:p>
    <w:p>
      <w:pPr>
        <w:pStyle w:val="Hoofdtekst A"/>
        <w:jc w:val="center"/>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0"/>
        <w:gridCol w:w="2911"/>
        <w:gridCol w:w="2910"/>
        <w:gridCol w:w="2911"/>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Meniere</w:t>
            </w:r>
            <w:r>
              <w:rPr>
                <w:b w:val="1"/>
                <w:bCs w:val="1"/>
                <w:sz w:val="16"/>
                <w:szCs w:val="16"/>
                <w:rtl w:val="0"/>
                <w:lang w:val="en-US"/>
              </w:rPr>
              <w:t>’</w:t>
            </w:r>
            <w:r>
              <w:rPr>
                <w:b w:val="1"/>
                <w:bCs w:val="1"/>
                <w:sz w:val="16"/>
                <w:szCs w:val="16"/>
                <w:rtl w:val="0"/>
                <w:lang w:val="en-US"/>
              </w:rPr>
              <w:t xml:space="preserve">s Disease Patient Oriented Symptom-Severity Index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Chronic Otitis Media Questionnaire-12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Cambridge Otology Quality of Life Questionnaire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Penn Acoustic Neuroma Quality of Life Scale</w:t>
            </w:r>
          </w:p>
        </w:tc>
      </w:tr>
      <w:tr>
        <w:tblPrEx>
          <w:shd w:val="clear" w:color="auto" w:fill="ceddeb"/>
        </w:tblPrEx>
        <w:trPr>
          <w:trHeight w:val="2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Murphy MP (1999)</w:t>
            </w:r>
            <w:r>
              <w:rPr>
                <w:sz w:val="16"/>
                <w:szCs w:val="16"/>
                <w:vertAlign w:val="superscript"/>
                <w:rtl w:val="0"/>
                <w:lang w:val="nl-NL"/>
              </w:rPr>
              <w:t>1</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Phillips JS (2014)</w:t>
            </w:r>
            <w:r>
              <w:rPr>
                <w:sz w:val="16"/>
                <w:szCs w:val="16"/>
                <w:vertAlign w:val="superscript"/>
                <w:rtl w:val="0"/>
                <w:lang w:val="nl-NL"/>
              </w:rPr>
              <w:t>2</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Martin TP (2015)</w:t>
            </w:r>
            <w:r>
              <w:rPr>
                <w:sz w:val="16"/>
                <w:szCs w:val="16"/>
                <w:vertAlign w:val="superscript"/>
                <w:rtl w:val="0"/>
                <w:lang w:val="nl-NL"/>
              </w:rPr>
              <w:t>3</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a-DK"/>
              </w:rPr>
              <w:t>Shaffer BT (2010)</w:t>
            </w:r>
            <w:r>
              <w:rPr>
                <w:sz w:val="16"/>
                <w:szCs w:val="16"/>
                <w:vertAlign w:val="superscript"/>
                <w:rtl w:val="0"/>
                <w:lang w:val="nl-NL"/>
              </w:rPr>
              <w:t>4</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Otolaryngology-Head and Neck Surgery, University of Washington Medical Center, Seattle, Washington)</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ENG (Norfolk &amp; Norwich University Hospital, Norwich, Norfolk)</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GBR (Worcestershire Royal Hospital, Worcester)</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Otorhinolaryngology</w:t>
            </w:r>
            <w:r>
              <w:rPr>
                <w:rFonts w:ascii="Calibri" w:cs="Calibri" w:hAnsi="Calibri" w:eastAsia="Calibri"/>
                <w:sz w:val="16"/>
                <w:szCs w:val="16"/>
                <w:rtl w:val="0"/>
              </w:rPr>
              <w:t>–</w:t>
            </w:r>
            <w:r>
              <w:rPr>
                <w:rFonts w:ascii="Calibri" w:cs="Calibri" w:hAnsi="Calibri" w:eastAsia="Calibri"/>
                <w:sz w:val="16"/>
                <w:szCs w:val="16"/>
                <w:rtl w:val="0"/>
                <w:lang w:val="en-US"/>
              </w:rPr>
              <w:t>Head and Neck Surgery, Hospital of the University of Pennsylvania, Philadelphia)</w:t>
            </w:r>
          </w:p>
        </w:tc>
      </w:tr>
      <w:tr>
        <w:tblPrEx>
          <w:shd w:val="clear" w:color="auto" w:fill="ceddeb"/>
        </w:tblPrEx>
        <w:trPr>
          <w:trHeight w:val="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impact of Meniere's disease on patients' lives.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quality of life in patients with chronic otitis media</w:t>
            </w:r>
            <w:r>
              <w:rPr>
                <w:sz w:val="16"/>
                <w:szCs w:val="16"/>
                <w:rtl w:val="0"/>
                <w:lang w:val="nl-NL"/>
              </w:rPr>
              <w:t>.</w:t>
            </w:r>
            <w:r>
              <w:rPr>
                <w:sz w:val="16"/>
                <w:szCs w:val="16"/>
                <w:rtl w:val="0"/>
                <w:lang w:val="en-US"/>
              </w:rPr>
              <w:t xml:space="preserve">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quality of life of patients attending otology clinics.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quality of life in acoustic neuroma patients.</w:t>
            </w:r>
          </w:p>
        </w:tc>
      </w:tr>
      <w:tr>
        <w:tblPrEx>
          <w:shd w:val="clear" w:color="auto" w:fill="ceddeb"/>
        </w:tblPrEx>
        <w:trPr>
          <w:trHeight w:val="18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85 subjects (Meniere</w:t>
            </w:r>
            <w:r>
              <w:rPr>
                <w:rFonts w:ascii="Calibri" w:cs="Calibri" w:hAnsi="Calibri" w:eastAsia="Calibri"/>
                <w:sz w:val="16"/>
                <w:szCs w:val="16"/>
                <w:rtl w:val="0"/>
              </w:rPr>
              <w:t>’</w:t>
            </w:r>
            <w:r>
              <w:rPr>
                <w:rFonts w:ascii="Calibri" w:cs="Calibri" w:hAnsi="Calibri" w:eastAsia="Calibri"/>
                <w:sz w:val="16"/>
                <w:szCs w:val="16"/>
                <w:rtl w:val="0"/>
                <w:lang w:val="en-US"/>
              </w:rPr>
              <w:t>s disease sufferers): 55.7yrs, range: 28-87yrs, women: 55-62%.</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50 subjects (adult patients with a history of active chronic otitis media): 50yrs, </w:t>
            </w:r>
            <w:r>
              <w:rPr>
                <w:rFonts w:ascii="Calibri" w:cs="Calibri" w:hAnsi="Calibri" w:eastAsia="Calibri"/>
                <w:sz w:val="16"/>
                <w:szCs w:val="16"/>
                <w:rtl w:val="0"/>
              </w:rPr>
              <w:t>±</w:t>
            </w:r>
            <w:r>
              <w:rPr>
                <w:rFonts w:ascii="Calibri" w:cs="Calibri" w:hAnsi="Calibri" w:eastAsia="Calibri"/>
                <w:sz w:val="16"/>
                <w:szCs w:val="16"/>
                <w:rtl w:val="0"/>
              </w:rPr>
              <w:t>12yrs.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203 subjects (adult patients attending otology clinics with: vertigo: 14%, active CSOM 14%, stable CSOM: 22%, otosclerosis: 7%, hearing loss only: 13%, tinnitus only: 8%, wax: 7%, otitis externa: 7%, Eustachian tube dysfunction: 2%, other: 6%).</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143 subjects, 2 groups (adult acoustic neuroma sufferers, not neurofibromatosis type 2 patients (AN) and control group of patients presenting at ENT/H&amp;N department (C)): 143 subjects (AN): 59.1yrs, range: 20-88yrs, women: 51%.140 subjects (C): 51.4yrs, range: 18-84yrs, women: 43%.</w:t>
            </w:r>
          </w:p>
        </w:tc>
      </w:tr>
      <w:tr>
        <w:tblPrEx>
          <w:shd w:val="clear" w:color="auto" w:fill="ceddeb"/>
        </w:tblPrEx>
        <w:trPr>
          <w:trHeight w:val="1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generated based on professional experience with MD patients and consultation with colleagues.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All items were derived from the Chronic Ear Survey (CES), the Chronic Otitis Media Outcome Test 15 (COMOT-15) (5), and the Chronic OtitisMedia 5 (COM-5) questionnaires, revised by patient feedback and ultimate selection by expert panel.</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devised by the core research team and in part taken from existing validated questionnaires in the public domain.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Items constructed based on literature review, Hospital Anxiety and Depression Scale (HADS), interviews with expert caregivers.</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24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26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SRB, PRT, NLD, RUS, Kannada</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w:widowControl w:val="0"/>
        <w:ind w:left="108" w:hanging="108"/>
      </w:pPr>
    </w:p>
    <w:p>
      <w:pPr>
        <w:pStyle w:val="Hoofdtekst A A"/>
      </w:pPr>
    </w:p>
    <w:p>
      <w:pPr>
        <w:pStyle w:val="Hoofdtekst A A"/>
      </w:pPr>
    </w:p>
    <w:p>
      <w:pPr>
        <w:pStyle w:val="Hoofdtekst A A"/>
      </w:pPr>
    </w:p>
    <w:p>
      <w:pPr>
        <w:pStyle w:val="Hoofdtekst A A"/>
      </w:pPr>
    </w:p>
    <w:p>
      <w:pPr>
        <w:pStyle w:val="Hoofdtekst A A"/>
      </w:pPr>
    </w:p>
    <w:p>
      <w:pPr>
        <w:pStyle w:val="Hoofdtekst A A"/>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0"/>
        <w:gridCol w:w="2911"/>
        <w:gridCol w:w="2910"/>
        <w:gridCol w:w="2911"/>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Eustachian Tube Dysfunction Questionnaire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Chronic Ear Survey</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Otology Questionnaire Amsterdam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Screening Otologic Function Impairments</w:t>
            </w:r>
          </w:p>
        </w:tc>
      </w:tr>
      <w:tr>
        <w:tblPrEx>
          <w:shd w:val="clear" w:color="auto" w:fill="ceddeb"/>
        </w:tblPrEx>
        <w:trPr>
          <w:trHeight w:val="2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McCoul ED (2012)</w:t>
            </w:r>
            <w:r>
              <w:rPr>
                <w:sz w:val="16"/>
                <w:szCs w:val="16"/>
                <w:vertAlign w:val="superscript"/>
                <w:rtl w:val="0"/>
                <w:lang w:val="nl-NL"/>
              </w:rPr>
              <w:t>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Nadol JB (2000)</w:t>
            </w:r>
            <w:r>
              <w:rPr>
                <w:sz w:val="16"/>
                <w:szCs w:val="16"/>
                <w:vertAlign w:val="superscript"/>
                <w:rtl w:val="0"/>
                <w:lang w:val="nl-NL"/>
              </w:rPr>
              <w:t>6</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Bruinewoud EM (2018)</w:t>
            </w:r>
            <w:r>
              <w:rPr>
                <w:sz w:val="16"/>
                <w:szCs w:val="16"/>
                <w:vertAlign w:val="superscript"/>
                <w:rtl w:val="0"/>
                <w:lang w:val="nl-NL"/>
              </w:rPr>
              <w:t>7</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Weinstein BE (2013)</w:t>
            </w:r>
            <w:r>
              <w:rPr>
                <w:sz w:val="16"/>
                <w:szCs w:val="16"/>
                <w:vertAlign w:val="superscript"/>
                <w:rtl w:val="0"/>
                <w:lang w:val="nl-NL"/>
              </w:rPr>
              <w:t>8</w:t>
            </w: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(From the Department of Otolaryngology</w:t>
            </w:r>
            <w:r>
              <w:rPr>
                <w:rFonts w:ascii="Calibri" w:cs="Calibri" w:hAnsi="Calibri" w:eastAsia="Calibri"/>
                <w:sz w:val="16"/>
                <w:szCs w:val="16"/>
                <w:rtl w:val="0"/>
              </w:rPr>
              <w:t>–</w:t>
            </w:r>
            <w:r>
              <w:rPr>
                <w:rFonts w:ascii="Calibri" w:cs="Calibri" w:hAnsi="Calibri" w:eastAsia="Calibri"/>
                <w:sz w:val="16"/>
                <w:szCs w:val="16"/>
                <w:rtl w:val="0"/>
                <w:lang w:val="en-US"/>
              </w:rPr>
              <w:t>Head and Neck Surgery and Department of Public Health, Weill Cornell Medical College, New York, New York)</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Otology and Laryngology, Harvard Medical School, and Massachusetts Eye and Ear Infirmary, Boston, Massachusetts)</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NLD (Otolaryngology- Head and neck Surgery, Section Ear &amp; Hearing, VU University Medical Center)</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(The Graduate Center, CUNY, New York, New York)</w:t>
            </w: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Eustachian tube disease-related symptoms.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disease specific quality of life in patients with chronic suppurative otitis media.</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severity of ear complaints and their impact on patients lives</w:t>
            </w:r>
            <w:r>
              <w:rPr>
                <w:sz w:val="16"/>
                <w:szCs w:val="16"/>
                <w:rtl w:val="0"/>
                <w:lang w:val="nl-NL"/>
              </w:rPr>
              <w: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Identification of older adults requiring audiologic intervention.</w:t>
            </w:r>
          </w:p>
        </w:tc>
      </w:tr>
      <w:tr>
        <w:tblPrEx>
          <w:shd w:val="clear" w:color="auto" w:fill="ceddeb"/>
        </w:tblPrEx>
        <w:trPr>
          <w:trHeight w:val="1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 xml:space="preserve">D, age range, </w:t>
            </w:r>
            <w:r>
              <w:rPr>
                <w:rFonts w:ascii="Helvetica" w:hAnsi="Helvetica"/>
                <w:b w:val="1"/>
                <w:bCs w:val="1"/>
                <w:i w:val="1"/>
                <w:iCs w:val="1"/>
                <w:sz w:val="16"/>
                <w:szCs w:val="16"/>
                <w:rtl w:val="0"/>
                <w:lang w:val="nl-NL"/>
              </w:rPr>
              <w:t>women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75 subjects, 2 groups (adult patients diagnosed with ETD and a control group (C)): 50 subjects (ETD) 49.8yrs, </w:t>
            </w:r>
            <w:r>
              <w:rPr>
                <w:rFonts w:ascii="Calibri" w:cs="Calibri" w:hAnsi="Calibri" w:eastAsia="Calibri"/>
                <w:sz w:val="16"/>
                <w:szCs w:val="16"/>
                <w:rtl w:val="0"/>
              </w:rPr>
              <w:t>±</w:t>
            </w:r>
            <w:r>
              <w:rPr>
                <w:rFonts w:ascii="Calibri" w:cs="Calibri" w:hAnsi="Calibri" w:eastAsia="Calibri"/>
                <w:sz w:val="16"/>
                <w:szCs w:val="16"/>
                <w:rtl w:val="0"/>
                <w:lang w:val="en-US"/>
              </w:rPr>
              <w:t xml:space="preserve">13.9yrs, women: 52%. 25 subjects (C): 53.4yrs, </w:t>
            </w:r>
            <w:r>
              <w:rPr>
                <w:rFonts w:ascii="Calibri" w:cs="Calibri" w:hAnsi="Calibri" w:eastAsia="Calibri"/>
                <w:sz w:val="16"/>
                <w:szCs w:val="16"/>
                <w:rtl w:val="0"/>
              </w:rPr>
              <w:t>±</w:t>
            </w:r>
            <w:r>
              <w:rPr>
                <w:rFonts w:ascii="Calibri" w:cs="Calibri" w:hAnsi="Calibri" w:eastAsia="Calibri"/>
                <w:sz w:val="16"/>
                <w:szCs w:val="16"/>
                <w:rtl w:val="0"/>
                <w:lang w:val="en-US"/>
              </w:rPr>
              <w:t>11.2yrs, women: 48%.</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91 subjects (chronic active otitis media with cholesteatoma, 40.8%; chronic active otitis media without cholesteatoma, 23.8%; chronic inactive otitis media with frequent reactivation, 12.9%; and chronic inactive otitis media, 25.5%.): 44.3yrs, </w:t>
            </w:r>
            <w:r>
              <w:rPr>
                <w:rFonts w:ascii="Calibri" w:cs="Calibri" w:hAnsi="Calibri" w:eastAsia="Calibri"/>
                <w:sz w:val="16"/>
                <w:szCs w:val="16"/>
                <w:rtl w:val="0"/>
              </w:rPr>
              <w:t>±</w:t>
            </w:r>
            <w:r>
              <w:rPr>
                <w:rFonts w:ascii="Calibri" w:cs="Calibri" w:hAnsi="Calibri" w:eastAsia="Calibri"/>
                <w:sz w:val="16"/>
                <w:szCs w:val="16"/>
                <w:rtl w:val="0"/>
                <w:lang w:val="en-US"/>
              </w:rPr>
              <w:t>16yrs, women: approximately 50%.</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352 subjects (patients from the age of 16 and older visiting an ENT surgeon with an ear complaint): 49yrs, range: 16-93yrs, women: 50.3%.</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29 subjects (patients visiting an otolaryngology clinic): 72yrs, </w:t>
            </w:r>
            <w:r>
              <w:rPr>
                <w:rFonts w:ascii="Calibri" w:cs="Calibri" w:hAnsi="Calibri" w:eastAsia="Calibri"/>
                <w:sz w:val="16"/>
                <w:szCs w:val="16"/>
                <w:rtl w:val="0"/>
              </w:rPr>
              <w:t>±</w:t>
            </w:r>
            <w:r>
              <w:rPr>
                <w:rFonts w:ascii="Calibri" w:cs="Calibri" w:hAnsi="Calibri" w:eastAsia="Calibri"/>
                <w:sz w:val="16"/>
                <w:szCs w:val="16"/>
                <w:rtl w:val="0"/>
              </w:rPr>
              <w:t>9.2yrs.</w:t>
            </w:r>
          </w:p>
        </w:tc>
      </w:tr>
      <w:tr>
        <w:tblPrEx>
          <w:shd w:val="clear" w:color="auto" w:fill="ceddeb"/>
        </w:tblPrEx>
        <w:trPr>
          <w:trHeight w:val="16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Literature review (Otitis Media 6-Item Quality-of-Life Survey (OM-6), the Nasal Obstruction Symptom Evaluation, and the 20-Item Sino-Nasal Outcomes Test (SNOT-20)) and item generation by the authors, adjusted according to patient feedback.</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generated by an expert panel of otologists.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constructed based on patient interviews, revised by input from an expert panel (incl specialists in ear and hearing) or adapted from the Amsterdam Inventory for Auditory Disability and Handicap.</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drawn primarily from the THI, DHI, and HHI-E.</w:t>
            </w:r>
          </w:p>
        </w:tc>
      </w:tr>
      <w:tr>
        <w:tblPrEx>
          <w:shd w:val="clear" w:color="auto" w:fill="ceddeb"/>
        </w:tblPrEx>
        <w:trPr>
          <w:trHeight w:val="2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07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13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34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10 items</w:t>
            </w:r>
          </w:p>
        </w:tc>
      </w:tr>
      <w:tr>
        <w:tblPrEx>
          <w:shd w:val="clear" w:color="auto" w:fill="ceddeb"/>
        </w:tblPrEx>
        <w:trPr>
          <w:trHeight w:val="42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GER, CHN (Mandarin/Cantonese?), Hebrew.</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USA, ITA, KOR, Chinese (Mandarin).</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NLD.</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A"/>
        <w:widowControl w:val="0"/>
        <w:ind w:left="108" w:hanging="108"/>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0"/>
        <w:gridCol w:w="2911"/>
        <w:gridCol w:w="2910"/>
        <w:gridCol w:w="2911"/>
      </w:tblGrid>
      <w:tr>
        <w:tblPrEx>
          <w:shd w:val="clear" w:color="auto" w:fill="ceddeb"/>
        </w:tblPrEx>
        <w:trPr>
          <w:trHeight w:val="6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Meni</w:t>
            </w:r>
            <w:r>
              <w:rPr>
                <w:b w:val="1"/>
                <w:bCs w:val="1"/>
                <w:sz w:val="16"/>
                <w:szCs w:val="16"/>
                <w:rtl w:val="0"/>
                <w:lang w:val="en-US"/>
              </w:rPr>
              <w:t>è</w:t>
            </w:r>
            <w:r>
              <w:rPr>
                <w:b w:val="1"/>
                <w:bCs w:val="1"/>
                <w:sz w:val="16"/>
                <w:szCs w:val="16"/>
                <w:rtl w:val="0"/>
                <w:lang w:val="en-US"/>
              </w:rPr>
              <w:t>re</w:t>
            </w:r>
            <w:r>
              <w:rPr>
                <w:b w:val="1"/>
                <w:bCs w:val="1"/>
                <w:sz w:val="16"/>
                <w:szCs w:val="16"/>
                <w:rtl w:val="0"/>
                <w:lang w:val="en-US"/>
              </w:rPr>
              <w:t>’</w:t>
            </w:r>
            <w:r>
              <w:rPr>
                <w:b w:val="1"/>
                <w:bCs w:val="1"/>
                <w:sz w:val="16"/>
                <w:szCs w:val="16"/>
                <w:rtl w:val="0"/>
                <w:lang w:val="en-US"/>
              </w:rPr>
              <w:t>s Disease Outcome Questionnaire - Retrospective Version</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Dizziness, tinnitus and taste disturbances questionnaire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Chronic Otitis Media Outcome Test 15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pPr>
            <w:r>
              <w:rPr>
                <w:b w:val="1"/>
                <w:bCs w:val="1"/>
                <w:sz w:val="16"/>
                <w:szCs w:val="16"/>
                <w:rtl w:val="0"/>
                <w:lang w:val="en-US"/>
              </w:rPr>
              <w:t>Gopen</w:t>
            </w:r>
            <w:r>
              <w:rPr>
                <w:b w:val="1"/>
                <w:bCs w:val="1"/>
                <w:sz w:val="16"/>
                <w:szCs w:val="16"/>
                <w:rtl w:val="0"/>
                <w:lang w:val="en-US"/>
              </w:rPr>
              <w:t>–</w:t>
            </w:r>
            <w:r>
              <w:rPr>
                <w:b w:val="1"/>
                <w:bCs w:val="1"/>
                <w:sz w:val="16"/>
                <w:szCs w:val="16"/>
                <w:rtl w:val="0"/>
                <w:lang w:val="en-US"/>
              </w:rPr>
              <w:t>Yang Superior Semicircular Canal Dehiscence Questionnaire</w:t>
            </w:r>
          </w:p>
        </w:tc>
      </w:tr>
      <w:tr>
        <w:tblPrEx>
          <w:shd w:val="clear" w:color="auto" w:fill="ceddeb"/>
        </w:tblPrEx>
        <w:trPr>
          <w:trHeight w:val="2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it-IT"/>
              </w:rPr>
              <w:t>Kato BM (2004)</w:t>
            </w:r>
            <w:r>
              <w:rPr>
                <w:sz w:val="16"/>
                <w:szCs w:val="16"/>
                <w:vertAlign w:val="superscript"/>
                <w:rtl w:val="0"/>
                <w:lang w:val="nl-NL"/>
              </w:rPr>
              <w:t>9</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Mikkelsen KS (2017)</w:t>
            </w:r>
            <w:r>
              <w:rPr>
                <w:sz w:val="16"/>
                <w:szCs w:val="16"/>
                <w:vertAlign w:val="superscript"/>
                <w:rtl w:val="0"/>
                <w:lang w:val="nl-NL"/>
              </w:rPr>
              <w:t>10</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Baumann I (2009)</w:t>
            </w:r>
            <w:r>
              <w:rPr>
                <w:sz w:val="16"/>
                <w:szCs w:val="16"/>
                <w:vertAlign w:val="superscript"/>
                <w:rtl w:val="0"/>
                <w:lang w:val="nl-NL"/>
              </w:rPr>
              <w:t>11</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nl-NL"/>
              </w:rPr>
              <w:t>Voth BL (2018)</w:t>
            </w:r>
            <w:r>
              <w:rPr>
                <w:sz w:val="16"/>
                <w:szCs w:val="16"/>
                <w:vertAlign w:val="superscript"/>
                <w:rtl w:val="0"/>
                <w:lang w:val="nl-NL"/>
              </w:rPr>
              <w:t>12</w:t>
            </w:r>
          </w:p>
        </w:tc>
      </w:tr>
      <w:tr>
        <w:tblPrEx>
          <w:shd w:val="clear" w:color="auto" w:fill="ceddeb"/>
        </w:tblPrEx>
        <w:trPr>
          <w:trHeight w:val="8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(Kaiser Permanente Medical Center, Union City, California)</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DNK (Department of Otorhinolaryngology, Head and Neck Surgery and Audiology, Rigshospitalet, Copenhagen)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de-DE"/>
              </w:rPr>
              <w:t>GER (Universit</w:t>
            </w:r>
            <w:r>
              <w:rPr>
                <w:rFonts w:ascii="Calibri" w:cs="Calibri" w:hAnsi="Calibri" w:eastAsia="Calibri"/>
                <w:sz w:val="16"/>
                <w:szCs w:val="16"/>
                <w:rtl w:val="0"/>
              </w:rPr>
              <w:t>ä</w:t>
            </w:r>
            <w:r>
              <w:rPr>
                <w:rFonts w:ascii="Calibri" w:cs="Calibri" w:hAnsi="Calibri" w:eastAsia="Calibri"/>
                <w:sz w:val="16"/>
                <w:szCs w:val="16"/>
                <w:rtl w:val="0"/>
                <w:lang w:val="de-DE"/>
              </w:rPr>
              <w:t>ts-HNO-Klinik, Heidelberg)</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Neurosurgery, David Geffen School of Medicine, University of California, Los Angeles)</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quality of life in patients with M</w:t>
            </w:r>
            <w:r>
              <w:rPr>
                <w:sz w:val="16"/>
                <w:szCs w:val="16"/>
                <w:rtl w:val="0"/>
                <w:lang w:val="en-US"/>
              </w:rPr>
              <w:t>é</w:t>
            </w:r>
            <w:r>
              <w:rPr>
                <w:sz w:val="16"/>
                <w:szCs w:val="16"/>
                <w:rtl w:val="0"/>
                <w:lang w:val="en-US"/>
              </w:rPr>
              <w:t>ni</w:t>
            </w:r>
            <w:r>
              <w:rPr>
                <w:sz w:val="16"/>
                <w:szCs w:val="16"/>
                <w:rtl w:val="0"/>
                <w:lang w:val="en-US"/>
              </w:rPr>
              <w:t>è</w:t>
            </w:r>
            <w:r>
              <w:rPr>
                <w:sz w:val="16"/>
                <w:szCs w:val="16"/>
                <w:rtl w:val="0"/>
                <w:lang w:val="en-US"/>
              </w:rPr>
              <w:t>re</w:t>
            </w:r>
            <w:r>
              <w:rPr>
                <w:sz w:val="16"/>
                <w:szCs w:val="16"/>
                <w:rtl w:val="0"/>
                <w:lang w:val="en-US"/>
              </w:rPr>
              <w:t>’</w:t>
            </w:r>
            <w:r>
              <w:rPr>
                <w:sz w:val="16"/>
                <w:szCs w:val="16"/>
                <w:rtl w:val="0"/>
                <w:lang w:val="en-US"/>
              </w:rPr>
              <w:t>s disease (after surgery).</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rPr>
                <w:sz w:val="16"/>
                <w:szCs w:val="16"/>
              </w:rPr>
            </w:pPr>
            <w:r>
              <w:rPr>
                <w:sz w:val="16"/>
                <w:szCs w:val="16"/>
                <w:rtl w:val="0"/>
                <w:lang w:val="en-US"/>
              </w:rPr>
              <w:t>Assessment of dizziness,</w:t>
            </w:r>
          </w:p>
          <w:p>
            <w:pPr>
              <w:pStyle w:val="Standaard"/>
            </w:pPr>
            <w:r>
              <w:rPr>
                <w:sz w:val="16"/>
                <w:szCs w:val="16"/>
                <w:rtl w:val="0"/>
                <w:lang w:val="en-US"/>
              </w:rPr>
              <w:t xml:space="preserve">tinnitus and taste disturbances in cochlear implantees.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quality of life in individuals with chronic suppurative otitis media.</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subjective symptoms in patients undergoing surgical repair of superior semicircular canal dehiscence.</w:t>
            </w:r>
          </w:p>
        </w:tc>
      </w:tr>
      <w:tr>
        <w:tblPrEx>
          <w:shd w:val="clear" w:color="auto" w:fill="ceddeb"/>
        </w:tblPrEx>
        <w:trPr>
          <w:trHeight w:val="16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D, age range,</w:t>
            </w:r>
            <w:r>
              <w:rPr>
                <w:rFonts w:ascii="Helvetica" w:hAnsi="Helvetica"/>
                <w:b w:val="1"/>
                <w:bCs w:val="1"/>
                <w:i w:val="1"/>
                <w:iCs w:val="1"/>
                <w:sz w:val="16"/>
                <w:szCs w:val="16"/>
                <w:rtl w:val="0"/>
                <w:lang w:val="nl-NL"/>
              </w:rPr>
              <w:t xml:space="preserve"> women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159 subjects (patients with M</w:t>
            </w:r>
            <w:r>
              <w:rPr>
                <w:rFonts w:ascii="Calibri" w:cs="Calibri" w:hAnsi="Calibri" w:eastAsia="Calibri"/>
                <w:sz w:val="16"/>
                <w:szCs w:val="16"/>
                <w:rtl w:val="0"/>
                <w:lang w:val="fr-FR"/>
              </w:rPr>
              <w:t>é</w:t>
            </w:r>
            <w:r>
              <w:rPr>
                <w:rFonts w:ascii="Calibri" w:cs="Calibri" w:hAnsi="Calibri" w:eastAsia="Calibri"/>
                <w:sz w:val="16"/>
                <w:szCs w:val="16"/>
                <w:rtl w:val="0"/>
              </w:rPr>
              <w:t>ni</w:t>
            </w:r>
            <w:r>
              <w:rPr>
                <w:rFonts w:ascii="Calibri" w:cs="Calibri" w:hAnsi="Calibri" w:eastAsia="Calibri"/>
                <w:sz w:val="16"/>
                <w:szCs w:val="16"/>
                <w:rtl w:val="0"/>
                <w:lang w:val="fr-FR"/>
              </w:rPr>
              <w:t>è</w:t>
            </w:r>
            <w:r>
              <w:rPr>
                <w:rFonts w:ascii="Calibri" w:cs="Calibri" w:hAnsi="Calibri" w:eastAsia="Calibri"/>
                <w:sz w:val="16"/>
                <w:szCs w:val="16"/>
                <w:rtl w:val="0"/>
              </w:rPr>
              <w:t>re</w:t>
            </w:r>
            <w:r>
              <w:rPr>
                <w:rFonts w:ascii="Calibri" w:cs="Calibri" w:hAnsi="Calibri" w:eastAsia="Calibri"/>
                <w:sz w:val="16"/>
                <w:szCs w:val="16"/>
                <w:rtl w:val="0"/>
              </w:rPr>
              <w:t>’</w:t>
            </w:r>
            <w:r>
              <w:rPr>
                <w:rFonts w:ascii="Calibri" w:cs="Calibri" w:hAnsi="Calibri" w:eastAsia="Calibri"/>
                <w:sz w:val="16"/>
                <w:szCs w:val="16"/>
                <w:rtl w:val="0"/>
                <w:lang w:val="en-US"/>
              </w:rPr>
              <w:t>s disease who underwent endolymphatic sac decompression after failing a course of medical management (with diuretics, diet modification, and oral steroids when appropriate)): 52.4yrs, women: 53.5%, range 20-83yrs.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77 subjects (cochlear implantees): women: 66.23%.</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121 subjects (patients with chronic suppurative mesotympanic or epitympanic otitis media): 48,8yrs, </w:t>
            </w:r>
            <w:r>
              <w:rPr>
                <w:rFonts w:ascii="Calibri" w:cs="Calibri" w:hAnsi="Calibri" w:eastAsia="Calibri"/>
                <w:sz w:val="16"/>
                <w:szCs w:val="16"/>
                <w:rtl w:val="0"/>
              </w:rPr>
              <w:t>±</w:t>
            </w:r>
            <w:r>
              <w:rPr>
                <w:rFonts w:ascii="Calibri" w:cs="Calibri" w:hAnsi="Calibri" w:eastAsia="Calibri"/>
                <w:sz w:val="16"/>
                <w:szCs w:val="16"/>
                <w:rtl w:val="0"/>
                <w:lang w:val="en-US"/>
              </w:rPr>
              <w:t>14.5yrs, range: 18-75yrs, women: 52.06%.</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23 subjects (patients undergoing surgical repair of superior semicircular canal dehiscence): 52.5yrs, </w:t>
            </w:r>
            <w:r>
              <w:rPr>
                <w:rFonts w:ascii="Calibri" w:cs="Calibri" w:hAnsi="Calibri" w:eastAsia="Calibri"/>
                <w:sz w:val="16"/>
                <w:szCs w:val="16"/>
                <w:rtl w:val="0"/>
              </w:rPr>
              <w:t>±</w:t>
            </w:r>
            <w:r>
              <w:rPr>
                <w:rFonts w:ascii="Calibri" w:cs="Calibri" w:hAnsi="Calibri" w:eastAsia="Calibri"/>
                <w:sz w:val="16"/>
                <w:szCs w:val="16"/>
                <w:rtl w:val="0"/>
                <w:lang w:val="en-US"/>
              </w:rPr>
              <w:t>12.7yrs, women: 52,2%.</w:t>
            </w: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were generated by authors based on clinical experience and previous outcomes work on Menieres Disease.</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No description of item generation.</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were generated by a group of experts.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Items are derived from the Rand 36-item Short-Form Health Survey (</w:t>
            </w:r>
            <w:r>
              <w:rPr>
                <w:rFonts w:ascii="Helvetica" w:hAnsi="Helvetica" w:hint="default"/>
                <w:sz w:val="16"/>
                <w:szCs w:val="16"/>
                <w:rtl w:val="0"/>
                <w:lang w:val="en-US"/>
              </w:rPr>
              <w:t xml:space="preserve">‘ </w:t>
            </w:r>
            <w:r>
              <w:rPr>
                <w:rFonts w:ascii="Helvetica" w:hAnsi="Helvetica"/>
                <w:sz w:val="16"/>
                <w:szCs w:val="16"/>
                <w:rtl w:val="0"/>
                <w:lang w:val="en-US"/>
              </w:rPr>
              <w:t>SF-36</w:t>
            </w:r>
            <w:r>
              <w:rPr>
                <w:rFonts w:ascii="Helvetica" w:hAnsi="Helvetica" w:hint="default"/>
                <w:sz w:val="16"/>
                <w:szCs w:val="16"/>
                <w:rtl w:val="0"/>
                <w:lang w:val="en-US"/>
              </w:rPr>
              <w:t xml:space="preserve">’ </w:t>
            </w:r>
            <w:r>
              <w:rPr>
                <w:rFonts w:ascii="Helvetica" w:hAnsi="Helvetica"/>
                <w:sz w:val="16"/>
                <w:szCs w:val="16"/>
                <w:rtl w:val="0"/>
                <w:lang w:val="en-US"/>
              </w:rPr>
              <w:t>), Tinnitus Handicap Inventory and the Dizziness Handicap Inventory.</w:t>
            </w:r>
          </w:p>
        </w:tc>
      </w:tr>
      <w:tr>
        <w:tblPrEx>
          <w:shd w:val="clear" w:color="auto" w:fill="ceddeb"/>
        </w:tblPrEx>
        <w:trPr>
          <w:trHeight w:val="26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40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68 items</w:t>
            </w:r>
          </w:p>
        </w:tc>
      </w:tr>
      <w:tr>
        <w:tblPrEx>
          <w:shd w:val="clear" w:color="auto" w:fill="ceddeb"/>
        </w:tblPrEx>
        <w:trPr>
          <w:trHeight w:val="27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DNK.</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GER, Kannada.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r>
    </w:tbl>
    <w:p>
      <w:pPr>
        <w:pStyle w:val="Hoofdtekst A A"/>
        <w:widowControl w:val="0"/>
        <w:ind w:left="108" w:hanging="108"/>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tbl>
      <w:tblPr>
        <w:tblW w:w="1455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910"/>
        <w:gridCol w:w="2910"/>
        <w:gridCol w:w="2911"/>
        <w:gridCol w:w="2910"/>
        <w:gridCol w:w="2911"/>
      </w:tblGrid>
      <w:tr>
        <w:tblPrEx>
          <w:shd w:val="clear" w:color="auto" w:fill="ceddeb"/>
        </w:tblPrEx>
        <w:trPr>
          <w:trHeight w:val="44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Dizziness Symptom Profile</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Dokuz Eyl</w:t>
            </w:r>
            <w:r>
              <w:rPr>
                <w:b w:val="1"/>
                <w:bCs w:val="1"/>
                <w:sz w:val="16"/>
                <w:szCs w:val="16"/>
                <w:rtl w:val="0"/>
                <w:lang w:val="en-US"/>
              </w:rPr>
              <w:t>ü</w:t>
            </w:r>
            <w:r>
              <w:rPr>
                <w:b w:val="1"/>
                <w:bCs w:val="1"/>
                <w:sz w:val="16"/>
                <w:szCs w:val="16"/>
                <w:rtl w:val="0"/>
                <w:lang w:val="en-US"/>
              </w:rPr>
              <w:t>l University Meniere</w:t>
            </w:r>
            <w:r>
              <w:rPr>
                <w:b w:val="1"/>
                <w:bCs w:val="1"/>
                <w:sz w:val="16"/>
                <w:szCs w:val="16"/>
                <w:rtl w:val="0"/>
                <w:lang w:val="en-US"/>
              </w:rPr>
              <w:t>’</w:t>
            </w:r>
            <w:r>
              <w:rPr>
                <w:b w:val="1"/>
                <w:bCs w:val="1"/>
                <w:sz w:val="16"/>
                <w:szCs w:val="16"/>
                <w:rtl w:val="0"/>
                <w:lang w:val="en-US"/>
              </w:rPr>
              <w:t>s Disease Disability Scale</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pPr>
            <w:r>
              <w:rPr>
                <w:b w:val="1"/>
                <w:bCs w:val="1"/>
                <w:sz w:val="16"/>
                <w:szCs w:val="16"/>
                <w:rtl w:val="0"/>
                <w:lang w:val="en-US"/>
              </w:rPr>
              <w:t xml:space="preserve">Consumer Ear Disease Risk Assessment </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r>
      <w:tr>
        <w:tblPrEx>
          <w:shd w:val="clear" w:color="auto" w:fill="ceddeb"/>
        </w:tblPrEx>
        <w:trPr>
          <w:trHeight w:val="330" w:hRule="atLeast"/>
        </w:trPr>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nl-NL"/>
              </w:rPr>
              <w:t>Jacobson GP (2019)</w:t>
            </w:r>
            <w:r>
              <w:rPr>
                <w:sz w:val="16"/>
                <w:szCs w:val="16"/>
                <w:vertAlign w:val="superscript"/>
                <w:rtl w:val="0"/>
                <w:lang w:val="nl-NL"/>
              </w:rPr>
              <w:t>13</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Mutlu B</w:t>
            </w:r>
            <w:r>
              <w:rPr>
                <w:sz w:val="16"/>
                <w:szCs w:val="16"/>
                <w:rtl w:val="0"/>
                <w:lang w:val="nl-NL"/>
              </w:rPr>
              <w:t xml:space="preserve"> (2018)</w:t>
            </w:r>
            <w:r>
              <w:rPr>
                <w:sz w:val="16"/>
                <w:szCs w:val="16"/>
                <w:vertAlign w:val="superscript"/>
                <w:rtl w:val="0"/>
                <w:lang w:val="nl-NL"/>
              </w:rPr>
              <w:t>14</w:t>
            </w:r>
          </w:p>
        </w:tc>
        <w:tc>
          <w:tcPr>
            <w:tcW w:type="dxa" w:w="2910"/>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A"/>
            </w:pPr>
            <w:r>
              <w:rPr>
                <w:sz w:val="16"/>
                <w:szCs w:val="16"/>
                <w:rtl w:val="0"/>
                <w:lang w:val="nl-NL"/>
              </w:rPr>
              <w:t>Kleindienst SJ (2017)</w:t>
            </w:r>
            <w:r>
              <w:rPr>
                <w:sz w:val="16"/>
                <w:szCs w:val="16"/>
                <w:vertAlign w:val="superscript"/>
                <w:rtl w:val="0"/>
                <w:lang w:val="nl-NL"/>
              </w:rPr>
              <w:t>15</w:t>
            </w:r>
          </w:p>
        </w:tc>
        <w:tc>
          <w:tcPr>
            <w:tcW w:type="dxa" w:w="2911"/>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r>
      <w:tr>
        <w:tblPrEx>
          <w:shd w:val="clear" w:color="auto" w:fill="ceddeb"/>
        </w:tblPrEx>
        <w:trPr>
          <w:trHeight w:val="1030" w:hRule="atLeast"/>
        </w:trPr>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Country (institution)</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(Department of Hearing and Speech Sciences, Division of Vestibular Sciences, Vanderbilt University School of Medicine, Nashville, Tennessee)</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TUR (Department of Otorhinolaryngology, Unit of Hearing, Speech and Balance, Dokuz Eyl</w:t>
            </w:r>
            <w:r>
              <w:rPr>
                <w:rFonts w:ascii="Calibri" w:cs="Calibri" w:hAnsi="Calibri" w:eastAsia="Calibri"/>
                <w:sz w:val="16"/>
                <w:szCs w:val="16"/>
                <w:rtl w:val="0"/>
              </w:rPr>
              <w:t>ü</w:t>
            </w:r>
            <w:r>
              <w:rPr>
                <w:rFonts w:ascii="Calibri" w:cs="Calibri" w:hAnsi="Calibri" w:eastAsia="Calibri"/>
                <w:sz w:val="16"/>
                <w:szCs w:val="16"/>
                <w:rtl w:val="0"/>
                <w:lang w:val="en-US"/>
              </w:rPr>
              <w:t xml:space="preserve">l Univeristy School of Medicine, </w:t>
            </w:r>
            <w:r>
              <w:rPr>
                <w:rFonts w:ascii="Calibri" w:cs="Calibri" w:hAnsi="Calibri" w:eastAsia="Calibri"/>
                <w:sz w:val="16"/>
                <w:szCs w:val="16"/>
                <w:rtl w:val="0"/>
              </w:rPr>
              <w:t>İ</w:t>
            </w:r>
            <w:r>
              <w:rPr>
                <w:rFonts w:ascii="Calibri" w:cs="Calibri" w:hAnsi="Calibri" w:eastAsia="Calibri"/>
                <w:sz w:val="16"/>
                <w:szCs w:val="16"/>
                <w:rtl w:val="0"/>
              </w:rPr>
              <w:t>zmir)</w:t>
            </w:r>
          </w:p>
        </w:tc>
        <w:tc>
          <w:tcPr>
            <w:tcW w:type="dxa" w:w="2910"/>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USA (Division of Audiology, Mayo Clinic Arizona, Scottsdale)</w:t>
            </w:r>
          </w:p>
        </w:tc>
        <w:tc>
          <w:tcPr>
            <w:tcW w:type="dxa" w:w="2911"/>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4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Generation of a differential diagnosis in dizziness patients</w:t>
            </w:r>
            <w:r>
              <w:rPr>
                <w:sz w:val="16"/>
                <w:szCs w:val="16"/>
                <w:rtl w:val="0"/>
                <w:lang w:val="nl-NL"/>
              </w:rPr>
              <w:t>.</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quality of life in Meniere</w:t>
            </w:r>
            <w:r>
              <w:rPr>
                <w:sz w:val="16"/>
                <w:szCs w:val="16"/>
                <w:rtl w:val="0"/>
                <w:lang w:val="en-US"/>
              </w:rPr>
              <w:t>’</w:t>
            </w:r>
            <w:r>
              <w:rPr>
                <w:sz w:val="16"/>
                <w:szCs w:val="16"/>
                <w:rtl w:val="0"/>
                <w:lang w:val="en-US"/>
              </w:rPr>
              <w:t>s disease sufferers</w:t>
            </w:r>
            <w:r>
              <w:rPr>
                <w:sz w:val="16"/>
                <w:szCs w:val="16"/>
                <w:rtl w:val="0"/>
                <w:lang w:val="nl-NL"/>
              </w:rPr>
              <w: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ones risk for ear diseases associated with hearing loss.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8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rPr>
                <w:rFonts w:ascii="Helvetica" w:cs="Helvetica" w:hAnsi="Helvetica" w:eastAsia="Helvetica"/>
                <w:b w:val="1"/>
                <w:bCs w:val="1"/>
                <w:sz w:val="16"/>
                <w:szCs w:val="16"/>
              </w:rPr>
            </w:pPr>
            <w:r>
              <w:rPr>
                <w:rFonts w:ascii="Helvetica" w:hAnsi="Helvetica"/>
                <w:b w:val="1"/>
                <w:bCs w:val="1"/>
                <w:sz w:val="16"/>
                <w:szCs w:val="16"/>
                <w:rtl w:val="0"/>
                <w:lang w:val="en-US"/>
              </w:rPr>
              <w:t>Study population</w:t>
            </w:r>
          </w:p>
          <w:p>
            <w:pPr>
              <w:pStyle w:val="Hoofdtekst"/>
            </w:pPr>
            <w:r>
              <w:rPr>
                <w:rFonts w:ascii="Helvetica" w:hAnsi="Helvetica"/>
                <w:b w:val="1"/>
                <w:bCs w:val="1"/>
                <w:i w:val="1"/>
                <w:iCs w:val="1"/>
                <w:sz w:val="16"/>
                <w:szCs w:val="16"/>
                <w:rtl w:val="0"/>
                <w:lang w:val="en-US"/>
              </w:rPr>
              <w:t>mean age</w:t>
            </w:r>
            <w:r>
              <w:rPr>
                <w:rFonts w:ascii="Helvetica" w:hAnsi="Helvetica"/>
                <w:b w:val="1"/>
                <w:bCs w:val="1"/>
                <w:i w:val="1"/>
                <w:iCs w:val="1"/>
                <w:sz w:val="16"/>
                <w:szCs w:val="16"/>
                <w:rtl w:val="0"/>
                <w:lang w:val="nl-NL"/>
              </w:rPr>
              <w:t>, S</w:t>
            </w:r>
            <w:r>
              <w:rPr>
                <w:rFonts w:ascii="Helvetica" w:hAnsi="Helvetica"/>
                <w:b w:val="1"/>
                <w:bCs w:val="1"/>
                <w:i w:val="1"/>
                <w:iCs w:val="1"/>
                <w:sz w:val="16"/>
                <w:szCs w:val="16"/>
                <w:rtl w:val="0"/>
                <w:lang w:val="en-US"/>
              </w:rPr>
              <w:t>D, age range,</w:t>
            </w:r>
            <w:r>
              <w:rPr>
                <w:rFonts w:ascii="Helvetica" w:hAnsi="Helvetica"/>
                <w:b w:val="1"/>
                <w:bCs w:val="1"/>
                <w:i w:val="1"/>
                <w:iCs w:val="1"/>
                <w:sz w:val="16"/>
                <w:szCs w:val="16"/>
                <w:rtl w:val="0"/>
                <w:lang w:val="nl-NL"/>
              </w:rPr>
              <w:t xml:space="preserve"> women (%)</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162 subjects (patients evaluated for dizziness, vertigo, and unsteadiness): 54.86yrs, </w:t>
            </w:r>
            <w:r>
              <w:rPr>
                <w:rFonts w:ascii="Calibri" w:cs="Calibri" w:hAnsi="Calibri" w:eastAsia="Calibri"/>
                <w:sz w:val="16"/>
                <w:szCs w:val="16"/>
                <w:rtl w:val="0"/>
              </w:rPr>
              <w:t>±</w:t>
            </w:r>
            <w:r>
              <w:rPr>
                <w:rFonts w:ascii="Calibri" w:cs="Calibri" w:hAnsi="Calibri" w:eastAsia="Calibri"/>
                <w:sz w:val="16"/>
                <w:szCs w:val="16"/>
                <w:rtl w:val="0"/>
                <w:lang w:val="en-US"/>
              </w:rPr>
              <w:t>15.32yrs, range: 18-76 yrs, women: 58.64%.</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93 subjects (MD patients): 48.9yrs, </w:t>
            </w:r>
            <w:r>
              <w:rPr>
                <w:rFonts w:ascii="Calibri" w:cs="Calibri" w:hAnsi="Calibri" w:eastAsia="Calibri"/>
                <w:sz w:val="16"/>
                <w:szCs w:val="16"/>
                <w:rtl w:val="0"/>
              </w:rPr>
              <w:t>±</w:t>
            </w:r>
            <w:r>
              <w:rPr>
                <w:rFonts w:ascii="Calibri" w:cs="Calibri" w:hAnsi="Calibri" w:eastAsia="Calibri"/>
                <w:sz w:val="16"/>
                <w:szCs w:val="16"/>
                <w:rtl w:val="0"/>
                <w:lang w:val="en-US"/>
              </w:rPr>
              <w:t>12.1yrs, women: 51.6%.</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 xml:space="preserve">307 subjects (patients with ear or hearing-related complaints requiring neurotologic examination): 62.9yrs, </w:t>
            </w:r>
            <w:r>
              <w:rPr>
                <w:rFonts w:ascii="Calibri" w:cs="Calibri" w:hAnsi="Calibri" w:eastAsia="Calibri"/>
                <w:sz w:val="16"/>
                <w:szCs w:val="16"/>
                <w:rtl w:val="0"/>
              </w:rPr>
              <w:t>±</w:t>
            </w:r>
            <w:r>
              <w:rPr>
                <w:rFonts w:ascii="Calibri" w:cs="Calibri" w:hAnsi="Calibri" w:eastAsia="Calibri"/>
                <w:sz w:val="16"/>
                <w:szCs w:val="16"/>
                <w:rtl w:val="0"/>
                <w:lang w:val="en-US"/>
              </w:rPr>
              <w:t>9.8 years, women: 48%.</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62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 development</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generated based on diagnostic criteria and consensus statement in literature and expert opinion.</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generated based on disease characteristics, MD specific and neuro-otological questionnaires.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generated by neurology content experts refined through cognitive patient interviews.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300" w:hRule="atLeast"/>
        </w:trPr>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31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32 items</w:t>
            </w:r>
          </w:p>
        </w:tc>
        <w:tc>
          <w:tcPr>
            <w:tcW w:type="dxa" w:w="2910"/>
            <w:tcBorders>
              <w:top w:val="nil"/>
              <w:left w:val="nil"/>
              <w:bottom w:val="nil"/>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15 items</w:t>
            </w:r>
          </w:p>
        </w:tc>
        <w:tc>
          <w:tcPr>
            <w:tcW w:type="dxa" w:w="2911"/>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deb"/>
        </w:tblPrEx>
        <w:trPr>
          <w:trHeight w:val="300" w:hRule="atLeast"/>
        </w:trPr>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b w:val="1"/>
                <w:bCs w:val="1"/>
                <w:sz w:val="16"/>
                <w:szCs w:val="16"/>
                <w:rtl w:val="0"/>
                <w:lang w:val="en-US"/>
              </w:rPr>
              <w:t>Translations</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ENG, TUR.</w:t>
            </w:r>
          </w:p>
        </w:tc>
        <w:tc>
          <w:tcPr>
            <w:tcW w:type="dxa" w:w="2910"/>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Hoofdtekst"/>
            </w:pPr>
            <w:r>
              <w:rPr>
                <w:rFonts w:ascii="Helvetica" w:hAnsi="Helvetica"/>
                <w:sz w:val="16"/>
                <w:szCs w:val="16"/>
                <w:rtl w:val="0"/>
                <w:lang w:val="en-US"/>
              </w:rPr>
              <w:t>USA.</w:t>
            </w:r>
          </w:p>
        </w:tc>
        <w:tc>
          <w:tcPr>
            <w:tcW w:type="dxa" w:w="2911"/>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tc>
      </w:tr>
    </w:tbl>
    <w:p>
      <w:pPr>
        <w:pStyle w:val="Hoofdtekst A A"/>
        <w:widowControl w:val="0"/>
        <w:ind w:left="108" w:hanging="108"/>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pPr>
    </w:p>
    <w:p>
      <w:pPr>
        <w:pStyle w:val="Hoofdtekst A A"/>
        <w:spacing w:before="120" w:line="480" w:lineRule="auto"/>
      </w:pPr>
      <w:r>
        <w:rPr>
          <w:rtl w:val="0"/>
          <w:lang w:val="en-US"/>
        </w:rPr>
        <w:t xml:space="preserve">References: </w:t>
      </w:r>
    </w:p>
    <w:p>
      <w:pPr>
        <w:pStyle w:val="Hoofdtekst A A A"/>
        <w:spacing w:before="120" w:line="480" w:lineRule="auto"/>
      </w:pPr>
    </w:p>
    <w:p>
      <w:pPr>
        <w:pStyle w:val="Hoofdtekst A A A"/>
        <w:numPr>
          <w:ilvl w:val="0"/>
          <w:numId w:val="2"/>
        </w:numPr>
        <w:spacing w:before="120" w:line="480" w:lineRule="auto"/>
        <w:rPr>
          <w:lang w:val="en-US"/>
        </w:rPr>
      </w:pPr>
      <w:r>
        <w:rPr>
          <w:rtl w:val="0"/>
          <w:lang w:val="en-US"/>
        </w:rPr>
        <w:t xml:space="preserve">Murphy MP, Gates GA. Measuring the effects of Meniere's disease: results of the Patient-Oriented Severity Index (MD POSI) version 1. </w:t>
      </w:r>
      <w:r>
        <w:rPr>
          <w:rtl w:val="0"/>
          <w:lang w:val="fr-FR"/>
        </w:rPr>
        <w:t xml:space="preserve">Ann Otol </w:t>
      </w:r>
    </w:p>
    <w:p>
      <w:pPr>
        <w:pStyle w:val="Hoofdtekst A A A"/>
        <w:spacing w:before="120" w:line="480" w:lineRule="auto"/>
        <w:ind w:left="360" w:firstLine="0"/>
        <w:rPr>
          <w:lang w:val="fr-FR"/>
        </w:rPr>
      </w:pPr>
      <w:r>
        <w:rPr>
          <w:rtl w:val="0"/>
          <w:lang w:val="fr-FR"/>
        </w:rPr>
        <w:t>Rhinol Laryngol. 1999;108(4):331-7.</w:t>
      </w:r>
    </w:p>
    <w:p>
      <w:pPr>
        <w:pStyle w:val="EndNote Bibliography"/>
        <w:numPr>
          <w:ilvl w:val="0"/>
          <w:numId w:val="2"/>
        </w:numPr>
        <w:spacing w:before="120" w:line="480" w:lineRule="auto"/>
        <w:rPr>
          <w:lang w:val="en-US"/>
        </w:rPr>
      </w:pPr>
      <w:r>
        <w:rPr>
          <w:rtl w:val="0"/>
          <w:lang w:val="en-US"/>
        </w:rPr>
        <w:t xml:space="preserve">Phillips JS, Haggard M, Yung M. A new health-related quality of life measure for active chronic otitis media (COMQ-12): development and  initial </w:t>
      </w:r>
    </w:p>
    <w:p>
      <w:pPr>
        <w:pStyle w:val="EndNote Bibliography"/>
        <w:spacing w:before="120" w:line="480" w:lineRule="auto"/>
      </w:pPr>
      <w:r>
        <w:rPr>
          <w:rtl w:val="0"/>
          <w:lang w:val="en-US"/>
        </w:rPr>
        <w:t xml:space="preserve">      validation. Otol Neurotol. 2014;35(3):454-8.</w:t>
      </w:r>
    </w:p>
    <w:p>
      <w:pPr>
        <w:pStyle w:val="EndNote Bibliography"/>
        <w:numPr>
          <w:ilvl w:val="0"/>
          <w:numId w:val="2"/>
        </w:numPr>
        <w:spacing w:before="120" w:line="480" w:lineRule="auto"/>
        <w:rPr>
          <w:lang w:val="en-US"/>
        </w:rPr>
      </w:pPr>
      <w:r>
        <w:rPr>
          <w:rtl w:val="0"/>
          <w:lang w:val="en-US"/>
        </w:rPr>
        <w:t xml:space="preserve">Martin TP, Moualed D, Paul A, Ronan N, Tysome JR, Donnelly NP, et al. The Cambridge Otology Quality of Life Questionnaire: an otology-  </w:t>
      </w:r>
    </w:p>
    <w:p>
      <w:pPr>
        <w:pStyle w:val="EndNote Bibliography"/>
        <w:spacing w:before="120" w:line="480" w:lineRule="auto"/>
        <w:ind w:firstLine="360"/>
      </w:pPr>
      <w:r>
        <w:rPr>
          <w:rtl w:val="0"/>
          <w:lang w:val="en-US"/>
        </w:rPr>
        <w:t>specific patient-recorded outcome measure. A paper describing the instrument design and a report of preliminary reliability and validity. Clin</w:t>
      </w:r>
    </w:p>
    <w:p>
      <w:pPr>
        <w:pStyle w:val="EndNote Bibliography"/>
        <w:spacing w:before="120" w:line="480" w:lineRule="auto"/>
        <w:ind w:firstLine="360"/>
      </w:pPr>
      <w:r>
        <w:rPr>
          <w:rtl w:val="0"/>
          <w:lang w:val="en-US"/>
        </w:rPr>
        <w:t>Otolaryngol. 2015;40(2):130-9.</w:t>
      </w:r>
    </w:p>
    <w:p>
      <w:pPr>
        <w:pStyle w:val="EndNote Bibliography"/>
        <w:numPr>
          <w:ilvl w:val="0"/>
          <w:numId w:val="2"/>
        </w:numPr>
        <w:spacing w:before="120" w:line="480" w:lineRule="auto"/>
        <w:rPr>
          <w:lang w:val="en-US"/>
        </w:rPr>
      </w:pPr>
      <w:r>
        <w:rPr>
          <w:rtl w:val="0"/>
          <w:lang w:val="en-US"/>
        </w:rPr>
        <w:t xml:space="preserve">Shaffer BT, Cohen MS, Bigelow DC, Ruckenstein MJ. Validation of a disease-specific quality-of-life instrument for acoustic neuroma: the Penn </w:t>
      </w:r>
    </w:p>
    <w:p>
      <w:pPr>
        <w:pStyle w:val="EndNote Bibliography"/>
        <w:spacing w:before="120" w:line="480" w:lineRule="auto"/>
        <w:ind w:firstLine="360"/>
      </w:pPr>
      <w:r>
        <w:rPr>
          <w:rtl w:val="0"/>
          <w:lang w:val="en-US"/>
        </w:rPr>
        <w:t>Acoustic Neuroma Quality-of-Life Scale. Laryngoscope. 2010;120(8):1646-54.</w:t>
      </w:r>
    </w:p>
    <w:p>
      <w:pPr>
        <w:pStyle w:val="EndNote Bibliography"/>
        <w:numPr>
          <w:ilvl w:val="0"/>
          <w:numId w:val="2"/>
        </w:numPr>
        <w:spacing w:before="120" w:line="480" w:lineRule="auto"/>
        <w:rPr>
          <w:lang w:val="en-US"/>
        </w:rPr>
      </w:pPr>
      <w:r>
        <w:rPr>
          <w:rtl w:val="0"/>
          <w:lang w:val="en-US"/>
        </w:rPr>
        <w:t xml:space="preserve">McCoul ED, Anand VK, Christos PJ. Validating the clinical assessment of eustachian tube dysfunction: The Eustachian Tube Dysfunction </w:t>
      </w:r>
    </w:p>
    <w:p>
      <w:pPr>
        <w:pStyle w:val="EndNote Bibliography"/>
        <w:spacing w:before="120" w:line="480" w:lineRule="auto"/>
        <w:ind w:firstLine="360"/>
        <w:rPr>
          <w:lang w:val="fr-FR"/>
        </w:rPr>
      </w:pPr>
      <w:r>
        <w:rPr>
          <w:rtl w:val="0"/>
          <w:lang w:val="fr-FR"/>
        </w:rPr>
        <w:t>Questionnaire (ETDQ-7). Laryngoscope. 2012;122(5):1137-41.</w:t>
      </w:r>
    </w:p>
    <w:p>
      <w:pPr>
        <w:pStyle w:val="EndNote Bibliography"/>
        <w:spacing w:before="120" w:line="480" w:lineRule="auto"/>
      </w:pPr>
      <w:r>
        <w:rPr>
          <w:rtl w:val="0"/>
          <w:lang w:val="en-US"/>
        </w:rPr>
        <w:t xml:space="preserve">6.   Nadol JB, Jr., Staecker H, Gliklich RE. Outcomes assessment for chronic otitis media: the Chronic Ear Survey. Laryngoscope. 2000;110(3 Pt </w:t>
      </w:r>
    </w:p>
    <w:p>
      <w:pPr>
        <w:pStyle w:val="EndNote Bibliography"/>
        <w:spacing w:before="120" w:line="480" w:lineRule="auto"/>
        <w:rPr>
          <w:lang w:val="de-DE"/>
        </w:rPr>
      </w:pPr>
      <w:r>
        <w:rPr>
          <w:rtl w:val="0"/>
          <w:lang w:val="de-DE"/>
        </w:rPr>
        <w:t xml:space="preserve">      3):32-5.</w:t>
      </w:r>
    </w:p>
    <w:p>
      <w:pPr>
        <w:pStyle w:val="EndNote Bibliography"/>
        <w:spacing w:before="120" w:line="480" w:lineRule="auto"/>
      </w:pPr>
      <w:r>
        <w:rPr>
          <w:rtl w:val="0"/>
          <w:lang w:val="en-US"/>
        </w:rPr>
        <w:t xml:space="preserve">7.   Bruinewoud EM, Kraak JT, van Leeuwen LM, Kramer SE, Merkus P. The Otology Questionnaire Amsterdam: a generic patient reported outcome  </w:t>
      </w:r>
    </w:p>
    <w:p>
      <w:pPr>
        <w:pStyle w:val="EndNote Bibliography"/>
        <w:spacing w:before="120" w:line="480" w:lineRule="auto"/>
      </w:pPr>
      <w:r>
        <w:rPr>
          <w:rtl w:val="0"/>
          <w:lang w:val="en-US"/>
        </w:rPr>
        <w:t xml:space="preserve">      measure about the severity and impact of ear complaints. A cross-sectional study on the development of this questionnaire. Clin Otolaryngol. </w:t>
      </w:r>
    </w:p>
    <w:p>
      <w:pPr>
        <w:pStyle w:val="EndNote Bibliography"/>
        <w:spacing w:before="120" w:line="480" w:lineRule="auto"/>
        <w:rPr>
          <w:lang w:val="de-DE"/>
        </w:rPr>
      </w:pPr>
      <w:r>
        <w:rPr>
          <w:rtl w:val="0"/>
          <w:lang w:val="de-DE"/>
        </w:rPr>
        <w:t xml:space="preserve">      2018;43(1):240-8.</w:t>
      </w:r>
    </w:p>
    <w:p>
      <w:pPr>
        <w:pStyle w:val="EndNote Bibliography"/>
        <w:spacing w:before="120" w:line="480" w:lineRule="auto"/>
      </w:pPr>
      <w:r>
        <w:rPr>
          <w:rtl w:val="0"/>
          <w:lang w:val="en-US"/>
        </w:rPr>
        <w:t>8.   Weinstein BE. Tool kit for screening otologic function of older adults1. Am J Audiol. 2013;22(1):179-82.</w:t>
      </w:r>
    </w:p>
    <w:p>
      <w:pPr>
        <w:pStyle w:val="EndNote Bibliography"/>
        <w:spacing w:before="120" w:line="480" w:lineRule="auto"/>
      </w:pPr>
      <w:r>
        <w:rPr>
          <w:rtl w:val="0"/>
          <w:lang w:val="en-US"/>
        </w:rPr>
        <w:t>9.   Kato BM, LaRouere MJ, Bojrab DI, Michaelides EM. Evaluating quality of life after endolymphatic sac surgery: The Meniere's Disease Outcomes</w:t>
      </w:r>
    </w:p>
    <w:p>
      <w:pPr>
        <w:pStyle w:val="EndNote Bibliography"/>
        <w:spacing w:before="120" w:line="480" w:lineRule="auto"/>
        <w:rPr>
          <w:lang w:val="fr-FR"/>
        </w:rPr>
      </w:pPr>
      <w:r>
        <w:rPr>
          <w:rtl w:val="0"/>
          <w:lang w:val="fr-FR"/>
        </w:rPr>
        <w:t xml:space="preserve">      Questionnaire. Otol Neurotol. 2004;25(3):339-44.</w:t>
      </w:r>
    </w:p>
    <w:p>
      <w:pPr>
        <w:pStyle w:val="EndNote Bibliography"/>
        <w:spacing w:before="120" w:line="480" w:lineRule="auto"/>
      </w:pPr>
      <w:r>
        <w:rPr>
          <w:rtl w:val="0"/>
          <w:lang w:val="nl-NL"/>
        </w:rPr>
        <w:t xml:space="preserve">10. Mikkelsen KS, Ovesen T, Swan CZ. </w:t>
      </w:r>
      <w:r>
        <w:rPr>
          <w:rtl w:val="0"/>
          <w:lang w:val="en-US"/>
        </w:rPr>
        <w:t xml:space="preserve">Pre- and post-operative dizziness, tinnitus, and taste disturbances among cochlear implant recipients. J </w:t>
      </w:r>
    </w:p>
    <w:p>
      <w:pPr>
        <w:pStyle w:val="EndNote Bibliography"/>
        <w:spacing w:before="120" w:line="480" w:lineRule="auto"/>
      </w:pPr>
      <w:r>
        <w:rPr>
          <w:rtl w:val="0"/>
          <w:lang w:val="en-US"/>
        </w:rPr>
        <w:t xml:space="preserve">      Laryngol Otol. 2017;131(4):309-15.</w:t>
      </w:r>
    </w:p>
    <w:p>
      <w:pPr>
        <w:pStyle w:val="EndNote Bibliography"/>
        <w:spacing w:before="120" w:line="480" w:lineRule="auto"/>
      </w:pPr>
      <w:r>
        <w:rPr>
          <w:rtl w:val="0"/>
          <w:lang w:val="en-US"/>
        </w:rPr>
        <w:t xml:space="preserve">11. Baumann I, Kurpiers B, Plinkert PK, Praetorius M. [Development and validation of the Chronic Otitis Media Outcome Test 15 (COMOT-15). </w:t>
      </w:r>
    </w:p>
    <w:p>
      <w:pPr>
        <w:pStyle w:val="EndNote Bibliography"/>
        <w:spacing w:before="120" w:line="480" w:lineRule="auto"/>
      </w:pPr>
      <w:r>
        <w:rPr>
          <w:rtl w:val="0"/>
          <w:lang w:val="en-US"/>
        </w:rPr>
        <w:t xml:space="preserve">      Measurement of health-related quality of life in patients with chronic otitis media]. Hno. 2009;57(9):889-95.</w:t>
      </w:r>
    </w:p>
    <w:p>
      <w:pPr>
        <w:pStyle w:val="EndNote Bibliography"/>
        <w:spacing w:before="120" w:line="480" w:lineRule="auto"/>
      </w:pPr>
      <w:r>
        <w:rPr>
          <w:rtl w:val="0"/>
          <w:lang w:val="en-US"/>
        </w:rPr>
        <w:t xml:space="preserve">12. Voth BL, Sheppard JP, Barnette NE, Ong V, Nguyen T, Jacky Chen CH, et al. The Gopen-Yang Superior Semicircular Canal Dehiscence </w:t>
      </w:r>
    </w:p>
    <w:p>
      <w:pPr>
        <w:pStyle w:val="EndNote Bibliography"/>
        <w:spacing w:before="120" w:line="480" w:lineRule="auto"/>
      </w:pPr>
      <w:r>
        <w:rPr>
          <w:rtl w:val="0"/>
          <w:lang w:val="en-US"/>
        </w:rPr>
        <w:t xml:space="preserve">      Questionnaire: development and validation of a clinical questionnaire to assess subjective symptoms in patients undergoing surgical repair of </w:t>
      </w:r>
    </w:p>
    <w:p>
      <w:pPr>
        <w:pStyle w:val="EndNote Bibliography"/>
        <w:spacing w:before="120" w:line="480" w:lineRule="auto"/>
      </w:pPr>
      <w:r>
        <w:rPr>
          <w:rtl w:val="0"/>
          <w:lang w:val="en-US"/>
        </w:rPr>
        <w:t xml:space="preserve">      superior semicircular canal dehiscence. J Laryngol Otol. 2018;132(12):1110-8.</w:t>
      </w:r>
    </w:p>
    <w:p>
      <w:pPr>
        <w:pStyle w:val="EndNote Bibliography"/>
        <w:spacing w:before="120" w:line="480" w:lineRule="auto"/>
      </w:pPr>
      <w:r>
        <w:rPr>
          <w:rtl w:val="0"/>
          <w:lang w:val="en-US"/>
        </w:rPr>
        <w:t xml:space="preserve">13. Jacobson GP, Piker EG, Hatton K, Watford KE, Trone T, McCaslin DL, et al. Development and Preliminary Findings of the Dizziness Symptom </w:t>
      </w:r>
    </w:p>
    <w:p>
      <w:pPr>
        <w:pStyle w:val="EndNote Bibliography"/>
        <w:spacing w:before="120" w:line="480" w:lineRule="auto"/>
      </w:pPr>
      <w:r>
        <w:rPr>
          <w:rtl w:val="0"/>
          <w:lang w:val="en-US"/>
        </w:rPr>
        <w:t xml:space="preserve">      Profile. Ear Hear. 2019;40(3):568-76.</w:t>
      </w:r>
    </w:p>
    <w:p>
      <w:pPr>
        <w:pStyle w:val="Hoofdtekst A A A"/>
        <w:spacing w:before="120" w:line="480" w:lineRule="auto"/>
      </w:pPr>
      <w:r>
        <w:rPr>
          <w:rtl w:val="0"/>
          <w:lang w:val="en-US"/>
        </w:rPr>
        <w:t xml:space="preserve">14. Mutlu B, Kirkim G, Mungan Durankaya S, Gurkan S, Basokcu TO, Guneri EA. The Reliability and Validity of "Dokuz Eylul University Meniere's </w:t>
      </w:r>
    </w:p>
    <w:p>
      <w:pPr>
        <w:pStyle w:val="Hoofdtekst A A A"/>
        <w:spacing w:before="120" w:line="480" w:lineRule="auto"/>
      </w:pPr>
      <w:r>
        <w:rPr>
          <w:rtl w:val="0"/>
          <w:lang w:val="en-US"/>
        </w:rPr>
        <w:t xml:space="preserve">      Disease Disability Scale". J Int Adv Otol. 2018;14(2):304-11.</w:t>
      </w:r>
    </w:p>
    <w:p>
      <w:pPr>
        <w:pStyle w:val="Hoofdtekst A A A"/>
        <w:spacing w:before="120" w:line="480" w:lineRule="auto"/>
      </w:pPr>
      <w:r>
        <w:rPr>
          <w:rtl w:val="0"/>
          <w:lang w:val="nl-NL"/>
        </w:rPr>
        <w:t xml:space="preserve">15. Kleindienst SJ, Zapala DA, Nielsen DW, Griffith JW, Rishiq D, Lundy L, et al. </w:t>
      </w:r>
      <w:r>
        <w:rPr>
          <w:rtl w:val="0"/>
          <w:lang w:val="en-US"/>
        </w:rPr>
        <w:t xml:space="preserve">Development and Initial Validation of a Consumer Questionnaire to </w:t>
      </w:r>
    </w:p>
    <w:p>
      <w:pPr>
        <w:pStyle w:val="Hoofdtekst A A A"/>
        <w:spacing w:before="120" w:line="480" w:lineRule="auto"/>
      </w:pPr>
      <w:r>
        <w:rPr>
          <w:rtl w:val="0"/>
          <w:lang w:val="nl-NL"/>
        </w:rPr>
        <w:t xml:space="preserve">      </w:t>
      </w:r>
      <w:r>
        <w:rPr>
          <w:rtl w:val="0"/>
          <w:lang w:val="en-US"/>
        </w:rPr>
        <w:t>Predict the Presence of Ear Disease. JAMA Otolaryngol Head Neck Surg. 2017;143(10):983-9.</w:t>
      </w:r>
    </w:p>
    <w:sectPr>
      <w:headerReference w:type="default" r:id="rId4"/>
      <w:footerReference w:type="default" r:id="rId5"/>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A"/>
      <w:tabs>
        <w:tab w:val="center" w:pos="7286"/>
        <w:tab w:val="right" w:pos="14552"/>
        <w:tab w:val="clear" w:pos="9020"/>
      </w:tabs>
    </w:pPr>
    <w:r>
      <w:rPr>
        <w:sz w:val="18"/>
        <w:szCs w:val="18"/>
      </w:rPr>
      <w:tab/>
      <w:tab/>
    </w: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t>7</w:t>
    </w:r>
    <w:r>
      <w:rPr>
        <w:sz w:val="18"/>
        <w:szCs w:val="18"/>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nummerd"/>
  </w:abstractNum>
  <w:abstractNum w:abstractNumId="1">
    <w:multiLevelType w:val="hybridMultilevel"/>
    <w:styleLink w:val="Genummerd"/>
    <w:lvl w:ilvl="0">
      <w:start w:val="1"/>
      <w:numFmt w:val="decimal"/>
      <w:suff w:val="tab"/>
      <w:lvlText w:val="%1."/>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Kop- en voettekst A">
    <w:name w:val="Kop- en voettekst A"/>
    <w:next w:val="Kop- en voettekst 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Standaard">
    <w:name w:val="Standaard"/>
    <w:next w:val="Standa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Tabelstijl 2">
    <w:name w:val="Tabelstijl 2"/>
    <w:next w:val="Tabelstijl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oofdtekst A A">
    <w:name w:val="Hoofdtekst A A"/>
    <w:next w:val="Hoofdtekst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abelstijl 2 A">
    <w:name w:val="Tabelstijl 2 A"/>
    <w:next w:val="Tabelstijl 2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oofdtekst A A A">
    <w:name w:val="Hoofdtekst A A A"/>
    <w:next w:val="Hoofdtekst A A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Genummerd">
    <w:name w:val="Genummerd"/>
    <w:pPr>
      <w:numPr>
        <w:numId w:val="1"/>
      </w:numPr>
    </w:pPr>
  </w:style>
  <w:style w:type="paragraph" w:styleId="EndNote Bibliography">
    <w:name w:val="EndNote Bibliography"/>
    <w:next w:val="EndNote Bibliograph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