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480" w:rsidRPr="00A76800" w:rsidRDefault="003F2480" w:rsidP="003F2480">
      <w:pPr>
        <w:rPr>
          <w:rFonts w:ascii="Mongolian Baiti" w:hAnsi="Mongolian Baiti" w:cs="Mongolian Baiti"/>
          <w:sz w:val="18"/>
          <w:szCs w:val="18"/>
          <w:lang w:val="en-GB"/>
        </w:rPr>
      </w:pPr>
      <w:bookmarkStart w:id="0" w:name="_Toc43137206"/>
      <w:r w:rsidRPr="00A76800">
        <w:rPr>
          <w:rStyle w:val="Heading1Char"/>
          <w:rFonts w:ascii="Mongolian Baiti" w:hAnsi="Mongolian Baiti" w:cs="Mongolian Baiti"/>
          <w:b/>
          <w:bCs/>
          <w:sz w:val="18"/>
          <w:szCs w:val="18"/>
          <w:lang w:val="en-GB"/>
        </w:rPr>
        <w:t>Appendix B</w:t>
      </w:r>
      <w:bookmarkEnd w:id="0"/>
      <w:r w:rsidRPr="00A76800">
        <w:rPr>
          <w:rStyle w:val="Heading1Char"/>
          <w:rFonts w:ascii="Mongolian Baiti" w:hAnsi="Mongolian Baiti" w:cs="Mongolian Baiti"/>
          <w:b/>
          <w:bCs/>
          <w:sz w:val="18"/>
          <w:szCs w:val="18"/>
          <w:lang w:val="en-GB"/>
        </w:rPr>
        <w:t xml:space="preserve"> </w:t>
      </w:r>
      <w:r w:rsidRPr="00A76800">
        <w:rPr>
          <w:rFonts w:ascii="Mongolian Baiti" w:hAnsi="Mongolian Baiti" w:cs="Mongolian Baiti"/>
          <w:sz w:val="18"/>
          <w:szCs w:val="18"/>
          <w:lang w:val="en-GB"/>
        </w:rPr>
        <w:t>External validation of the included models by different authors from those who created the models</w:t>
      </w:r>
    </w:p>
    <w:tbl>
      <w:tblPr>
        <w:tblStyle w:val="TableGrid"/>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5"/>
        <w:gridCol w:w="1307"/>
        <w:gridCol w:w="1559"/>
        <w:gridCol w:w="1276"/>
        <w:gridCol w:w="1276"/>
        <w:gridCol w:w="992"/>
        <w:gridCol w:w="2126"/>
        <w:gridCol w:w="993"/>
        <w:gridCol w:w="2551"/>
      </w:tblGrid>
      <w:tr w:rsidR="003F2480" w:rsidRPr="00D02987" w:rsidTr="005A57E2">
        <w:trPr>
          <w:trHeight w:val="1135"/>
        </w:trPr>
        <w:tc>
          <w:tcPr>
            <w:tcW w:w="1245"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Authors</w:t>
            </w: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(year)</w:t>
            </w:r>
          </w:p>
        </w:tc>
        <w:tc>
          <w:tcPr>
            <w:tcW w:w="1307"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vertAlign w:val="superscript"/>
                <w:lang w:val="en-GB"/>
              </w:rPr>
            </w:pPr>
            <w:r w:rsidRPr="00D02987">
              <w:rPr>
                <w:rFonts w:ascii="Mongolian Baiti" w:hAnsi="Mongolian Baiti" w:cs="Mongolian Baiti"/>
                <w:b/>
                <w:bCs/>
                <w:sz w:val="18"/>
                <w:szCs w:val="18"/>
                <w:lang w:val="en-GB"/>
              </w:rPr>
              <w:t>Types of prediction models by TRIPOD statement</w:t>
            </w:r>
            <w:r w:rsidRPr="00D02987">
              <w:rPr>
                <w:rFonts w:ascii="Mongolian Baiti" w:hAnsi="Mongolian Baiti" w:cs="Mongolian Baiti"/>
                <w:b/>
                <w:bCs/>
                <w:sz w:val="18"/>
                <w:szCs w:val="18"/>
                <w:vertAlign w:val="superscript"/>
                <w:lang w:val="en-GB"/>
              </w:rPr>
              <w:t>1</w:t>
            </w:r>
          </w:p>
        </w:tc>
        <w:tc>
          <w:tcPr>
            <w:tcW w:w="1559"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Study population</w:t>
            </w:r>
          </w:p>
        </w:tc>
        <w:tc>
          <w:tcPr>
            <w:tcW w:w="1276"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Prevalence of malignancy</w:t>
            </w:r>
          </w:p>
        </w:tc>
        <w:tc>
          <w:tcPr>
            <w:tcW w:w="1276"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 xml:space="preserve">Prevalence of </w:t>
            </w: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active or former smokers</w:t>
            </w:r>
          </w:p>
        </w:tc>
        <w:tc>
          <w:tcPr>
            <w:tcW w:w="992"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Validation sample size</w:t>
            </w:r>
          </w:p>
        </w:tc>
        <w:tc>
          <w:tcPr>
            <w:tcW w:w="2126"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Prediction model</w:t>
            </w:r>
          </w:p>
        </w:tc>
        <w:tc>
          <w:tcPr>
            <w:tcW w:w="993"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vertAlign w:val="superscript"/>
                <w:lang w:val="en-GB"/>
              </w:rPr>
            </w:pPr>
            <w:r w:rsidRPr="00D02987">
              <w:rPr>
                <w:rFonts w:ascii="Mongolian Baiti" w:hAnsi="Mongolian Baiti" w:cs="Mongolian Baiti"/>
                <w:b/>
                <w:bCs/>
                <w:sz w:val="18"/>
                <w:szCs w:val="18"/>
                <w:lang w:val="en-GB"/>
              </w:rPr>
              <w:t>AUC</w:t>
            </w:r>
            <w:r w:rsidRPr="00D02987">
              <w:rPr>
                <w:rFonts w:ascii="Mongolian Baiti" w:hAnsi="Mongolian Baiti" w:cs="Mongolian Baiti"/>
                <w:b/>
                <w:bCs/>
                <w:sz w:val="18"/>
                <w:szCs w:val="18"/>
                <w:vertAlign w:val="superscript"/>
                <w:lang w:val="en-GB"/>
              </w:rPr>
              <w:t>2</w:t>
            </w:r>
          </w:p>
        </w:tc>
        <w:tc>
          <w:tcPr>
            <w:tcW w:w="2551"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vertAlign w:val="superscript"/>
                <w:lang w:val="en-GB"/>
              </w:rPr>
            </w:pPr>
            <w:r w:rsidRPr="00D02987">
              <w:rPr>
                <w:rFonts w:ascii="Mongolian Baiti" w:hAnsi="Mongolian Baiti" w:cs="Mongolian Baiti"/>
                <w:b/>
                <w:bCs/>
                <w:sz w:val="18"/>
                <w:szCs w:val="18"/>
                <w:lang w:val="en-GB"/>
              </w:rPr>
              <w:t>Calibration</w:t>
            </w:r>
            <w:r w:rsidRPr="00D02987">
              <w:rPr>
                <w:rFonts w:ascii="Mongolian Baiti" w:hAnsi="Mongolian Baiti" w:cs="Mongolian Baiti"/>
                <w:b/>
                <w:bCs/>
                <w:sz w:val="18"/>
                <w:szCs w:val="18"/>
                <w:vertAlign w:val="superscript"/>
                <w:lang w:val="en-GB"/>
              </w:rPr>
              <w:t>3</w:t>
            </w:r>
          </w:p>
          <w:p w:rsidR="003F2480" w:rsidRPr="00D02987" w:rsidRDefault="003F2480" w:rsidP="005A57E2">
            <w:pPr>
              <w:jc w:val="center"/>
              <w:rPr>
                <w:rFonts w:ascii="Mongolian Baiti" w:hAnsi="Mongolian Baiti" w:cs="Mongolian Baiti"/>
                <w:b/>
                <w:bCs/>
                <w:sz w:val="18"/>
                <w:szCs w:val="18"/>
                <w:lang w:val="en-GB"/>
              </w:rPr>
            </w:pPr>
          </w:p>
        </w:tc>
      </w:tr>
      <w:tr w:rsidR="003F2480" w:rsidRPr="00D02987" w:rsidTr="005A57E2">
        <w:trPr>
          <w:trHeight w:val="349"/>
        </w:trPr>
        <w:tc>
          <w:tcPr>
            <w:tcW w:w="1245" w:type="dxa"/>
            <w:vMerge w:val="restart"/>
            <w:tcBorders>
              <w:top w:val="single" w:sz="4" w:space="0" w:color="auto"/>
            </w:tcBorders>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Li et al.</w:t>
            </w:r>
          </w:p>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(2020)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{"citationItems":[{"id":"ITEM-1","itemData":{"DOI":"10.1042/BSR20193875","ISSN":"15734935","PMID":"32068231","abstract":"Objectives: The post-imaging, mathematical predictive model was established by combining demographic and imaging characteristics with a pulmonary nodule risk score. The prediction model provides directions for the treatment of pulmonary nodules. Many studies have established predictivemodels for pulmonary nodules in different populations. However, the predictive factors contained in each model were significantly different. We hypothesized that applying different models to local research groups will make a difference in predicting the benign and malignant lung nodules, distinguishing between early and late lung cancers, and between adenocarcinoma and squamous cell carcinoma. In the present study, we compared four widely used and well-known mathematical prediction models. Materials and methods: We performed a retrospective study of 496 patients from January 2017 to October 2019, they were diagnosed with nodules by pathological. We evaluate models' performance by viewing 425 malignant and 71 benign patients' computed tomography results. At the same time, we use the calibration curve and the area under the receiver operating characteristic curve whose abbreviation is AUC to assess one model's predictive performance. Results: We find that in distinguishing the Benign and the Malignancy, Peking University People's Hospital model possessed excellent performance (AUC = 0.63), as well as differentiating between early and late lung cancers (AUC = 0.67) and identifying lung adenocarcinoma (AUC = 0.61). While in the identification of lung squamous cell carcinoma, the Veterans Affairs model performed the best (AUC = 0.69). Conclusions: Geographic disparities are an extremely important influence factors, and which clinical features contained in the mathematical prediction model are the key to affect the precision and accuracy.","author":[{"dropping-particle":"","family":"Li","given":"You","non-dropping-particle":"","parse-names":false,"suffix":""},{"dropping-particle":"","family":"Hu","given":"Hui","non-dropping-particle":"","parse-names":false,"suffix":""},{"dropping-particle":"","family":"Wu","given":"Ziwei","non-dropping-particle":"","parse-names":false,"suffix":""},{"dropping-particle":"","family":"Yan","given":"Ge","non-dropping-particle":"","parse-names":false,"suffix":""},{"dropping-particle":"","family":"Wu","given":"Tangwei","non-dropping-particle":"","parse-names":false,"suffix":""},{"dropping-particle":"","family":"Liu","given":"Shuiyi","non-dropping-particle":"","parse-names":false,"suffix":""},{"dropping-particle":"","family":"Chen","given":"Weiqun","non-dropping-particle":"","parse-names":false,"suffix":""},{"dropping-particle":"","family":"Lu","given":"Zhongxin","non-dropping-particle":"","parse-names":false,"suffix":""}],"container-title":"Bioscience Reports","id":"ITEM-1","issue":"2","issued":{"date-parts":[["2020"]]},"page":"1-11","title":"Evaluation of models for predicting the probability of malignancy in patients with pulmonary nodules","type":"article-journal","volume":"40"},"uris":["http://www.mendeley.com/documents/?uuid=e6551ffb-32a1-4e17-b300-1867446c73f1"]}],"mendeley":{"formattedCitation":"(40)","plainTextFormattedCitation":"(40)","previouslyFormattedCitation":"&lt;sup&gt;40&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(40)</w:t>
            </w:r>
            <w:r w:rsidRPr="00D02987">
              <w:rPr>
                <w:rFonts w:ascii="Mongolian Baiti" w:hAnsi="Mongolian Baiti" w:cs="Mongolian Baiti"/>
                <w:sz w:val="18"/>
                <w:szCs w:val="18"/>
                <w:lang w:val="en-GB"/>
              </w:rPr>
              <w:fldChar w:fldCharType="end"/>
            </w:r>
          </w:p>
        </w:tc>
        <w:tc>
          <w:tcPr>
            <w:tcW w:w="1307" w:type="dxa"/>
            <w:vMerge w:val="restart"/>
            <w:tcBorders>
              <w:top w:val="single" w:sz="4" w:space="0" w:color="auto"/>
            </w:tcBorders>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vMerge w:val="restart"/>
            <w:tcBorders>
              <w:top w:val="single" w:sz="4" w:space="0" w:color="auto"/>
            </w:tcBorders>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Chinese patients with SPN who had surgery and had a clear pathological diagnosis.</w:t>
            </w:r>
          </w:p>
        </w:tc>
        <w:tc>
          <w:tcPr>
            <w:tcW w:w="1276" w:type="dxa"/>
            <w:vMerge w:val="restart"/>
            <w:tcBorders>
              <w:top w:val="single" w:sz="4" w:space="0" w:color="auto"/>
            </w:tcBorders>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85.6%</w:t>
            </w:r>
          </w:p>
        </w:tc>
        <w:tc>
          <w:tcPr>
            <w:tcW w:w="1276" w:type="dxa"/>
            <w:vMerge w:val="restart"/>
            <w:tcBorders>
              <w:top w:val="single" w:sz="4" w:space="0" w:color="auto"/>
            </w:tcBorders>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NR</w:t>
            </w:r>
          </w:p>
        </w:tc>
        <w:tc>
          <w:tcPr>
            <w:tcW w:w="992" w:type="dxa"/>
            <w:vMerge w:val="restart"/>
            <w:tcBorders>
              <w:top w:val="single" w:sz="4" w:space="0" w:color="auto"/>
            </w:tcBorders>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496</w:t>
            </w:r>
          </w:p>
        </w:tc>
        <w:tc>
          <w:tcPr>
            <w:tcW w:w="2126" w:type="dxa"/>
            <w:tcBorders>
              <w:top w:val="single" w:sz="4" w:space="0" w:color="auto"/>
            </w:tcBorders>
            <w:shd w:val="clear" w:color="auto" w:fill="auto"/>
          </w:tcPr>
          <w:p w:rsidR="003F2480" w:rsidRPr="00D02987" w:rsidRDefault="003F2480" w:rsidP="005A57E2">
            <w:pPr>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Borders>
              <w:top w:val="single" w:sz="4" w:space="0" w:color="auto"/>
            </w:tcBorders>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0.62</w:t>
            </w:r>
          </w:p>
        </w:tc>
        <w:tc>
          <w:tcPr>
            <w:tcW w:w="2551" w:type="dxa"/>
            <w:vMerge w:val="restart"/>
            <w:tcBorders>
              <w:top w:val="single" w:sz="4" w:space="0" w:color="auto"/>
            </w:tcBorders>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3F2480" w:rsidRPr="00D02987" w:rsidTr="005A57E2">
        <w:trPr>
          <w:trHeight w:val="281"/>
        </w:trPr>
        <w:tc>
          <w:tcPr>
            <w:tcW w:w="1245"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1307"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1559"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1276"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1276"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992"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2126" w:type="dxa"/>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tc>
        <w:tc>
          <w:tcPr>
            <w:tcW w:w="993" w:type="dxa"/>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0.62</w:t>
            </w:r>
          </w:p>
        </w:tc>
        <w:tc>
          <w:tcPr>
            <w:tcW w:w="2551" w:type="dxa"/>
            <w:vMerge/>
            <w:shd w:val="clear" w:color="auto" w:fill="auto"/>
          </w:tcPr>
          <w:p w:rsidR="003F2480" w:rsidRPr="00D02987" w:rsidRDefault="003F2480" w:rsidP="005A57E2">
            <w:pPr>
              <w:rPr>
                <w:rFonts w:ascii="Mongolian Baiti" w:hAnsi="Mongolian Baiti" w:cs="Mongolian Baiti"/>
                <w:sz w:val="18"/>
                <w:szCs w:val="18"/>
                <w:lang w:val="en-GB"/>
              </w:rPr>
            </w:pPr>
          </w:p>
        </w:tc>
      </w:tr>
      <w:tr w:rsidR="003F2480" w:rsidRPr="00D02987" w:rsidTr="005A57E2">
        <w:trPr>
          <w:trHeight w:val="415"/>
        </w:trPr>
        <w:tc>
          <w:tcPr>
            <w:tcW w:w="1245"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1307"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1559"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1276"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1276"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992"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2126" w:type="dxa"/>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Li et al.</w:t>
            </w:r>
          </w:p>
        </w:tc>
        <w:tc>
          <w:tcPr>
            <w:tcW w:w="993" w:type="dxa"/>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0.63</w:t>
            </w:r>
          </w:p>
        </w:tc>
        <w:tc>
          <w:tcPr>
            <w:tcW w:w="2551" w:type="dxa"/>
            <w:vMerge/>
            <w:shd w:val="clear" w:color="auto" w:fill="auto"/>
          </w:tcPr>
          <w:p w:rsidR="003F2480" w:rsidRPr="00D02987" w:rsidRDefault="003F2480" w:rsidP="005A57E2">
            <w:pPr>
              <w:rPr>
                <w:rFonts w:ascii="Mongolian Baiti" w:hAnsi="Mongolian Baiti" w:cs="Mongolian Baiti"/>
                <w:sz w:val="18"/>
                <w:szCs w:val="18"/>
                <w:lang w:val="en-GB"/>
              </w:rPr>
            </w:pPr>
          </w:p>
        </w:tc>
      </w:tr>
      <w:tr w:rsidR="003F2480" w:rsidRPr="008110F3" w:rsidTr="005A57E2">
        <w:trPr>
          <w:trHeight w:val="491"/>
        </w:trPr>
        <w:tc>
          <w:tcPr>
            <w:tcW w:w="1245" w:type="dxa"/>
            <w:vMerge w:val="restart"/>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Cui et al. </w:t>
            </w:r>
          </w:p>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(2019)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{"citationItems":[{"id":"ITEM-1","itemData":{"DOI":"10.21037/tlcr.2019.09.17","ISSN":"22264477","abstract":"Background: Several classification models based on Western population have been developed to help clinicians to classify the malignancy probability of pulmonary nodules. However, the diagnostic performance of these Western models in Chinese population is unknown. This paper aimed to compare the diagnostic performance of radiologist evaluation of malignancy probability and three classification models (Mayo Clinic, Veterans Affairs, and Brock University) in Chinese clinical pulmonology patients. Methods: This single-center retrospective study included clinical patients from Tianjin Medical University Cancer Institute and Hospital with new, CT-detected pulmonary nodules in 2013. Patients with a nodule with diameter of 4–25 mm, and histological diagnosis or 2-year follow-up were included. Analysis of area under the receiver operating characteristic curve (AUC), decision curve analysis (DCA) and threshold of decision analysis was used to evaluate the diagnostic performance of radiologist diagnosis and the three classification models, with histological diagnosis or 2-year follow-up as the reference. Results: In total, 277 patients (286 nodules) were included. Two hundred and seven of 286 nodules (72.4%) in 203 patients were malignant. AUC of the Mayo model (0.77; 95% CI: 0.72–0.82) and Brock model (0.77; 95% CI: 0.72–0.82) were similar to radiologist diagnosis (0.78; 95% CI: 0.73–0.83; P=0.68, P=0.71, respectively). The diagnostic performance of the VA model (AUC: 0.66) was significantly lower than that of radiologist diagnosis (P=0.003). A three-class classifying threshold analysis and DCA showed that the radiologist evaluation had higher discriminatory power for malignancy than the three classification models. Conclusions: In a cohort of Chinese clinical pulmonology patients, radiologist evaluation of lung nodule malignancy probability demonstrated higher diagnostic performance than Mayo, Brock, and VA classification models. To optimize nodule diagnosis and management, a new model with more radiological characteristics could be valuable.","author":[{"dropping-particle":"","family":"Cui","given":"Xiaonan","non-dropping-particle":"","parse-names":false,"suffix":""},{"dropping-particle":"","family":"Heuvelmans","given":"Marjolein A.","non-dropping-particle":"","parse-names":false,"suffix":""},{"dropping-particle":"","family":"Han","given":"Daiwei","non-dropping-particle":"","parse-names":false,"suffix":""},{"dropping-particle":"","family":"Zhao","given":"Yingru","non-dropping-particle":"","parse-names":false,"suffix":""},{"dropping-particle":"","family":"Fan","given":"Shuxuan","non-dropping-particle":"","parse-names":false,"suffix":""},{"dropping-particle":"","family":"Zheng","given":"Sunyi","non-dropping-particle":"","parse-names":false,"suffix":""},{"dropping-particle":"","family":"Sidorenkov","given":"Grigory","non-dropping-particle":"","parse-names":false,"suffix":""},{"dropping-particle":"","family":"Groen","given":"Harry J.M.","non-dropping-particle":"","parse-names":false,"suffix":""},{"dropping-particle":"","family":"Dorrius","given":"Monique D.","non-dropping-particle":"","parse-names":false,"suffix":""},{"dropping-particle":"","family":"Oudkerk","given":"Matthijs","non-dropping-particle":"","parse-names":false,"suffix":""},{"dropping-particle":"","family":"Bock","given":"Geertruida H.","non-dropping-particle":"De","parse-names":false,"suffix":""},{"dropping-particle":"","family":"Vliegenthart","given":"Rozemarijn","non-dropping-particle":"","parse-names":false,"suffix":""},{"dropping-particle":"","family":"Ye","given":"Zhaoxiang","non-dropping-particle":"","parse-names":false,"suffix":""}],"container-title":"Translational Lung Cancer Research","id":"ITEM-1","issue":"5","issued":{"date-parts":[["2019"]]},"page":"605-613","title":"Comparison of veterans affairs, Mayo, Brock classification models and radiologist diagnosis for classifying the malignancy of pulmonary nodules in Chinese clinical population","type":"article-journal","volume":"8"},"uris":["http://www.mendeley.com/documents/?uuid=df4c358f-3fe4-4066-a401-efab441f997c"]}],"mendeley":{"formattedCitation":"(39)","plainTextFormattedCitation":"(39)","previouslyFormattedCitation":"&lt;sup&gt;39&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(39)</w:t>
            </w:r>
            <w:r w:rsidRPr="00D02987">
              <w:rPr>
                <w:rFonts w:ascii="Mongolian Baiti" w:hAnsi="Mongolian Baiti" w:cs="Mongolian Baiti"/>
                <w:sz w:val="18"/>
                <w:szCs w:val="18"/>
                <w:lang w:val="en-GB"/>
              </w:rPr>
              <w:fldChar w:fldCharType="end"/>
            </w:r>
          </w:p>
        </w:tc>
        <w:tc>
          <w:tcPr>
            <w:tcW w:w="1307" w:type="dxa"/>
            <w:vMerge w:val="restart"/>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vMerge w:val="restart"/>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Chinese patients with newly detected SPN on CT scans that had been confirmed based on </w:t>
            </w:r>
            <w:proofErr w:type="spellStart"/>
            <w:r w:rsidRPr="00D02987">
              <w:rPr>
                <w:rFonts w:ascii="Mongolian Baiti" w:hAnsi="Mongolian Baiti" w:cs="Mongolian Baiti"/>
                <w:sz w:val="18"/>
                <w:szCs w:val="18"/>
                <w:lang w:val="en-GB"/>
              </w:rPr>
              <w:t>histopathological</w:t>
            </w:r>
            <w:proofErr w:type="spellEnd"/>
            <w:r w:rsidRPr="00D02987">
              <w:rPr>
                <w:rFonts w:ascii="Mongolian Baiti" w:hAnsi="Mongolian Baiti" w:cs="Mongolian Baiti"/>
                <w:sz w:val="18"/>
                <w:szCs w:val="18"/>
                <w:lang w:val="en-GB"/>
              </w:rPr>
              <w:t xml:space="preserve"> result or remained stable for at least 2 years.</w:t>
            </w:r>
          </w:p>
        </w:tc>
        <w:tc>
          <w:tcPr>
            <w:tcW w:w="1276" w:type="dxa"/>
            <w:vMerge w:val="restart"/>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72.4%</w:t>
            </w:r>
          </w:p>
        </w:tc>
        <w:tc>
          <w:tcPr>
            <w:tcW w:w="1276" w:type="dxa"/>
            <w:vMerge w:val="restart"/>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NR</w:t>
            </w:r>
          </w:p>
        </w:tc>
        <w:tc>
          <w:tcPr>
            <w:tcW w:w="992" w:type="dxa"/>
            <w:vMerge w:val="restart"/>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277</w:t>
            </w:r>
          </w:p>
        </w:tc>
        <w:tc>
          <w:tcPr>
            <w:tcW w:w="2126" w:type="dxa"/>
            <w:shd w:val="clear" w:color="auto" w:fill="auto"/>
          </w:tcPr>
          <w:p w:rsidR="003F2480" w:rsidRPr="00D02987" w:rsidRDefault="003F2480" w:rsidP="005A57E2">
            <w:pPr>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0.77</w:t>
            </w:r>
          </w:p>
        </w:tc>
        <w:tc>
          <w:tcPr>
            <w:tcW w:w="2551" w:type="dxa"/>
            <w:vMerge w:val="restart"/>
            <w:shd w:val="clear" w:color="auto" w:fill="auto"/>
          </w:tcPr>
          <w:p w:rsidR="003F2480" w:rsidRPr="00D02987" w:rsidRDefault="003F2480" w:rsidP="005A57E2">
            <w:pP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w:t>
            </w:r>
          </w:p>
        </w:tc>
      </w:tr>
      <w:tr w:rsidR="003F2480" w:rsidRPr="008110F3" w:rsidTr="005A57E2">
        <w:trPr>
          <w:trHeight w:val="1035"/>
        </w:trPr>
        <w:tc>
          <w:tcPr>
            <w:tcW w:w="1245" w:type="dxa"/>
            <w:vMerge/>
            <w:shd w:val="clear" w:color="auto" w:fill="auto"/>
          </w:tcPr>
          <w:p w:rsidR="003F2480" w:rsidRPr="00D02987" w:rsidRDefault="003F2480" w:rsidP="005A57E2">
            <w:pPr>
              <w:jc w:val="center"/>
              <w:rPr>
                <w:rFonts w:ascii="Mongolian Baiti" w:hAnsi="Mongolian Baiti" w:cs="Mongolian Baiti"/>
                <w:sz w:val="18"/>
                <w:szCs w:val="18"/>
                <w:lang w:val="en-GB"/>
              </w:rPr>
            </w:pPr>
          </w:p>
        </w:tc>
        <w:tc>
          <w:tcPr>
            <w:tcW w:w="1307"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1559"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1276" w:type="dxa"/>
            <w:vMerge/>
            <w:shd w:val="clear" w:color="auto" w:fill="auto"/>
          </w:tcPr>
          <w:p w:rsidR="003F2480" w:rsidRPr="00D02987" w:rsidRDefault="003F2480" w:rsidP="005A57E2">
            <w:pPr>
              <w:jc w:val="center"/>
              <w:rPr>
                <w:rFonts w:ascii="Mongolian Baiti" w:hAnsi="Mongolian Baiti" w:cs="Mongolian Baiti"/>
                <w:sz w:val="18"/>
                <w:szCs w:val="18"/>
                <w:lang w:val="en-GB"/>
              </w:rPr>
            </w:pPr>
          </w:p>
        </w:tc>
        <w:tc>
          <w:tcPr>
            <w:tcW w:w="1276"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992" w:type="dxa"/>
            <w:vMerge/>
            <w:shd w:val="clear" w:color="auto" w:fill="auto"/>
          </w:tcPr>
          <w:p w:rsidR="003F2480" w:rsidRPr="00D02987" w:rsidRDefault="003F2480" w:rsidP="005A57E2">
            <w:pPr>
              <w:rPr>
                <w:rFonts w:ascii="Mongolian Baiti" w:hAnsi="Mongolian Baiti" w:cs="Mongolian Baiti"/>
                <w:sz w:val="18"/>
                <w:szCs w:val="18"/>
                <w:lang w:val="en-GB"/>
              </w:rPr>
            </w:pPr>
          </w:p>
        </w:tc>
        <w:tc>
          <w:tcPr>
            <w:tcW w:w="2126" w:type="dxa"/>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tc>
        <w:tc>
          <w:tcPr>
            <w:tcW w:w="993" w:type="dxa"/>
            <w:shd w:val="clear" w:color="auto" w:fill="auto"/>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0.66</w:t>
            </w:r>
          </w:p>
        </w:tc>
        <w:tc>
          <w:tcPr>
            <w:tcW w:w="2551" w:type="dxa"/>
            <w:vMerge/>
            <w:shd w:val="clear" w:color="auto" w:fill="auto"/>
          </w:tcPr>
          <w:p w:rsidR="003F2480" w:rsidRPr="00D02987" w:rsidRDefault="003F2480" w:rsidP="005A57E2">
            <w:pPr>
              <w:rPr>
                <w:rFonts w:ascii="Mongolian Baiti" w:hAnsi="Mongolian Baiti" w:cs="Mongolian Baiti"/>
                <w:b/>
                <w:bCs/>
                <w:sz w:val="18"/>
                <w:szCs w:val="18"/>
                <w:lang w:val="en-GB"/>
              </w:rPr>
            </w:pPr>
          </w:p>
        </w:tc>
      </w:tr>
      <w:tr w:rsidR="003F2480" w:rsidRPr="008110F3" w:rsidTr="005A57E2">
        <w:trPr>
          <w:trHeight w:val="314"/>
        </w:trPr>
        <w:tc>
          <w:tcPr>
            <w:tcW w:w="1245"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Yang B et al.</w:t>
            </w:r>
          </w:p>
          <w:p w:rsidR="003F2480" w:rsidRPr="00D02987" w:rsidRDefault="003F2480" w:rsidP="005A57E2">
            <w:pPr>
              <w:jc w:val="both"/>
              <w:rPr>
                <w:rFonts w:ascii="Mongolian Baiti" w:hAnsi="Mongolian Baiti" w:cs="Mongolian Baiti"/>
                <w:b/>
                <w:bCs/>
                <w:sz w:val="18"/>
                <w:szCs w:val="18"/>
                <w:lang w:val="en-GB"/>
              </w:rPr>
            </w:pPr>
            <w:r w:rsidRPr="00D02987">
              <w:rPr>
                <w:rFonts w:ascii="Mongolian Baiti" w:hAnsi="Mongolian Baiti" w:cs="Mongolian Baiti"/>
                <w:sz w:val="18"/>
                <w:szCs w:val="18"/>
                <w:lang w:val="en-GB"/>
              </w:rPr>
              <w:t xml:space="preserve">(2018)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{"citationItems":[{"id":"ITEM-1","itemData":{"DOI":"10.1371/journal.pone.0201242","ISBN":"1111111111","ISSN":"19326203","abstract":"Objective Four commonly used clinical models for predicting the probability of malignancy in pulmonary nodules were compared. While three of the models (Mayo Clinic, Veterans Association [VA], and Brock University) are based on clinical and computed tomography (CT) characteristics, one model (Herder) additionally includes the 18F-fluorodeoxyglucose (FDG) uptake value among the positron emission tomography (PET) characteristics. This study aimed to compare the predictive power of these four models in the context of a population drawn from a single center in an endemic area for tuberculosis in Korea. Methods A retrospective analysis of 242 pathologically confirmed nodules (4–30 mm in diameter) in 242 patients from January 2015 to December 2015 was performed. The area under the receiver operating characteristic curve (AUC) was used to assess the predictive performance with respect to malignancy. Results Of 242 nodules, 187 (77.2%) were malignant and 55 (22.8%) were benign, with tuberculosis granuloma being the most common type of benign nodule (23/55). PET was performed for 227 nodules (93.8%). The Mayo, VA, and Brock models showed similar predictive performance for malignant nodules (AUC: 0.6145, 0.6042 and 0.6820, respectively). The performance of the Herder model (AUC: 0.5567) was not significantly different from that of the Mayo (vs. Herder, p = 0.576) or VA models (vs. Herder, p = 0.999), and there were no differences among the three models in determining the probability of malignancy of pulmonary nodules. However, compared with the Brock model, the Herder model showed a significantly lower ability to predict malignancy (adjusted p = 0.0132). Conclusions In our study, the Herder model including the18FDG uptake value did not perform better than the other models in predicting malignant nodules, suggesting the limited utility of adding PET/CT data to models predicting malignancy in populations within endemic areas for benign inflammatory nodules, such as tuberculosis.","author":[{"dropping-particle":"","family":"Yang","given":"Bumhee","non-dropping-particle":"","parse-names":false,"suffix":""},{"dropping-particle":"","family":"Jhun","given":"Byung Woo","non-dropping-particle":"","parse-names":false,"suffix":""},{"dropping-particle":"","family":"Shin","given":"Sun Hye","non-dropping-particle":"","parse-names":false,"suffix":""},{"dropping-particle":"","family":"Jeong","given":"Byeong Ho","non-dropping-particle":"","parse-names":false,"suffix":""},{"dropping-particle":"","family":"Um","given":"Sang Won","non-dropping-particle":"","parse-names":false,"suffix":""},{"dropping-particle":"Il","family":"Zo","given":"Jae","non-dropping-particle":"","parse-names":false,"suffix":""},{"dropping-particle":"","family":"Lee","given":"Ho Yun","non-dropping-particle":"","parse-names":false,"suffix":""},{"dropping-particle":"","family":"Sohn","given":"Insoek","non-dropping-particle":"","parse-names":false,"suffix":""},{"dropping-particle":"","family":"Kim","given":"Hojoong","non-dropping-particle":"","parse-names":false,"suffix":""},{"dropping-particle":"","family":"Kwon","given":"O. Jung","non-dropping-particle":"","parse-names":false,"suffix":""},{"dropping-particle":"","family":"Lee","given":"Kyungjong","non-dropping-particle":"","parse-names":false,"suffix":""}],"container-title":"PLoS ONE","id":"ITEM-1","issue":"7","issued":{"date-parts":[["2018"]]},"page":"1-10","title":"Comparison of four models predicting the malignancy of pulmonary nodules: A single-center study of Korean adults","type":"article-journal","volume":"13"},"uris":["http://www.mendeley.com/documents/?uuid=c38e6e62-879e-4729-85ab-6e3eea6cbfe1"]}],"mendeley":{"formattedCitation":"(38)","plainTextFormattedCitation":"(38)","previouslyFormattedCitation":"&lt;sup&gt;38&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(38)</w:t>
            </w:r>
            <w:r w:rsidRPr="00D02987">
              <w:rPr>
                <w:rFonts w:ascii="Mongolian Baiti" w:hAnsi="Mongolian Baiti" w:cs="Mongolian Baiti"/>
                <w:sz w:val="18"/>
                <w:szCs w:val="18"/>
                <w:lang w:val="en-GB"/>
              </w:rPr>
              <w:fldChar w:fldCharType="end"/>
            </w:r>
          </w:p>
        </w:tc>
        <w:tc>
          <w:tcPr>
            <w:tcW w:w="130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vMerge w:val="restart"/>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Patients with biopsy-proven pulmonary lung nodules at a single centre in Korea.</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77</w:t>
            </w:r>
            <w:r>
              <w:rPr>
                <w:rFonts w:ascii="Mongolian Baiti" w:hAnsi="Mongolian Baiti" w:cs="Mongolian Baiti"/>
                <w:sz w:val="18"/>
                <w:szCs w:val="18"/>
                <w:lang w:val="en-GB"/>
              </w:rPr>
              <w:t>.</w:t>
            </w:r>
            <w:r w:rsidRPr="00D02987">
              <w:rPr>
                <w:rFonts w:ascii="Mongolian Baiti" w:hAnsi="Mongolian Baiti" w:cs="Mongolian Baiti"/>
                <w:sz w:val="18"/>
                <w:szCs w:val="18"/>
                <w:lang w:val="en-GB"/>
              </w:rPr>
              <w:t>2%</w:t>
            </w:r>
          </w:p>
        </w:tc>
        <w:tc>
          <w:tcPr>
            <w:tcW w:w="1276" w:type="dxa"/>
            <w:vMerge w:val="restart"/>
          </w:tcPr>
          <w:p w:rsidR="003F2480" w:rsidRPr="00D02987" w:rsidRDefault="003F2480" w:rsidP="005A57E2">
            <w:pPr>
              <w:jc w:val="both"/>
              <w:rPr>
                <w:rFonts w:ascii="Mongolian Baiti" w:hAnsi="Mongolian Baiti" w:cs="Mongolian Baiti"/>
                <w:b/>
                <w:bCs/>
                <w:sz w:val="18"/>
                <w:szCs w:val="18"/>
                <w:lang w:val="en-GB"/>
              </w:rPr>
            </w:pPr>
            <w:r w:rsidRPr="00D02987">
              <w:rPr>
                <w:rFonts w:ascii="Mongolian Baiti" w:hAnsi="Mongolian Baiti" w:cs="Mongolian Baiti"/>
                <w:sz w:val="18"/>
                <w:szCs w:val="18"/>
                <w:lang w:val="en-GB"/>
              </w:rPr>
              <w:t>39%</w:t>
            </w:r>
          </w:p>
        </w:tc>
        <w:tc>
          <w:tcPr>
            <w:tcW w:w="992" w:type="dxa"/>
            <w:vMerge w:val="restart"/>
          </w:tcPr>
          <w:p w:rsidR="003F2480" w:rsidRPr="00D02987" w:rsidRDefault="003F2480" w:rsidP="005A57E2">
            <w:pPr>
              <w:jc w:val="both"/>
              <w:rPr>
                <w:rFonts w:ascii="Mongolian Baiti" w:hAnsi="Mongolian Baiti" w:cs="Mongolian Baiti"/>
                <w:b/>
                <w:bCs/>
                <w:sz w:val="18"/>
                <w:szCs w:val="18"/>
                <w:lang w:val="en-GB"/>
              </w:rPr>
            </w:pPr>
            <w:r w:rsidRPr="00D02987">
              <w:rPr>
                <w:rFonts w:ascii="Mongolian Baiti" w:hAnsi="Mongolian Baiti" w:cs="Mongolian Baiti"/>
                <w:sz w:val="18"/>
                <w:szCs w:val="18"/>
                <w:lang w:val="en-GB"/>
              </w:rPr>
              <w:t>242</w:t>
            </w:r>
          </w:p>
        </w:tc>
        <w:tc>
          <w:tcPr>
            <w:tcW w:w="2126" w:type="dxa"/>
          </w:tcPr>
          <w:p w:rsidR="003F2480" w:rsidRPr="00D02987" w:rsidRDefault="003F2480" w:rsidP="005A57E2">
            <w:pPr>
              <w:jc w:val="both"/>
              <w:rPr>
                <w:rFonts w:ascii="Mongolian Baiti" w:hAnsi="Mongolian Baiti" w:cs="Mongolian Baiti"/>
                <w:b/>
                <w:bCs/>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Pr>
          <w:p w:rsidR="003F2480" w:rsidRPr="00D02987" w:rsidRDefault="003F2480" w:rsidP="005A57E2">
            <w:pPr>
              <w:jc w:val="both"/>
              <w:rPr>
                <w:rFonts w:ascii="Mongolian Baiti" w:hAnsi="Mongolian Baiti" w:cs="Mongolian Baiti"/>
                <w:b/>
                <w:bCs/>
                <w:sz w:val="18"/>
                <w:szCs w:val="18"/>
                <w:lang w:val="en-GB"/>
              </w:rPr>
            </w:pPr>
            <w:r w:rsidRPr="00D02987">
              <w:rPr>
                <w:rFonts w:ascii="Mongolian Baiti" w:hAnsi="Mongolian Baiti" w:cs="Mongolian Baiti"/>
                <w:sz w:val="18"/>
                <w:szCs w:val="18"/>
                <w:lang w:val="en-GB"/>
              </w:rPr>
              <w:t>0.61</w:t>
            </w:r>
          </w:p>
        </w:tc>
        <w:tc>
          <w:tcPr>
            <w:tcW w:w="2551" w:type="dxa"/>
            <w:vMerge w:val="restart"/>
          </w:tcPr>
          <w:p w:rsidR="003F2480" w:rsidRPr="00D02987" w:rsidRDefault="003F2480" w:rsidP="005A57E2">
            <w:pPr>
              <w:jc w:val="both"/>
              <w:rPr>
                <w:rFonts w:ascii="Mongolian Baiti" w:hAnsi="Mongolian Baiti" w:cs="Mongolian Baiti"/>
                <w:b/>
                <w:bCs/>
                <w:sz w:val="18"/>
                <w:szCs w:val="18"/>
                <w:lang w:val="en-GB"/>
              </w:rPr>
            </w:pPr>
            <w:r w:rsidRPr="00D02987">
              <w:rPr>
                <w:rFonts w:ascii="Mongolian Baiti" w:hAnsi="Mongolian Baiti" w:cs="Mongolian Baiti"/>
                <w:sz w:val="18"/>
                <w:szCs w:val="18"/>
                <w:lang w:val="en-GB"/>
              </w:rPr>
              <w:t>-</w:t>
            </w:r>
          </w:p>
        </w:tc>
      </w:tr>
      <w:tr w:rsidR="003F2480" w:rsidRPr="008110F3" w:rsidTr="005A57E2">
        <w:trPr>
          <w:trHeight w:val="407"/>
        </w:trPr>
        <w:tc>
          <w:tcPr>
            <w:tcW w:w="1245" w:type="dxa"/>
            <w:vMerge/>
          </w:tcPr>
          <w:p w:rsidR="003F2480" w:rsidRPr="00D02987" w:rsidRDefault="003F2480" w:rsidP="005A57E2">
            <w:pPr>
              <w:jc w:val="both"/>
              <w:rPr>
                <w:rFonts w:ascii="Mongolian Baiti" w:hAnsi="Mongolian Baiti" w:cs="Mongolian Baiti"/>
                <w:b/>
                <w:bCs/>
                <w:sz w:val="18"/>
                <w:szCs w:val="18"/>
                <w:lang w:val="en-GB"/>
              </w:rPr>
            </w:pPr>
          </w:p>
        </w:tc>
        <w:tc>
          <w:tcPr>
            <w:tcW w:w="1307" w:type="dxa"/>
            <w:vMerge/>
          </w:tcPr>
          <w:p w:rsidR="003F2480" w:rsidRPr="00D02987" w:rsidRDefault="003F2480" w:rsidP="005A57E2">
            <w:pPr>
              <w:jc w:val="both"/>
              <w:rPr>
                <w:rFonts w:ascii="Mongolian Baiti" w:hAnsi="Mongolian Baiti" w:cs="Mongolian Baiti"/>
                <w:b/>
                <w:bCs/>
                <w:sz w:val="18"/>
                <w:szCs w:val="18"/>
                <w:lang w:val="en-GB"/>
              </w:rPr>
            </w:pPr>
          </w:p>
        </w:tc>
        <w:tc>
          <w:tcPr>
            <w:tcW w:w="1559" w:type="dxa"/>
            <w:vMerge/>
          </w:tcPr>
          <w:p w:rsidR="003F2480" w:rsidRPr="00D02987" w:rsidRDefault="003F2480" w:rsidP="005A57E2">
            <w:pPr>
              <w:rPr>
                <w:rFonts w:ascii="Mongolian Baiti" w:hAnsi="Mongolian Baiti" w:cs="Mongolian Baiti"/>
                <w:b/>
                <w:bCs/>
                <w:sz w:val="18"/>
                <w:szCs w:val="18"/>
                <w:lang w:val="en-GB"/>
              </w:rPr>
            </w:pPr>
          </w:p>
        </w:tc>
        <w:tc>
          <w:tcPr>
            <w:tcW w:w="1276" w:type="dxa"/>
            <w:vMerge/>
          </w:tcPr>
          <w:p w:rsidR="003F2480" w:rsidRPr="00D02987" w:rsidRDefault="003F2480" w:rsidP="005A57E2">
            <w:pPr>
              <w:jc w:val="both"/>
              <w:rPr>
                <w:rFonts w:ascii="Mongolian Baiti" w:hAnsi="Mongolian Baiti" w:cs="Mongolian Baiti"/>
                <w:b/>
                <w:bCs/>
                <w:sz w:val="18"/>
                <w:szCs w:val="18"/>
                <w:lang w:val="en-GB"/>
              </w:rPr>
            </w:pPr>
          </w:p>
        </w:tc>
        <w:tc>
          <w:tcPr>
            <w:tcW w:w="1276" w:type="dxa"/>
            <w:vMerge/>
          </w:tcPr>
          <w:p w:rsidR="003F2480" w:rsidRPr="00D02987" w:rsidRDefault="003F2480" w:rsidP="005A57E2">
            <w:pPr>
              <w:jc w:val="both"/>
              <w:rPr>
                <w:rFonts w:ascii="Mongolian Baiti" w:hAnsi="Mongolian Baiti" w:cs="Mongolian Baiti"/>
                <w:b/>
                <w:bCs/>
                <w:sz w:val="18"/>
                <w:szCs w:val="18"/>
                <w:lang w:val="en-GB"/>
              </w:rPr>
            </w:pPr>
          </w:p>
        </w:tc>
        <w:tc>
          <w:tcPr>
            <w:tcW w:w="992" w:type="dxa"/>
            <w:vMerge/>
          </w:tcPr>
          <w:p w:rsidR="003F2480" w:rsidRPr="00D02987" w:rsidRDefault="003F2480" w:rsidP="005A57E2">
            <w:pPr>
              <w:jc w:val="both"/>
              <w:rPr>
                <w:rFonts w:ascii="Mongolian Baiti" w:hAnsi="Mongolian Baiti" w:cs="Mongolian Baiti"/>
                <w:b/>
                <w:bCs/>
                <w:sz w:val="18"/>
                <w:szCs w:val="18"/>
                <w:lang w:val="en-GB"/>
              </w:rPr>
            </w:pPr>
          </w:p>
        </w:tc>
        <w:tc>
          <w:tcPr>
            <w:tcW w:w="2126" w:type="dxa"/>
          </w:tcPr>
          <w:p w:rsidR="003F2480" w:rsidRPr="00D02987" w:rsidRDefault="003F2480" w:rsidP="005A57E2">
            <w:pPr>
              <w:jc w:val="both"/>
              <w:rPr>
                <w:rFonts w:ascii="Mongolian Baiti" w:hAnsi="Mongolian Baiti" w:cs="Mongolian Baiti"/>
                <w:b/>
                <w:bCs/>
                <w:sz w:val="18"/>
                <w:szCs w:val="18"/>
                <w:lang w:val="en-GB"/>
              </w:rPr>
            </w:pPr>
            <w:r w:rsidRPr="00D02987">
              <w:rPr>
                <w:rFonts w:ascii="Mongolian Baiti" w:hAnsi="Mongolian Baiti" w:cs="Mongolian Baiti"/>
                <w:sz w:val="18"/>
                <w:szCs w:val="18"/>
                <w:lang w:val="en-GB"/>
              </w:rPr>
              <w:t>Gould et al.</w:t>
            </w:r>
          </w:p>
        </w:tc>
        <w:tc>
          <w:tcPr>
            <w:tcW w:w="993" w:type="dxa"/>
          </w:tcPr>
          <w:p w:rsidR="003F2480" w:rsidRPr="00D02987" w:rsidRDefault="003F2480" w:rsidP="005A57E2">
            <w:pPr>
              <w:jc w:val="both"/>
              <w:rPr>
                <w:rFonts w:ascii="Mongolian Baiti" w:hAnsi="Mongolian Baiti" w:cs="Mongolian Baiti"/>
                <w:b/>
                <w:bCs/>
                <w:sz w:val="18"/>
                <w:szCs w:val="18"/>
                <w:lang w:val="en-GB"/>
              </w:rPr>
            </w:pPr>
            <w:r w:rsidRPr="00D02987">
              <w:rPr>
                <w:rFonts w:ascii="Mongolian Baiti" w:hAnsi="Mongolian Baiti" w:cs="Mongolian Baiti"/>
                <w:sz w:val="18"/>
                <w:szCs w:val="18"/>
                <w:lang w:val="en-GB"/>
              </w:rPr>
              <w:t>0.60</w:t>
            </w:r>
          </w:p>
        </w:tc>
        <w:tc>
          <w:tcPr>
            <w:tcW w:w="2551" w:type="dxa"/>
            <w:vMerge/>
          </w:tcPr>
          <w:p w:rsidR="003F2480" w:rsidRPr="00D02987" w:rsidRDefault="003F2480" w:rsidP="005A57E2">
            <w:pPr>
              <w:jc w:val="both"/>
              <w:rPr>
                <w:rFonts w:ascii="Mongolian Baiti" w:hAnsi="Mongolian Baiti" w:cs="Mongolian Baiti"/>
                <w:b/>
                <w:bCs/>
                <w:sz w:val="18"/>
                <w:szCs w:val="18"/>
                <w:lang w:val="en-GB"/>
              </w:rPr>
            </w:pPr>
          </w:p>
        </w:tc>
      </w:tr>
      <w:tr w:rsidR="003F2480" w:rsidRPr="00D02987" w:rsidTr="005A57E2">
        <w:trPr>
          <w:trHeight w:val="281"/>
        </w:trPr>
        <w:tc>
          <w:tcPr>
            <w:tcW w:w="1245"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Hammer M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(2017)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{"citationItems":[{"id":"ITEM-1","itemData":{"DOI":"10.1067/j.cpradiol.2017.04.003","ISSN":"15356302","abstract":"Rationale and Objectives The optimal management of large pulmonary nodules, at higher risk for lung cancer, has not been determined, and it remains unclear as to which patients should undergo follow-up imaging vs invasive tissue diagnosis via biopsy or surgical resection. Materials and Methods Through search of radiology reports, 86 nodules from our institution were identified using the inclusion criterion of solid nodules measuring greater than 8 mm. We evaluated these nodules with a number of risk prediction calculators, including the Brock University model, and compared these against the proven diagnosis. Results Of 86 nodules, 59 (69%) nodules were malignant. The most accurate predictive model, the Brock University calculator, underestimated the risk for this group at 33%. At its optimal threshold, this model had a positive predictive value of 81% and negative predictive value of 53%. Notwithstanding the low negative predictive value, the positive predictive value was no better than patients clinically selected for biopsy (86% of biopsies were malignant). Conclusion Existing nodule risk prediction calculators are of limited usage in guiding the management of large pulmonary nodules. At present, the accuracy of these models in this setting is inferior to expert clinical judgment, and future work is needed to develop management algorithms for higher-risk nodules.","author":[{"dropping-particle":"","family":"Hammer","given":"Mark M.","non-dropping-particle":"","parse-names":false,"suffix":""},{"dropping-particle":"","family":"Nachiappan","given":"Arun C.","non-dropping-particle":"","parse-names":false,"suffix":""},{"dropping-particle":"","family":"Barbosa","given":"Eduardo J.Mortani","non-dropping-particle":"","parse-names":false,"suffix":""}],"container-title":"Current Problems in Diagnostic Radiology","id":"ITEM-1","issue":"1","issued":{"date-parts":[["2018"]]},"page":"23-27","publisher":"Elsevier","title":"Limited Utility of Pulmonary Nodule Risk Calculators for Managing Large Nodules","type":"article-journal","volume":"47"},"uris":["http://www.mendeley.com/documents/?uuid=be32b99b-abb4-42c2-a815-a9390bab9da1"]}],"mendeley":{"formattedCitation":"(30)","plainTextFormattedCitation":"(30)","previouslyFormattedCitation":"&lt;sup&gt;30&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(30)</w:t>
            </w:r>
            <w:r w:rsidRPr="00D02987">
              <w:rPr>
                <w:rFonts w:ascii="Mongolian Baiti" w:hAnsi="Mongolian Baiti" w:cs="Mongolian Baiti"/>
                <w:sz w:val="18"/>
                <w:szCs w:val="18"/>
                <w:lang w:val="en-GB"/>
              </w:rPr>
              <w:fldChar w:fldCharType="end"/>
            </w:r>
          </w:p>
        </w:tc>
        <w:tc>
          <w:tcPr>
            <w:tcW w:w="130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vMerge w:val="restart"/>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USA patients with large nodules at high risk for lung cancer (non-screening cohort). </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69%</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84%</w:t>
            </w:r>
          </w:p>
        </w:tc>
        <w:tc>
          <w:tcPr>
            <w:tcW w:w="992"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86</w:t>
            </w:r>
          </w:p>
        </w:tc>
        <w:tc>
          <w:tcPr>
            <w:tcW w:w="2126"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0.62</w:t>
            </w:r>
          </w:p>
        </w:tc>
        <w:tc>
          <w:tcPr>
            <w:tcW w:w="2551"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3F2480" w:rsidRPr="00D02987" w:rsidTr="005A57E2">
        <w:trPr>
          <w:trHeight w:val="278"/>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559" w:type="dxa"/>
            <w:vMerge/>
          </w:tcPr>
          <w:p w:rsidR="003F2480" w:rsidRPr="00D02987" w:rsidRDefault="003F2480" w:rsidP="005A57E2">
            <w:pPr>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992" w:type="dxa"/>
            <w:vMerge/>
          </w:tcPr>
          <w:p w:rsidR="003F2480" w:rsidRPr="00D02987" w:rsidRDefault="003F2480" w:rsidP="005A57E2">
            <w:pPr>
              <w:jc w:val="both"/>
              <w:rPr>
                <w:rFonts w:ascii="Mongolian Baiti" w:hAnsi="Mongolian Baiti" w:cs="Mongolian Baiti"/>
                <w:sz w:val="18"/>
                <w:szCs w:val="18"/>
                <w:lang w:val="en-GB"/>
              </w:rPr>
            </w:pPr>
          </w:p>
        </w:tc>
        <w:tc>
          <w:tcPr>
            <w:tcW w:w="2126"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0.59</w:t>
            </w:r>
          </w:p>
        </w:tc>
        <w:tc>
          <w:tcPr>
            <w:tcW w:w="2551" w:type="dxa"/>
            <w:vMerge/>
          </w:tcPr>
          <w:p w:rsidR="003F2480" w:rsidRPr="00D02987" w:rsidRDefault="003F2480" w:rsidP="005A57E2">
            <w:pPr>
              <w:jc w:val="both"/>
              <w:rPr>
                <w:rFonts w:ascii="Mongolian Baiti" w:hAnsi="Mongolian Baiti" w:cs="Mongolian Baiti"/>
                <w:sz w:val="18"/>
                <w:szCs w:val="18"/>
                <w:lang w:val="en-GB"/>
              </w:rPr>
            </w:pPr>
          </w:p>
        </w:tc>
      </w:tr>
      <w:tr w:rsidR="003F2480" w:rsidRPr="00D02987" w:rsidTr="005A57E2">
        <w:trPr>
          <w:trHeight w:val="201"/>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559" w:type="dxa"/>
            <w:vMerge/>
          </w:tcPr>
          <w:p w:rsidR="003F2480" w:rsidRPr="00D02987" w:rsidRDefault="003F2480" w:rsidP="005A57E2">
            <w:pPr>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992" w:type="dxa"/>
            <w:vMerge/>
          </w:tcPr>
          <w:p w:rsidR="003F2480" w:rsidRPr="00D02987" w:rsidRDefault="003F2480" w:rsidP="005A57E2">
            <w:pPr>
              <w:jc w:val="both"/>
              <w:rPr>
                <w:rFonts w:ascii="Mongolian Baiti" w:hAnsi="Mongolian Baiti" w:cs="Mongolian Baiti"/>
                <w:sz w:val="18"/>
                <w:szCs w:val="18"/>
                <w:lang w:val="en-GB"/>
              </w:rPr>
            </w:pPr>
          </w:p>
        </w:tc>
        <w:tc>
          <w:tcPr>
            <w:tcW w:w="2126"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Li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0.53</w:t>
            </w:r>
          </w:p>
        </w:tc>
        <w:tc>
          <w:tcPr>
            <w:tcW w:w="2551" w:type="dxa"/>
            <w:vMerge/>
          </w:tcPr>
          <w:p w:rsidR="003F2480" w:rsidRPr="00D02987" w:rsidRDefault="003F2480" w:rsidP="005A57E2">
            <w:pPr>
              <w:jc w:val="both"/>
              <w:rPr>
                <w:rFonts w:ascii="Mongolian Baiti" w:hAnsi="Mongolian Baiti" w:cs="Mongolian Baiti"/>
                <w:sz w:val="18"/>
                <w:szCs w:val="18"/>
                <w:lang w:val="en-GB"/>
              </w:rPr>
            </w:pPr>
          </w:p>
        </w:tc>
      </w:tr>
      <w:tr w:rsidR="003F2480" w:rsidRPr="00D02987" w:rsidTr="005A57E2">
        <w:trPr>
          <w:trHeight w:val="201"/>
        </w:trPr>
        <w:tc>
          <w:tcPr>
            <w:tcW w:w="1245"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Soardi</w:t>
            </w:r>
            <w:proofErr w:type="spellEnd"/>
            <w:r w:rsidRPr="00D02987">
              <w:rPr>
                <w:rFonts w:ascii="Mongolian Baiti" w:hAnsi="Mongolian Baiti" w:cs="Mongolian Baiti"/>
                <w:sz w:val="18"/>
                <w:szCs w:val="18"/>
                <w:lang w:val="en-GB"/>
              </w:rPr>
              <w:t xml:space="preserve"> G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(2016)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{"citationItems":[{"id":"ITEM-1","itemData":{"DOI":"10.1007/s00330-016-4538-5","ISSN":"14321084","abstract":"Objectives: To provide multicentre external validation of the Bayesian Inference Malignancy Calculator (BIMC) model by assessing diagnostic accuracy in a cohort of solitary pulmonary nodules (SPNs) collected in a clinic-based setting. To assess model impact on SPN decision analysis and to compare findings with those obtained via the Mayo Clinic model. Methods: Clinical and imaging data were retrospectively collected from 200 patients from three centres. Accuracy was assessed by means of receiver-operating characteristic (ROC) areas under the curve (AUCs). Decision analysis was performed by adopting both the American College of Chest Physicians (ACCP) and the British Thoracic Society (BTS) risk thresholds. Results: ROC analysis showed an AUC of 0.880 (95 % CI, 0.832-0.928) for the BIMC model and of 0.604 (95 % CI, 0.524-0.683) for the Mayo Clinic model. Difference was 0.276 (95 % CI, 0.190-0.363, P &lt; 0.0001). Decision analysis showed a slightly reduced number of false-negative and false-positive results when using ACCP risk thresholds. Conclusions: The BIMC model proved to be an accurate tool when characterising SPNs. In a clinical setting it can distinguish malignancies from benign nodules with minimal errors by adopting current ACCP or BTS risk thresholds and guiding lesion-tailored diagnostic and interventional procedures during the work-up. Key Points: • The BIMC model can accurately discriminate malignancies in the clinical setting • The BIMC model showed ROC AUC of 0.880 in this multicentre study • The BIMC model compares favourably with the Mayo Clinic model.","author":[{"dropping-particle":"","family":"Soardi","given":"Gian Alberto","non-dropping-particle":"","parse-names":false,"suffix":""},{"dropping-particle":"","family":"Perandini","given":"Simone","non-dropping-particle":"","parse-names":false,"suffix":""},{"dropping-particle":"","family":"Larici","given":"Anna Rita","non-dropping-particle":"","parse-names":false,"suffix":""},{"dropping-particle":"","family":"Ciello","given":"Annemilia","non-dropping-particle":"del","parse-names":false,"suffix":""},{"dropping-particle":"","family":"Rizzardi","given":"Giovanna","non-dropping-particle":"","parse-names":false,"suffix":""},{"dropping-particle":"","family":"Solazzo","given":"Antonio","non-dropping-particle":"","parse-names":false,"suffix":""},{"dropping-particle":"","family":"Mancino","given":"Laura","non-dropping-particle":"","parse-names":false,"suffix":""},{"dropping-particle":"","family":"Bernhart","given":"Marco","non-dropping-particle":"","parse-names":false,"suffix":""},{"dropping-particle":"","family":"Motton","given":"Massimiliano","non-dropping-particle":"","parse-names":false,"suffix":""},{"dropping-particle":"","family":"Montemezzi","given":"Stefania","non-dropping-particle":"","parse-names":false,"suffix":""}],"container-title":"European Radiology","id":"ITEM-1","issue":"5","issued":{"date-parts":[["2017"]]},"page":"1929-1933","publisher":"European Radiology","title":"Multicentre external validation of the BIMC model for solid solitary pulmonary nodule malignancy prediction","type":"article-journal","volume":"27"},"uris":["http://www.mendeley.com/documents/?uuid=4e08a64b-3984-4540-a7ac-8bea9d7cb512"]}],"mendeley":{"formattedCitation":"(44)","plainTextFormattedCitation":"(44)","previouslyFormattedCitation":"&lt;sup&gt;44&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(44)</w:t>
            </w:r>
            <w:r w:rsidRPr="00D02987">
              <w:rPr>
                <w:rFonts w:ascii="Mongolian Baiti" w:hAnsi="Mongolian Baiti" w:cs="Mongolian Baiti"/>
                <w:sz w:val="18"/>
                <w:szCs w:val="18"/>
                <w:lang w:val="en-GB"/>
              </w:rPr>
              <w:fldChar w:fldCharType="end"/>
            </w:r>
          </w:p>
        </w:tc>
        <w:tc>
          <w:tcPr>
            <w:tcW w:w="1307"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Italian patients with SPN with a definitive diagnosis by</w:t>
            </w:r>
          </w:p>
        </w:tc>
        <w:tc>
          <w:tcPr>
            <w:tcW w:w="1276"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54.5%</w:t>
            </w:r>
          </w:p>
        </w:tc>
        <w:tc>
          <w:tcPr>
            <w:tcW w:w="1276"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52%</w:t>
            </w:r>
          </w:p>
        </w:tc>
        <w:tc>
          <w:tcPr>
            <w:tcW w:w="992"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200</w:t>
            </w:r>
          </w:p>
        </w:tc>
        <w:tc>
          <w:tcPr>
            <w:tcW w:w="2126"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0.60</w:t>
            </w:r>
          </w:p>
        </w:tc>
        <w:tc>
          <w:tcPr>
            <w:tcW w:w="2551"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bl>
    <w:p w:rsidR="003F2480" w:rsidRPr="00D02987" w:rsidRDefault="003F2480" w:rsidP="003F2480">
      <w:pPr>
        <w:tabs>
          <w:tab w:val="left" w:pos="1390"/>
        </w:tabs>
        <w:jc w:val="right"/>
        <w:rPr>
          <w:rFonts w:ascii="Mongolian Baiti" w:hAnsi="Mongolian Baiti" w:cs="Mongolian Baiti"/>
          <w:b/>
          <w:bCs/>
          <w:sz w:val="18"/>
          <w:szCs w:val="18"/>
          <w:lang w:val="en-GB"/>
        </w:rPr>
      </w:pPr>
      <w:r w:rsidRPr="00D02987">
        <w:rPr>
          <w:rFonts w:ascii="Mongolian Baiti" w:hAnsi="Mongolian Baiti" w:cs="Mongolian Baiti"/>
          <w:sz w:val="18"/>
          <w:szCs w:val="18"/>
          <w:lang w:val="en-GB"/>
        </w:rPr>
        <w:t>(Continued)</w:t>
      </w:r>
    </w:p>
    <w:p w:rsidR="003F2480" w:rsidRDefault="003F2480" w:rsidP="003F2480">
      <w:pPr>
        <w:tabs>
          <w:tab w:val="left" w:pos="1390"/>
        </w:tabs>
        <w:rPr>
          <w:rFonts w:ascii="Mongolian Baiti" w:hAnsi="Mongolian Baiti" w:cs="Mongolian Baiti"/>
          <w:b/>
          <w:bCs/>
          <w:sz w:val="18"/>
          <w:szCs w:val="18"/>
          <w:lang w:val="en-GB"/>
        </w:rPr>
      </w:pPr>
    </w:p>
    <w:p w:rsidR="003F2480" w:rsidRPr="00A76800" w:rsidRDefault="003F2480" w:rsidP="003F2480">
      <w:pPr>
        <w:tabs>
          <w:tab w:val="left" w:pos="1390"/>
        </w:tabs>
        <w:rPr>
          <w:rFonts w:ascii="Mongolian Baiti" w:hAnsi="Mongolian Baiti" w:cs="Mongolian Baiti"/>
          <w:sz w:val="18"/>
          <w:szCs w:val="18"/>
          <w:lang w:val="en-GB"/>
        </w:rPr>
      </w:pPr>
      <w:r w:rsidRPr="00A76800">
        <w:rPr>
          <w:rFonts w:ascii="Mongolian Baiti" w:hAnsi="Mongolian Baiti" w:cs="Mongolian Baiti"/>
          <w:b/>
          <w:bCs/>
          <w:sz w:val="18"/>
          <w:szCs w:val="18"/>
          <w:lang w:val="en-GB"/>
        </w:rPr>
        <w:t xml:space="preserve">Appendix B </w:t>
      </w:r>
      <w:r w:rsidRPr="00A76800">
        <w:rPr>
          <w:rFonts w:ascii="Mongolian Baiti" w:hAnsi="Mongolian Baiti" w:cs="Mongolian Baiti"/>
          <w:sz w:val="18"/>
          <w:szCs w:val="18"/>
          <w:lang w:val="en-GB"/>
        </w:rPr>
        <w:t>(</w:t>
      </w:r>
      <w:r w:rsidRPr="00906E4F">
        <w:rPr>
          <w:rFonts w:ascii="Mongolian Baiti" w:hAnsi="Mongolian Baiti" w:cs="Mongolian Baiti"/>
          <w:i/>
          <w:iCs/>
          <w:sz w:val="18"/>
          <w:szCs w:val="18"/>
          <w:lang w:val="en-GB"/>
        </w:rPr>
        <w:t>Continued</w:t>
      </w:r>
      <w:r w:rsidRPr="00A76800">
        <w:rPr>
          <w:rFonts w:ascii="Mongolian Baiti" w:hAnsi="Mongolian Baiti" w:cs="Mongolian Baiti"/>
          <w:sz w:val="18"/>
          <w:szCs w:val="18"/>
          <w:lang w:val="en-GB"/>
        </w:rPr>
        <w:t>)</w:t>
      </w:r>
    </w:p>
    <w:tbl>
      <w:tblPr>
        <w:tblStyle w:val="TableGrid"/>
        <w:tblW w:w="13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5"/>
        <w:gridCol w:w="1307"/>
        <w:gridCol w:w="1696"/>
        <w:gridCol w:w="1276"/>
        <w:gridCol w:w="1275"/>
        <w:gridCol w:w="1134"/>
        <w:gridCol w:w="2127"/>
        <w:gridCol w:w="850"/>
        <w:gridCol w:w="2693"/>
      </w:tblGrid>
      <w:tr w:rsidR="003F2480" w:rsidRPr="00D02987" w:rsidTr="005A57E2">
        <w:trPr>
          <w:trHeight w:val="1107"/>
        </w:trPr>
        <w:tc>
          <w:tcPr>
            <w:tcW w:w="1245" w:type="dxa"/>
            <w:tcBorders>
              <w:top w:val="single" w:sz="4" w:space="0" w:color="auto"/>
              <w:bottom w:val="single" w:sz="4" w:space="0" w:color="auto"/>
            </w:tcBorders>
            <w:vAlign w:val="center"/>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Authors</w:t>
            </w:r>
          </w:p>
          <w:p w:rsidR="003F2480" w:rsidRPr="00D02987" w:rsidDel="007739C5"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(year)</w:t>
            </w:r>
          </w:p>
        </w:tc>
        <w:tc>
          <w:tcPr>
            <w:tcW w:w="1307" w:type="dxa"/>
            <w:tcBorders>
              <w:top w:val="single" w:sz="4" w:space="0" w:color="auto"/>
              <w:bottom w:val="single" w:sz="4" w:space="0" w:color="auto"/>
            </w:tcBorders>
            <w:vAlign w:val="center"/>
          </w:tcPr>
          <w:p w:rsidR="003F2480" w:rsidRPr="00D02987" w:rsidDel="007739C5"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Types of prediction models by TRIPOD statement1</w:t>
            </w:r>
            <w:r w:rsidRPr="00D02987">
              <w:rPr>
                <w:rFonts w:ascii="Mongolian Baiti" w:hAnsi="Mongolian Baiti" w:cs="Mongolian Baiti"/>
                <w:b/>
                <w:bCs/>
                <w:sz w:val="18"/>
                <w:szCs w:val="18"/>
                <w:vertAlign w:val="superscript"/>
                <w:lang w:val="en-GB"/>
              </w:rPr>
              <w:t>1</w:t>
            </w:r>
          </w:p>
        </w:tc>
        <w:tc>
          <w:tcPr>
            <w:tcW w:w="1696" w:type="dxa"/>
            <w:tcBorders>
              <w:top w:val="single" w:sz="4" w:space="0" w:color="auto"/>
              <w:bottom w:val="single" w:sz="4" w:space="0" w:color="auto"/>
            </w:tcBorders>
            <w:vAlign w:val="center"/>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Del="007739C5"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Study population</w:t>
            </w:r>
          </w:p>
        </w:tc>
        <w:tc>
          <w:tcPr>
            <w:tcW w:w="1276" w:type="dxa"/>
            <w:tcBorders>
              <w:top w:val="single" w:sz="4" w:space="0" w:color="auto"/>
              <w:bottom w:val="single" w:sz="4" w:space="0" w:color="auto"/>
            </w:tcBorders>
            <w:vAlign w:val="center"/>
          </w:tcPr>
          <w:p w:rsidR="003F2480" w:rsidRPr="00D02987" w:rsidRDefault="003F2480" w:rsidP="005A57E2">
            <w:pPr>
              <w:jc w:val="center"/>
              <w:rPr>
                <w:rFonts w:ascii="Mongolian Baiti" w:hAnsi="Mongolian Baiti" w:cs="Mongolian Baiti"/>
                <w:b/>
                <w:bCs/>
                <w:sz w:val="18"/>
                <w:szCs w:val="18"/>
                <w:lang w:val="en-GB"/>
              </w:rPr>
            </w:pPr>
          </w:p>
          <w:p w:rsidR="003F2480" w:rsidRPr="00D02987" w:rsidDel="007739C5"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Prevalence of malignancy</w:t>
            </w:r>
          </w:p>
        </w:tc>
        <w:tc>
          <w:tcPr>
            <w:tcW w:w="1275" w:type="dxa"/>
            <w:tcBorders>
              <w:top w:val="single" w:sz="4" w:space="0" w:color="auto"/>
              <w:bottom w:val="single" w:sz="4" w:space="0" w:color="auto"/>
            </w:tcBorders>
            <w:vAlign w:val="center"/>
          </w:tcPr>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Prevalence of</w:t>
            </w:r>
          </w:p>
          <w:p w:rsidR="003F2480" w:rsidRPr="00D02987" w:rsidDel="007739C5"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active or former smokers</w:t>
            </w:r>
          </w:p>
        </w:tc>
        <w:tc>
          <w:tcPr>
            <w:tcW w:w="1134" w:type="dxa"/>
            <w:tcBorders>
              <w:top w:val="single" w:sz="4" w:space="0" w:color="auto"/>
              <w:bottom w:val="single" w:sz="4" w:space="0" w:color="auto"/>
            </w:tcBorders>
            <w:vAlign w:val="center"/>
          </w:tcPr>
          <w:p w:rsidR="003F2480" w:rsidRPr="00D02987" w:rsidDel="007739C5"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Validation sample size</w:t>
            </w:r>
          </w:p>
        </w:tc>
        <w:tc>
          <w:tcPr>
            <w:tcW w:w="2127" w:type="dxa"/>
            <w:tcBorders>
              <w:top w:val="single" w:sz="4" w:space="0" w:color="auto"/>
              <w:bottom w:val="single" w:sz="4" w:space="0" w:color="auto"/>
            </w:tcBorders>
            <w:vAlign w:val="center"/>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Del="007739C5"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Prediction model</w:t>
            </w:r>
          </w:p>
        </w:tc>
        <w:tc>
          <w:tcPr>
            <w:tcW w:w="850" w:type="dxa"/>
            <w:tcBorders>
              <w:top w:val="single" w:sz="4" w:space="0" w:color="auto"/>
              <w:bottom w:val="single" w:sz="4" w:space="0" w:color="auto"/>
            </w:tcBorders>
            <w:vAlign w:val="center"/>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Del="007739C5"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AUC</w:t>
            </w:r>
            <w:r w:rsidRPr="00D02987">
              <w:rPr>
                <w:rFonts w:ascii="Mongolian Baiti" w:hAnsi="Mongolian Baiti" w:cs="Mongolian Baiti"/>
                <w:b/>
                <w:bCs/>
                <w:sz w:val="18"/>
                <w:szCs w:val="18"/>
                <w:vertAlign w:val="superscript"/>
                <w:lang w:val="en-GB"/>
              </w:rPr>
              <w:t>2</w:t>
            </w:r>
          </w:p>
        </w:tc>
        <w:tc>
          <w:tcPr>
            <w:tcW w:w="2693" w:type="dxa"/>
            <w:tcBorders>
              <w:top w:val="single" w:sz="4" w:space="0" w:color="auto"/>
              <w:bottom w:val="single" w:sz="4" w:space="0" w:color="auto"/>
            </w:tcBorders>
            <w:vAlign w:val="center"/>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Del="007739C5"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Calibration</w:t>
            </w:r>
            <w:r w:rsidRPr="00D02987">
              <w:rPr>
                <w:rFonts w:ascii="Mongolian Baiti" w:hAnsi="Mongolian Baiti" w:cs="Mongolian Baiti"/>
                <w:b/>
                <w:bCs/>
                <w:sz w:val="18"/>
                <w:szCs w:val="18"/>
                <w:vertAlign w:val="superscript"/>
                <w:lang w:val="en-GB"/>
              </w:rPr>
              <w:t>3</w:t>
            </w:r>
          </w:p>
        </w:tc>
      </w:tr>
      <w:tr w:rsidR="003F2480" w:rsidRPr="001D4D75" w:rsidTr="005A57E2">
        <w:trPr>
          <w:trHeight w:val="345"/>
        </w:trPr>
        <w:tc>
          <w:tcPr>
            <w:tcW w:w="1245"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p>
        </w:tc>
        <w:tc>
          <w:tcPr>
            <w:tcW w:w="1307"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p>
        </w:tc>
        <w:tc>
          <w:tcPr>
            <w:tcW w:w="1696" w:type="dxa"/>
            <w:tcBorders>
              <w:top w:val="single" w:sz="4" w:space="0" w:color="auto"/>
            </w:tcBorders>
          </w:tcPr>
          <w:p w:rsidR="003F2480" w:rsidRPr="00D02987" w:rsidRDefault="003F2480" w:rsidP="005A57E2">
            <w:pPr>
              <w:rPr>
                <w:rFonts w:ascii="Mongolian Baiti" w:hAnsi="Mongolian Baiti" w:cs="Mongolian Baiti"/>
                <w:sz w:val="18"/>
                <w:szCs w:val="18"/>
                <w:lang w:val="en-GB"/>
              </w:rPr>
            </w:pPr>
            <w:proofErr w:type="gramStart"/>
            <w:r w:rsidRPr="00D02987">
              <w:rPr>
                <w:rFonts w:ascii="Mongolian Baiti" w:hAnsi="Mongolian Baiti" w:cs="Mongolian Baiti"/>
                <w:sz w:val="18"/>
                <w:szCs w:val="18"/>
                <w:lang w:val="en-GB"/>
              </w:rPr>
              <w:t>biopsy</w:t>
            </w:r>
            <w:proofErr w:type="gramEnd"/>
            <w:r w:rsidRPr="00D02987">
              <w:rPr>
                <w:rFonts w:ascii="Mongolian Baiti" w:hAnsi="Mongolian Baiti" w:cs="Mongolian Baiti"/>
                <w:sz w:val="18"/>
                <w:szCs w:val="18"/>
                <w:lang w:val="en-GB"/>
              </w:rPr>
              <w:t xml:space="preserve"> or stability/volume reduction.</w:t>
            </w:r>
          </w:p>
        </w:tc>
        <w:tc>
          <w:tcPr>
            <w:tcW w:w="1276"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p>
        </w:tc>
        <w:tc>
          <w:tcPr>
            <w:tcW w:w="1275"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p>
        </w:tc>
        <w:tc>
          <w:tcPr>
            <w:tcW w:w="1134"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p>
        </w:tc>
        <w:tc>
          <w:tcPr>
            <w:tcW w:w="2127"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p>
        </w:tc>
        <w:tc>
          <w:tcPr>
            <w:tcW w:w="850"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p>
        </w:tc>
        <w:tc>
          <w:tcPr>
            <w:tcW w:w="2693" w:type="dxa"/>
            <w:tcBorders>
              <w:top w:val="single" w:sz="4" w:space="0" w:color="auto"/>
            </w:tcBorders>
          </w:tcPr>
          <w:p w:rsidR="003F2480" w:rsidRPr="00D02987" w:rsidRDefault="003F2480" w:rsidP="005A57E2">
            <w:pPr>
              <w:rPr>
                <w:rFonts w:ascii="Mongolian Baiti" w:hAnsi="Mongolian Baiti" w:cs="Mongolian Baiti"/>
                <w:sz w:val="18"/>
                <w:szCs w:val="18"/>
                <w:lang w:val="en-GB"/>
              </w:rPr>
            </w:pPr>
          </w:p>
        </w:tc>
      </w:tr>
      <w:tr w:rsidR="003F2480" w:rsidRPr="008110F3" w:rsidTr="005A57E2">
        <w:trPr>
          <w:trHeight w:val="345"/>
        </w:trPr>
        <w:tc>
          <w:tcPr>
            <w:tcW w:w="1245" w:type="dxa"/>
            <w:vMerge w:val="restart"/>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Talwar</w:t>
            </w:r>
            <w:proofErr w:type="spellEnd"/>
            <w:r w:rsidRPr="00D02987">
              <w:rPr>
                <w:rFonts w:ascii="Mongolian Baiti" w:hAnsi="Mongolian Baiti" w:cs="Mongolian Baiti"/>
                <w:sz w:val="18"/>
                <w:szCs w:val="18"/>
                <w:lang w:val="en-GB"/>
              </w:rPr>
              <w:t xml:space="preserve"> A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(2016)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 xml:space="preserve">ADDIN CSL_CITATION {"citationItems":[{"id":"ITEM-1","itemData":{"DOI":"10.1016/j.crad.2016.09.014","ISSN":"1365229X","abstract":"Aim To estimate the probability of malignancy in small pulmonary nodules (PNs) based on clinical and radiological characteristics in a non-screening population that includes patients with a prior history of malignancy using three validated models. Materials and methods Retrospective data on clinical and radiological characteristics was collected from the medical records of 702 patients (379 men, 323 women; range 19–94 years) with PNs </w:instrText>
            </w:r>
            <w:r>
              <w:rPr>
                <w:rFonts w:ascii="Times New Roman" w:hAnsi="Times New Roman" w:cs="Times New Roman"/>
                <w:sz w:val="18"/>
                <w:szCs w:val="18"/>
                <w:lang w:val="en-GB"/>
              </w:rPr>
              <w:instrText>≤</w:instrText>
            </w:r>
            <w:r>
              <w:rPr>
                <w:rFonts w:ascii="Mongolian Baiti" w:hAnsi="Mongolian Baiti" w:cs="Mongolian Baiti"/>
                <w:sz w:val="18"/>
                <w:szCs w:val="18"/>
                <w:lang w:val="en-GB"/>
              </w:rPr>
              <w:instrText>12 mm in diameter at a single centre. The final diagnosis was compared to the probability of malignancy calculated by one of three models (Mayo, VA, and McWilliams). Model accuracy was assessed by receiver operating characteristics (ROC). The models were calibrated by comparing predicted and observed rates of malignancy. Results The area under the ROC curve (AUC) was highest for the McWilliams model (0.82; 95% confidence interval [CI]: 0.78–0.91) and lowest for the Mayo model (0.58; 95% CI: 0.55–0.59). The VA model had an AUC of (0.62; 95% CI: 0.47–0.64). Performance of the models was significantly lower than that in the published literature. Conclusions The accuracy of the three models is lower in a non-screening population with a high prevalence of prior malignancy compared to the papers that describe their development. To the authors’ knowledge, this is the largest study to validate predictive models for PNs in a non-screening clinically referred patient population, and has potential implications for the implementation of predictive models.","author":[{"dropping-particle":"","family":"Talwar","given":"A.","non-dropping-particle":"","parse-names":false,"suffix":""},{"dropping-particle":"","family":"Rahman","given":"N. M.","non-dropping-particle":"","parse-names":false,"suffix":""},{"dropping-particle":"","family":"Kadir","given":"T.","non-dropping-particle":"","parse-names":false,"suffix":""},{"dropping-particle":"","family":"Pickup","given":"L. C.","non-dropping-particle":"","parse-names":false,"suffix":""},{"dropping-particle":"","family":"Gleeson","given":"F.","non-dropping-particle":"","parse-names":false,"suffix":""}],"container-title":"Clinical Radiology","id":"ITEM-1","issue":"2","issued":{"date-parts":[["2017"]]},"page":"177.e1-177.e8","publisher":"Elsevier Ltd","title":"A retrospective validation study of three models to estimate the probability of malignancy in patients with small pulmonary nodules from a tertiary oncology follow-up centre","type":"article-journal","volume":"72"},"uris":["http://www.mendeley.com/documents/?uuid=efc22de4-63e0-475b-b810-8a1f0225163a"]}],"mendeley":{"formattedCitation":"(31)","plainTextFormattedCitation":"(31)","previouslyFormattedCitation":"&lt;sup&gt;31&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(31)</w:t>
            </w:r>
            <w:r w:rsidRPr="00D02987">
              <w:rPr>
                <w:rFonts w:ascii="Mongolian Baiti" w:hAnsi="Mongolian Baiti" w:cs="Mongolian Baiti"/>
                <w:sz w:val="18"/>
                <w:szCs w:val="18"/>
                <w:lang w:val="en-GB"/>
              </w:rPr>
              <w:fldChar w:fldCharType="end"/>
            </w:r>
          </w:p>
        </w:tc>
        <w:tc>
          <w:tcPr>
            <w:tcW w:w="130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696" w:type="dxa"/>
            <w:vMerge w:val="restart"/>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Non-screening USA population with PNs (incidental finding on a chest CT and patients with either a known or prior cancer within the last 5 years scanned either </w:t>
            </w:r>
            <w:r w:rsidRPr="00D02987">
              <w:rPr>
                <w:rFonts w:ascii="Mongolian Baiti" w:hAnsi="Mongolian Baiti" w:cs="Mongolian Baiti"/>
                <w:sz w:val="18"/>
                <w:szCs w:val="18"/>
                <w:lang w:val="en-GB"/>
              </w:rPr>
              <w:lastRenderedPageBreak/>
              <w:t>as a staging or follow-up scan or scanned for another reason).</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lastRenderedPageBreak/>
              <w:t>46%</w:t>
            </w:r>
          </w:p>
        </w:tc>
        <w:tc>
          <w:tcPr>
            <w:tcW w:w="1275"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65%</w:t>
            </w:r>
          </w:p>
        </w:tc>
        <w:tc>
          <w:tcPr>
            <w:tcW w:w="1134"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702</w:t>
            </w:r>
          </w:p>
        </w:tc>
        <w:tc>
          <w:tcPr>
            <w:tcW w:w="2127"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850"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0.58</w:t>
            </w:r>
          </w:p>
        </w:tc>
        <w:tc>
          <w:tcPr>
            <w:tcW w:w="2693" w:type="dxa"/>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This model underestimated the probability of malignancy in 1</w:t>
            </w:r>
            <w:r w:rsidRPr="00D02987">
              <w:rPr>
                <w:rFonts w:ascii="Mongolian Baiti" w:hAnsi="Mongolian Baiti" w:cs="Mongolian Baiti"/>
                <w:sz w:val="18"/>
                <w:szCs w:val="18"/>
                <w:vertAlign w:val="superscript"/>
                <w:lang w:val="en-GB"/>
              </w:rPr>
              <w:t>st</w:t>
            </w:r>
            <w:r w:rsidRPr="00D02987">
              <w:rPr>
                <w:rFonts w:ascii="Mongolian Baiti" w:hAnsi="Mongolian Baiti" w:cs="Mongolian Baiti"/>
                <w:sz w:val="18"/>
                <w:szCs w:val="18"/>
                <w:lang w:val="en-GB"/>
              </w:rPr>
              <w:t xml:space="preserve"> 2</w:t>
            </w:r>
            <w:r w:rsidRPr="00D02987">
              <w:rPr>
                <w:rFonts w:ascii="Mongolian Baiti" w:hAnsi="Mongolian Baiti" w:cs="Mongolian Baiti"/>
                <w:sz w:val="18"/>
                <w:szCs w:val="18"/>
                <w:vertAlign w:val="superscript"/>
                <w:lang w:val="en-GB"/>
              </w:rPr>
              <w:t>nd</w:t>
            </w:r>
            <w:r w:rsidRPr="00D02987">
              <w:rPr>
                <w:rFonts w:ascii="Mongolian Baiti" w:hAnsi="Mongolian Baiti" w:cs="Mongolian Baiti"/>
                <w:sz w:val="18"/>
                <w:szCs w:val="18"/>
                <w:lang w:val="en-GB"/>
              </w:rPr>
              <w:t xml:space="preserve"> and 3</w:t>
            </w:r>
            <w:r w:rsidRPr="00D02987">
              <w:rPr>
                <w:rFonts w:ascii="Mongolian Baiti" w:hAnsi="Mongolian Baiti" w:cs="Mongolian Baiti"/>
                <w:sz w:val="18"/>
                <w:szCs w:val="18"/>
                <w:vertAlign w:val="superscript"/>
                <w:lang w:val="en-GB"/>
              </w:rPr>
              <w:t>th</w:t>
            </w:r>
            <w:r w:rsidRPr="00D02987">
              <w:rPr>
                <w:rFonts w:ascii="Mongolian Baiti" w:hAnsi="Mongolian Baiti" w:cs="Mongolian Baiti"/>
                <w:sz w:val="18"/>
                <w:szCs w:val="18"/>
                <w:lang w:val="en-GB"/>
              </w:rPr>
              <w:t xml:space="preserve"> quintiles. It overestimated the probability of malignancy in 4</w:t>
            </w:r>
            <w:r w:rsidRPr="00D02987">
              <w:rPr>
                <w:rFonts w:ascii="Mongolian Baiti" w:hAnsi="Mongolian Baiti" w:cs="Mongolian Baiti"/>
                <w:sz w:val="18"/>
                <w:szCs w:val="18"/>
                <w:vertAlign w:val="superscript"/>
                <w:lang w:val="en-GB"/>
              </w:rPr>
              <w:t>th</w:t>
            </w:r>
            <w:r w:rsidRPr="00D02987">
              <w:rPr>
                <w:rFonts w:ascii="Mongolian Baiti" w:hAnsi="Mongolian Baiti" w:cs="Mongolian Baiti"/>
                <w:sz w:val="18"/>
                <w:szCs w:val="18"/>
                <w:lang w:val="en-GB"/>
              </w:rPr>
              <w:t xml:space="preserve"> and 5</w:t>
            </w:r>
            <w:r w:rsidRPr="00D02987">
              <w:rPr>
                <w:rFonts w:ascii="Mongolian Baiti" w:hAnsi="Mongolian Baiti" w:cs="Mongolian Baiti"/>
                <w:sz w:val="18"/>
                <w:szCs w:val="18"/>
                <w:vertAlign w:val="superscript"/>
                <w:lang w:val="en-GB"/>
              </w:rPr>
              <w:t>th</w:t>
            </w:r>
            <w:r w:rsidRPr="00D02987">
              <w:rPr>
                <w:rFonts w:ascii="Mongolian Baiti" w:hAnsi="Mongolian Baiti" w:cs="Mongolian Baiti"/>
                <w:sz w:val="18"/>
                <w:szCs w:val="18"/>
                <w:lang w:val="en-GB"/>
              </w:rPr>
              <w:t xml:space="preserve"> quintiles.</w:t>
            </w:r>
          </w:p>
        </w:tc>
      </w:tr>
      <w:tr w:rsidR="003F2480" w:rsidRPr="008110F3" w:rsidTr="005A57E2">
        <w:trPr>
          <w:trHeight w:val="872"/>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69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5" w:type="dxa"/>
            <w:vMerge/>
          </w:tcPr>
          <w:p w:rsidR="003F2480" w:rsidRPr="00D02987" w:rsidRDefault="003F2480" w:rsidP="005A57E2">
            <w:pPr>
              <w:jc w:val="both"/>
              <w:rPr>
                <w:rFonts w:ascii="Mongolian Baiti" w:hAnsi="Mongolian Baiti" w:cs="Mongolian Baiti"/>
                <w:sz w:val="18"/>
                <w:szCs w:val="18"/>
                <w:lang w:val="en-GB"/>
              </w:rPr>
            </w:pPr>
          </w:p>
        </w:tc>
        <w:tc>
          <w:tcPr>
            <w:tcW w:w="1134" w:type="dxa"/>
            <w:vMerge/>
          </w:tcPr>
          <w:p w:rsidR="003F2480" w:rsidRPr="00D02987" w:rsidRDefault="003F2480" w:rsidP="005A57E2">
            <w:pPr>
              <w:jc w:val="both"/>
              <w:rPr>
                <w:rFonts w:ascii="Mongolian Baiti" w:hAnsi="Mongolian Baiti" w:cs="Mongolian Baiti"/>
                <w:sz w:val="18"/>
                <w:szCs w:val="18"/>
                <w:lang w:val="en-GB"/>
              </w:rPr>
            </w:pPr>
          </w:p>
        </w:tc>
        <w:tc>
          <w:tcPr>
            <w:tcW w:w="2127"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tc>
        <w:tc>
          <w:tcPr>
            <w:tcW w:w="850"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0.62</w:t>
            </w:r>
          </w:p>
        </w:tc>
        <w:tc>
          <w:tcPr>
            <w:tcW w:w="2693" w:type="dxa"/>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This model underestimated the probability of malignancy in 1</w:t>
            </w:r>
            <w:r w:rsidRPr="00D02987">
              <w:rPr>
                <w:rFonts w:ascii="Mongolian Baiti" w:hAnsi="Mongolian Baiti" w:cs="Mongolian Baiti"/>
                <w:sz w:val="18"/>
                <w:szCs w:val="18"/>
                <w:vertAlign w:val="superscript"/>
                <w:lang w:val="en-GB"/>
              </w:rPr>
              <w:t>st</w:t>
            </w:r>
            <w:r w:rsidRPr="00D02987">
              <w:rPr>
                <w:rFonts w:ascii="Mongolian Baiti" w:hAnsi="Mongolian Baiti" w:cs="Mongolian Baiti"/>
                <w:sz w:val="18"/>
                <w:szCs w:val="18"/>
                <w:lang w:val="en-GB"/>
              </w:rPr>
              <w:t xml:space="preserve"> 2</w:t>
            </w:r>
            <w:r w:rsidRPr="00D02987">
              <w:rPr>
                <w:rFonts w:ascii="Mongolian Baiti" w:hAnsi="Mongolian Baiti" w:cs="Mongolian Baiti"/>
                <w:sz w:val="18"/>
                <w:szCs w:val="18"/>
                <w:vertAlign w:val="superscript"/>
                <w:lang w:val="en-GB"/>
              </w:rPr>
              <w:t>nd</w:t>
            </w:r>
            <w:r w:rsidRPr="00D02987">
              <w:rPr>
                <w:rFonts w:ascii="Mongolian Baiti" w:hAnsi="Mongolian Baiti" w:cs="Mongolian Baiti"/>
                <w:sz w:val="18"/>
                <w:szCs w:val="18"/>
                <w:lang w:val="en-GB"/>
              </w:rPr>
              <w:t xml:space="preserve"> and 3</w:t>
            </w:r>
            <w:r w:rsidRPr="00D02987">
              <w:rPr>
                <w:rFonts w:ascii="Mongolian Baiti" w:hAnsi="Mongolian Baiti" w:cs="Mongolian Baiti"/>
                <w:sz w:val="18"/>
                <w:szCs w:val="18"/>
                <w:vertAlign w:val="superscript"/>
                <w:lang w:val="en-GB"/>
              </w:rPr>
              <w:t>th</w:t>
            </w:r>
            <w:r w:rsidRPr="00D02987">
              <w:rPr>
                <w:rFonts w:ascii="Mongolian Baiti" w:hAnsi="Mongolian Baiti" w:cs="Mongolian Baiti"/>
                <w:sz w:val="18"/>
                <w:szCs w:val="18"/>
                <w:lang w:val="en-GB"/>
              </w:rPr>
              <w:t xml:space="preserve"> quintiles. It overestimated the probability of malignancy in </w:t>
            </w:r>
            <w:r w:rsidRPr="00D02987">
              <w:rPr>
                <w:rFonts w:ascii="Mongolian Baiti" w:hAnsi="Mongolian Baiti" w:cs="Mongolian Baiti"/>
                <w:sz w:val="18"/>
                <w:szCs w:val="18"/>
                <w:lang w:val="en-GB"/>
              </w:rPr>
              <w:lastRenderedPageBreak/>
              <w:t>4</w:t>
            </w:r>
            <w:r w:rsidRPr="00D02987">
              <w:rPr>
                <w:rFonts w:ascii="Mongolian Baiti" w:hAnsi="Mongolian Baiti" w:cs="Mongolian Baiti"/>
                <w:sz w:val="18"/>
                <w:szCs w:val="18"/>
                <w:vertAlign w:val="superscript"/>
                <w:lang w:val="en-GB"/>
              </w:rPr>
              <w:t>th</w:t>
            </w:r>
            <w:r w:rsidRPr="00D02987">
              <w:rPr>
                <w:rFonts w:ascii="Mongolian Baiti" w:hAnsi="Mongolian Baiti" w:cs="Mongolian Baiti"/>
                <w:sz w:val="18"/>
                <w:szCs w:val="18"/>
                <w:lang w:val="en-GB"/>
              </w:rPr>
              <w:t xml:space="preserve"> and 5</w:t>
            </w:r>
            <w:r w:rsidRPr="00D02987">
              <w:rPr>
                <w:rFonts w:ascii="Mongolian Baiti" w:hAnsi="Mongolian Baiti" w:cs="Mongolian Baiti"/>
                <w:sz w:val="18"/>
                <w:szCs w:val="18"/>
                <w:vertAlign w:val="superscript"/>
                <w:lang w:val="en-GB"/>
              </w:rPr>
              <w:t>th</w:t>
            </w:r>
            <w:r w:rsidRPr="00D02987">
              <w:rPr>
                <w:rFonts w:ascii="Mongolian Baiti" w:hAnsi="Mongolian Baiti" w:cs="Mongolian Baiti"/>
                <w:sz w:val="18"/>
                <w:szCs w:val="18"/>
                <w:lang w:val="en-GB"/>
              </w:rPr>
              <w:t xml:space="preserve"> quintiles.</w:t>
            </w:r>
          </w:p>
        </w:tc>
      </w:tr>
      <w:tr w:rsidR="003F2480" w:rsidRPr="00D02987" w:rsidTr="005A57E2">
        <w:trPr>
          <w:trHeight w:val="399"/>
        </w:trPr>
        <w:tc>
          <w:tcPr>
            <w:tcW w:w="1245" w:type="dxa"/>
            <w:vMerge w:val="restart"/>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lastRenderedPageBreak/>
              <w:t>Perandini</w:t>
            </w:r>
            <w:proofErr w:type="spellEnd"/>
            <w:r w:rsidRPr="00D02987">
              <w:rPr>
                <w:rFonts w:ascii="Mongolian Baiti" w:hAnsi="Mongolian Baiti" w:cs="Mongolian Baiti"/>
                <w:sz w:val="18"/>
                <w:szCs w:val="18"/>
                <w:lang w:val="en-GB"/>
              </w:rPr>
              <w:t xml:space="preserve"> S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(2015)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{"citationItems":[{"id":"ITEM-1","itemData":{"DOI":"10.1007/s00330-015-4138-9","ISSN":"14321084","abstract":"Objectives: The aim of this study was to compare classification results from four major risk prediction models in a wide population of incidentally detected solitary pulmonary nodules (SPNs) which were selected to crossmatch inclusion criteria for the selected models. Methods: A total of 285 solitary pulmonary nodules with a definitive diagnosis were evaluated by means of four major risk assessment models developed from non-screening populations, namely the Mayo, Gurney, PKUPH and BIMC models. Accuracy was evaluated by receiver operating characteristic (ROC) area under the curve (AUC) analysis. Each model’s fitness to provide reliable help in decision analysis was primarily assessed by adopting a surgical threshold of 65 % and an observation threshold of 5 % as suggested by ACCP guidelines. Results: ROC AUC values, false positives, false negatives and indeterminate nodules were respectively 0.775, 3, 8, 227 (Mayo); 0.794, 41, 6, 125 (Gurney); 0.889, 42, 0, 144 (PKUPH); 0.898, 16, 0, 118 (BIMC). Conclusions: Resultant data suggests that the BIMC model may be of greater help than Mayo, Gurney and PKUPH models in preoperative SPN characterization when using ACCP risk thresholds because of overall better accuracy and smaller numbers of indeterminate nodules and false positive results. Key Points: • The BIMC and PKUPH models offer better characterization than older prediction models • Both the PKUPH and BIMC models completely avoided false negative results • The Mayo model suffers from a large number of indeterminate results","author":[{"dropping-particle":"","family":"Perandini","given":"Simone","non-dropping-particle":"","parse-names":false,"suffix":""},{"dropping-particle":"","family":"Soardi","given":"Gian Alberto","non-dropping-particle":"","parse-names":false,"suffix":""},{"dropping-particle":"","family":"Motton","given":"Massimiliano","non-dropping-particle":"","parse-names":false,"suffix":""},{"dropping-particle":"","family":"Rossi","given":"Arianna","non-dropping-particle":"","parse-names":false,"suffix":""},{"dropping-particle":"","family":"Signorini","given":"Manuel","non-dropping-particle":"","parse-names":false,"suffix":""},{"dropping-particle":"","family":"Montemezzi","given":"Stefania","non-dropping-particle":"","parse-names":false,"suffix":""}],"container-title":"European Radiology","id":"ITEM-1","issue":"9","issued":{"date-parts":[["2015"]]},"page":"3071-3076","title":"Solid pulmonary nodule risk assessment and decision analysis: comparison of four prediction models in 285 cases","type":"article-journal","volume":"26"},"uris":["http://www.mendeley.com/documents/?uuid=7c7f8532-83cd-481e-8387-22ed2153b5b5"]}],"mendeley":{"formattedCitation":"(46)","plainTextFormattedCitation":"(46)","previouslyFormattedCitation":"&lt;sup&gt;46&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(46)</w:t>
            </w:r>
            <w:r w:rsidRPr="00D02987">
              <w:rPr>
                <w:rFonts w:ascii="Mongolian Baiti" w:hAnsi="Mongolian Baiti" w:cs="Mongolian Baiti"/>
                <w:sz w:val="18"/>
                <w:szCs w:val="18"/>
                <w:lang w:val="en-GB"/>
              </w:rPr>
              <w:fldChar w:fldCharType="end"/>
            </w:r>
          </w:p>
        </w:tc>
        <w:tc>
          <w:tcPr>
            <w:tcW w:w="130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69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Patients with a newly discovered solid SPN with a definitive diagnosis by biopsy or by means of serial volume assessment found in electronic medical records.</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54.7%</w:t>
            </w:r>
          </w:p>
        </w:tc>
        <w:tc>
          <w:tcPr>
            <w:tcW w:w="1275"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NR</w:t>
            </w:r>
          </w:p>
        </w:tc>
        <w:tc>
          <w:tcPr>
            <w:tcW w:w="1134"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285</w:t>
            </w:r>
          </w:p>
        </w:tc>
        <w:tc>
          <w:tcPr>
            <w:tcW w:w="2127"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850"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0.77</w:t>
            </w:r>
          </w:p>
        </w:tc>
        <w:tc>
          <w:tcPr>
            <w:tcW w:w="2693" w:type="dxa"/>
            <w:vMerge w:val="restart"/>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3F2480" w:rsidRPr="00D02987" w:rsidTr="005A57E2">
        <w:trPr>
          <w:trHeight w:val="1140"/>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69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5" w:type="dxa"/>
            <w:vMerge/>
          </w:tcPr>
          <w:p w:rsidR="003F2480" w:rsidRPr="00D02987" w:rsidRDefault="003F2480" w:rsidP="005A57E2">
            <w:pPr>
              <w:jc w:val="both"/>
              <w:rPr>
                <w:rFonts w:ascii="Mongolian Baiti" w:hAnsi="Mongolian Baiti" w:cs="Mongolian Baiti"/>
                <w:sz w:val="18"/>
                <w:szCs w:val="18"/>
                <w:lang w:val="en-GB"/>
              </w:rPr>
            </w:pPr>
          </w:p>
        </w:tc>
        <w:tc>
          <w:tcPr>
            <w:tcW w:w="1134" w:type="dxa"/>
            <w:vMerge/>
          </w:tcPr>
          <w:p w:rsidR="003F2480" w:rsidRPr="00D02987" w:rsidRDefault="003F2480" w:rsidP="005A57E2">
            <w:pPr>
              <w:jc w:val="both"/>
              <w:rPr>
                <w:rFonts w:ascii="Mongolian Baiti" w:hAnsi="Mongolian Baiti" w:cs="Mongolian Baiti"/>
                <w:sz w:val="18"/>
                <w:szCs w:val="18"/>
                <w:lang w:val="en-GB"/>
              </w:rPr>
            </w:pPr>
          </w:p>
        </w:tc>
        <w:tc>
          <w:tcPr>
            <w:tcW w:w="2127"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Li et al.</w:t>
            </w:r>
          </w:p>
        </w:tc>
        <w:tc>
          <w:tcPr>
            <w:tcW w:w="850"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0.88</w:t>
            </w:r>
          </w:p>
        </w:tc>
        <w:tc>
          <w:tcPr>
            <w:tcW w:w="2693" w:type="dxa"/>
            <w:vMerge/>
          </w:tcPr>
          <w:p w:rsidR="003F2480" w:rsidRPr="00D02987" w:rsidRDefault="003F2480" w:rsidP="005A57E2">
            <w:pPr>
              <w:rPr>
                <w:rFonts w:ascii="Mongolian Baiti" w:hAnsi="Mongolian Baiti" w:cs="Mongolian Baiti"/>
                <w:sz w:val="18"/>
                <w:szCs w:val="18"/>
                <w:lang w:val="en-GB"/>
              </w:rPr>
            </w:pPr>
          </w:p>
        </w:tc>
      </w:tr>
      <w:tr w:rsidR="003F2480" w:rsidRPr="008110F3" w:rsidTr="005A57E2">
        <w:trPr>
          <w:trHeight w:val="389"/>
        </w:trPr>
        <w:tc>
          <w:tcPr>
            <w:tcW w:w="1245" w:type="dxa"/>
            <w:vMerge w:val="restart"/>
          </w:tcPr>
          <w:p w:rsidR="003F2480" w:rsidRPr="005D5E6E" w:rsidRDefault="003F2480" w:rsidP="005A57E2">
            <w:pPr>
              <w:jc w:val="both"/>
              <w:rPr>
                <w:rFonts w:ascii="Mongolian Baiti" w:hAnsi="Mongolian Baiti" w:cs="Mongolian Baiti"/>
                <w:sz w:val="18"/>
                <w:szCs w:val="18"/>
              </w:rPr>
            </w:pPr>
            <w:r w:rsidRPr="005D5E6E">
              <w:rPr>
                <w:rFonts w:ascii="Mongolian Baiti" w:hAnsi="Mongolian Baiti" w:cs="Mongolian Baiti"/>
                <w:sz w:val="18"/>
                <w:szCs w:val="18"/>
              </w:rPr>
              <w:t>Al-</w:t>
            </w:r>
            <w:proofErr w:type="spellStart"/>
            <w:r w:rsidRPr="005D5E6E">
              <w:rPr>
                <w:rFonts w:ascii="Mongolian Baiti" w:hAnsi="Mongolian Baiti" w:cs="Mongolian Baiti"/>
                <w:sz w:val="18"/>
                <w:szCs w:val="18"/>
              </w:rPr>
              <w:t>Almeri</w:t>
            </w:r>
            <w:proofErr w:type="spellEnd"/>
            <w:r w:rsidRPr="005D5E6E">
              <w:rPr>
                <w:rFonts w:ascii="Mongolian Baiti" w:hAnsi="Mongolian Baiti" w:cs="Mongolian Baiti"/>
                <w:sz w:val="18"/>
                <w:szCs w:val="18"/>
              </w:rPr>
              <w:t xml:space="preserve"> A et al.</w:t>
            </w:r>
          </w:p>
          <w:p w:rsidR="003F2480" w:rsidRPr="003B60B9" w:rsidRDefault="003F2480" w:rsidP="005A57E2">
            <w:pPr>
              <w:jc w:val="both"/>
              <w:rPr>
                <w:rFonts w:ascii="Mongolian Baiti" w:hAnsi="Mongolian Baiti" w:cs="Mongolian Baiti"/>
                <w:sz w:val="18"/>
                <w:szCs w:val="18"/>
                <w:lang w:val="en-US"/>
              </w:rPr>
            </w:pPr>
            <w:r w:rsidRPr="005D5E6E">
              <w:rPr>
                <w:rFonts w:ascii="Mongolian Baiti" w:hAnsi="Mongolian Baiti" w:cs="Mongolian Baiti"/>
                <w:sz w:val="18"/>
                <w:szCs w:val="18"/>
              </w:rPr>
              <w:t xml:space="preserve">(2015)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rPr>
              <w:instrText>ADDIN CSL_CITATION {"citationItems":[{"id":"ITEM-1","itemData":{"DOI":"10.1016/j.lungcan.2015.03.018","ISSN":"18728332","abstract":"Objectives: Clinical prediction models assess the likelihood of malignancy in pulmonary nodules detected by computed tomography (CT). This study aimed to validate four such models in a UK population of patients with pulmonary nodules. Three models used clinical and CT characteristics to predict risk (Mayo Clinic, Veterans Association, Brock University) with a fourth model (Herder et al. [4]) additionally incorporating 18Fluorine-Fluorodeoxyglucose (FDG) avidity on positron emission tomography-computed tomography (PET-CT). Materials and methods: The likelihood of malignancy was calculated for patients with pulmonary nodules (4-30. mm diameter) and data used to calculate the area under the receiver operating characteristic curve (AUC) for each model. The models were used in a restricted cohort of patients based on each model's exclusion criteria and in the total cohort of all patients. Results: Two hundred and forty-four patients were studied, of whom 139 underwent FDG PET-CT. Ninety-nine (40.6%) patients were subsequently confirmed to have malignant nodules (33.2% primary lung cancer, 7.4% metastatic disease). The Mayo and Brock models performed similarly (AUC 0.895 and 0.902 respectively) and both were significantly better than the Veterans Association model (AUC 0.735, p&lt;. 0.001 and p= 0.002 respectively). In patients undergoing FDG PET-CT, the Herder model had significantly higher accuracy than the other three models (AUC 0.924). When the models were tested on all patients in the cohort (i.e. including those outside the original model inclusion criteria) AUC values were reduced, yet remained high especially for the Herder model (AUC 0.916). For sub-centimetre nodules, AUC values for the Mayo and Brock models were 0.788 and 0.852 respectively. Conclusions: The Mayo and Brock models showed good accuracy for determining likelihood of malignancy in nodules detected on CT scan. In patients undergoing FDG PET-CT for nodule evaluation, the highest accuracy was seen for the model described by Herder et al. incorporating FDG avidity.","author":[{"dropping-particle":"","family":"Al-Ameri","given":"Ali","non-dropping-particle":"",</w:instrText>
            </w:r>
            <w:r w:rsidRPr="00A0798D">
              <w:rPr>
                <w:rFonts w:ascii="Mongolian Baiti" w:hAnsi="Mongolian Baiti" w:cs="Mongolian Baiti"/>
                <w:sz w:val="18"/>
                <w:szCs w:val="18"/>
                <w:lang w:val="en-GB"/>
              </w:rPr>
              <w:instrText>"parse-names":false,"suffix":""},{"dropping-particle":"","family":"Malhotra","given":"Puneet","non-dropping-particle":"","parse-names":false,"suffix":""},{"dropping-particle":"","family":"Thygesen","given":"Helene","non-dropping-particle":"","parse-names":false,"suffix":""},{"dropping-particle":"","family":"Plant","given":"Paul K.","non-dropping-particle":"","parse-names":false,"suffix":""},{"dropping-particle":"","family":"Vaidyanathan","given":"Sri","non-dropping-particle":"","parse-names":false,"suffix":""},{"dropping-particle":"","family":"Karthik","given":"Shishir","non-dropping-particle":"","parse-names":false,"suffix":""},{"dropping-particle":"","family":"Scarsbrook","given":"Andrew","non-dropping-particle":"","parse-names":false,"suffix":""},{"dropping-particle":"","family":"Callister","given":"Matthew E.J.","non-dropping-particle":"","parse-names":false,"suffix":""}],"container-title":"Lung Cancer","id":"ITEM-1","issue":"1","issued":{"date-parts":[["2015"]]},"page":"27-30","publisher":"Elsevier Ireland Ltd","title":"Risk of malignancy in pulmonary nodules: A validation study of four prediction models","type":"article-journal","volume":"89"},"uris":["http://www.mendeley.com/documents/?uuid=de85521d-a417-4920-9237-91a94239e50b"]}],"mendeley":{"formattedCitation":"(41)","plainTextFormattedCitation":"(41)","previouslyFormattedCitation":"&lt;sup&gt;41&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US"/>
              </w:rPr>
              <w:t>(41)</w:t>
            </w:r>
            <w:r w:rsidRPr="00D02987">
              <w:rPr>
                <w:rFonts w:ascii="Mongolian Baiti" w:hAnsi="Mongolian Baiti" w:cs="Mongolian Baiti"/>
                <w:sz w:val="18"/>
                <w:szCs w:val="18"/>
                <w:lang w:val="en-GB"/>
              </w:rPr>
              <w:fldChar w:fldCharType="end"/>
            </w:r>
          </w:p>
        </w:tc>
        <w:tc>
          <w:tcPr>
            <w:tcW w:w="130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69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UK patients with PN detected in routine clinical practice.</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40.6%</w:t>
            </w:r>
          </w:p>
        </w:tc>
        <w:tc>
          <w:tcPr>
            <w:tcW w:w="1275"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76.2%</w:t>
            </w:r>
          </w:p>
        </w:tc>
        <w:tc>
          <w:tcPr>
            <w:tcW w:w="1134"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244</w:t>
            </w:r>
          </w:p>
        </w:tc>
        <w:tc>
          <w:tcPr>
            <w:tcW w:w="2127"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850"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0.89</w:t>
            </w:r>
          </w:p>
        </w:tc>
        <w:tc>
          <w:tcPr>
            <w:tcW w:w="2693" w:type="dxa"/>
            <w:vMerge w:val="restart"/>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3F2480" w:rsidRPr="008110F3" w:rsidTr="005A57E2">
        <w:trPr>
          <w:trHeight w:val="570"/>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69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5" w:type="dxa"/>
            <w:vMerge/>
          </w:tcPr>
          <w:p w:rsidR="003F2480" w:rsidRPr="00D02987" w:rsidRDefault="003F2480" w:rsidP="005A57E2">
            <w:pPr>
              <w:jc w:val="both"/>
              <w:rPr>
                <w:rFonts w:ascii="Mongolian Baiti" w:hAnsi="Mongolian Baiti" w:cs="Mongolian Baiti"/>
                <w:sz w:val="18"/>
                <w:szCs w:val="18"/>
                <w:lang w:val="en-GB"/>
              </w:rPr>
            </w:pPr>
          </w:p>
        </w:tc>
        <w:tc>
          <w:tcPr>
            <w:tcW w:w="1134" w:type="dxa"/>
            <w:vMerge/>
          </w:tcPr>
          <w:p w:rsidR="003F2480" w:rsidRPr="00D02987" w:rsidRDefault="003F2480" w:rsidP="005A57E2">
            <w:pPr>
              <w:jc w:val="both"/>
              <w:rPr>
                <w:rFonts w:ascii="Mongolian Baiti" w:hAnsi="Mongolian Baiti" w:cs="Mongolian Baiti"/>
                <w:sz w:val="18"/>
                <w:szCs w:val="18"/>
                <w:lang w:val="en-GB"/>
              </w:rPr>
            </w:pPr>
          </w:p>
        </w:tc>
        <w:tc>
          <w:tcPr>
            <w:tcW w:w="2127"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tc>
        <w:tc>
          <w:tcPr>
            <w:tcW w:w="850"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0.73</w:t>
            </w:r>
          </w:p>
        </w:tc>
        <w:tc>
          <w:tcPr>
            <w:tcW w:w="2693" w:type="dxa"/>
            <w:vMerge/>
          </w:tcPr>
          <w:p w:rsidR="003F2480" w:rsidRPr="00D02987" w:rsidRDefault="003F2480" w:rsidP="005A57E2">
            <w:pPr>
              <w:rPr>
                <w:rFonts w:ascii="Mongolian Baiti" w:hAnsi="Mongolian Baiti" w:cs="Mongolian Baiti"/>
                <w:sz w:val="18"/>
                <w:szCs w:val="18"/>
                <w:lang w:val="en-GB"/>
              </w:rPr>
            </w:pPr>
          </w:p>
        </w:tc>
      </w:tr>
    </w:tbl>
    <w:p w:rsidR="003F2480" w:rsidRDefault="003F2480" w:rsidP="003F2480">
      <w:pPr>
        <w:jc w:val="right"/>
        <w:rPr>
          <w:rFonts w:ascii="Mongolian Baiti" w:hAnsi="Mongolian Baiti" w:cs="Mongolian Baiti"/>
          <w:sz w:val="18"/>
          <w:szCs w:val="18"/>
          <w:lang w:val="en-GB"/>
        </w:rPr>
      </w:pPr>
      <w:r w:rsidRPr="00D02987">
        <w:rPr>
          <w:rFonts w:ascii="Mongolian Baiti" w:hAnsi="Mongolian Baiti" w:cs="Mongolian Baiti"/>
          <w:sz w:val="18"/>
          <w:szCs w:val="18"/>
          <w:lang w:val="en-GB"/>
        </w:rPr>
        <w:t>(Continued)</w:t>
      </w:r>
    </w:p>
    <w:p w:rsidR="003F2480" w:rsidRPr="00D02987" w:rsidRDefault="003F2480" w:rsidP="003F2480">
      <w:pPr>
        <w:jc w:val="right"/>
        <w:rPr>
          <w:rFonts w:ascii="Mongolian Baiti" w:hAnsi="Mongolian Baiti" w:cs="Mongolian Baiti"/>
          <w:sz w:val="18"/>
          <w:szCs w:val="18"/>
          <w:lang w:val="en-GB"/>
        </w:rPr>
      </w:pPr>
    </w:p>
    <w:p w:rsidR="003F2480" w:rsidRPr="00A76800" w:rsidRDefault="003F2480" w:rsidP="003F2480">
      <w:pPr>
        <w:tabs>
          <w:tab w:val="left" w:pos="1390"/>
        </w:tabs>
        <w:rPr>
          <w:rFonts w:ascii="Mongolian Baiti" w:hAnsi="Mongolian Baiti" w:cs="Mongolian Baiti"/>
          <w:sz w:val="18"/>
          <w:szCs w:val="18"/>
          <w:lang w:val="en-GB"/>
        </w:rPr>
      </w:pPr>
      <w:r w:rsidRPr="00A76800">
        <w:rPr>
          <w:rFonts w:ascii="Mongolian Baiti" w:hAnsi="Mongolian Baiti" w:cs="Mongolian Baiti"/>
          <w:b/>
          <w:bCs/>
          <w:sz w:val="18"/>
          <w:szCs w:val="18"/>
          <w:lang w:val="en-GB"/>
        </w:rPr>
        <w:t xml:space="preserve">Appendix B </w:t>
      </w:r>
      <w:r w:rsidRPr="00A76800">
        <w:rPr>
          <w:rFonts w:ascii="Mongolian Baiti" w:hAnsi="Mongolian Baiti" w:cs="Mongolian Baiti"/>
          <w:sz w:val="18"/>
          <w:szCs w:val="18"/>
          <w:lang w:val="en-GB"/>
        </w:rPr>
        <w:t>(</w:t>
      </w:r>
      <w:r w:rsidRPr="00906E4F">
        <w:rPr>
          <w:rFonts w:ascii="Mongolian Baiti" w:hAnsi="Mongolian Baiti" w:cs="Mongolian Baiti"/>
          <w:i/>
          <w:iCs/>
          <w:sz w:val="18"/>
          <w:szCs w:val="18"/>
          <w:lang w:val="en-GB"/>
        </w:rPr>
        <w:t>Continued</w:t>
      </w:r>
      <w:r w:rsidRPr="00A76800">
        <w:rPr>
          <w:rFonts w:ascii="Mongolian Baiti" w:hAnsi="Mongolian Baiti" w:cs="Mongolian Baiti"/>
          <w:sz w:val="18"/>
          <w:szCs w:val="18"/>
          <w:lang w:val="en-GB"/>
        </w:rPr>
        <w:t>)</w:t>
      </w:r>
    </w:p>
    <w:tbl>
      <w:tblPr>
        <w:tblStyle w:val="TableGrid"/>
        <w:tblW w:w="13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5"/>
        <w:gridCol w:w="1307"/>
        <w:gridCol w:w="1559"/>
        <w:gridCol w:w="1276"/>
        <w:gridCol w:w="1276"/>
        <w:gridCol w:w="1417"/>
        <w:gridCol w:w="1701"/>
        <w:gridCol w:w="993"/>
        <w:gridCol w:w="3118"/>
      </w:tblGrid>
      <w:tr w:rsidR="003F2480" w:rsidRPr="008110F3" w:rsidTr="005A57E2">
        <w:trPr>
          <w:trHeight w:val="1163"/>
        </w:trPr>
        <w:tc>
          <w:tcPr>
            <w:tcW w:w="1245"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Authors</w:t>
            </w: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(year)</w:t>
            </w:r>
          </w:p>
        </w:tc>
        <w:tc>
          <w:tcPr>
            <w:tcW w:w="1307"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sz w:val="18"/>
                <w:szCs w:val="18"/>
                <w:vertAlign w:val="superscript"/>
                <w:lang w:val="en-GB"/>
              </w:rPr>
            </w:pPr>
            <w:r w:rsidRPr="00D02987">
              <w:rPr>
                <w:rFonts w:ascii="Mongolian Baiti" w:hAnsi="Mongolian Baiti" w:cs="Mongolian Baiti"/>
                <w:b/>
                <w:bCs/>
                <w:sz w:val="18"/>
                <w:szCs w:val="18"/>
                <w:lang w:val="en-GB"/>
              </w:rPr>
              <w:t>Types of prediction models by TRIPOD statement1</w:t>
            </w:r>
            <w:r w:rsidRPr="00D02987">
              <w:rPr>
                <w:rFonts w:ascii="Mongolian Baiti" w:hAnsi="Mongolian Baiti" w:cs="Mongolian Baiti"/>
                <w:b/>
                <w:bCs/>
                <w:sz w:val="18"/>
                <w:szCs w:val="18"/>
                <w:vertAlign w:val="superscript"/>
                <w:lang w:val="en-GB"/>
              </w:rPr>
              <w:t>1</w:t>
            </w:r>
          </w:p>
        </w:tc>
        <w:tc>
          <w:tcPr>
            <w:tcW w:w="1559"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Study population</w:t>
            </w:r>
          </w:p>
        </w:tc>
        <w:tc>
          <w:tcPr>
            <w:tcW w:w="1276"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Prevalence of malignancy</w:t>
            </w:r>
          </w:p>
        </w:tc>
        <w:tc>
          <w:tcPr>
            <w:tcW w:w="1276"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Prevalence of</w:t>
            </w: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active or former smokers</w:t>
            </w:r>
          </w:p>
        </w:tc>
        <w:tc>
          <w:tcPr>
            <w:tcW w:w="1417"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Validation sample size</w:t>
            </w:r>
          </w:p>
        </w:tc>
        <w:tc>
          <w:tcPr>
            <w:tcW w:w="1701"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Prediction model</w:t>
            </w:r>
          </w:p>
        </w:tc>
        <w:tc>
          <w:tcPr>
            <w:tcW w:w="993"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vertAlign w:val="superscript"/>
                <w:lang w:val="en-GB"/>
              </w:rPr>
            </w:pPr>
            <w:r w:rsidRPr="00D02987">
              <w:rPr>
                <w:rFonts w:ascii="Mongolian Baiti" w:hAnsi="Mongolian Baiti" w:cs="Mongolian Baiti"/>
                <w:b/>
                <w:bCs/>
                <w:sz w:val="18"/>
                <w:szCs w:val="18"/>
                <w:lang w:val="en-GB"/>
              </w:rPr>
              <w:t>AUC</w:t>
            </w:r>
            <w:r w:rsidRPr="00D02987">
              <w:rPr>
                <w:rFonts w:ascii="Mongolian Baiti" w:hAnsi="Mongolian Baiti" w:cs="Mongolian Baiti"/>
                <w:b/>
                <w:bCs/>
                <w:sz w:val="18"/>
                <w:szCs w:val="18"/>
                <w:vertAlign w:val="superscript"/>
                <w:lang w:val="en-GB"/>
              </w:rPr>
              <w:t>2</w:t>
            </w:r>
          </w:p>
        </w:tc>
        <w:tc>
          <w:tcPr>
            <w:tcW w:w="3118"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vertAlign w:val="superscript"/>
                <w:lang w:val="en-GB"/>
              </w:rPr>
            </w:pPr>
            <w:r w:rsidRPr="00D02987">
              <w:rPr>
                <w:rFonts w:ascii="Mongolian Baiti" w:hAnsi="Mongolian Baiti" w:cs="Mongolian Baiti"/>
                <w:b/>
                <w:bCs/>
                <w:sz w:val="18"/>
                <w:szCs w:val="18"/>
                <w:lang w:val="en-GB"/>
              </w:rPr>
              <w:t>Calibration</w:t>
            </w:r>
            <w:r w:rsidRPr="00D02987">
              <w:rPr>
                <w:rFonts w:ascii="Mongolian Baiti" w:hAnsi="Mongolian Baiti" w:cs="Mongolian Baiti"/>
                <w:b/>
                <w:bCs/>
                <w:sz w:val="18"/>
                <w:szCs w:val="18"/>
                <w:vertAlign w:val="superscript"/>
                <w:lang w:val="en-GB"/>
              </w:rPr>
              <w:t>3</w:t>
            </w:r>
          </w:p>
        </w:tc>
      </w:tr>
      <w:tr w:rsidR="003F2480" w:rsidRPr="008110F3" w:rsidTr="005A57E2">
        <w:trPr>
          <w:trHeight w:val="270"/>
        </w:trPr>
        <w:tc>
          <w:tcPr>
            <w:tcW w:w="1245" w:type="dxa"/>
            <w:vMerge w:val="restart"/>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Tanner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(2015)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{"citationItems":[{"id":"ITEM-1","itemData":{"DOI":"10.1378/chest.15-0630","ISSN":"19313543","abstract":"BACKGROUND: Pulmonary nodules (PNs) are a common reason for referral to pulmonologists. Th e majority of data for the evaluation and management of PNs is derived from studies performed in academic medical centers. Little is known about the prevalence and diagnosis of PNs, the use of diagnostic testing, or the management of PNs by community pulmonologists. METHODS: Th is multicenter observational record review evaluated 377 patients aged 40 to 89 years referred to 18 geographically diverse community pulmonary practices for intermediate PNs (8-20 mm). Study measures included the prevalence of malignancy, procedure/test use, and nodule pretest probability of malignancy as calculated by two previously validated models. Th e relationship between calculated pretest probability and management decisions was evaluated. RESULTS: Th e prevalence of malignancy was 25% (n = 94). Nearly one-half of the patients (46%, n = 175) had surveillance alone. Biopsy was performed on 125 patients (33.2%). A total of 77 patients (20.4%) underwent surgery, of whom 35% (n = 27) had benign disease. PET scan was used in 141 patients (37%). Th e false-positive rate for PET scan was 39% (95% CI, 27.1%-52.1%). Pretest probability of malignancy calculations showed that 9.5% (n = 36) were at a low risk, 79.6% (n = 300) were at a moderate risk, and 10.8% (n = 41) were at a high risk of malignancy. Th e rate of surgical resection was similar among the three groups (17%, 21%, 17%, respectively; P 5.69). CONCLUSIONS: A substantial fraction of intermediate-sized nodules referred to pulmonologists ultimately prove to be lung cancer. Despite advances in imaging and nonsurgical biopsy techniques, invasive sampling of low-risk nodules and surgical resection of benign nodules remain common, suggesting a lack of adherence to guidelines for the management of PNs.","author":[{"dropping-particle":"","family":"Tanner","given":"Nichole T.","non-dropping-particle":"","parse-names":false,"suffix":""},{"dropping-particle":"","family":"Aggarwal","given":"Jyoti","non-dropping-particle":"","parse-names":false,"suffix":""},{"dropping-particle":"","family":"Gould","given":"Michael K.","non-dropping-particle":"","parse-names":false,"suffix":""},{"dropping-particle":"","family":"Kearney","given":"Paul","non-dropping-particle":"","parse-names":false,"suffix":""},{"dropping-particle":"","family":"Diette","given":"Gregory","non-dropping-particle":"","parse-names":false,"suffix":""},{"dropping-particle":"","family":"Vachani","given":"Anil","non-dropping-particle":"","parse-names":false,"suffix":""},{"dropping-particle":"","family":"Fang","given":"Kenneth C.","non-dropping-particle":"","parse-names":false,"suffix":""},{"dropping-particle":"","family":"Silvestri","given":"Gerard A.","non-dropping-particle":"","parse-names":false,"suffix":""}],"container-title":"Chest","id":"ITEM-1","issue":"6","issued":{"date-parts":[["2015"]]},"page":"1405-1414","publisher":"The American College of Chest Physicians","title":"Management of pulmonary nodules by community pulmonologists a multicenter observational study","type":"article-journal","volume":"148"},"uris":["http://www.mendeley.com/documents/?uuid=429a62b0-872e-48cf-9e8f-161b89980f00"]}],"mendeley":{"formattedCitation":"(32)","plainTextFormattedCitation":"(32)","previouslyFormattedCitation":"&lt;sup&gt;32&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(32)</w:t>
            </w:r>
            <w:r w:rsidRPr="00D02987">
              <w:rPr>
                <w:rFonts w:ascii="Mongolian Baiti" w:hAnsi="Mongolian Baiti" w:cs="Mongolian Baiti"/>
                <w:sz w:val="18"/>
                <w:szCs w:val="18"/>
                <w:lang w:val="en-GB"/>
              </w:rPr>
              <w:fldChar w:fldCharType="end"/>
            </w:r>
          </w:p>
        </w:tc>
        <w:tc>
          <w:tcPr>
            <w:tcW w:w="1307" w:type="dxa"/>
            <w:vMerge w:val="restart"/>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vMerge w:val="restart"/>
            <w:tcBorders>
              <w:top w:val="single" w:sz="4" w:space="0" w:color="auto"/>
            </w:tcBorders>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USA patients with a PN with a definitive diagnosis (identified by querying databases). </w:t>
            </w:r>
          </w:p>
        </w:tc>
        <w:tc>
          <w:tcPr>
            <w:tcW w:w="1276" w:type="dxa"/>
            <w:vMerge w:val="restart"/>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25%</w:t>
            </w:r>
          </w:p>
        </w:tc>
        <w:tc>
          <w:tcPr>
            <w:tcW w:w="1276" w:type="dxa"/>
            <w:vMerge w:val="restart"/>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73%</w:t>
            </w:r>
          </w:p>
        </w:tc>
        <w:tc>
          <w:tcPr>
            <w:tcW w:w="1417" w:type="dxa"/>
            <w:vMerge w:val="restart"/>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377</w:t>
            </w:r>
          </w:p>
        </w:tc>
        <w:tc>
          <w:tcPr>
            <w:tcW w:w="1701"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0.77</w:t>
            </w:r>
          </w:p>
        </w:tc>
        <w:tc>
          <w:tcPr>
            <w:tcW w:w="3118" w:type="dxa"/>
            <w:vMerge w:val="restart"/>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3F2480" w:rsidRPr="008110F3" w:rsidTr="005A57E2">
        <w:trPr>
          <w:trHeight w:val="418"/>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559" w:type="dxa"/>
            <w:vMerge/>
          </w:tcPr>
          <w:p w:rsidR="003F2480" w:rsidRPr="00D02987" w:rsidRDefault="003F2480" w:rsidP="005A57E2">
            <w:pPr>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417" w:type="dxa"/>
            <w:vMerge/>
          </w:tcPr>
          <w:p w:rsidR="003F2480" w:rsidRPr="00D02987" w:rsidRDefault="003F2480" w:rsidP="005A57E2">
            <w:pPr>
              <w:jc w:val="both"/>
              <w:rPr>
                <w:rFonts w:ascii="Mongolian Baiti" w:hAnsi="Mongolian Baiti" w:cs="Mongolian Baiti"/>
                <w:sz w:val="18"/>
                <w:szCs w:val="18"/>
                <w:lang w:val="en-GB"/>
              </w:rPr>
            </w:pPr>
          </w:p>
        </w:tc>
        <w:tc>
          <w:tcPr>
            <w:tcW w:w="1701"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0.74</w:t>
            </w:r>
          </w:p>
        </w:tc>
        <w:tc>
          <w:tcPr>
            <w:tcW w:w="3118" w:type="dxa"/>
            <w:vMerge/>
          </w:tcPr>
          <w:p w:rsidR="003F2480" w:rsidRPr="00D02987" w:rsidRDefault="003F2480" w:rsidP="005A57E2">
            <w:pPr>
              <w:jc w:val="both"/>
              <w:rPr>
                <w:rFonts w:ascii="Mongolian Baiti" w:hAnsi="Mongolian Baiti" w:cs="Mongolian Baiti"/>
                <w:sz w:val="18"/>
                <w:szCs w:val="18"/>
                <w:lang w:val="en-GB"/>
              </w:rPr>
            </w:pPr>
          </w:p>
        </w:tc>
      </w:tr>
      <w:tr w:rsidR="003F2480" w:rsidRPr="00D02987" w:rsidTr="005A57E2">
        <w:trPr>
          <w:trHeight w:val="408"/>
        </w:trPr>
        <w:tc>
          <w:tcPr>
            <w:tcW w:w="1245"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Perandini</w:t>
            </w:r>
            <w:proofErr w:type="spellEnd"/>
            <w:r w:rsidRPr="00D02987">
              <w:rPr>
                <w:rFonts w:ascii="Mongolian Baiti" w:hAnsi="Mongolian Baiti" w:cs="Mongolian Baiti"/>
                <w:sz w:val="18"/>
                <w:szCs w:val="18"/>
                <w:lang w:val="en-GB"/>
              </w:rPr>
              <w:t xml:space="preserve">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(2014)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{"citationItems":[{"id":"ITEM-1","itemData":{"DOI":"10.1002/jso.23730","ISSN":"10969098","abstract":"Background and Objectives Preoperative characterization of the solitary pulmonary nodule is a delicate task faced by surgeons, radiologists, and clinicians. Mathematical models have been developed to overcome subjectivity. The Mayo Clinic model was suggested in the latest ACCP evidence-based clinical practice guidelines for the preoperative risk assessment of solitary pulmonary nodule malignancy. The aim of the study is to assess the validity of the Mayo Clinic model in a current continuous case series of biopsy-proven nodules. Methods The Mayo Clinic model was applied to estimate probability of malignancy in 288 consecutive cases in this single-center retrospective study. Results ROC curve analysis returned an AUC of 0.767, while analysis performed on 158 malignant nodules showed a mean predicted risk value of 38.15%. In our clinical setting, using a risk observational threshold set at 5% and a risk surgical threshold set at 60%, there would have been 4 cases of unnecessary surgery (false positives) at the cost of 13 cases of cancer progression (false negatives), while 68.75% of all nodules would have received non-decisional values. Conclusions Surgeons should be aware that current data shows how the Mayo Clinic model is of little use in preoperative nodule characterization. J. Surg. Oncol. 2014 110:883-887.","author":[{"dropping-particle":"","family":"Perandini","given":"S.","non-dropping-particle":"","parse-names":false,"suffix":""},{"dropping-particle":"","family":"Soardi","given":"G. A.","non-dropping-particle":"","parse-names":false,"suffix":""},{"dropping-particle":"","family":"Motton","given":"M.","non-dropping-particle":"","parse-names":false,"suffix":""},{"dropping-particle":"","family":"Dallaserra","given":"C.","non-dropping-particle":"","parse-names":false,"suffix":""},{"dropping-particle":"","family":"Montemezzi","given":"S.","non-dropping-particle":"","parse-names":false,"suffix":""}],"container-title":"Journal of Surgical Oncology","id":"ITEM-1","issue":"7","issued":{"date-parts":[["2014"]]},"page":"883-887","title":"Limited value of logistic regression analysis in solid solitary pulmonary nodules characterization: A single-center experience on 288 consecutive cases","type":"article-journal","volume":"110"},"uris":["http://www.mendeley.com/documents/?uuid=57642ae0-a426-48f8-9d5f-5d4c374b0733"]}],"mendeley":{"formattedCitation":"(45)","plainTextFormattedCitation":"(45)","previouslyFormattedCitation":"&lt;sup&gt;45&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(45)</w:t>
            </w:r>
            <w:r w:rsidRPr="00D02987">
              <w:rPr>
                <w:rFonts w:ascii="Mongolian Baiti" w:hAnsi="Mongolian Baiti" w:cs="Mongolian Baiti"/>
                <w:sz w:val="18"/>
                <w:szCs w:val="18"/>
                <w:lang w:val="en-GB"/>
              </w:rPr>
              <w:fldChar w:fldCharType="end"/>
            </w:r>
          </w:p>
        </w:tc>
        <w:tc>
          <w:tcPr>
            <w:tcW w:w="1307"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Patients with SPN found in CT images from the hospital medical records.</w:t>
            </w:r>
          </w:p>
        </w:tc>
        <w:tc>
          <w:tcPr>
            <w:tcW w:w="1276"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54.8%</w:t>
            </w:r>
          </w:p>
        </w:tc>
        <w:tc>
          <w:tcPr>
            <w:tcW w:w="1276"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11.8%</w:t>
            </w:r>
          </w:p>
        </w:tc>
        <w:tc>
          <w:tcPr>
            <w:tcW w:w="1417"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288</w:t>
            </w:r>
          </w:p>
        </w:tc>
        <w:tc>
          <w:tcPr>
            <w:tcW w:w="1701"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0.76</w:t>
            </w:r>
          </w:p>
        </w:tc>
        <w:tc>
          <w:tcPr>
            <w:tcW w:w="3118"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3F2480" w:rsidRPr="008110F3" w:rsidTr="005A57E2">
        <w:trPr>
          <w:trHeight w:val="332"/>
        </w:trPr>
        <w:tc>
          <w:tcPr>
            <w:tcW w:w="1245"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Zhang X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(2014)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{"citationItems":[{"id":"ITEM-1","itemData":{"DOI":"10.3978/j.issn.1000-9604.2014.11.02","ISSN":"19930631","abstract":"Background: Effective methods for managing patients with solitary pulmonary nodules (SPNs) depend critically on the predictive probability of malignancy. Methods: Between July 2009 and June 2011, data on gender, age, cancer history, tumor familial history, smoking status, tumor location, nodule size, spiculation, calcification, the tumor border, and the final pathological diagnosis were collected retrospectively from 154 surgical patients with an SPN measuring 3-30 mm. Each final diagnosis was compared with the probability calculated by three predicted models—the Mayo, VA, and Peking University (PU) models. The accuracy of each model was assessed using area under the receiver operating characteristics (ROC) and calibration curves. Results: The area under the ROC curve of the PU model [0.800; 95% confidence interval (CI): 0.708-0.891] was higher than that of the Mayo model (0.753; 95% CI: 0.650-0.857) or VA model (0.728; 95% CI: 0.623-0.833); however, this finding was not statistically significant. To varying degrees, calibration curves showed that all three models overestimated malignancy. Conclusions: The three predicted models have similar accuracy for prediction of SPN malignancy, although the accuracy is not sufficient. For Chinese patients, the PU model may has greater predictive power.","author":[{"dropping-particle":"","family":"Zhang","given":"Xuan","non-dropping-particle":"","parse-names":false,"suffix":""},{"dropping-particle":"","family":"Yan","given":"Hong Hong","non-dropping-particle":"","parse-names":false,"suffix":""},{"dropping-particle":"","family":"Lin","given":"Jun Tao","non-dropping-particle":"","parse-names":false,"suffix":""},{"dropping-particle":"","family":"Wu","given":"Ze Hua","non-dropping-particle":"","parse-names":false,"suffix":""},{"dropping-particle":"","family":"Liu","given":"Jia","non-dropping-particle":"","parse-names":false,"suffix":""},{"dropping-particle":"","family":"Cao","given":"Xu Wei","non-dropping-particle":"","parse-names":false,"suffix":""},{"dropping-particle":"","family":"Yang","given":"Xue Ning","non-dropping-particle":"","parse-names":false,"suffix":""}],"container-title":"Chinese Journal of Cancer Research","id":"ITEM-1","issue":"6","issued":{"date-parts":[["2014"]]},"page":"647-652","title":"Comparison of three mathematical prediction models in patients with a solitary pulmonary nodule","type":"article-journal","volume":"26"},"uris":["http://www.mendeley.com/documents/?uuid=60ed9387-1552-4113-8f99-547b1ac269c9"]}],"mendeley":{"formattedCitation":"(37)","plainTextFormattedCitation":"(37)","previouslyFormattedCitation":"&lt;sup&gt;37&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(37)</w:t>
            </w:r>
            <w:r w:rsidRPr="00D02987">
              <w:rPr>
                <w:rFonts w:ascii="Mongolian Baiti" w:hAnsi="Mongolian Baiti" w:cs="Mongolian Baiti"/>
                <w:sz w:val="18"/>
                <w:szCs w:val="18"/>
                <w:lang w:val="en-GB"/>
              </w:rPr>
              <w:fldChar w:fldCharType="end"/>
            </w:r>
          </w:p>
        </w:tc>
        <w:tc>
          <w:tcPr>
            <w:tcW w:w="130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vMerge w:val="restart"/>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Patients with SPN who underwent surgical resection, mainly from the south of China.</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81.2%</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31,8%</w:t>
            </w:r>
          </w:p>
        </w:tc>
        <w:tc>
          <w:tcPr>
            <w:tcW w:w="141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154</w:t>
            </w:r>
          </w:p>
        </w:tc>
        <w:tc>
          <w:tcPr>
            <w:tcW w:w="1701"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0.75</w:t>
            </w:r>
          </w:p>
          <w:p w:rsidR="003F2480" w:rsidRPr="00D02987" w:rsidRDefault="003F2480" w:rsidP="005A57E2">
            <w:pPr>
              <w:jc w:val="both"/>
              <w:rPr>
                <w:rFonts w:ascii="Mongolian Baiti" w:hAnsi="Mongolian Baiti" w:cs="Mongolian Baiti"/>
                <w:sz w:val="18"/>
                <w:szCs w:val="18"/>
                <w:lang w:val="en-GB"/>
              </w:rPr>
            </w:pPr>
          </w:p>
        </w:tc>
        <w:tc>
          <w:tcPr>
            <w:tcW w:w="3118" w:type="dxa"/>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This model underestimated the probability of malignancy.</w:t>
            </w:r>
          </w:p>
        </w:tc>
      </w:tr>
      <w:tr w:rsidR="003F2480" w:rsidRPr="008110F3" w:rsidTr="005A57E2">
        <w:trPr>
          <w:trHeight w:val="337"/>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559"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417" w:type="dxa"/>
            <w:vMerge/>
          </w:tcPr>
          <w:p w:rsidR="003F2480" w:rsidRPr="00D02987" w:rsidRDefault="003F2480" w:rsidP="005A57E2">
            <w:pPr>
              <w:jc w:val="both"/>
              <w:rPr>
                <w:rFonts w:ascii="Mongolian Baiti" w:hAnsi="Mongolian Baiti" w:cs="Mongolian Baiti"/>
                <w:sz w:val="18"/>
                <w:szCs w:val="18"/>
                <w:lang w:val="en-GB"/>
              </w:rPr>
            </w:pPr>
          </w:p>
        </w:tc>
        <w:tc>
          <w:tcPr>
            <w:tcW w:w="1701"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0.72</w:t>
            </w:r>
          </w:p>
        </w:tc>
        <w:tc>
          <w:tcPr>
            <w:tcW w:w="3118" w:type="dxa"/>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This model underestimated the probability of malignancy.</w:t>
            </w:r>
          </w:p>
        </w:tc>
      </w:tr>
      <w:tr w:rsidR="003F2480" w:rsidRPr="008110F3" w:rsidTr="005A57E2">
        <w:trPr>
          <w:trHeight w:val="232"/>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559"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417" w:type="dxa"/>
            <w:vMerge/>
          </w:tcPr>
          <w:p w:rsidR="003F2480" w:rsidRPr="00D02987" w:rsidRDefault="003F2480" w:rsidP="005A57E2">
            <w:pPr>
              <w:jc w:val="both"/>
              <w:rPr>
                <w:rFonts w:ascii="Mongolian Baiti" w:hAnsi="Mongolian Baiti" w:cs="Mongolian Baiti"/>
                <w:sz w:val="18"/>
                <w:szCs w:val="18"/>
                <w:lang w:val="en-GB"/>
              </w:rPr>
            </w:pPr>
          </w:p>
        </w:tc>
        <w:tc>
          <w:tcPr>
            <w:tcW w:w="1701"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Li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0.80</w:t>
            </w:r>
          </w:p>
        </w:tc>
        <w:tc>
          <w:tcPr>
            <w:tcW w:w="3118" w:type="dxa"/>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This model underestimated the probability of malignancy in all quintiles except the 4</w:t>
            </w:r>
            <w:r w:rsidRPr="00D02987">
              <w:rPr>
                <w:rFonts w:ascii="Mongolian Baiti" w:hAnsi="Mongolian Baiti" w:cs="Mongolian Baiti"/>
                <w:sz w:val="18"/>
                <w:szCs w:val="18"/>
                <w:vertAlign w:val="superscript"/>
                <w:lang w:val="en-GB"/>
              </w:rPr>
              <w:t>th</w:t>
            </w:r>
            <w:r w:rsidRPr="00D02987">
              <w:rPr>
                <w:rFonts w:ascii="Mongolian Baiti" w:hAnsi="Mongolian Baiti" w:cs="Mongolian Baiti"/>
                <w:sz w:val="18"/>
                <w:szCs w:val="18"/>
                <w:lang w:val="en-GB"/>
              </w:rPr>
              <w:t xml:space="preserve"> quintile.</w:t>
            </w:r>
          </w:p>
        </w:tc>
      </w:tr>
      <w:tr w:rsidR="003F2480" w:rsidRPr="00D02987" w:rsidTr="005A57E2">
        <w:trPr>
          <w:trHeight w:val="232"/>
        </w:trPr>
        <w:tc>
          <w:tcPr>
            <w:tcW w:w="1245"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Shinohara S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(2014)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{"citationItems":[{"id":"ITEM-1","itemData":{"DOI":"10.2478/raon-2013-0064","ISSN":"15813207","abstract":"Background. This study retrospectively investigated the clinical significance of undiagnosed solitary lung nodules removed by surgical resection. Patients and methods. We retrospectively collected data on the age, smoking, cancer history, nodule size, location and spiculation of 241 patients who had nodules measuring 7 mm to 30 mm and a final diagnosis established by histopathology. We compared the final diagnosis of each patient with the probability of malignancy (POM) which was proposed by the American College of Chest Physicians (ACCP) guidelines. Results. Of the 241 patients, 203 patients were diagnosed to have a malignant lung tumor, while 38 patients were diagnosed with benign disease. There were significant differences in the patients with malignant and benign disease in terms of their age, smoking history, nodule size and spiculation. The mean value and the standard deviation of the POM in patients with malignant tumors were 51.7 + 26.1%, and that of patients with benign lesions was 34.6 + 26.7%. The area under the receiver operating characteristic (ROC) curve (AUC) was 0.67. The best cut-off value provided from the ROC curve was 22.6. When the cut-off value was set at 22.6, the sensitivity was 83%, specificity 52%, positive predictive value 90%, negative predictive value 36% and accuracy 77%, respectively. Conclusions. The clinical prediction model proposed in the ACCP guidelines showed unsatisfactory results in terms of the differential diagnosis between malignant disease and benign disease of solitary lung nodules in our study, because the specificity, negative predictive value and AUC were relatively low.","author":[{"dropping-particle":"","family":"Shinohara","given":"Shinji","non-dropping-particle":"","parse-names":false,"suffix":""},{"dropping-particle":"","family":"Hanagiri","given":"Takeshi","non-dropping-particle":"","parse-names":false,"suffix":""},{"dropping-particle":"","family":"Takenaka","given":"Masaru","non-dropping-particle":"","parse-names":false,"suffix":""},{"dropping-particle":"","family":"Chikaishi","given":"Yasuhiro","non-dropping-particle":"","parse-names":false,"suffix":""},{"dropping-particle":"","family":"Oka","given":"Soich","non-dropping-particle":"","parse-names":false,"suffix":""},{"dropping-particle":"","family":"Shimokawa","given":"Hidehiko","non-dropping-particle":"","parse-names":false,"suffix":""},{"dropping-particle":"","family":"Nakagawa","given":"Makoto","non-dropping-particle":"","parse-names":false,"suffix":""},{"dropping-particle":"","family":"Uramoto","given":"Hidetaka","non-dropping-particle":"","parse-names":false,"suffix":""},{"dropping-particle":"","family":"So","given":"Tomoko","non-dropping-particle":"","parse-names":false,"suffix":""},{"dropping-particle":"","family":"Aoki","given":"Takatoshi","non-dropping-particle":"","parse-names":false,"suffix":""},{"dropping-particle":"","family":"Tanaka","given":"Fumihiro","non-dropping-particle":"","parse-names":false,"suffix":""}],"container-title":"Radiology and Oncology","id":"ITEM-1","issue":"1","issued":{"date-parts":[["2014"]]},"page":"50-55","title":"Evaluation of undiagnosed solitary lung nodules according to the probability of malignancy in the American College of Chest Physicians (ACCP) evidence-based clinical practice guidelines","type":"article-journal","volume":"48"},"uris":["http://www.mendeley.com/documents/?uuid=83154bc5-1c1e-4701-bfee-3ab9f563c84b"]}],"mendeley":{"formattedCitation":"(36)","plainTextFormattedCitation":"(36)","previouslyFormattedCitation":"&lt;sup&gt;36&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(36)</w:t>
            </w:r>
            <w:r w:rsidRPr="00D02987">
              <w:rPr>
                <w:rFonts w:ascii="Mongolian Baiti" w:hAnsi="Mongolian Baiti" w:cs="Mongolian Baiti"/>
                <w:sz w:val="18"/>
                <w:szCs w:val="18"/>
                <w:lang w:val="en-GB"/>
              </w:rPr>
              <w:fldChar w:fldCharType="end"/>
            </w:r>
          </w:p>
        </w:tc>
        <w:tc>
          <w:tcPr>
            <w:tcW w:w="1307"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Japanese patients with SPN who underwent surgical resection.</w:t>
            </w:r>
          </w:p>
        </w:tc>
        <w:tc>
          <w:tcPr>
            <w:tcW w:w="1276"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84.2%</w:t>
            </w:r>
          </w:p>
        </w:tc>
        <w:tc>
          <w:tcPr>
            <w:tcW w:w="1276"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61.8%</w:t>
            </w:r>
          </w:p>
        </w:tc>
        <w:tc>
          <w:tcPr>
            <w:tcW w:w="1417"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241</w:t>
            </w:r>
          </w:p>
        </w:tc>
        <w:tc>
          <w:tcPr>
            <w:tcW w:w="1701"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0.67</w:t>
            </w:r>
          </w:p>
        </w:tc>
        <w:tc>
          <w:tcPr>
            <w:tcW w:w="3118" w:type="dxa"/>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 </w:t>
            </w:r>
          </w:p>
        </w:tc>
      </w:tr>
      <w:tr w:rsidR="003F2480" w:rsidRPr="008110F3" w:rsidTr="005A57E2">
        <w:trPr>
          <w:trHeight w:val="322"/>
        </w:trPr>
        <w:tc>
          <w:tcPr>
            <w:tcW w:w="1245"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Xiao F et al. </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(2013)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{"citationItems":[{"id":"ITEM-1","itemData":{"DOI":"10.1371/journal.pone.0078271","ISSN":"19326203","abstract":"Objective: To study risk factors that affect the evaluation of malignancy in patients with solitary pulmonary nodules (SPN) and verify different predictive models for malignant probability of SPN. Methods: Retrospectively analyzed 107 cases of SPN with definite post-operative histological diagnosis whom underwent surgical procedures in China-Japan Friendship Hospital from November of 2010 to February of 2013. Age, gender, smoking history, malignancy history of patients, imaging features of the nodule including maximum diameter, position, spiculation, lobulation, calcification and serum level of CEA and Cyfra21-1 were assessed as potential risk factors. Univariate analysis model was used to establish statistical correlation between risk factors and post-operative histological diagnosis. Receiver operating characteristic (ROC) curves were drawn using different predictive models for malignant probability of SPN to get areas under the curves (AUC values), sensitivity, specificity, positive predictive values, negative predictive values for each model, respectively. The predictive effectiveness of each model was statistically assessed subsequently. Results: In 107 patients, 78 cases were malignant (72.9%), 29 cases were benign (27.1%). Statistical significant difference was found between benign and malignant group in age, maximum diameter, serum level of Cyfra21-1, spiculation, lobulation and calcification of the nodules. The AUC values were 0.78660.053 (Mayo model), 0.68260.060 (VA model) and 0.81060.051 (Peking University People's Hospital model), respectively. Conclusions: Serum level of Cyfra21-1, patient's age, maximum diameter of the nodule, spiculation, lobulation and calcification of the nodule are independent risk factors associated with the malignant probability of SPN. Peking University People's Hospital model is of high accuracy and clinical value for patients with SPN. Adding serum index (e.g. Cyfra21-1) into the prediction models as a new risk factor and adjusting the weight of age in the models might improve the accuracy of prediction for SPN.","author":[{"dropping-particle":"","family":"Xiao","given":"Fei","non-dropping-particle":"","parse-names":false,"suffix":""},{"dropping-particle":"","family":"Liu","given":"Deruo","non-dropping-particle":"","parse-names":false,"suffix":""},{"dropping-particle":"","family":"Guo","given":"Yongqing","non-dropping-particle":"","parse-names":false,"suffix":""},{"dropping-particle":"","family":"Shi","given":"Bin","non-dropping-particle":"","parse-names":false,"suffix":""},{"dropping-particle":"","family":"Song","given":"Zhiyi","non-dropping-particle":"","parse-names":false,"suffix":""},{"dropping-particle":"","family":"Tian","given":"Yanchu","non-dropping-particle":"","parse-names":false,"suffix":""},{"dropping-particle":"","family":"Liang","given":"Chaoyang","non-dropping-particle":"","parse-names":false,"suffix":""}],"container-title":"PLoS ONE","id":"ITEM-1","issue":"10","issued":{"date-parts":[["2013"]]},"page":"1-6","title":"Novel and convenient method to evaluate the character of solitary pulmonary nodule-comparison of three mathematical prediction models and further stratification of risk factors","type":"article-journal","volume":"8"},"uris":["http://www.mendeley.com/documents/?uuid=5c06b361-9fb9-459a-9a81-97d6ecf66ab4"]}],"mendeley":{"formattedCitation":"(35)","plainTextFormattedCitation":"(35)","previouslyFormattedCitation":"&lt;sup&gt;35&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(35)</w:t>
            </w:r>
            <w:r w:rsidRPr="00D02987">
              <w:rPr>
                <w:rFonts w:ascii="Mongolian Baiti" w:hAnsi="Mongolian Baiti" w:cs="Mongolian Baiti"/>
                <w:sz w:val="18"/>
                <w:szCs w:val="18"/>
                <w:lang w:val="en-GB"/>
              </w:rPr>
              <w:fldChar w:fldCharType="end"/>
            </w:r>
          </w:p>
        </w:tc>
        <w:tc>
          <w:tcPr>
            <w:tcW w:w="130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Patients with SPN confirmed by CT who underwent surgical procedure in China-Japan.</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72.8%</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37.4%</w:t>
            </w:r>
          </w:p>
        </w:tc>
        <w:tc>
          <w:tcPr>
            <w:tcW w:w="141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107</w:t>
            </w:r>
          </w:p>
        </w:tc>
        <w:tc>
          <w:tcPr>
            <w:tcW w:w="1701"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0.78</w:t>
            </w:r>
          </w:p>
        </w:tc>
        <w:tc>
          <w:tcPr>
            <w:tcW w:w="3118" w:type="dxa"/>
            <w:vMerge w:val="restart"/>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3F2480" w:rsidRPr="008110F3" w:rsidTr="005A57E2">
        <w:trPr>
          <w:trHeight w:val="283"/>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559"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417" w:type="dxa"/>
            <w:vMerge/>
          </w:tcPr>
          <w:p w:rsidR="003F2480" w:rsidRPr="00D02987" w:rsidRDefault="003F2480" w:rsidP="005A57E2">
            <w:pPr>
              <w:jc w:val="both"/>
              <w:rPr>
                <w:rFonts w:ascii="Mongolian Baiti" w:hAnsi="Mongolian Baiti" w:cs="Mongolian Baiti"/>
                <w:sz w:val="18"/>
                <w:szCs w:val="18"/>
                <w:lang w:val="en-GB"/>
              </w:rPr>
            </w:pPr>
          </w:p>
        </w:tc>
        <w:tc>
          <w:tcPr>
            <w:tcW w:w="1701"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0.68</w:t>
            </w:r>
          </w:p>
        </w:tc>
        <w:tc>
          <w:tcPr>
            <w:tcW w:w="3118" w:type="dxa"/>
            <w:vMerge/>
          </w:tcPr>
          <w:p w:rsidR="003F2480" w:rsidRPr="00D02987" w:rsidRDefault="003F2480" w:rsidP="005A57E2">
            <w:pPr>
              <w:rPr>
                <w:rFonts w:ascii="Mongolian Baiti" w:hAnsi="Mongolian Baiti" w:cs="Mongolian Baiti"/>
                <w:sz w:val="18"/>
                <w:szCs w:val="18"/>
                <w:lang w:val="en-GB"/>
              </w:rPr>
            </w:pPr>
          </w:p>
        </w:tc>
      </w:tr>
      <w:tr w:rsidR="003F2480" w:rsidRPr="008110F3" w:rsidTr="005A57E2">
        <w:trPr>
          <w:trHeight w:val="345"/>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559"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417" w:type="dxa"/>
            <w:vMerge/>
          </w:tcPr>
          <w:p w:rsidR="003F2480" w:rsidRPr="00D02987" w:rsidRDefault="003F2480" w:rsidP="005A57E2">
            <w:pPr>
              <w:jc w:val="both"/>
              <w:rPr>
                <w:rFonts w:ascii="Mongolian Baiti" w:hAnsi="Mongolian Baiti" w:cs="Mongolian Baiti"/>
                <w:sz w:val="18"/>
                <w:szCs w:val="18"/>
                <w:lang w:val="en-GB"/>
              </w:rPr>
            </w:pPr>
          </w:p>
        </w:tc>
        <w:tc>
          <w:tcPr>
            <w:tcW w:w="1701"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Li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0.81</w:t>
            </w:r>
          </w:p>
        </w:tc>
        <w:tc>
          <w:tcPr>
            <w:tcW w:w="3118" w:type="dxa"/>
            <w:vMerge/>
          </w:tcPr>
          <w:p w:rsidR="003F2480" w:rsidRPr="00D02987" w:rsidRDefault="003F2480" w:rsidP="005A57E2">
            <w:pPr>
              <w:rPr>
                <w:rFonts w:ascii="Mongolian Baiti" w:hAnsi="Mongolian Baiti" w:cs="Mongolian Baiti"/>
                <w:sz w:val="18"/>
                <w:szCs w:val="18"/>
                <w:lang w:val="en-GB"/>
              </w:rPr>
            </w:pPr>
          </w:p>
        </w:tc>
      </w:tr>
      <w:tr w:rsidR="003F2480" w:rsidRPr="00D02987" w:rsidTr="005A57E2">
        <w:trPr>
          <w:trHeight w:val="280"/>
        </w:trPr>
        <w:tc>
          <w:tcPr>
            <w:tcW w:w="1245"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Melo CB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(2012)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{"citationItems":[{"id":"ITEM-1","itemData":{"DOI":"10.4025/jphyseduc.v30i1.3036","abstract":"Objetivo: Analisar características clínicas e radiográficas que influenciaram o diagnóstico anatomopatológico de nódulo pulmonar solitário (NPS) e comparar/validar dois modelos probabilísticos de malignidade do NPS em pacientes com NPS no Brasil. Métodos: Análise retrospectiva de 110 pacientes com diagnóstico de NPS submetidos à ressecção em um hospital terciário no período entre 2000 e 2009. As características clínicas estudadas foram gênero, idade, presença de comorbidades sistêmicas, história de neoplasia maligna ao diagnóstico de NPS, diagnóstico histopatológico do NPS, tabagismo, carga tabágica e tempo de cessação do tabagismo. As características radiográficas avaliadas em relação ao NPS foram presença de margens espiculadas, tamanho do maior diâmetro transversal e localização anatômica do NPS. Foram utilizados dois modelos matemáticos, criados em 1997 e 2007, respectivamente, para determinar a probabilidade de malignidade do NPS. Resultados: Houve associações significantes entre malignidade do NPS e idade (p = 0,006; OR = 5,70 para idade &gt;70 anos), presença de margens espiculadas (p = 0,001) e diâmetro maior do NPS (p = 0,001; OR = 2,62 para diâmetro &gt;20 mm). O modelo probabilístico de 1997 mostrou-se superior ao de 2007 — área sob a curva [ASC] ROC = 0,79 ± 0,44 (IC95%: 0,70-0,88) vs. ASC = 0,69 ± 0,50 (IC95%: 0,59-0,79). Conclusões: Idade elevada, maior diâmetro do NPS e presença de margens espiculadas tiveram associações significantes ao diagnóstico de malignidade do NPS. Nossa análise mostrou que, embora os dois modelos matemáticos sejam eficazes na determinação de malignidade","author":[{"dropping-particle":"","family":"Cromwell Barbosa de Carvalho Melo, João Aléssio Juliano Perfeito, Danilo Félix Daud, Altair da Silva Costa Júnior, Ilka Ilka Lopes Santoro","given":"Luiz Eduardo Villaça Leão","non-dropping-particle":"","parse-names":false,"suffix":""}],"container-title":"J Bras Pneumol.","id":"ITEM-1","issue":"2","issued":{"date-parts":[["2012"]]},"page":"159-166","title":"Analysis and validation of probabilistic models for predicting malignancy in solitary pulmonary nodules in a population in Brazil","type":"article-journal","volume":"63"},"uris":["http://www.mendeley.com/documents/?uuid=785de9e8-7e24-4fe7-bc89-7121fec23613"]}],"mendeley":{"formattedCitation":"(42)","plainTextFormattedCitation":"(42)","previouslyFormattedCitation":"&lt;sup&gt;42&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(42)</w:t>
            </w:r>
            <w:r w:rsidRPr="00D02987">
              <w:rPr>
                <w:rFonts w:ascii="Mongolian Baiti" w:hAnsi="Mongolian Baiti" w:cs="Mongolian Baiti"/>
                <w:sz w:val="18"/>
                <w:szCs w:val="18"/>
                <w:lang w:val="en-GB"/>
              </w:rPr>
              <w:fldChar w:fldCharType="end"/>
            </w:r>
          </w:p>
        </w:tc>
        <w:tc>
          <w:tcPr>
            <w:tcW w:w="130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Brazilian patients submitted to resection of SPN in Brazil.</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NR</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NR</w:t>
            </w:r>
          </w:p>
        </w:tc>
        <w:tc>
          <w:tcPr>
            <w:tcW w:w="141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110</w:t>
            </w:r>
          </w:p>
        </w:tc>
        <w:tc>
          <w:tcPr>
            <w:tcW w:w="1701"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0.79</w:t>
            </w:r>
          </w:p>
        </w:tc>
        <w:tc>
          <w:tcPr>
            <w:tcW w:w="3118" w:type="dxa"/>
            <w:vMerge w:val="restart"/>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w:t>
            </w:r>
          </w:p>
        </w:tc>
      </w:tr>
      <w:tr w:rsidR="003F2480" w:rsidRPr="00D02987" w:rsidTr="005A57E2">
        <w:trPr>
          <w:trHeight w:val="412"/>
        </w:trPr>
        <w:tc>
          <w:tcPr>
            <w:tcW w:w="1245" w:type="dxa"/>
            <w:vMerge/>
          </w:tcPr>
          <w:p w:rsidR="003F2480" w:rsidRPr="00D02987" w:rsidRDefault="003F2480" w:rsidP="005A57E2">
            <w:pPr>
              <w:jc w:val="both"/>
              <w:rPr>
                <w:rFonts w:ascii="Mongolian Baiti" w:hAnsi="Mongolian Baiti" w:cs="Mongolian Baiti"/>
                <w:sz w:val="18"/>
                <w:szCs w:val="18"/>
                <w:lang w:val="en-GB"/>
              </w:rPr>
            </w:pPr>
          </w:p>
        </w:tc>
        <w:tc>
          <w:tcPr>
            <w:tcW w:w="1307" w:type="dxa"/>
            <w:vMerge/>
          </w:tcPr>
          <w:p w:rsidR="003F2480" w:rsidRPr="00D02987" w:rsidRDefault="003F2480" w:rsidP="005A57E2">
            <w:pPr>
              <w:jc w:val="both"/>
              <w:rPr>
                <w:rFonts w:ascii="Mongolian Baiti" w:hAnsi="Mongolian Baiti" w:cs="Mongolian Baiti"/>
                <w:sz w:val="18"/>
                <w:szCs w:val="18"/>
                <w:lang w:val="en-GB"/>
              </w:rPr>
            </w:pPr>
          </w:p>
        </w:tc>
        <w:tc>
          <w:tcPr>
            <w:tcW w:w="1559"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276" w:type="dxa"/>
            <w:vMerge/>
          </w:tcPr>
          <w:p w:rsidR="003F2480" w:rsidRPr="00D02987" w:rsidRDefault="003F2480" w:rsidP="005A57E2">
            <w:pPr>
              <w:jc w:val="both"/>
              <w:rPr>
                <w:rFonts w:ascii="Mongolian Baiti" w:hAnsi="Mongolian Baiti" w:cs="Mongolian Baiti"/>
                <w:sz w:val="18"/>
                <w:szCs w:val="18"/>
                <w:lang w:val="en-GB"/>
              </w:rPr>
            </w:pPr>
          </w:p>
        </w:tc>
        <w:tc>
          <w:tcPr>
            <w:tcW w:w="1417" w:type="dxa"/>
            <w:vMerge/>
          </w:tcPr>
          <w:p w:rsidR="003F2480" w:rsidRPr="00D02987" w:rsidRDefault="003F2480" w:rsidP="005A57E2">
            <w:pPr>
              <w:jc w:val="both"/>
              <w:rPr>
                <w:rFonts w:ascii="Mongolian Baiti" w:hAnsi="Mongolian Baiti" w:cs="Mongolian Baiti"/>
                <w:sz w:val="18"/>
                <w:szCs w:val="18"/>
                <w:lang w:val="en-GB"/>
              </w:rPr>
            </w:pPr>
          </w:p>
        </w:tc>
        <w:tc>
          <w:tcPr>
            <w:tcW w:w="1701"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0.69</w:t>
            </w:r>
          </w:p>
        </w:tc>
        <w:tc>
          <w:tcPr>
            <w:tcW w:w="3118" w:type="dxa"/>
            <w:vMerge/>
          </w:tcPr>
          <w:p w:rsidR="003F2480" w:rsidRPr="00D02987" w:rsidRDefault="003F2480" w:rsidP="005A57E2">
            <w:pPr>
              <w:rPr>
                <w:rFonts w:ascii="Mongolian Baiti" w:hAnsi="Mongolian Baiti" w:cs="Mongolian Baiti"/>
                <w:sz w:val="18"/>
                <w:szCs w:val="18"/>
                <w:lang w:val="en-GB"/>
              </w:rPr>
            </w:pPr>
          </w:p>
        </w:tc>
      </w:tr>
    </w:tbl>
    <w:p w:rsidR="003F2480" w:rsidRPr="00D02987" w:rsidRDefault="003F2480" w:rsidP="003F2480">
      <w:pPr>
        <w:jc w:val="right"/>
        <w:rPr>
          <w:rFonts w:ascii="Mongolian Baiti" w:hAnsi="Mongolian Baiti" w:cs="Mongolian Baiti"/>
          <w:sz w:val="18"/>
          <w:szCs w:val="18"/>
          <w:lang w:val="en-GB"/>
        </w:rPr>
      </w:pPr>
      <w:r w:rsidRPr="00D02987">
        <w:rPr>
          <w:rFonts w:ascii="Mongolian Baiti" w:hAnsi="Mongolian Baiti" w:cs="Mongolian Baiti"/>
          <w:sz w:val="18"/>
          <w:szCs w:val="18"/>
          <w:lang w:val="en-GB"/>
        </w:rPr>
        <w:lastRenderedPageBreak/>
        <w:t>(Continued)</w:t>
      </w:r>
    </w:p>
    <w:p w:rsidR="003F2480" w:rsidRPr="00A76800" w:rsidRDefault="003F2480" w:rsidP="003F2480">
      <w:pPr>
        <w:rPr>
          <w:rFonts w:ascii="Mongolian Baiti" w:hAnsi="Mongolian Baiti" w:cs="Mongolian Baiti"/>
          <w:sz w:val="18"/>
          <w:szCs w:val="18"/>
          <w:lang w:val="en-GB"/>
        </w:rPr>
      </w:pPr>
      <w:r w:rsidRPr="00A76800">
        <w:rPr>
          <w:rFonts w:ascii="Mongolian Baiti" w:hAnsi="Mongolian Baiti" w:cs="Mongolian Baiti"/>
          <w:b/>
          <w:bCs/>
          <w:sz w:val="18"/>
          <w:szCs w:val="18"/>
          <w:lang w:val="en-GB"/>
        </w:rPr>
        <w:t xml:space="preserve">Appendix B </w:t>
      </w:r>
      <w:r w:rsidRPr="00A76800">
        <w:rPr>
          <w:rFonts w:ascii="Mongolian Baiti" w:hAnsi="Mongolian Baiti" w:cs="Mongolian Baiti"/>
          <w:sz w:val="18"/>
          <w:szCs w:val="18"/>
          <w:lang w:val="en-GB"/>
        </w:rPr>
        <w:t>(</w:t>
      </w:r>
      <w:r w:rsidRPr="00906E4F">
        <w:rPr>
          <w:rFonts w:ascii="Mongolian Baiti" w:hAnsi="Mongolian Baiti" w:cs="Mongolian Baiti"/>
          <w:i/>
          <w:iCs/>
          <w:sz w:val="18"/>
          <w:szCs w:val="18"/>
          <w:lang w:val="en-GB"/>
        </w:rPr>
        <w:t>Continued</w:t>
      </w:r>
      <w:r>
        <w:rPr>
          <w:rFonts w:ascii="Mongolian Baiti" w:hAnsi="Mongolian Baiti" w:cs="Mongolian Baiti"/>
          <w:sz w:val="18"/>
          <w:szCs w:val="18"/>
          <w:lang w:val="en-GB"/>
        </w:rPr>
        <w:t>)</w:t>
      </w:r>
    </w:p>
    <w:tbl>
      <w:tblPr>
        <w:tblStyle w:val="TableGrid"/>
        <w:tblW w:w="131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5"/>
        <w:gridCol w:w="1307"/>
        <w:gridCol w:w="1559"/>
        <w:gridCol w:w="1276"/>
        <w:gridCol w:w="1276"/>
        <w:gridCol w:w="1417"/>
        <w:gridCol w:w="1701"/>
        <w:gridCol w:w="993"/>
        <w:gridCol w:w="2409"/>
      </w:tblGrid>
      <w:tr w:rsidR="003F2480" w:rsidRPr="00D02987" w:rsidTr="005A57E2">
        <w:trPr>
          <w:trHeight w:val="1168"/>
        </w:trPr>
        <w:tc>
          <w:tcPr>
            <w:tcW w:w="1245"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Authors</w:t>
            </w: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(year)</w:t>
            </w:r>
          </w:p>
        </w:tc>
        <w:tc>
          <w:tcPr>
            <w:tcW w:w="1307"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sz w:val="18"/>
                <w:szCs w:val="18"/>
                <w:vertAlign w:val="superscript"/>
                <w:lang w:val="en-GB"/>
              </w:rPr>
            </w:pPr>
            <w:r w:rsidRPr="00D02987">
              <w:rPr>
                <w:rFonts w:ascii="Mongolian Baiti" w:hAnsi="Mongolian Baiti" w:cs="Mongolian Baiti"/>
                <w:b/>
                <w:bCs/>
                <w:sz w:val="18"/>
                <w:szCs w:val="18"/>
                <w:lang w:val="en-GB"/>
              </w:rPr>
              <w:t>Types of prediction models by TRIPOD statement</w:t>
            </w:r>
            <w:r w:rsidRPr="00D02987">
              <w:rPr>
                <w:rFonts w:ascii="Mongolian Baiti" w:hAnsi="Mongolian Baiti" w:cs="Mongolian Baiti"/>
                <w:b/>
                <w:bCs/>
                <w:sz w:val="18"/>
                <w:szCs w:val="18"/>
                <w:vertAlign w:val="superscript"/>
                <w:lang w:val="en-GB"/>
              </w:rPr>
              <w:t>1</w:t>
            </w:r>
          </w:p>
        </w:tc>
        <w:tc>
          <w:tcPr>
            <w:tcW w:w="1559"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Study population</w:t>
            </w:r>
          </w:p>
        </w:tc>
        <w:tc>
          <w:tcPr>
            <w:tcW w:w="1276"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Prevalence of malignancy</w:t>
            </w:r>
          </w:p>
        </w:tc>
        <w:tc>
          <w:tcPr>
            <w:tcW w:w="1276"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r w:rsidRPr="00D02987">
              <w:rPr>
                <w:rFonts w:ascii="Mongolian Baiti" w:hAnsi="Mongolian Baiti" w:cs="Mongolian Baiti"/>
                <w:b/>
                <w:bCs/>
                <w:sz w:val="18"/>
                <w:szCs w:val="18"/>
                <w:lang w:val="en-GB"/>
              </w:rPr>
              <w:t>Prevalence of</w:t>
            </w: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active or former smokers</w:t>
            </w:r>
          </w:p>
        </w:tc>
        <w:tc>
          <w:tcPr>
            <w:tcW w:w="1417"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Validation sample size</w:t>
            </w:r>
          </w:p>
        </w:tc>
        <w:tc>
          <w:tcPr>
            <w:tcW w:w="1701"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lang w:val="en-GB"/>
              </w:rPr>
            </w:pPr>
            <w:r w:rsidRPr="00D02987">
              <w:rPr>
                <w:rFonts w:ascii="Mongolian Baiti" w:hAnsi="Mongolian Baiti" w:cs="Mongolian Baiti"/>
                <w:b/>
                <w:bCs/>
                <w:sz w:val="18"/>
                <w:szCs w:val="18"/>
                <w:lang w:val="en-GB"/>
              </w:rPr>
              <w:t>Prediction model</w:t>
            </w:r>
          </w:p>
        </w:tc>
        <w:tc>
          <w:tcPr>
            <w:tcW w:w="993"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vertAlign w:val="superscript"/>
                <w:lang w:val="en-GB"/>
              </w:rPr>
            </w:pPr>
            <w:r w:rsidRPr="00D02987">
              <w:rPr>
                <w:rFonts w:ascii="Mongolian Baiti" w:hAnsi="Mongolian Baiti" w:cs="Mongolian Baiti"/>
                <w:b/>
                <w:bCs/>
                <w:sz w:val="18"/>
                <w:szCs w:val="18"/>
                <w:lang w:val="en-GB"/>
              </w:rPr>
              <w:t>AUC</w:t>
            </w:r>
            <w:r w:rsidRPr="00D02987">
              <w:rPr>
                <w:rFonts w:ascii="Mongolian Baiti" w:hAnsi="Mongolian Baiti" w:cs="Mongolian Baiti"/>
                <w:b/>
                <w:bCs/>
                <w:sz w:val="18"/>
                <w:szCs w:val="18"/>
                <w:vertAlign w:val="superscript"/>
                <w:lang w:val="en-GB"/>
              </w:rPr>
              <w:t>2</w:t>
            </w:r>
          </w:p>
        </w:tc>
        <w:tc>
          <w:tcPr>
            <w:tcW w:w="2409" w:type="dxa"/>
            <w:tcBorders>
              <w:top w:val="single" w:sz="4" w:space="0" w:color="auto"/>
              <w:bottom w:val="single" w:sz="4" w:space="0" w:color="auto"/>
            </w:tcBorders>
          </w:tcPr>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b/>
                <w:bCs/>
                <w:sz w:val="18"/>
                <w:szCs w:val="18"/>
                <w:lang w:val="en-GB"/>
              </w:rPr>
            </w:pPr>
          </w:p>
          <w:p w:rsidR="003F2480" w:rsidRPr="00D02987" w:rsidRDefault="003F2480" w:rsidP="005A57E2">
            <w:pPr>
              <w:jc w:val="center"/>
              <w:rPr>
                <w:rFonts w:ascii="Mongolian Baiti" w:hAnsi="Mongolian Baiti" w:cs="Mongolian Baiti"/>
                <w:sz w:val="18"/>
                <w:szCs w:val="18"/>
                <w:vertAlign w:val="superscript"/>
                <w:lang w:val="en-GB"/>
              </w:rPr>
            </w:pPr>
            <w:r w:rsidRPr="00D02987">
              <w:rPr>
                <w:rFonts w:ascii="Mongolian Baiti" w:hAnsi="Mongolian Baiti" w:cs="Mongolian Baiti"/>
                <w:b/>
                <w:bCs/>
                <w:sz w:val="18"/>
                <w:szCs w:val="18"/>
                <w:lang w:val="en-GB"/>
              </w:rPr>
              <w:t>Calibration</w:t>
            </w:r>
            <w:r w:rsidRPr="00D02987">
              <w:rPr>
                <w:rFonts w:ascii="Mongolian Baiti" w:hAnsi="Mongolian Baiti" w:cs="Mongolian Baiti"/>
                <w:b/>
                <w:bCs/>
                <w:sz w:val="18"/>
                <w:szCs w:val="18"/>
                <w:vertAlign w:val="superscript"/>
                <w:lang w:val="en-GB"/>
              </w:rPr>
              <w:t>3</w:t>
            </w:r>
          </w:p>
        </w:tc>
      </w:tr>
      <w:tr w:rsidR="003F2480" w:rsidRPr="001D4D75" w:rsidTr="005A57E2">
        <w:trPr>
          <w:trHeight w:val="861"/>
        </w:trPr>
        <w:tc>
          <w:tcPr>
            <w:tcW w:w="1245"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Isbell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(2011)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{"citationItems":[{"id":"ITEM-1","itemData":{"DOI":"10.1016/j.athoracsur.2010.08.054","ISSN":"00034975","abstract":"Background Patients undergoing resections for suspicious pulmonary lesions have a 9% to 55% benign rate. Validated prediction models exist to estimate the probability of malignancy in a general population and current practice guidelines recommend their use. We evaluated these models in a surgical population to determine the accuracy of existing models to predict benign or malignant disease. Methods We conducted a retrospective review of our thoracic surgery quality improvement database (2005 to 2008) to identify patients who underwent resection of a pulmonary lesion. Patients were stratified into subgroups based on age, smoking status, and fluorodeoxyglucose positron emission tomography (PET) results. The probability of malignancy was calculated for each patient using the Mayo and solitary pulmonary nodules prediction models. Receiver operating characteristic and calibration curves were used to measure model performance. Results A total of 189 patients met selection criteria; 73% were malignant. Patients with preoperative PET scans were divided into four subgroups based on age, smoking history, and nodule PET avidity. Older smokers with PET-avid lesions had a 90% malignancy rate. Patients with PET-nonavid lesions, PET-avid lesions with age less than 50 years, or never smokers of any age had a 62% malignancy rate. The area under the receiver operating characteristic curve for the Mayo and solitary pulmonary nodules models was 0.79 and 0.80, respectively; however, the models were poorly calibrated (p &lt; 0.001). Conclusions Despite improvements in diagnostic and imaging techniques, current general population models do not accurately predict lung cancer among patients referred for surgical evaluation. Prediction models with greater accuracy are needed to identify patients with benign disease to reduce nontherapeutic resections. © 2011 The Society of Thoracic Surgeons.","author":[{"dropping-particle":"","family":"Isbell","given":"James M.","non-dropping-particle":"","parse-names":false,"suffix":""},{"dropping-particle":"","family":"Deppen","given":"Stephen","non-dropping-particle":"","parse-names":false,"suffix":""},{"dropping-particle":"","family":"Putnam","given":"Joe B.","non-dropping-particle":"","parse-names":false,"suffix":""},{"dropping-particle":"","family":"Nesbitt","given":"Jonathan C.","non-dropping-particle":"","parse-names":false,"suffix":""},{"dropping-particle":"","family":"Lambright","given":"Eric S.","non-dropping-particle":"","parse-names":false,"suffix":""},{"dropping-particle":"","family":"Dawes","given":"Aaron","non-dropping-particle":"","parse-names":false,"suffix":""},{"dropping-particle":"","family":"Massion","given":"Pierre P.","non-dropping-particle":"","parse-names":false,"suffix":""},{"dropping-particle":"","family":"Speroff","given":"Theodore","non-dropping-particle":"","parse-names":false,"suffix":""},{"dropping-particle":"","family":"Jones","given":"David R.","non-dropping-particle":"","parse-names":false,"suffix":""},{"dropping-particle":"","family":"Grogan","given":"Eric L.","non-dropping-particle":"","parse-names":false,"suffix":""}],"container-title":"Annals of Thoracic Surgery","id":"ITEM-1","issue":"1","issued":{"date-parts":[["2011"]]},"page":"227-233","publisher":"Elsevier Inc.","title":"Existing general population models inaccurately predict lung cancer risk in patients referred for surgical evaluation","type":"article-journal","volume":"91"},"uris":["http://www.mendeley.com/documents/?uuid=10de34e7-bb65-4e4c-900a-eb5dc2bfc84a"]}],"mendeley":{"formattedCitation":"(33)","plainTextFormattedCitation":"(33)","previouslyFormattedCitation":"&lt;sup&gt;33&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(33)</w:t>
            </w:r>
            <w:r w:rsidRPr="00D02987">
              <w:rPr>
                <w:rFonts w:ascii="Mongolian Baiti" w:hAnsi="Mongolian Baiti" w:cs="Mongolian Baiti"/>
                <w:sz w:val="18"/>
                <w:szCs w:val="18"/>
                <w:lang w:val="en-GB"/>
              </w:rPr>
              <w:fldChar w:fldCharType="end"/>
            </w:r>
          </w:p>
          <w:p w:rsidR="003F2480" w:rsidRPr="00D02987" w:rsidRDefault="003F2480" w:rsidP="005A57E2">
            <w:pPr>
              <w:jc w:val="both"/>
              <w:rPr>
                <w:rFonts w:ascii="Mongolian Baiti" w:hAnsi="Mongolian Baiti" w:cs="Mongolian Baiti"/>
                <w:sz w:val="18"/>
                <w:szCs w:val="18"/>
                <w:lang w:val="en-GB"/>
              </w:rPr>
            </w:pPr>
          </w:p>
        </w:tc>
        <w:tc>
          <w:tcPr>
            <w:tcW w:w="1307"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tcBorders>
              <w:top w:val="single" w:sz="4" w:space="0" w:color="auto"/>
            </w:tcBorders>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USA patients who underwent resection of a PN.</w:t>
            </w:r>
          </w:p>
        </w:tc>
        <w:tc>
          <w:tcPr>
            <w:tcW w:w="1276"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73%</w:t>
            </w:r>
          </w:p>
        </w:tc>
        <w:tc>
          <w:tcPr>
            <w:tcW w:w="1276"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74%</w:t>
            </w:r>
          </w:p>
        </w:tc>
        <w:tc>
          <w:tcPr>
            <w:tcW w:w="1417"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189</w:t>
            </w:r>
          </w:p>
        </w:tc>
        <w:tc>
          <w:tcPr>
            <w:tcW w:w="1701"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tc>
        <w:tc>
          <w:tcPr>
            <w:tcW w:w="993" w:type="dxa"/>
            <w:tcBorders>
              <w:top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0.79</w:t>
            </w:r>
          </w:p>
        </w:tc>
        <w:tc>
          <w:tcPr>
            <w:tcW w:w="2409" w:type="dxa"/>
            <w:tcBorders>
              <w:top w:val="single" w:sz="4" w:space="0" w:color="auto"/>
            </w:tcBorders>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This model underestimated the probability of malignancy in 4</w:t>
            </w:r>
            <w:r w:rsidRPr="00D02987">
              <w:rPr>
                <w:rFonts w:ascii="Mongolian Baiti" w:hAnsi="Mongolian Baiti" w:cs="Mongolian Baiti"/>
                <w:sz w:val="18"/>
                <w:szCs w:val="18"/>
                <w:vertAlign w:val="superscript"/>
                <w:lang w:val="en-GB"/>
              </w:rPr>
              <w:t>th</w:t>
            </w:r>
            <w:r w:rsidRPr="00D02987">
              <w:rPr>
                <w:rFonts w:ascii="Mongolian Baiti" w:hAnsi="Mongolian Baiti" w:cs="Mongolian Baiti"/>
                <w:sz w:val="18"/>
                <w:szCs w:val="18"/>
                <w:lang w:val="en-GB"/>
              </w:rPr>
              <w:t xml:space="preserve"> and 5</w:t>
            </w:r>
            <w:r w:rsidRPr="00D02987">
              <w:rPr>
                <w:rFonts w:ascii="Mongolian Baiti" w:hAnsi="Mongolian Baiti" w:cs="Mongolian Baiti"/>
                <w:sz w:val="18"/>
                <w:szCs w:val="18"/>
                <w:vertAlign w:val="superscript"/>
                <w:lang w:val="en-GB"/>
              </w:rPr>
              <w:t>th</w:t>
            </w:r>
            <w:r w:rsidRPr="00D02987">
              <w:rPr>
                <w:rFonts w:ascii="Mongolian Baiti" w:hAnsi="Mongolian Baiti" w:cs="Mongolian Baiti"/>
                <w:sz w:val="18"/>
                <w:szCs w:val="18"/>
                <w:lang w:val="en-GB"/>
              </w:rPr>
              <w:t xml:space="preserve"> </w:t>
            </w:r>
            <w:proofErr w:type="gramStart"/>
            <w:r w:rsidRPr="00D02987">
              <w:rPr>
                <w:rFonts w:ascii="Mongolian Baiti" w:hAnsi="Mongolian Baiti" w:cs="Mongolian Baiti"/>
                <w:sz w:val="18"/>
                <w:szCs w:val="18"/>
                <w:lang w:val="en-GB"/>
              </w:rPr>
              <w:t>quintiles,</w:t>
            </w:r>
            <w:proofErr w:type="gramEnd"/>
            <w:r w:rsidRPr="00D02987">
              <w:rPr>
                <w:rFonts w:ascii="Mongolian Baiti" w:hAnsi="Mongolian Baiti" w:cs="Mongolian Baiti"/>
                <w:sz w:val="18"/>
                <w:szCs w:val="18"/>
                <w:lang w:val="en-GB"/>
              </w:rPr>
              <w:t xml:space="preserve"> the other quintiles were well calibrated. </w:t>
            </w:r>
          </w:p>
        </w:tc>
      </w:tr>
      <w:tr w:rsidR="003F2480" w:rsidRPr="008110F3" w:rsidTr="005A57E2">
        <w:trPr>
          <w:trHeight w:val="87"/>
        </w:trPr>
        <w:tc>
          <w:tcPr>
            <w:tcW w:w="1245"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Schultz E et al.</w:t>
            </w:r>
          </w:p>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 xml:space="preserve">(2008) </w:t>
            </w:r>
            <w:r w:rsidRPr="00D02987">
              <w:rPr>
                <w:rFonts w:ascii="Mongolian Baiti" w:hAnsi="Mongolian Baiti" w:cs="Mongolian Baiti"/>
                <w:sz w:val="18"/>
                <w:szCs w:val="18"/>
                <w:lang w:val="en-GB"/>
              </w:rPr>
              <w:fldChar w:fldCharType="begin" w:fldLock="1"/>
            </w:r>
            <w:r>
              <w:rPr>
                <w:rFonts w:ascii="Mongolian Baiti" w:hAnsi="Mongolian Baiti" w:cs="Mongolian Baiti"/>
                <w:sz w:val="18"/>
                <w:szCs w:val="18"/>
                <w:lang w:val="en-GB"/>
              </w:rPr>
              <w:instrText>ADDIN CSL_CITATION {"citationItems":[{"id":"ITEM-1","itemData":{"DOI":"10.1136/thx.2007.084731","ISSN":"00406376","abstract":"Background: Effective strategies for managing patients with solitary pulmonary nodules (SPN) depend critically on the pre-test probability of malignancy. Objective: To validate two previously developed models that estimate the probability that an indeterminate SPN is malignant, based on clinical characteristics and radiographic findings. Methods: Data on age, smoking and cancer history, nodule size, location and spiculation were collected retrospectively from the medical records of 151 veterans (145 men, 6 women; age range 39-87 years) with an SPN measuring 7-30 mm (inclusive) and a final diagnosis established by histopathology or 2-year follow-up. Each patient's final diagnosis was compared with the probability of malignancy predicted by two models: one developed by investigators at the Mayo Clinic and the other developed from patients enrolled in a VA Cooperative Study. The accuracy of each model was assessed by calculating areas under the receiver operating characteristic (ROC) curve and the models were calibrated by comparing predicted and observed rates of malignancy. Results: The area under the ROC curve for the Mayo Clinic model (0.80; 95% CI 0.72 to 0.88) was higher than that of the VA model (0.73; 95% CI 0.64 to 0.82), but this difference was not statistically significant (</w:instrText>
            </w:r>
            <w:r>
              <w:rPr>
                <w:rFonts w:ascii="Cambria" w:hAnsi="Cambria" w:cs="Cambria"/>
                <w:sz w:val="18"/>
                <w:szCs w:val="18"/>
                <w:lang w:val="en-GB"/>
              </w:rPr>
              <w:instrText>Δ</w:instrText>
            </w:r>
            <w:r>
              <w:rPr>
                <w:rFonts w:ascii="Mongolian Baiti" w:hAnsi="Mongolian Baiti" w:cs="Mongolian Baiti"/>
                <w:sz w:val="18"/>
                <w:szCs w:val="18"/>
                <w:lang w:val="en-GB"/>
              </w:rPr>
              <w:instrText xml:space="preserve"> = 0.07; 95% CI -0.03 to 0.16). Calibration curves showed that the probability of malignancy was underestimated by the Mayo Clinic model and overestimated by the VA model. Conclusions: Two existing prediction models are sufficiently accurate to guide decisions about the selection and interpretation of subsequent diagnostic tests in patients with SPNs, although clinicians should also consider the prevalence of malignancy in their practice setting when choosing a model.","author":[{"dropping-particle":"","family":"Schultz","given":"E. M.","non-dropping-particle":"","parse-names":false,"suffix":""},{"dropping-particle":"","family":"Sanders","given":"G. D.","non-dropping-particle":"","parse-names":false,"suffix":""},{"dropping-particle":"","family":"Trotter","given":"P. R.","non-dropping-particle":"","parse-names":false,"suffix":""},{"dropping-particle":"","family":"Patz","given":"E. F.","non-dropping-particle":"","parse-names":false,"suffix":""},{"dropping-particle":"","family":"Silvestri","given":"G. A.","non-dropping-particle":"","parse-names":false,"suffix":""},{"dropping-particle":"","family":"Owens","given":"D. K.","non-dropping-particle":"","parse-names":false,"suffix":""},{"dropping-particle":"","family":"Gould","given":"M. K.","non-dropping-particle":"","parse-names":false,"suffix":""}],"container-title":"Thorax","id":"ITEM-1","issue":"4","issued":{"date-parts":[["2008"]]},"page":"335-341","title":"Validation of two models to estimate the probability of malignancy in patients with solitary pulmonary nodules","type":"article-journal","volume":"63"},"uris":["http://www.mendeley.com/documents/?uuid=781519fa-c651-4bcf-b58a-615017a5aae3"]}],"mendeley":{"formattedCitation":"(34)","plainTextFormattedCitation":"(34)","previouslyFormattedCitation":"&lt;sup&gt;34&lt;/sup&gt;"},"properties":{"noteIndex":0},"schema":"https://github.com/citation-style-language/schema/raw/master/csl-citation.json"}</w:instrText>
            </w:r>
            <w:r w:rsidRPr="00D02987">
              <w:rPr>
                <w:rFonts w:ascii="Mongolian Baiti" w:hAnsi="Mongolian Baiti" w:cs="Mongolian Baiti"/>
                <w:sz w:val="18"/>
                <w:szCs w:val="18"/>
                <w:lang w:val="en-GB"/>
              </w:rPr>
              <w:fldChar w:fldCharType="separate"/>
            </w:r>
            <w:r w:rsidRPr="00A0798D">
              <w:rPr>
                <w:rFonts w:ascii="Mongolian Baiti" w:hAnsi="Mongolian Baiti" w:cs="Mongolian Baiti"/>
                <w:noProof/>
                <w:sz w:val="18"/>
                <w:szCs w:val="18"/>
                <w:lang w:val="en-GB"/>
              </w:rPr>
              <w:t>(34)</w:t>
            </w:r>
            <w:r w:rsidRPr="00D02987">
              <w:rPr>
                <w:rFonts w:ascii="Mongolian Baiti" w:hAnsi="Mongolian Baiti" w:cs="Mongolian Baiti"/>
                <w:sz w:val="18"/>
                <w:szCs w:val="18"/>
                <w:lang w:val="en-GB"/>
              </w:rPr>
              <w:fldChar w:fldCharType="end"/>
            </w:r>
          </w:p>
        </w:tc>
        <w:tc>
          <w:tcPr>
            <w:tcW w:w="130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w:t>
            </w:r>
          </w:p>
        </w:tc>
        <w:tc>
          <w:tcPr>
            <w:tcW w:w="1559" w:type="dxa"/>
            <w:vMerge w:val="restart"/>
          </w:tcPr>
          <w:p w:rsidR="003F2480" w:rsidRPr="00D02987" w:rsidRDefault="003F2480" w:rsidP="005A57E2">
            <w:pPr>
              <w:rPr>
                <w:rFonts w:ascii="Mongolian Baiti" w:hAnsi="Mongolian Baiti" w:cs="Mongolian Baiti"/>
                <w:sz w:val="18"/>
                <w:szCs w:val="18"/>
                <w:lang w:val="en-GB"/>
              </w:rPr>
            </w:pPr>
            <w:r w:rsidRPr="00D02987">
              <w:rPr>
                <w:rFonts w:ascii="Mongolian Baiti" w:hAnsi="Mongolian Baiti" w:cs="Mongolian Baiti"/>
                <w:sz w:val="18"/>
                <w:szCs w:val="18"/>
                <w:lang w:val="en-GB"/>
              </w:rPr>
              <w:t>USA patients with SPN discovered incidentally in chest CT, who underwent surgery.</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45%</w:t>
            </w:r>
          </w:p>
        </w:tc>
        <w:tc>
          <w:tcPr>
            <w:tcW w:w="1276"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89%</w:t>
            </w:r>
          </w:p>
        </w:tc>
        <w:tc>
          <w:tcPr>
            <w:tcW w:w="1417" w:type="dxa"/>
            <w:vMerge w:val="restart"/>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151</w:t>
            </w:r>
          </w:p>
        </w:tc>
        <w:tc>
          <w:tcPr>
            <w:tcW w:w="1701" w:type="dxa"/>
          </w:tcPr>
          <w:p w:rsidR="003F2480" w:rsidRPr="00D02987" w:rsidRDefault="003F2480" w:rsidP="005A57E2">
            <w:pPr>
              <w:jc w:val="both"/>
              <w:rPr>
                <w:rFonts w:ascii="Mongolian Baiti" w:hAnsi="Mongolian Baiti" w:cs="Mongolian Baiti"/>
                <w:sz w:val="18"/>
                <w:szCs w:val="18"/>
                <w:lang w:val="en-GB"/>
              </w:rPr>
            </w:pPr>
            <w:proofErr w:type="spellStart"/>
            <w:r w:rsidRPr="00D02987">
              <w:rPr>
                <w:rFonts w:ascii="Mongolian Baiti" w:hAnsi="Mongolian Baiti" w:cs="Mongolian Baiti"/>
                <w:sz w:val="18"/>
                <w:szCs w:val="18"/>
                <w:lang w:val="en-GB"/>
              </w:rPr>
              <w:t>Swensen</w:t>
            </w:r>
            <w:proofErr w:type="spellEnd"/>
            <w:r w:rsidRPr="00D02987">
              <w:rPr>
                <w:rFonts w:ascii="Mongolian Baiti" w:hAnsi="Mongolian Baiti" w:cs="Mongolian Baiti"/>
                <w:sz w:val="18"/>
                <w:szCs w:val="18"/>
                <w:lang w:val="en-GB"/>
              </w:rPr>
              <w:t xml:space="preserve"> et al.</w:t>
            </w:r>
          </w:p>
          <w:p w:rsidR="003F2480" w:rsidRPr="00D02987" w:rsidRDefault="003F2480" w:rsidP="005A57E2">
            <w:pPr>
              <w:rPr>
                <w:rFonts w:ascii="Mongolian Baiti" w:hAnsi="Mongolian Baiti" w:cs="Mongolian Baiti"/>
                <w:sz w:val="18"/>
                <w:szCs w:val="18"/>
                <w:lang w:val="en-GB"/>
              </w:rPr>
            </w:pP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0.80</w:t>
            </w:r>
          </w:p>
          <w:p w:rsidR="003F2480" w:rsidRPr="00D02987" w:rsidRDefault="003F2480" w:rsidP="005A57E2">
            <w:pPr>
              <w:rPr>
                <w:rFonts w:ascii="Mongolian Baiti" w:hAnsi="Mongolian Baiti" w:cs="Mongolian Baiti"/>
                <w:sz w:val="18"/>
                <w:szCs w:val="18"/>
                <w:lang w:val="en-GB"/>
              </w:rPr>
            </w:pPr>
          </w:p>
        </w:tc>
        <w:tc>
          <w:tcPr>
            <w:tcW w:w="2409" w:type="dxa"/>
          </w:tcPr>
          <w:p w:rsidR="003F2480" w:rsidRPr="00D02987" w:rsidRDefault="003F2480" w:rsidP="005A57E2">
            <w:pPr>
              <w:rPr>
                <w:rFonts w:ascii="Mongolian Baiti" w:hAnsi="Mongolian Baiti" w:cs="Mongolian Baiti"/>
                <w:sz w:val="18"/>
                <w:szCs w:val="18"/>
                <w:highlight w:val="yellow"/>
                <w:lang w:val="en-GB"/>
              </w:rPr>
            </w:pPr>
            <w:r w:rsidRPr="00D02987">
              <w:rPr>
                <w:rFonts w:ascii="Mongolian Baiti" w:hAnsi="Mongolian Baiti" w:cs="Mongolian Baiti"/>
                <w:sz w:val="18"/>
                <w:szCs w:val="18"/>
                <w:lang w:val="en-GB"/>
              </w:rPr>
              <w:t>This model underestimated the probability of malignancy in all quintiles except the 1</w:t>
            </w:r>
            <w:r w:rsidRPr="00D02987">
              <w:rPr>
                <w:rFonts w:ascii="Mongolian Baiti" w:hAnsi="Mongolian Baiti" w:cs="Mongolian Baiti"/>
                <w:sz w:val="18"/>
                <w:szCs w:val="18"/>
                <w:vertAlign w:val="superscript"/>
                <w:lang w:val="en-GB"/>
              </w:rPr>
              <w:t>st</w:t>
            </w:r>
            <w:proofErr w:type="gramStart"/>
            <w:r w:rsidRPr="00D02987">
              <w:rPr>
                <w:rFonts w:ascii="Mongolian Baiti" w:hAnsi="Mongolian Baiti" w:cs="Mongolian Baiti"/>
                <w:sz w:val="18"/>
                <w:szCs w:val="18"/>
                <w:vertAlign w:val="superscript"/>
                <w:lang w:val="en-GB"/>
              </w:rPr>
              <w:t>.</w:t>
            </w:r>
            <w:r w:rsidRPr="00D02987">
              <w:rPr>
                <w:rFonts w:ascii="Mongolian Baiti" w:hAnsi="Mongolian Baiti" w:cs="Mongolian Baiti"/>
                <w:sz w:val="18"/>
                <w:szCs w:val="18"/>
                <w:lang w:val="en-GB"/>
              </w:rPr>
              <w:t>.</w:t>
            </w:r>
            <w:proofErr w:type="gramEnd"/>
          </w:p>
        </w:tc>
      </w:tr>
      <w:tr w:rsidR="003F2480" w:rsidRPr="008110F3" w:rsidTr="005A57E2">
        <w:trPr>
          <w:trHeight w:val="447"/>
        </w:trPr>
        <w:tc>
          <w:tcPr>
            <w:tcW w:w="1245" w:type="dxa"/>
            <w:vMerge/>
          </w:tcPr>
          <w:p w:rsidR="003F2480" w:rsidRPr="00D02987" w:rsidRDefault="003F2480" w:rsidP="005A57E2">
            <w:pPr>
              <w:jc w:val="both"/>
              <w:rPr>
                <w:rFonts w:ascii="Mongolian Baiti" w:hAnsi="Mongolian Baiti" w:cs="Mongolian Baiti"/>
                <w:sz w:val="16"/>
                <w:szCs w:val="16"/>
                <w:lang w:val="en-GB"/>
              </w:rPr>
            </w:pPr>
          </w:p>
        </w:tc>
        <w:tc>
          <w:tcPr>
            <w:tcW w:w="1307" w:type="dxa"/>
            <w:vMerge/>
          </w:tcPr>
          <w:p w:rsidR="003F2480" w:rsidRPr="00D02987" w:rsidRDefault="003F2480" w:rsidP="005A57E2">
            <w:pPr>
              <w:jc w:val="both"/>
              <w:rPr>
                <w:rFonts w:ascii="Mongolian Baiti" w:hAnsi="Mongolian Baiti" w:cs="Mongolian Baiti"/>
                <w:sz w:val="16"/>
                <w:szCs w:val="16"/>
                <w:lang w:val="en-GB"/>
              </w:rPr>
            </w:pPr>
          </w:p>
        </w:tc>
        <w:tc>
          <w:tcPr>
            <w:tcW w:w="1559" w:type="dxa"/>
            <w:vMerge/>
          </w:tcPr>
          <w:p w:rsidR="003F2480" w:rsidRPr="00D02987" w:rsidRDefault="003F2480" w:rsidP="005A57E2">
            <w:pPr>
              <w:jc w:val="both"/>
              <w:rPr>
                <w:rFonts w:ascii="Mongolian Baiti" w:hAnsi="Mongolian Baiti" w:cs="Mongolian Baiti"/>
                <w:sz w:val="16"/>
                <w:szCs w:val="16"/>
                <w:lang w:val="en-GB"/>
              </w:rPr>
            </w:pPr>
          </w:p>
        </w:tc>
        <w:tc>
          <w:tcPr>
            <w:tcW w:w="1276" w:type="dxa"/>
            <w:vMerge/>
          </w:tcPr>
          <w:p w:rsidR="003F2480" w:rsidRPr="00D02987" w:rsidRDefault="003F2480" w:rsidP="005A57E2">
            <w:pPr>
              <w:jc w:val="both"/>
              <w:rPr>
                <w:rFonts w:ascii="Mongolian Baiti" w:hAnsi="Mongolian Baiti" w:cs="Mongolian Baiti"/>
                <w:sz w:val="16"/>
                <w:szCs w:val="16"/>
                <w:lang w:val="en-GB"/>
              </w:rPr>
            </w:pPr>
          </w:p>
        </w:tc>
        <w:tc>
          <w:tcPr>
            <w:tcW w:w="1276" w:type="dxa"/>
            <w:vMerge/>
          </w:tcPr>
          <w:p w:rsidR="003F2480" w:rsidRPr="00D02987" w:rsidRDefault="003F2480" w:rsidP="005A57E2">
            <w:pPr>
              <w:jc w:val="both"/>
              <w:rPr>
                <w:rFonts w:ascii="Mongolian Baiti" w:hAnsi="Mongolian Baiti" w:cs="Mongolian Baiti"/>
                <w:sz w:val="16"/>
                <w:szCs w:val="16"/>
                <w:lang w:val="en-GB"/>
              </w:rPr>
            </w:pPr>
          </w:p>
        </w:tc>
        <w:tc>
          <w:tcPr>
            <w:tcW w:w="1417" w:type="dxa"/>
            <w:vMerge/>
          </w:tcPr>
          <w:p w:rsidR="003F2480" w:rsidRPr="00D02987" w:rsidRDefault="003F2480" w:rsidP="005A57E2">
            <w:pPr>
              <w:jc w:val="both"/>
              <w:rPr>
                <w:rFonts w:ascii="Mongolian Baiti" w:hAnsi="Mongolian Baiti" w:cs="Mongolian Baiti"/>
                <w:sz w:val="16"/>
                <w:szCs w:val="16"/>
                <w:lang w:val="en-GB"/>
              </w:rPr>
            </w:pPr>
          </w:p>
        </w:tc>
        <w:tc>
          <w:tcPr>
            <w:tcW w:w="1701"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Gould et al.</w:t>
            </w:r>
          </w:p>
        </w:tc>
        <w:tc>
          <w:tcPr>
            <w:tcW w:w="993" w:type="dxa"/>
          </w:tcPr>
          <w:p w:rsidR="003F2480" w:rsidRPr="00D02987" w:rsidRDefault="003F2480" w:rsidP="005A57E2">
            <w:pPr>
              <w:jc w:val="both"/>
              <w:rPr>
                <w:rFonts w:ascii="Mongolian Baiti" w:hAnsi="Mongolian Baiti" w:cs="Mongolian Baiti"/>
                <w:sz w:val="18"/>
                <w:szCs w:val="18"/>
                <w:lang w:val="en-GB"/>
              </w:rPr>
            </w:pPr>
            <w:r w:rsidRPr="00D02987">
              <w:rPr>
                <w:rFonts w:ascii="Mongolian Baiti" w:hAnsi="Mongolian Baiti" w:cs="Mongolian Baiti"/>
                <w:sz w:val="18"/>
                <w:szCs w:val="18"/>
                <w:lang w:val="en-GB"/>
              </w:rPr>
              <w:t>0.73</w:t>
            </w:r>
          </w:p>
        </w:tc>
        <w:tc>
          <w:tcPr>
            <w:tcW w:w="2409" w:type="dxa"/>
          </w:tcPr>
          <w:p w:rsidR="003F2480" w:rsidRPr="00D02987" w:rsidRDefault="003F2480" w:rsidP="005A57E2">
            <w:pPr>
              <w:rPr>
                <w:rFonts w:ascii="Mongolian Baiti" w:hAnsi="Mongolian Baiti" w:cs="Mongolian Baiti"/>
                <w:sz w:val="16"/>
                <w:szCs w:val="16"/>
                <w:lang w:val="en-GB"/>
              </w:rPr>
            </w:pPr>
            <w:r w:rsidRPr="00D02987">
              <w:rPr>
                <w:rFonts w:ascii="Mongolian Baiti" w:hAnsi="Mongolian Baiti" w:cs="Mongolian Baiti"/>
                <w:sz w:val="18"/>
                <w:szCs w:val="18"/>
                <w:lang w:val="en-GB"/>
              </w:rPr>
              <w:t>This model overestimated the probability of malignancy.</w:t>
            </w:r>
          </w:p>
        </w:tc>
      </w:tr>
      <w:tr w:rsidR="003F2480" w:rsidRPr="008110F3" w:rsidTr="005A57E2">
        <w:trPr>
          <w:trHeight w:val="447"/>
        </w:trPr>
        <w:tc>
          <w:tcPr>
            <w:tcW w:w="1245" w:type="dxa"/>
            <w:tcBorders>
              <w:bottom w:val="single" w:sz="4" w:space="0" w:color="auto"/>
            </w:tcBorders>
          </w:tcPr>
          <w:p w:rsidR="003F2480" w:rsidRPr="00D02987" w:rsidRDefault="003F2480" w:rsidP="005A57E2">
            <w:pPr>
              <w:jc w:val="both"/>
              <w:rPr>
                <w:rFonts w:ascii="Mongolian Baiti" w:hAnsi="Mongolian Baiti" w:cs="Mongolian Baiti"/>
                <w:sz w:val="16"/>
                <w:szCs w:val="16"/>
                <w:lang w:val="en-GB"/>
              </w:rPr>
            </w:pPr>
            <w:r>
              <w:rPr>
                <w:rFonts w:ascii="Mongolian Baiti" w:hAnsi="Mongolian Baiti" w:cs="Mongolian Baiti"/>
                <w:sz w:val="16"/>
                <w:szCs w:val="16"/>
                <w:lang w:val="en-GB"/>
              </w:rPr>
              <w:t xml:space="preserve">Herder et al. </w:t>
            </w:r>
            <w:r w:rsidRPr="002E731C">
              <w:rPr>
                <w:rFonts w:ascii="Mongolian Baiti" w:hAnsi="Mongolian Baiti" w:cs="Mongolian Baiti"/>
                <w:sz w:val="16"/>
                <w:szCs w:val="16"/>
                <w:lang w:val="en-GB"/>
              </w:rPr>
              <w:t>(2005)</w:t>
            </w:r>
            <w:r>
              <w:rPr>
                <w:rFonts w:ascii="Mongolian Baiti" w:hAnsi="Mongolian Baiti" w:cs="Mongolian Baiti"/>
                <w:sz w:val="16"/>
                <w:szCs w:val="16"/>
                <w:lang w:val="en-GB"/>
              </w:rPr>
              <w:t xml:space="preserve"> </w:t>
            </w:r>
            <w:r>
              <w:rPr>
                <w:rFonts w:ascii="Mongolian Baiti" w:hAnsi="Mongolian Baiti" w:cs="Mongolian Baiti"/>
                <w:sz w:val="16"/>
                <w:szCs w:val="16"/>
                <w:lang w:val="en-GB"/>
              </w:rPr>
              <w:fldChar w:fldCharType="begin" w:fldLock="1"/>
            </w:r>
            <w:r>
              <w:rPr>
                <w:rFonts w:ascii="Mongolian Baiti" w:hAnsi="Mongolian Baiti" w:cs="Mongolian Baiti"/>
                <w:sz w:val="16"/>
                <w:szCs w:val="16"/>
                <w:lang w:val="en-GB"/>
              </w:rPr>
              <w:instrText>ADDIN CSL_CITATION {"citationItems":[{"id":"ITEM-1","itemData":{"DOI":"10.1378/chest.128.4.2490","ISSN":"00123692","PMID":"16236914","abstract":"Background: The added value of 18F-fluorodeoxyglucose (FDG) positron emission tomography (PET) scanning as a function of pretest risk assessment in indeterminate pulmonary nodules is still unclear. Objective: To obtain an external validation of the prediction model according to Swensen and colleagues, and to quantify the potential added value of FDC-PET scanning as a function of its operating characteristics in relation to this prediction model, in a population of patients with radiologically indeterminate pulmonary nodules. Design, setting, and patients: Between August 1997 and March 2001, all patients with an indeterminate solitary pulmonary nodule who had been referred for FDG-PET scanning were retrospectively identified from the database of the PET center at the VU University Medical Center. Results: One hundred six patients were eligible for the study, and 61 patients (57%) proved to have malignant nodules. The goodness-of-fit statistic for the model (according to Swensen) indicated that the observed proportion of malignancies did not differ from the predicted proportion (p = 0.46). PET scan results, which were classified using the 4-point intensity scale reading, yielded an area under the evaluated receiver operating characteristic curve of 0.88 (95% confidence interval [CI], 0.77 to 0.91). The estimated difference of 0.095 (95% CI, -0.003 to 0.193) between the PET scan results classified using the 4-point intensity scale reading and the area under the curve (AUC) from the Swensen prediction was not significant (p = 0.058). The PET scan results, when added to the predicted probability calculated by the Swensen model, improves the AUC by 13.6% (95% CI, 6 to 21; p = 0.0003). Conclusion: The clinical prediction model of Swensen et al was proven to have external validity. However, especially in the lower range of its estimates, the model may underestimate the actual probability of malignancy. The combination of visually read FDG-PET scans and pretest factors appears to yield the best accuracy.","author":[{"dropping-particle":"","family":"Herder","given":"Gerarda J.","non-dropping-particle":"","parse-names":false,"suffix":""},{"dropping-particle":"","family":"Tinteren","given":"Harm","non-dropping-particle":"Van","parse-names":false,"suffix":""},{"dropping-particle":"","family":"Golding","given":"Richard P.","non-dropping-particle":"","parse-names":false,"suffix":""},{"dropping-particle":"","family":"Kostense","given":"Piet J.","non-dropping-particle":"","parse-names":false,"suffix":""},{"dropping-particle":"","family":"Comans","given":"Emile F.","non-dropping-particle":"","parse-names":false,"suffix":""},{"dropping-particle":"","family":"Smit","given":"Egbert F.","non-dropping-particle":"","parse-names":false,"suffix":""},{"dropping-particle":"","family":"Hoekstra","given":"Otto S.","non-dropping-particle":"","parse-names":false,"suffix":""}],"container-title":"Chest","id":"ITEM-1","issue":"4","issued":{"date-parts":[["2005"]]},"page":"2490-2496","publisher":"The American College of Chest Physicians","title":"Clinical prediction model to characterize pulmonary nodules: Validation and added value of18F-fluorodeoxyglucose positron emission tomography","type":"article-journal","volume":"128"},"uris":["http://www.mendeley.com/documents/?uuid=e82b70c9-55a9-4897-bd29-02fd962be524"]}],"mendeley":{"formattedCitation":"(43)","plainTextFormattedCitation":"(43)","previouslyFormattedCitation":"&lt;sup&gt;43&lt;/sup&gt;"},"properties":{"noteIndex":0},"schema":"https://github.com/citation-style-language/schema/raw/master/csl-citation.json"}</w:instrText>
            </w:r>
            <w:r>
              <w:rPr>
                <w:rFonts w:ascii="Mongolian Baiti" w:hAnsi="Mongolian Baiti" w:cs="Mongolian Baiti"/>
                <w:sz w:val="16"/>
                <w:szCs w:val="16"/>
                <w:lang w:val="en-GB"/>
              </w:rPr>
              <w:fldChar w:fldCharType="separate"/>
            </w:r>
            <w:r w:rsidRPr="00A0798D">
              <w:rPr>
                <w:rFonts w:ascii="Mongolian Baiti" w:hAnsi="Mongolian Baiti" w:cs="Mongolian Baiti"/>
                <w:noProof/>
                <w:sz w:val="16"/>
                <w:szCs w:val="16"/>
                <w:lang w:val="en-GB"/>
              </w:rPr>
              <w:t>(43)</w:t>
            </w:r>
            <w:r>
              <w:rPr>
                <w:rFonts w:ascii="Mongolian Baiti" w:hAnsi="Mongolian Baiti" w:cs="Mongolian Baiti"/>
                <w:sz w:val="16"/>
                <w:szCs w:val="16"/>
                <w:lang w:val="en-GB"/>
              </w:rPr>
              <w:fldChar w:fldCharType="end"/>
            </w:r>
          </w:p>
        </w:tc>
        <w:tc>
          <w:tcPr>
            <w:tcW w:w="1307" w:type="dxa"/>
            <w:tcBorders>
              <w:bottom w:val="single" w:sz="4" w:space="0" w:color="auto"/>
            </w:tcBorders>
          </w:tcPr>
          <w:p w:rsidR="003F2480" w:rsidRPr="00D02987" w:rsidRDefault="003F2480" w:rsidP="005A57E2">
            <w:pPr>
              <w:jc w:val="both"/>
              <w:rPr>
                <w:rFonts w:ascii="Mongolian Baiti" w:hAnsi="Mongolian Baiti" w:cs="Mongolian Baiti"/>
                <w:sz w:val="16"/>
                <w:szCs w:val="16"/>
                <w:lang w:val="en-GB"/>
              </w:rPr>
            </w:pPr>
            <w:r>
              <w:rPr>
                <w:rFonts w:ascii="Mongolian Baiti" w:hAnsi="Mongolian Baiti" w:cs="Mongolian Baiti"/>
                <w:sz w:val="16"/>
                <w:szCs w:val="16"/>
                <w:lang w:val="en-GB"/>
              </w:rPr>
              <w:t>4</w:t>
            </w:r>
          </w:p>
        </w:tc>
        <w:tc>
          <w:tcPr>
            <w:tcW w:w="1559" w:type="dxa"/>
            <w:tcBorders>
              <w:bottom w:val="single" w:sz="4" w:space="0" w:color="auto"/>
            </w:tcBorders>
          </w:tcPr>
          <w:p w:rsidR="003F2480" w:rsidRPr="00D02987" w:rsidRDefault="003F2480" w:rsidP="005A57E2">
            <w:pPr>
              <w:jc w:val="both"/>
              <w:rPr>
                <w:rFonts w:ascii="Mongolian Baiti" w:hAnsi="Mongolian Baiti" w:cs="Mongolian Baiti"/>
                <w:sz w:val="16"/>
                <w:szCs w:val="16"/>
                <w:lang w:val="en-GB"/>
              </w:rPr>
            </w:pPr>
            <w:r>
              <w:rPr>
                <w:rFonts w:ascii="Mongolian Baiti" w:hAnsi="Mongolian Baiti" w:cs="Mongolian Baiti"/>
                <w:sz w:val="16"/>
                <w:szCs w:val="16"/>
                <w:lang w:val="en-GB"/>
              </w:rPr>
              <w:t>Dutch</w:t>
            </w:r>
            <w:r w:rsidRPr="001C2F45">
              <w:rPr>
                <w:rFonts w:ascii="Mongolian Baiti" w:hAnsi="Mongolian Baiti" w:cs="Mongolian Baiti"/>
                <w:sz w:val="16"/>
                <w:szCs w:val="16"/>
                <w:lang w:val="en-GB"/>
              </w:rPr>
              <w:t xml:space="preserve"> patients with an indeterminate SPN, which had been detected during normal clinical work </w:t>
            </w:r>
            <w:r>
              <w:rPr>
                <w:rFonts w:ascii="Mongolian Baiti" w:hAnsi="Mongolian Baiti" w:cs="Mongolian Baiti"/>
                <w:sz w:val="16"/>
                <w:szCs w:val="16"/>
                <w:lang w:val="en-GB"/>
              </w:rPr>
              <w:t>,</w:t>
            </w:r>
            <w:r w:rsidRPr="001C2F45">
              <w:rPr>
                <w:rFonts w:ascii="Mongolian Baiti" w:hAnsi="Mongolian Baiti" w:cs="Mongolian Baiti"/>
                <w:sz w:val="16"/>
                <w:szCs w:val="16"/>
                <w:lang w:val="en-GB"/>
              </w:rPr>
              <w:t>who had been referred for FDG-PET</w:t>
            </w:r>
            <w:r>
              <w:rPr>
                <w:rFonts w:ascii="Mongolian Baiti" w:hAnsi="Mongolian Baiti" w:cs="Mongolian Baiti"/>
                <w:sz w:val="16"/>
                <w:szCs w:val="16"/>
                <w:lang w:val="en-GB"/>
              </w:rPr>
              <w:t>-CT.</w:t>
            </w:r>
          </w:p>
        </w:tc>
        <w:tc>
          <w:tcPr>
            <w:tcW w:w="1276" w:type="dxa"/>
            <w:tcBorders>
              <w:bottom w:val="single" w:sz="4" w:space="0" w:color="auto"/>
            </w:tcBorders>
          </w:tcPr>
          <w:p w:rsidR="003F2480" w:rsidRPr="00D02987" w:rsidRDefault="003F2480" w:rsidP="005A57E2">
            <w:pPr>
              <w:jc w:val="both"/>
              <w:rPr>
                <w:rFonts w:ascii="Mongolian Baiti" w:hAnsi="Mongolian Baiti" w:cs="Mongolian Baiti"/>
                <w:sz w:val="16"/>
                <w:szCs w:val="16"/>
                <w:lang w:val="en-GB"/>
              </w:rPr>
            </w:pPr>
            <w:r>
              <w:rPr>
                <w:rFonts w:ascii="Mongolian Baiti" w:hAnsi="Mongolian Baiti" w:cs="Mongolian Baiti"/>
                <w:sz w:val="16"/>
                <w:szCs w:val="16"/>
                <w:lang w:val="en-GB"/>
              </w:rPr>
              <w:t>57.5%</w:t>
            </w:r>
          </w:p>
        </w:tc>
        <w:tc>
          <w:tcPr>
            <w:tcW w:w="1276" w:type="dxa"/>
            <w:tcBorders>
              <w:bottom w:val="single" w:sz="4" w:space="0" w:color="auto"/>
            </w:tcBorders>
          </w:tcPr>
          <w:p w:rsidR="003F2480" w:rsidRPr="00D02987" w:rsidRDefault="003F2480" w:rsidP="005A57E2">
            <w:pPr>
              <w:jc w:val="both"/>
              <w:rPr>
                <w:rFonts w:ascii="Mongolian Baiti" w:hAnsi="Mongolian Baiti" w:cs="Mongolian Baiti"/>
                <w:sz w:val="16"/>
                <w:szCs w:val="16"/>
                <w:lang w:val="en-GB"/>
              </w:rPr>
            </w:pPr>
            <w:r>
              <w:rPr>
                <w:rFonts w:ascii="Mongolian Baiti" w:hAnsi="Mongolian Baiti" w:cs="Mongolian Baiti"/>
                <w:sz w:val="16"/>
                <w:szCs w:val="16"/>
                <w:lang w:val="en-GB"/>
              </w:rPr>
              <w:t>74.5%</w:t>
            </w:r>
          </w:p>
        </w:tc>
        <w:tc>
          <w:tcPr>
            <w:tcW w:w="1417" w:type="dxa"/>
            <w:tcBorders>
              <w:bottom w:val="single" w:sz="4" w:space="0" w:color="auto"/>
            </w:tcBorders>
          </w:tcPr>
          <w:p w:rsidR="003F2480" w:rsidRPr="00D02987" w:rsidRDefault="003F2480" w:rsidP="005A57E2">
            <w:pPr>
              <w:jc w:val="both"/>
              <w:rPr>
                <w:rFonts w:ascii="Mongolian Baiti" w:hAnsi="Mongolian Baiti" w:cs="Mongolian Baiti"/>
                <w:sz w:val="16"/>
                <w:szCs w:val="16"/>
                <w:lang w:val="en-GB"/>
              </w:rPr>
            </w:pPr>
            <w:r>
              <w:rPr>
                <w:rFonts w:ascii="Mongolian Baiti" w:hAnsi="Mongolian Baiti" w:cs="Mongolian Baiti"/>
                <w:sz w:val="16"/>
                <w:szCs w:val="16"/>
                <w:lang w:val="en-GB"/>
              </w:rPr>
              <w:t>106</w:t>
            </w:r>
          </w:p>
        </w:tc>
        <w:tc>
          <w:tcPr>
            <w:tcW w:w="1701" w:type="dxa"/>
            <w:tcBorders>
              <w:bottom w:val="single" w:sz="4" w:space="0" w:color="auto"/>
            </w:tcBorders>
          </w:tcPr>
          <w:p w:rsidR="003F2480" w:rsidRPr="00D02987" w:rsidRDefault="003F2480" w:rsidP="005A57E2">
            <w:pPr>
              <w:rPr>
                <w:rFonts w:ascii="Mongolian Baiti" w:hAnsi="Mongolian Baiti" w:cs="Mongolian Baiti"/>
                <w:sz w:val="18"/>
                <w:szCs w:val="18"/>
                <w:lang w:val="en-GB"/>
              </w:rPr>
            </w:pPr>
            <w:proofErr w:type="spellStart"/>
            <w:r>
              <w:rPr>
                <w:rFonts w:ascii="Mongolian Baiti" w:hAnsi="Mongolian Baiti" w:cs="Mongolian Baiti"/>
                <w:sz w:val="18"/>
                <w:szCs w:val="18"/>
                <w:lang w:val="en-GB"/>
              </w:rPr>
              <w:t>Swensen</w:t>
            </w:r>
            <w:proofErr w:type="spellEnd"/>
            <w:r>
              <w:rPr>
                <w:rFonts w:ascii="Mongolian Baiti" w:hAnsi="Mongolian Baiti" w:cs="Mongolian Baiti"/>
                <w:sz w:val="18"/>
                <w:szCs w:val="18"/>
                <w:lang w:val="en-GB"/>
              </w:rPr>
              <w:t xml:space="preserve"> et al.</w:t>
            </w:r>
          </w:p>
        </w:tc>
        <w:tc>
          <w:tcPr>
            <w:tcW w:w="993" w:type="dxa"/>
            <w:tcBorders>
              <w:bottom w:val="single" w:sz="4" w:space="0" w:color="auto"/>
            </w:tcBorders>
          </w:tcPr>
          <w:p w:rsidR="003F2480" w:rsidRPr="00D02987" w:rsidRDefault="003F2480" w:rsidP="005A57E2">
            <w:pPr>
              <w:jc w:val="both"/>
              <w:rPr>
                <w:rFonts w:ascii="Mongolian Baiti" w:hAnsi="Mongolian Baiti" w:cs="Mongolian Baiti"/>
                <w:sz w:val="18"/>
                <w:szCs w:val="18"/>
                <w:lang w:val="en-GB"/>
              </w:rPr>
            </w:pPr>
            <w:r w:rsidRPr="00023453">
              <w:rPr>
                <w:rFonts w:ascii="Mongolian Baiti" w:hAnsi="Mongolian Baiti" w:cs="Mongolian Baiti"/>
                <w:sz w:val="18"/>
                <w:szCs w:val="18"/>
                <w:lang w:val="en-GB"/>
              </w:rPr>
              <w:t>0.79</w:t>
            </w:r>
          </w:p>
        </w:tc>
        <w:tc>
          <w:tcPr>
            <w:tcW w:w="2409" w:type="dxa"/>
            <w:tcBorders>
              <w:bottom w:val="single" w:sz="4" w:space="0" w:color="auto"/>
            </w:tcBorders>
          </w:tcPr>
          <w:p w:rsidR="003F2480" w:rsidRPr="00D02987" w:rsidRDefault="003F2480" w:rsidP="005A57E2">
            <w:pPr>
              <w:rPr>
                <w:rFonts w:ascii="Mongolian Baiti" w:hAnsi="Mongolian Baiti" w:cs="Mongolian Baiti"/>
                <w:sz w:val="18"/>
                <w:szCs w:val="18"/>
                <w:lang w:val="en-GB"/>
              </w:rPr>
            </w:pPr>
            <w:r>
              <w:rPr>
                <w:rFonts w:ascii="Mongolian Baiti" w:hAnsi="Mongolian Baiti" w:cs="Mongolian Baiti"/>
                <w:sz w:val="18"/>
                <w:szCs w:val="18"/>
                <w:lang w:val="en-GB"/>
              </w:rPr>
              <w:t>This</w:t>
            </w:r>
            <w:r w:rsidRPr="002A6E84">
              <w:rPr>
                <w:rFonts w:ascii="Mongolian Baiti" w:hAnsi="Mongolian Baiti" w:cs="Mongolian Baiti"/>
                <w:sz w:val="18"/>
                <w:szCs w:val="18"/>
                <w:lang w:val="en-GB"/>
              </w:rPr>
              <w:t xml:space="preserve"> model tended to underestimate the probability of malignancy, particularly at lower probabilities</w:t>
            </w:r>
            <w:r>
              <w:rPr>
                <w:rFonts w:ascii="Mongolian Baiti" w:hAnsi="Mongolian Baiti" w:cs="Mongolian Baiti"/>
                <w:sz w:val="18"/>
                <w:szCs w:val="18"/>
                <w:lang w:val="en-GB"/>
              </w:rPr>
              <w:t>.</w:t>
            </w:r>
          </w:p>
        </w:tc>
      </w:tr>
    </w:tbl>
    <w:p w:rsidR="003F2480" w:rsidRPr="00D02987" w:rsidRDefault="003F2480" w:rsidP="003F2480">
      <w:pPr>
        <w:jc w:val="both"/>
        <w:rPr>
          <w:rFonts w:ascii="Mongolian Baiti" w:hAnsi="Mongolian Baiti" w:cs="Mongolian Baiti"/>
          <w:sz w:val="18"/>
          <w:szCs w:val="18"/>
          <w:lang w:val="en-GB"/>
        </w:rPr>
      </w:pPr>
      <w:r w:rsidRPr="00B77CB4">
        <w:rPr>
          <w:rFonts w:ascii="Mongolian Baiti" w:hAnsi="Mongolian Baiti" w:cs="Mongolian Baiti"/>
          <w:b/>
          <w:bCs/>
          <w:sz w:val="18"/>
          <w:szCs w:val="18"/>
          <w:lang w:val="en-GB"/>
        </w:rPr>
        <w:t>Abbreviations</w:t>
      </w:r>
      <w:r>
        <w:rPr>
          <w:rFonts w:ascii="Mongolian Baiti" w:hAnsi="Mongolian Baiti" w:cs="Mongolian Baiti"/>
          <w:sz w:val="18"/>
          <w:szCs w:val="18"/>
          <w:lang w:val="en-GB"/>
        </w:rPr>
        <w:t xml:space="preserve">: </w:t>
      </w:r>
      <w:r w:rsidRPr="00D02987">
        <w:rPr>
          <w:rFonts w:ascii="Mongolian Baiti" w:hAnsi="Mongolian Baiti" w:cs="Mongolian Baiti"/>
          <w:sz w:val="18"/>
          <w:szCs w:val="18"/>
          <w:lang w:val="en-GB"/>
        </w:rPr>
        <w:t>SPN</w:t>
      </w:r>
      <w:r>
        <w:rPr>
          <w:rFonts w:ascii="Mongolian Baiti" w:hAnsi="Mongolian Baiti" w:cs="Mongolian Baiti"/>
          <w:sz w:val="18"/>
          <w:szCs w:val="18"/>
          <w:lang w:val="en-GB"/>
        </w:rPr>
        <w:t>,</w:t>
      </w:r>
      <w:r w:rsidRPr="00D02987">
        <w:rPr>
          <w:rFonts w:ascii="Mongolian Baiti" w:hAnsi="Mongolian Baiti" w:cs="Mongolian Baiti"/>
          <w:sz w:val="18"/>
          <w:szCs w:val="18"/>
          <w:lang w:val="en-GB"/>
        </w:rPr>
        <w:t xml:space="preserve"> Solitary Pulmonary Nodule; PN</w:t>
      </w:r>
      <w:r>
        <w:rPr>
          <w:rFonts w:ascii="Mongolian Baiti" w:hAnsi="Mongolian Baiti" w:cs="Mongolian Baiti"/>
          <w:sz w:val="18"/>
          <w:szCs w:val="18"/>
          <w:lang w:val="en-GB"/>
        </w:rPr>
        <w:t>,</w:t>
      </w:r>
      <w:r w:rsidRPr="00D02987">
        <w:rPr>
          <w:rFonts w:ascii="Mongolian Baiti" w:hAnsi="Mongolian Baiti" w:cs="Mongolian Baiti"/>
          <w:sz w:val="18"/>
          <w:szCs w:val="18"/>
          <w:lang w:val="en-GB"/>
        </w:rPr>
        <w:t xml:space="preserve"> Pulmonary Nodule; UK</w:t>
      </w:r>
      <w:r>
        <w:rPr>
          <w:rFonts w:ascii="Mongolian Baiti" w:hAnsi="Mongolian Baiti" w:cs="Mongolian Baiti"/>
          <w:sz w:val="18"/>
          <w:szCs w:val="18"/>
          <w:lang w:val="en-GB"/>
        </w:rPr>
        <w:t xml:space="preserve">, </w:t>
      </w:r>
      <w:r w:rsidRPr="00D02987">
        <w:rPr>
          <w:rFonts w:ascii="Mongolian Baiti" w:hAnsi="Mongolian Baiti" w:cs="Mongolian Baiti"/>
          <w:sz w:val="18"/>
          <w:szCs w:val="18"/>
          <w:lang w:val="en-GB"/>
        </w:rPr>
        <w:t>United Kingdom; USA</w:t>
      </w:r>
      <w:r>
        <w:rPr>
          <w:rFonts w:ascii="Mongolian Baiti" w:hAnsi="Mongolian Baiti" w:cs="Mongolian Baiti"/>
          <w:sz w:val="18"/>
          <w:szCs w:val="18"/>
          <w:lang w:val="en-GB"/>
        </w:rPr>
        <w:t xml:space="preserve">, </w:t>
      </w:r>
      <w:r w:rsidRPr="00D02987">
        <w:rPr>
          <w:rFonts w:ascii="Mongolian Baiti" w:hAnsi="Mongolian Baiti" w:cs="Mongolian Baiti"/>
          <w:sz w:val="18"/>
          <w:szCs w:val="18"/>
          <w:lang w:val="en-GB"/>
        </w:rPr>
        <w:t>United States of America; CT</w:t>
      </w:r>
      <w:r>
        <w:rPr>
          <w:rFonts w:ascii="Mongolian Baiti" w:hAnsi="Mongolian Baiti" w:cs="Mongolian Baiti"/>
          <w:sz w:val="18"/>
          <w:szCs w:val="18"/>
          <w:lang w:val="en-GB"/>
        </w:rPr>
        <w:t xml:space="preserve">, </w:t>
      </w:r>
      <w:r w:rsidRPr="00D02987">
        <w:rPr>
          <w:rFonts w:ascii="Mongolian Baiti" w:hAnsi="Mongolian Baiti" w:cs="Mongolian Baiti"/>
          <w:sz w:val="18"/>
          <w:szCs w:val="18"/>
          <w:lang w:val="en-GB"/>
        </w:rPr>
        <w:t>Computed Tomography;</w:t>
      </w:r>
      <w:r w:rsidRPr="001C2F45">
        <w:rPr>
          <w:rFonts w:ascii="Mongolian Baiti" w:hAnsi="Mongolian Baiti" w:cs="Mongolian Baiti"/>
          <w:sz w:val="16"/>
          <w:szCs w:val="16"/>
          <w:lang w:val="en-GB"/>
        </w:rPr>
        <w:t xml:space="preserve"> FDG-PET</w:t>
      </w:r>
      <w:r>
        <w:rPr>
          <w:rFonts w:ascii="Mongolian Baiti" w:hAnsi="Mongolian Baiti" w:cs="Mongolian Baiti"/>
          <w:sz w:val="16"/>
          <w:szCs w:val="16"/>
          <w:lang w:val="en-GB"/>
        </w:rPr>
        <w:t>,</w:t>
      </w:r>
      <w:r w:rsidRPr="001C2F45">
        <w:rPr>
          <w:rFonts w:ascii="Mongolian Baiti" w:hAnsi="Mongolian Baiti" w:cs="Mongolian Baiti"/>
          <w:sz w:val="16"/>
          <w:szCs w:val="16"/>
          <w:lang w:val="en-GB"/>
        </w:rPr>
        <w:t xml:space="preserve"> </w:t>
      </w:r>
      <w:r>
        <w:rPr>
          <w:rFonts w:ascii="Mongolian Baiti" w:hAnsi="Mongolian Baiti" w:cs="Mongolian Baiti"/>
          <w:sz w:val="16"/>
          <w:szCs w:val="16"/>
          <w:lang w:val="en-GB"/>
        </w:rPr>
        <w:t xml:space="preserve"> </w:t>
      </w:r>
      <w:r w:rsidRPr="00C31D11">
        <w:rPr>
          <w:rFonts w:ascii="Mongolian Baiti" w:hAnsi="Mongolian Baiti" w:cs="Mongolian Baiti"/>
          <w:sz w:val="16"/>
          <w:szCs w:val="16"/>
          <w:lang w:val="en-GB"/>
        </w:rPr>
        <w:t>F-</w:t>
      </w:r>
      <w:proofErr w:type="spellStart"/>
      <w:r w:rsidRPr="00C31D11">
        <w:rPr>
          <w:rFonts w:ascii="Mongolian Baiti" w:hAnsi="Mongolian Baiti" w:cs="Mongolian Baiti"/>
          <w:sz w:val="16"/>
          <w:szCs w:val="16"/>
          <w:lang w:val="en-GB"/>
        </w:rPr>
        <w:t>fluorodeoxyglucose</w:t>
      </w:r>
      <w:proofErr w:type="spellEnd"/>
      <w:r w:rsidRPr="00C31D11">
        <w:rPr>
          <w:rFonts w:ascii="Mongolian Baiti" w:hAnsi="Mongolian Baiti" w:cs="Mongolian Baiti"/>
          <w:sz w:val="16"/>
          <w:szCs w:val="16"/>
          <w:lang w:val="en-GB"/>
        </w:rPr>
        <w:t>-</w:t>
      </w:r>
      <w:r>
        <w:rPr>
          <w:rFonts w:ascii="Mongolian Baiti" w:hAnsi="Mongolian Baiti" w:cs="Mongolian Baiti"/>
          <w:sz w:val="16"/>
          <w:szCs w:val="16"/>
          <w:lang w:val="en-GB"/>
        </w:rPr>
        <w:t>P</w:t>
      </w:r>
      <w:r w:rsidRPr="00C31D11">
        <w:rPr>
          <w:rFonts w:ascii="Mongolian Baiti" w:hAnsi="Mongolian Baiti" w:cs="Mongolian Baiti"/>
          <w:sz w:val="16"/>
          <w:szCs w:val="16"/>
          <w:lang w:val="en-GB"/>
        </w:rPr>
        <w:t xml:space="preserve">ositron </w:t>
      </w:r>
      <w:r>
        <w:rPr>
          <w:rFonts w:ascii="Mongolian Baiti" w:hAnsi="Mongolian Baiti" w:cs="Mongolian Baiti"/>
          <w:sz w:val="16"/>
          <w:szCs w:val="16"/>
          <w:lang w:val="en-GB"/>
        </w:rPr>
        <w:t>E</w:t>
      </w:r>
      <w:r w:rsidRPr="00C31D11">
        <w:rPr>
          <w:rFonts w:ascii="Mongolian Baiti" w:hAnsi="Mongolian Baiti" w:cs="Mongolian Baiti"/>
          <w:sz w:val="16"/>
          <w:szCs w:val="16"/>
          <w:lang w:val="en-GB"/>
        </w:rPr>
        <w:t xml:space="preserve">mission </w:t>
      </w:r>
      <w:r>
        <w:rPr>
          <w:rFonts w:ascii="Mongolian Baiti" w:hAnsi="Mongolian Baiti" w:cs="Mongolian Baiti"/>
          <w:sz w:val="16"/>
          <w:szCs w:val="16"/>
          <w:lang w:val="en-GB"/>
        </w:rPr>
        <w:t>T</w:t>
      </w:r>
      <w:r w:rsidRPr="00C31D11">
        <w:rPr>
          <w:rFonts w:ascii="Mongolian Baiti" w:hAnsi="Mongolian Baiti" w:cs="Mongolian Baiti"/>
          <w:sz w:val="16"/>
          <w:szCs w:val="16"/>
          <w:lang w:val="en-GB"/>
        </w:rPr>
        <w:t>omography/</w:t>
      </w:r>
      <w:r>
        <w:rPr>
          <w:rFonts w:ascii="Mongolian Baiti" w:hAnsi="Mongolian Baiti" w:cs="Mongolian Baiti"/>
          <w:sz w:val="16"/>
          <w:szCs w:val="16"/>
          <w:lang w:val="en-GB"/>
        </w:rPr>
        <w:t>C</w:t>
      </w:r>
      <w:r w:rsidRPr="00C31D11">
        <w:rPr>
          <w:rFonts w:ascii="Mongolian Baiti" w:hAnsi="Mongolian Baiti" w:cs="Mongolian Baiti"/>
          <w:sz w:val="16"/>
          <w:szCs w:val="16"/>
          <w:lang w:val="en-GB"/>
        </w:rPr>
        <w:t xml:space="preserve">omputed </w:t>
      </w:r>
      <w:r>
        <w:rPr>
          <w:rFonts w:ascii="Mongolian Baiti" w:hAnsi="Mongolian Baiti" w:cs="Mongolian Baiti"/>
          <w:sz w:val="16"/>
          <w:szCs w:val="16"/>
          <w:lang w:val="en-GB"/>
        </w:rPr>
        <w:t>T</w:t>
      </w:r>
      <w:r w:rsidRPr="00C31D11">
        <w:rPr>
          <w:rFonts w:ascii="Mongolian Baiti" w:hAnsi="Mongolian Baiti" w:cs="Mongolian Baiti"/>
          <w:sz w:val="16"/>
          <w:szCs w:val="16"/>
          <w:lang w:val="en-GB"/>
        </w:rPr>
        <w:t>omography</w:t>
      </w:r>
      <w:r>
        <w:rPr>
          <w:rFonts w:ascii="Mongolian Baiti" w:hAnsi="Mongolian Baiti" w:cs="Mongolian Baiti"/>
          <w:sz w:val="16"/>
          <w:szCs w:val="16"/>
          <w:lang w:val="en-GB"/>
        </w:rPr>
        <w:t xml:space="preserve">; </w:t>
      </w:r>
      <w:r w:rsidRPr="00D02987">
        <w:rPr>
          <w:rFonts w:ascii="Mongolian Baiti" w:hAnsi="Mongolian Baiti" w:cs="Mongolian Baiti"/>
          <w:sz w:val="18"/>
          <w:szCs w:val="18"/>
          <w:lang w:val="en-GB"/>
        </w:rPr>
        <w:t xml:space="preserve"> NR</w:t>
      </w:r>
      <w:r>
        <w:rPr>
          <w:rFonts w:ascii="Mongolian Baiti" w:hAnsi="Mongolian Baiti" w:cs="Mongolian Baiti"/>
          <w:sz w:val="18"/>
          <w:szCs w:val="18"/>
          <w:lang w:val="en-GB"/>
        </w:rPr>
        <w:t xml:space="preserve">, </w:t>
      </w:r>
      <w:r w:rsidRPr="00D02987">
        <w:rPr>
          <w:rFonts w:ascii="Mongolian Baiti" w:hAnsi="Mongolian Baiti" w:cs="Mongolian Baiti"/>
          <w:sz w:val="18"/>
          <w:szCs w:val="18"/>
          <w:lang w:val="en-GB"/>
        </w:rPr>
        <w:t xml:space="preserve">Not </w:t>
      </w:r>
      <w:r>
        <w:rPr>
          <w:rFonts w:ascii="Mongolian Baiti" w:hAnsi="Mongolian Baiti" w:cs="Mongolian Baiti"/>
          <w:sz w:val="18"/>
          <w:szCs w:val="18"/>
          <w:lang w:val="en-GB"/>
        </w:rPr>
        <w:t>R</w:t>
      </w:r>
      <w:r w:rsidRPr="00D02987">
        <w:rPr>
          <w:rFonts w:ascii="Mongolian Baiti" w:hAnsi="Mongolian Baiti" w:cs="Mongolian Baiti"/>
          <w:sz w:val="18"/>
          <w:szCs w:val="18"/>
          <w:lang w:val="en-GB"/>
        </w:rPr>
        <w:t>eported; TRIPOD</w:t>
      </w:r>
      <w:r>
        <w:rPr>
          <w:rFonts w:ascii="Mongolian Baiti" w:hAnsi="Mongolian Baiti" w:cs="Mongolian Baiti"/>
          <w:sz w:val="18"/>
          <w:szCs w:val="18"/>
          <w:lang w:val="en-GB"/>
        </w:rPr>
        <w:t>,</w:t>
      </w:r>
      <w:r w:rsidRPr="00D02987">
        <w:rPr>
          <w:rFonts w:ascii="Mongolian Baiti" w:hAnsi="Mongolian Baiti" w:cs="Mongolian Baiti"/>
          <w:sz w:val="18"/>
          <w:szCs w:val="18"/>
          <w:lang w:val="en-GB"/>
        </w:rPr>
        <w:t xml:space="preserve"> Transparent Reporting of a multivariable Prediction model for Individual Prognosis Or Diagnosis</w:t>
      </w:r>
      <w:r w:rsidRPr="00D02987">
        <w:rPr>
          <w:rFonts w:ascii="Mongolian Baiti" w:hAnsi="Mongolian Baiti" w:cs="Mongolian Baiti"/>
          <w:sz w:val="14"/>
          <w:szCs w:val="14"/>
          <w:lang w:val="en-GB"/>
        </w:rPr>
        <w:t xml:space="preserve"> </w:t>
      </w:r>
      <w:r w:rsidRPr="00D02987">
        <w:rPr>
          <w:rFonts w:ascii="Mongolian Baiti" w:hAnsi="Mongolian Baiti" w:cs="Mongolian Baiti"/>
          <w:sz w:val="18"/>
          <w:szCs w:val="18"/>
          <w:lang w:val="en-GB"/>
        </w:rPr>
        <w:t>; AUC</w:t>
      </w:r>
      <w:r>
        <w:rPr>
          <w:rFonts w:ascii="Mongolian Baiti" w:hAnsi="Mongolian Baiti" w:cs="Mongolian Baiti"/>
          <w:sz w:val="18"/>
          <w:szCs w:val="18"/>
          <w:lang w:val="en-GB"/>
        </w:rPr>
        <w:t>,</w:t>
      </w:r>
      <w:r w:rsidRPr="00D02987">
        <w:rPr>
          <w:rFonts w:ascii="Mongolian Baiti" w:hAnsi="Mongolian Baiti" w:cs="Mongolian Baiti"/>
          <w:sz w:val="18"/>
          <w:szCs w:val="18"/>
          <w:lang w:val="en-GB"/>
        </w:rPr>
        <w:t xml:space="preserve"> the Area Under the Curve.</w:t>
      </w:r>
    </w:p>
    <w:p w:rsidR="003F2480" w:rsidRPr="00D02987" w:rsidRDefault="003F2480" w:rsidP="003F2480">
      <w:pPr>
        <w:jc w:val="both"/>
        <w:rPr>
          <w:rFonts w:ascii="Mongolian Baiti" w:hAnsi="Mongolian Baiti" w:cs="Mongolian Baiti"/>
          <w:sz w:val="18"/>
          <w:szCs w:val="18"/>
          <w:lang w:val="en-GB"/>
        </w:rPr>
      </w:pPr>
      <w:r w:rsidRPr="00B77CB4">
        <w:rPr>
          <w:rFonts w:ascii="Mongolian Baiti" w:hAnsi="Mongolian Baiti" w:cs="Mongolian Baiti"/>
          <w:b/>
          <w:bCs/>
          <w:sz w:val="18"/>
          <w:szCs w:val="18"/>
          <w:lang w:val="en-GB"/>
        </w:rPr>
        <w:t>Notes</w:t>
      </w:r>
      <w:r>
        <w:rPr>
          <w:rFonts w:ascii="Mongolian Baiti" w:hAnsi="Mongolian Baiti" w:cs="Mongolian Baiti"/>
          <w:sz w:val="18"/>
          <w:szCs w:val="18"/>
          <w:lang w:val="en-GB"/>
        </w:rPr>
        <w:t xml:space="preserve">: </w:t>
      </w:r>
      <w:r w:rsidRPr="00D02987">
        <w:rPr>
          <w:rFonts w:ascii="Mongolian Baiti" w:hAnsi="Mongolian Baiti" w:cs="Mongolian Baiti"/>
          <w:sz w:val="18"/>
          <w:szCs w:val="18"/>
          <w:vertAlign w:val="superscript"/>
          <w:lang w:val="en-GB"/>
        </w:rPr>
        <w:t>1</w:t>
      </w:r>
      <w:r w:rsidRPr="00D02987">
        <w:rPr>
          <w:rFonts w:ascii="Mongolian Baiti" w:hAnsi="Mongolian Baiti" w:cs="Mongolian Baiti"/>
          <w:sz w:val="18"/>
          <w:szCs w:val="18"/>
          <w:lang w:val="en-GB"/>
        </w:rPr>
        <w:t>Types of prediction models by TRIPOD statement:</w:t>
      </w:r>
      <w:r w:rsidRPr="00D02987">
        <w:rPr>
          <w:rFonts w:ascii="Mongolian Baiti" w:hAnsi="Mongolian Baiti" w:cs="Mongolian Baiti"/>
          <w:sz w:val="18"/>
          <w:szCs w:val="18"/>
          <w:vertAlign w:val="superscript"/>
          <w:lang w:val="en-GB"/>
        </w:rPr>
        <w:t xml:space="preserve"> </w:t>
      </w:r>
      <w:r>
        <w:rPr>
          <w:rFonts w:ascii="Mongolian Baiti" w:hAnsi="Mongolian Baiti" w:cs="Mongolian Baiti"/>
          <w:sz w:val="18"/>
          <w:szCs w:val="18"/>
          <w:vertAlign w:val="superscript"/>
          <w:lang w:val="en-GB"/>
        </w:rPr>
        <w:t xml:space="preserve"> </w:t>
      </w:r>
      <w:r w:rsidRPr="00D02987">
        <w:rPr>
          <w:rFonts w:ascii="Mongolian Baiti" w:hAnsi="Mongolian Baiti" w:cs="Mongolian Baiti"/>
          <w:b/>
          <w:bCs/>
          <w:sz w:val="18"/>
          <w:szCs w:val="18"/>
          <w:lang w:val="en-GB"/>
        </w:rPr>
        <w:t>Type 4</w:t>
      </w:r>
      <w:r w:rsidRPr="00D02987">
        <w:rPr>
          <w:rFonts w:ascii="Mongolian Baiti" w:hAnsi="Mongolian Baiti" w:cs="Mongolian Baiti"/>
          <w:sz w:val="18"/>
          <w:szCs w:val="18"/>
          <w:lang w:val="en-GB"/>
        </w:rPr>
        <w:t xml:space="preserve"> corresponds to an external validation, in a separate population, of a previously constructed model (a new model is not </w:t>
      </w:r>
      <w:proofErr w:type="gramStart"/>
      <w:r w:rsidRPr="00D02987">
        <w:rPr>
          <w:rFonts w:ascii="Mongolian Baiti" w:hAnsi="Mongolian Baiti" w:cs="Mongolian Baiti"/>
          <w:sz w:val="18"/>
          <w:szCs w:val="18"/>
          <w:lang w:val="en-GB"/>
        </w:rPr>
        <w:t>created,</w:t>
      </w:r>
      <w:proofErr w:type="gramEnd"/>
      <w:r w:rsidRPr="00D02987">
        <w:rPr>
          <w:rFonts w:ascii="Mongolian Baiti" w:hAnsi="Mongolian Baiti" w:cs="Mongolian Baiti"/>
          <w:sz w:val="18"/>
          <w:szCs w:val="18"/>
          <w:lang w:val="en-GB"/>
        </w:rPr>
        <w:t xml:space="preserve"> only an external validation of an existing model is performed).</w:t>
      </w:r>
      <w:r>
        <w:rPr>
          <w:rFonts w:ascii="Mongolian Baiti" w:hAnsi="Mongolian Baiti" w:cs="Mongolian Baiti"/>
          <w:sz w:val="18"/>
          <w:szCs w:val="18"/>
          <w:lang w:val="en-GB"/>
        </w:rPr>
        <w:t xml:space="preserve"> </w:t>
      </w:r>
      <w:r w:rsidRPr="00D02987">
        <w:rPr>
          <w:rFonts w:ascii="Mongolian Baiti" w:hAnsi="Mongolian Baiti" w:cs="Mongolian Baiti"/>
          <w:sz w:val="18"/>
          <w:szCs w:val="18"/>
          <w:vertAlign w:val="superscript"/>
          <w:lang w:val="en-GB"/>
        </w:rPr>
        <w:t>2</w:t>
      </w:r>
      <w:r w:rsidRPr="00D02987">
        <w:rPr>
          <w:rFonts w:ascii="Mongolian Baiti" w:hAnsi="Mongolian Baiti" w:cs="Mongolian Baiti"/>
          <w:sz w:val="18"/>
          <w:szCs w:val="18"/>
          <w:lang w:val="en-GB"/>
        </w:rPr>
        <w:t xml:space="preserve">AUC = </w:t>
      </w:r>
      <w:r w:rsidRPr="00D02987">
        <w:rPr>
          <w:rFonts w:ascii="Mongolian Baiti" w:hAnsi="Mongolian Baiti" w:cs="Mongolian Baiti"/>
          <w:b/>
          <w:bCs/>
          <w:sz w:val="18"/>
          <w:szCs w:val="18"/>
          <w:lang w:val="en-GB"/>
        </w:rPr>
        <w:t>Discrimination</w:t>
      </w:r>
      <w:r w:rsidRPr="00D02987">
        <w:rPr>
          <w:rFonts w:ascii="Mongolian Baiti" w:hAnsi="Mongolian Baiti" w:cs="Mongolian Baiti"/>
          <w:sz w:val="18"/>
          <w:szCs w:val="18"/>
          <w:lang w:val="en-GB"/>
        </w:rPr>
        <w:t xml:space="preserve"> is the ability of the model to assign, on pairs of randomly selected subjects, one from the group with malignancy and the other without it, the correct result (greater probability in the group with malignancy). For binary results, the area under the ROC curve (AUC), or C statistic, is the most frequently used discrimination measure.</w:t>
      </w:r>
      <w:r>
        <w:rPr>
          <w:rFonts w:ascii="Mongolian Baiti" w:hAnsi="Mongolian Baiti" w:cs="Mongolian Baiti"/>
          <w:sz w:val="18"/>
          <w:szCs w:val="18"/>
          <w:lang w:val="en-GB"/>
        </w:rPr>
        <w:t xml:space="preserve"> </w:t>
      </w:r>
      <w:r w:rsidRPr="00D02987">
        <w:rPr>
          <w:rFonts w:ascii="Mongolian Baiti" w:hAnsi="Mongolian Baiti" w:cs="Mongolian Baiti"/>
          <w:sz w:val="18"/>
          <w:szCs w:val="18"/>
          <w:vertAlign w:val="superscript"/>
          <w:lang w:val="en-GB"/>
        </w:rPr>
        <w:t xml:space="preserve">3 </w:t>
      </w:r>
      <w:r w:rsidRPr="00D02987">
        <w:rPr>
          <w:rFonts w:ascii="Mongolian Baiti" w:hAnsi="Mongolian Baiti" w:cs="Mongolian Baiti"/>
          <w:b/>
          <w:bCs/>
          <w:sz w:val="18"/>
          <w:szCs w:val="18"/>
          <w:lang w:val="en-GB"/>
        </w:rPr>
        <w:t>Calibration</w:t>
      </w:r>
      <w:r w:rsidRPr="00D02987">
        <w:rPr>
          <w:rFonts w:ascii="Mongolian Baiti" w:hAnsi="Mongolian Baiti" w:cs="Mongolian Baiti"/>
          <w:sz w:val="18"/>
          <w:szCs w:val="18"/>
          <w:lang w:val="en-GB"/>
        </w:rPr>
        <w:t xml:space="preserve"> is a measure that expresses the agreement between the observed results and the model predictions. The most common calibration measurements are the calibration slope and the </w:t>
      </w:r>
      <w:proofErr w:type="spellStart"/>
      <w:r w:rsidRPr="00D02987">
        <w:rPr>
          <w:rFonts w:ascii="Mongolian Baiti" w:hAnsi="Mongolian Baiti" w:cs="Mongolian Baiti"/>
          <w:sz w:val="18"/>
          <w:szCs w:val="18"/>
          <w:lang w:val="en-GB"/>
        </w:rPr>
        <w:t>Hosmer-Lemeshow</w:t>
      </w:r>
      <w:proofErr w:type="spellEnd"/>
      <w:r w:rsidRPr="00D02987">
        <w:rPr>
          <w:rFonts w:ascii="Mongolian Baiti" w:hAnsi="Mongolian Baiti" w:cs="Mongolian Baiti"/>
          <w:sz w:val="18"/>
          <w:szCs w:val="18"/>
          <w:lang w:val="en-GB"/>
        </w:rPr>
        <w:t xml:space="preserve"> test.</w:t>
      </w:r>
    </w:p>
    <w:p w:rsidR="00803159" w:rsidRDefault="00803159">
      <w:bookmarkStart w:id="1" w:name="_GoBack"/>
      <w:bookmarkEnd w:id="1"/>
    </w:p>
    <w:sectPr w:rsidR="00803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480"/>
    <w:rsid w:val="0001521F"/>
    <w:rsid w:val="0004105D"/>
    <w:rsid w:val="00047A90"/>
    <w:rsid w:val="00055BA3"/>
    <w:rsid w:val="00085A62"/>
    <w:rsid w:val="000A58CB"/>
    <w:rsid w:val="000A71C0"/>
    <w:rsid w:val="000C2CF8"/>
    <w:rsid w:val="000C788C"/>
    <w:rsid w:val="000E6BA6"/>
    <w:rsid w:val="000E7412"/>
    <w:rsid w:val="000F384C"/>
    <w:rsid w:val="00106CE2"/>
    <w:rsid w:val="001170A5"/>
    <w:rsid w:val="00175A0C"/>
    <w:rsid w:val="00190204"/>
    <w:rsid w:val="00190760"/>
    <w:rsid w:val="00193E75"/>
    <w:rsid w:val="001B128E"/>
    <w:rsid w:val="001C51ED"/>
    <w:rsid w:val="001C6A5C"/>
    <w:rsid w:val="001F18B6"/>
    <w:rsid w:val="00205521"/>
    <w:rsid w:val="0023033C"/>
    <w:rsid w:val="00230779"/>
    <w:rsid w:val="00233255"/>
    <w:rsid w:val="00233635"/>
    <w:rsid w:val="00236ED1"/>
    <w:rsid w:val="0026106D"/>
    <w:rsid w:val="002742EC"/>
    <w:rsid w:val="00277974"/>
    <w:rsid w:val="00290B9D"/>
    <w:rsid w:val="002C2751"/>
    <w:rsid w:val="002C5A2E"/>
    <w:rsid w:val="002D4A3B"/>
    <w:rsid w:val="002E6C9E"/>
    <w:rsid w:val="00326E47"/>
    <w:rsid w:val="0036050E"/>
    <w:rsid w:val="00366928"/>
    <w:rsid w:val="00366F9B"/>
    <w:rsid w:val="003675A3"/>
    <w:rsid w:val="003768FB"/>
    <w:rsid w:val="003A069B"/>
    <w:rsid w:val="003B4141"/>
    <w:rsid w:val="003C3726"/>
    <w:rsid w:val="003D69AF"/>
    <w:rsid w:val="003E4CD8"/>
    <w:rsid w:val="003E61FC"/>
    <w:rsid w:val="003F1A70"/>
    <w:rsid w:val="003F2480"/>
    <w:rsid w:val="00443610"/>
    <w:rsid w:val="00444D47"/>
    <w:rsid w:val="00473592"/>
    <w:rsid w:val="00475155"/>
    <w:rsid w:val="00477D31"/>
    <w:rsid w:val="004874A5"/>
    <w:rsid w:val="00491645"/>
    <w:rsid w:val="00494054"/>
    <w:rsid w:val="00494B84"/>
    <w:rsid w:val="004A35CC"/>
    <w:rsid w:val="004C6A83"/>
    <w:rsid w:val="004F4C40"/>
    <w:rsid w:val="00550441"/>
    <w:rsid w:val="00553068"/>
    <w:rsid w:val="005573B1"/>
    <w:rsid w:val="00570AE7"/>
    <w:rsid w:val="005868CC"/>
    <w:rsid w:val="005977E9"/>
    <w:rsid w:val="005A4B35"/>
    <w:rsid w:val="005C1DF4"/>
    <w:rsid w:val="005C2A63"/>
    <w:rsid w:val="005E2C90"/>
    <w:rsid w:val="005F671C"/>
    <w:rsid w:val="006051F8"/>
    <w:rsid w:val="00606F07"/>
    <w:rsid w:val="00614534"/>
    <w:rsid w:val="006153DA"/>
    <w:rsid w:val="00624290"/>
    <w:rsid w:val="006324B1"/>
    <w:rsid w:val="00636D56"/>
    <w:rsid w:val="00642691"/>
    <w:rsid w:val="00675C8B"/>
    <w:rsid w:val="006C28E5"/>
    <w:rsid w:val="006F2BF9"/>
    <w:rsid w:val="006F499D"/>
    <w:rsid w:val="006F7530"/>
    <w:rsid w:val="0070033E"/>
    <w:rsid w:val="0070300B"/>
    <w:rsid w:val="00715E10"/>
    <w:rsid w:val="00734827"/>
    <w:rsid w:val="00751F65"/>
    <w:rsid w:val="00755CD3"/>
    <w:rsid w:val="00765F15"/>
    <w:rsid w:val="007C29A6"/>
    <w:rsid w:val="007C2CE2"/>
    <w:rsid w:val="007C527E"/>
    <w:rsid w:val="007E0C70"/>
    <w:rsid w:val="007E5A6D"/>
    <w:rsid w:val="007E5CDD"/>
    <w:rsid w:val="007F63C0"/>
    <w:rsid w:val="00803159"/>
    <w:rsid w:val="008042F4"/>
    <w:rsid w:val="00833CB2"/>
    <w:rsid w:val="00867357"/>
    <w:rsid w:val="008839C7"/>
    <w:rsid w:val="00887964"/>
    <w:rsid w:val="008A293C"/>
    <w:rsid w:val="008C6A74"/>
    <w:rsid w:val="008E4A26"/>
    <w:rsid w:val="008E67DE"/>
    <w:rsid w:val="00910C29"/>
    <w:rsid w:val="009259DF"/>
    <w:rsid w:val="0093284B"/>
    <w:rsid w:val="00941833"/>
    <w:rsid w:val="0097249B"/>
    <w:rsid w:val="00972C57"/>
    <w:rsid w:val="009760CA"/>
    <w:rsid w:val="00981A13"/>
    <w:rsid w:val="009A22CE"/>
    <w:rsid w:val="009B4B17"/>
    <w:rsid w:val="009C4449"/>
    <w:rsid w:val="009C75B0"/>
    <w:rsid w:val="009D0E96"/>
    <w:rsid w:val="00A11095"/>
    <w:rsid w:val="00A40935"/>
    <w:rsid w:val="00A541E4"/>
    <w:rsid w:val="00A76E68"/>
    <w:rsid w:val="00A7705B"/>
    <w:rsid w:val="00AA7576"/>
    <w:rsid w:val="00AD5B1D"/>
    <w:rsid w:val="00AF0CAD"/>
    <w:rsid w:val="00AF518F"/>
    <w:rsid w:val="00B209FF"/>
    <w:rsid w:val="00B224C3"/>
    <w:rsid w:val="00B26A2B"/>
    <w:rsid w:val="00B46C42"/>
    <w:rsid w:val="00B60FF1"/>
    <w:rsid w:val="00B63EB4"/>
    <w:rsid w:val="00B806FA"/>
    <w:rsid w:val="00B81FCE"/>
    <w:rsid w:val="00BB0479"/>
    <w:rsid w:val="00BB6833"/>
    <w:rsid w:val="00BB7A5C"/>
    <w:rsid w:val="00BC4EF3"/>
    <w:rsid w:val="00BC6960"/>
    <w:rsid w:val="00BD5E92"/>
    <w:rsid w:val="00BF080D"/>
    <w:rsid w:val="00C06D24"/>
    <w:rsid w:val="00C07CA6"/>
    <w:rsid w:val="00C22B40"/>
    <w:rsid w:val="00C238D6"/>
    <w:rsid w:val="00C51175"/>
    <w:rsid w:val="00C81D20"/>
    <w:rsid w:val="00C914E7"/>
    <w:rsid w:val="00C91D81"/>
    <w:rsid w:val="00CA5997"/>
    <w:rsid w:val="00CA65B5"/>
    <w:rsid w:val="00CC5084"/>
    <w:rsid w:val="00CD6ABE"/>
    <w:rsid w:val="00D07A0F"/>
    <w:rsid w:val="00D121E9"/>
    <w:rsid w:val="00D24D35"/>
    <w:rsid w:val="00D621BE"/>
    <w:rsid w:val="00D646A2"/>
    <w:rsid w:val="00D85940"/>
    <w:rsid w:val="00DC1BDD"/>
    <w:rsid w:val="00DC784B"/>
    <w:rsid w:val="00DE7772"/>
    <w:rsid w:val="00E72CD1"/>
    <w:rsid w:val="00E90D7E"/>
    <w:rsid w:val="00EB0AA7"/>
    <w:rsid w:val="00ED283E"/>
    <w:rsid w:val="00EE0250"/>
    <w:rsid w:val="00EE1FF6"/>
    <w:rsid w:val="00F2202F"/>
    <w:rsid w:val="00F2659F"/>
    <w:rsid w:val="00F70A31"/>
    <w:rsid w:val="00F77918"/>
    <w:rsid w:val="00F81110"/>
    <w:rsid w:val="00F85ED3"/>
    <w:rsid w:val="00F90525"/>
    <w:rsid w:val="00F91189"/>
    <w:rsid w:val="00F933DE"/>
    <w:rsid w:val="00FA1037"/>
    <w:rsid w:val="00FB071E"/>
    <w:rsid w:val="00FD5627"/>
    <w:rsid w:val="00FE0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248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480"/>
    <w:rPr>
      <w:rFonts w:asciiTheme="majorHAnsi" w:eastAsiaTheme="majorEastAsia" w:hAnsiTheme="majorHAnsi" w:cstheme="majorBidi"/>
      <w:color w:val="365F91" w:themeColor="accent1" w:themeShade="BF"/>
      <w:sz w:val="32"/>
      <w:szCs w:val="32"/>
      <w:lang w:val="es-ES"/>
    </w:rPr>
  </w:style>
  <w:style w:type="table" w:styleId="TableGrid">
    <w:name w:val="Table Grid"/>
    <w:basedOn w:val="TableNormal"/>
    <w:uiPriority w:val="39"/>
    <w:rsid w:val="003F2480"/>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248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480"/>
    <w:rPr>
      <w:rFonts w:asciiTheme="majorHAnsi" w:eastAsiaTheme="majorEastAsia" w:hAnsiTheme="majorHAnsi" w:cstheme="majorBidi"/>
      <w:color w:val="365F91" w:themeColor="accent1" w:themeShade="BF"/>
      <w:sz w:val="32"/>
      <w:szCs w:val="32"/>
      <w:lang w:val="es-ES"/>
    </w:rPr>
  </w:style>
  <w:style w:type="table" w:styleId="TableGrid">
    <w:name w:val="Table Grid"/>
    <w:basedOn w:val="TableNormal"/>
    <w:uiPriority w:val="39"/>
    <w:rsid w:val="003F2480"/>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9812</Words>
  <Characters>54854</Characters>
  <Application>Microsoft Office Word</Application>
  <DocSecurity>0</DocSecurity>
  <Lines>2384</Lines>
  <Paragraphs>1134</Paragraphs>
  <ScaleCrop>false</ScaleCrop>
  <Company/>
  <LinksUpToDate>false</LinksUpToDate>
  <CharactersWithSpaces>63532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2021-11-30T12:48:00Z</dcterms:created>
  <dcterms:modified xsi:type="dcterms:W3CDTF">2021-11-30T12:52:00Z</dcterms:modified>
</cp:coreProperties>
</file>