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44A7E" w14:textId="0923ADE3" w:rsidR="009A6D94" w:rsidRPr="000E70FB" w:rsidRDefault="009E2CBD">
      <w:pPr>
        <w:rPr>
          <w:rFonts w:ascii="Times New Roman" w:hAnsi="Times New Roman" w:cs="Times New Roman"/>
          <w:b/>
          <w:bCs/>
        </w:rPr>
      </w:pPr>
      <w:r w:rsidRPr="009E2CBD">
        <w:rPr>
          <w:rFonts w:ascii="Times New Roman" w:hAnsi="Times New Roman" w:cs="Times New Roman"/>
          <w:b/>
          <w:bCs/>
        </w:rPr>
        <w:t xml:space="preserve">Supplementary </w:t>
      </w:r>
      <w:r w:rsidR="009A6D94" w:rsidRPr="000E70FB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3</w:t>
      </w:r>
      <w:r w:rsidR="005C6CF0">
        <w:rPr>
          <w:rFonts w:ascii="Times New Roman" w:hAnsi="Times New Roman" w:cs="Times New Roman"/>
          <w:b/>
          <w:bCs/>
        </w:rPr>
        <w:t>.</w:t>
      </w:r>
      <w:bookmarkStart w:id="0" w:name="_GoBack"/>
      <w:bookmarkEnd w:id="0"/>
      <w:r w:rsidR="009A6D94" w:rsidRPr="000E70FB">
        <w:rPr>
          <w:rFonts w:ascii="Times New Roman" w:hAnsi="Times New Roman" w:cs="Times New Roman"/>
          <w:b/>
          <w:bCs/>
        </w:rPr>
        <w:t xml:space="preserve"> </w:t>
      </w:r>
      <w:r w:rsidR="00A43CDD" w:rsidRPr="000E70FB">
        <w:rPr>
          <w:rFonts w:ascii="Times New Roman" w:hAnsi="Times New Roman" w:cs="Times New Roman"/>
          <w:b/>
          <w:bCs/>
        </w:rPr>
        <w:t xml:space="preserve">Objectives, participants, </w:t>
      </w:r>
      <w:r w:rsidR="0027298D" w:rsidRPr="000E70FB">
        <w:rPr>
          <w:rFonts w:ascii="Times New Roman" w:hAnsi="Times New Roman" w:cs="Times New Roman"/>
          <w:b/>
          <w:bCs/>
        </w:rPr>
        <w:t>interventions</w:t>
      </w:r>
      <w:r w:rsidR="0027298D">
        <w:rPr>
          <w:rFonts w:ascii="Times New Roman" w:hAnsi="Times New Roman" w:cs="Times New Roman"/>
          <w:b/>
          <w:bCs/>
        </w:rPr>
        <w:t xml:space="preserve"> </w:t>
      </w:r>
      <w:r w:rsidR="00A43CDD" w:rsidRPr="000E70FB">
        <w:rPr>
          <w:rFonts w:ascii="Times New Roman" w:hAnsi="Times New Roman" w:cs="Times New Roman"/>
          <w:b/>
          <w:bCs/>
        </w:rPr>
        <w:t>and r</w:t>
      </w:r>
      <w:r w:rsidR="009A6D94" w:rsidRPr="000E70FB">
        <w:rPr>
          <w:rFonts w:ascii="Times New Roman" w:hAnsi="Times New Roman" w:cs="Times New Roman"/>
          <w:b/>
          <w:bCs/>
        </w:rPr>
        <w:t xml:space="preserve">esults </w:t>
      </w:r>
      <w:r w:rsidR="00A43CDD" w:rsidRPr="000E70FB">
        <w:rPr>
          <w:rFonts w:ascii="Times New Roman" w:hAnsi="Times New Roman" w:cs="Times New Roman"/>
          <w:b/>
          <w:bCs/>
        </w:rPr>
        <w:t xml:space="preserve">of </w:t>
      </w:r>
      <w:r w:rsidR="00DA4B82" w:rsidRPr="000E70FB">
        <w:rPr>
          <w:rFonts w:ascii="Times New Roman" w:hAnsi="Times New Roman" w:cs="Times New Roman"/>
          <w:b/>
          <w:bCs/>
        </w:rPr>
        <w:t xml:space="preserve">the studies </w:t>
      </w:r>
      <w:r w:rsidR="00A43CDD" w:rsidRPr="000E70FB">
        <w:rPr>
          <w:rFonts w:ascii="Times New Roman" w:hAnsi="Times New Roman" w:cs="Times New Roman"/>
          <w:b/>
          <w:bCs/>
        </w:rPr>
        <w:t>included</w:t>
      </w:r>
      <w:r w:rsidR="009A6D94" w:rsidRPr="000E70FB">
        <w:rPr>
          <w:rFonts w:ascii="Times New Roman" w:hAnsi="Times New Roman" w:cs="Times New Roman"/>
          <w:b/>
          <w:bCs/>
        </w:rPr>
        <w:t xml:space="preserve"> </w:t>
      </w:r>
      <w:r w:rsidR="00A43CDD" w:rsidRPr="000E70FB">
        <w:rPr>
          <w:rFonts w:ascii="Times New Roman" w:hAnsi="Times New Roman" w:cs="Times New Roman"/>
          <w:b/>
          <w:bCs/>
        </w:rPr>
        <w:t xml:space="preserve">in the systematic review </w:t>
      </w:r>
    </w:p>
    <w:tbl>
      <w:tblPr>
        <w:tblStyle w:val="TableGrid1"/>
        <w:tblW w:w="5000" w:type="pct"/>
        <w:tblLayout w:type="fixed"/>
        <w:tblLook w:val="04A0" w:firstRow="1" w:lastRow="0" w:firstColumn="1" w:lastColumn="0" w:noHBand="0" w:noVBand="1"/>
      </w:tblPr>
      <w:tblGrid>
        <w:gridCol w:w="603"/>
        <w:gridCol w:w="1553"/>
        <w:gridCol w:w="2069"/>
        <w:gridCol w:w="1809"/>
        <w:gridCol w:w="1809"/>
        <w:gridCol w:w="1809"/>
        <w:gridCol w:w="4522"/>
      </w:tblGrid>
      <w:tr w:rsidR="009A6D94" w:rsidRPr="000E70FB" w14:paraId="3AF02F47" w14:textId="77777777" w:rsidTr="00F83C27">
        <w:trPr>
          <w:trHeight w:val="841"/>
          <w:tblHeader/>
        </w:trPr>
        <w:tc>
          <w:tcPr>
            <w:tcW w:w="213" w:type="pct"/>
          </w:tcPr>
          <w:p w14:paraId="09B3EDA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 xml:space="preserve">No. </w:t>
            </w:r>
          </w:p>
        </w:tc>
        <w:tc>
          <w:tcPr>
            <w:tcW w:w="548" w:type="pct"/>
          </w:tcPr>
          <w:p w14:paraId="582E0949" w14:textId="0481CB56" w:rsidR="009A6D94" w:rsidRPr="000E70FB" w:rsidRDefault="009A6D94" w:rsidP="00F83C27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 xml:space="preserve">Author </w:t>
            </w:r>
          </w:p>
        </w:tc>
        <w:tc>
          <w:tcPr>
            <w:tcW w:w="730" w:type="pct"/>
          </w:tcPr>
          <w:p w14:paraId="79271A4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>Objective(s)</w:t>
            </w:r>
          </w:p>
        </w:tc>
        <w:tc>
          <w:tcPr>
            <w:tcW w:w="638" w:type="pct"/>
          </w:tcPr>
          <w:p w14:paraId="6C28BB3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>Participants (sample size)</w:t>
            </w:r>
          </w:p>
        </w:tc>
        <w:tc>
          <w:tcPr>
            <w:tcW w:w="638" w:type="pct"/>
          </w:tcPr>
          <w:p w14:paraId="71A2EC2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>Control group (sample size)</w:t>
            </w:r>
          </w:p>
        </w:tc>
        <w:tc>
          <w:tcPr>
            <w:tcW w:w="638" w:type="pct"/>
          </w:tcPr>
          <w:p w14:paraId="124A261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>Intervention(s); Comparison</w:t>
            </w:r>
          </w:p>
        </w:tc>
        <w:tc>
          <w:tcPr>
            <w:tcW w:w="1595" w:type="pct"/>
          </w:tcPr>
          <w:p w14:paraId="41A390A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b/>
                <w:sz w:val="22"/>
              </w:rPr>
            </w:pPr>
            <w:r w:rsidRPr="000E70FB">
              <w:rPr>
                <w:rFonts w:ascii="Times New Roman" w:hAnsi="Times New Roman" w:cs="Times New Roman"/>
                <w:b/>
                <w:sz w:val="22"/>
              </w:rPr>
              <w:t>Results</w:t>
            </w:r>
          </w:p>
        </w:tc>
      </w:tr>
      <w:tr w:rsidR="009A6D94" w:rsidRPr="000E70FB" w14:paraId="06370014" w14:textId="77777777" w:rsidTr="00F83C27">
        <w:trPr>
          <w:trHeight w:val="416"/>
        </w:trPr>
        <w:tc>
          <w:tcPr>
            <w:tcW w:w="213" w:type="pct"/>
          </w:tcPr>
          <w:p w14:paraId="2B5298E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548" w:type="pct"/>
          </w:tcPr>
          <w:p w14:paraId="1ABF9A4D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Patel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[54]</w:t>
            </w:r>
          </w:p>
        </w:tc>
        <w:tc>
          <w:tcPr>
            <w:tcW w:w="730" w:type="pct"/>
          </w:tcPr>
          <w:p w14:paraId="438F360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The association between Pentavalent rotavirus vaccine (RV5) vaccination and rotavirus diarrhoea requiring overnight admission or intravenous hydration in Nicaragua</w:t>
            </w:r>
          </w:p>
        </w:tc>
        <w:tc>
          <w:tcPr>
            <w:tcW w:w="638" w:type="pct"/>
          </w:tcPr>
          <w:p w14:paraId="6819151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Cases: Children with acute diarrhoea requiring hydration with laboratory-confirmed rotavirus (n=285), </w:t>
            </w:r>
          </w:p>
          <w:p w14:paraId="254A1B8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8" w:type="pct"/>
          </w:tcPr>
          <w:p w14:paraId="270F92B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Neighbourhood controls: children eligible to receive RV5 (n=840) </w:t>
            </w:r>
          </w:p>
          <w:p w14:paraId="1B7B590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 controls: children eligible to receive RV5 (n=690)</w:t>
            </w:r>
          </w:p>
        </w:tc>
        <w:tc>
          <w:tcPr>
            <w:tcW w:w="638" w:type="pct"/>
          </w:tcPr>
          <w:p w14:paraId="6614563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</w:tc>
        <w:tc>
          <w:tcPr>
            <w:tcW w:w="1595" w:type="pct"/>
          </w:tcPr>
          <w:p w14:paraId="353D281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Three doses of RV5: Lower risk of rotavirus diarrhoea requiring overnight admission or intravenous hydration (OR 0.54; 95% CI 0.36, 0.82).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Of the 285 rotavirus cases, 191 (67%) were severe and 54 (19%) were very severe.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RV5 vaccinations lowered the risk of severe (OR 0.42; 95% CI 0.26, 0.70) and very severe rotavirus diarrhoea (OR 0.23; 95% CI 0.08, 0.61).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Hospitalisation: 46% (95% CI 18, 64); Severe rotavirus diarrhoea: 58% (95% CI 30, 74)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Very severe rotavirus diarrhoea: 77% (95% CI 39, 92) </w:t>
            </w:r>
          </w:p>
        </w:tc>
      </w:tr>
      <w:tr w:rsidR="009A6D94" w:rsidRPr="000E70FB" w14:paraId="375A6B34" w14:textId="77777777" w:rsidTr="00F83C27">
        <w:trPr>
          <w:trHeight w:val="271"/>
        </w:trPr>
        <w:tc>
          <w:tcPr>
            <w:tcW w:w="213" w:type="pct"/>
          </w:tcPr>
          <w:p w14:paraId="070AA1F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548" w:type="pct"/>
          </w:tcPr>
          <w:p w14:paraId="3DF411A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Mast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 [52]</w:t>
            </w:r>
          </w:p>
        </w:tc>
        <w:tc>
          <w:tcPr>
            <w:tcW w:w="730" w:type="pct"/>
          </w:tcPr>
          <w:p w14:paraId="5756828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To evaluate the public health impact of routine universal vaccination with RV5 in Nicaragua</w:t>
            </w:r>
          </w:p>
        </w:tc>
        <w:tc>
          <w:tcPr>
            <w:tcW w:w="638" w:type="pct"/>
          </w:tcPr>
          <w:p w14:paraId="2CDAFBE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younger than five who hospitalized with acute gastroenteritis (n=502) </w:t>
            </w:r>
          </w:p>
          <w:p w14:paraId="67FE3B2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Children, older than six weeks, positive for rotavirus, eligible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to have received one dose of vaccine (n=300).</w:t>
            </w:r>
          </w:p>
        </w:tc>
        <w:tc>
          <w:tcPr>
            <w:tcW w:w="638" w:type="pct"/>
          </w:tcPr>
          <w:p w14:paraId="1F306BD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Hospital controls (n=1894) Community controls (n=1685)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Hospital controls (n=792)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Community controls (n=851)</w:t>
            </w:r>
          </w:p>
        </w:tc>
        <w:tc>
          <w:tcPr>
            <w:tcW w:w="638" w:type="pct"/>
          </w:tcPr>
          <w:p w14:paraId="1FA6BA3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RV5; None</w:t>
            </w:r>
          </w:p>
        </w:tc>
        <w:tc>
          <w:tcPr>
            <w:tcW w:w="1595" w:type="pct"/>
          </w:tcPr>
          <w:p w14:paraId="5A422A3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Severe rotavirus disease: 87% (95% CI 74, 93) for community controls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64% (95% CI 44, 78) for hospital controls 76% (95% CI 63, 84) when the groups were combined</w:t>
            </w:r>
          </w:p>
        </w:tc>
      </w:tr>
      <w:tr w:rsidR="009A6D94" w:rsidRPr="000E70FB" w14:paraId="380379A2" w14:textId="77777777" w:rsidTr="00F83C27">
        <w:tc>
          <w:tcPr>
            <w:tcW w:w="213" w:type="pct"/>
          </w:tcPr>
          <w:p w14:paraId="22CF80F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548" w:type="pct"/>
          </w:tcPr>
          <w:p w14:paraId="0D93136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Gagneur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[53] </w:t>
            </w:r>
          </w:p>
        </w:tc>
        <w:tc>
          <w:tcPr>
            <w:tcW w:w="730" w:type="pct"/>
          </w:tcPr>
          <w:p w14:paraId="5E5BBBB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Trends in hospitalizations for rotavirus diarrhoea in infants younger than 2 years old before and after implementing a rotavirus vaccination campaign in France </w:t>
            </w:r>
          </w:p>
        </w:tc>
        <w:tc>
          <w:tcPr>
            <w:tcW w:w="638" w:type="pct"/>
          </w:tcPr>
          <w:p w14:paraId="003E4EC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Infants younger than 2 years with diarrhoea: with a positive rotavirus stool specimen (n=4798, of whom 4684 received at least one dose of RV5) </w:t>
            </w:r>
          </w:p>
        </w:tc>
        <w:tc>
          <w:tcPr>
            <w:tcW w:w="638" w:type="pct"/>
          </w:tcPr>
          <w:p w14:paraId="715FF6B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Surveillance study</w:t>
            </w:r>
          </w:p>
        </w:tc>
        <w:tc>
          <w:tcPr>
            <w:tcW w:w="638" w:type="pct"/>
          </w:tcPr>
          <w:p w14:paraId="0988919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</w:tc>
        <w:tc>
          <w:tcPr>
            <w:tcW w:w="1595" w:type="pct"/>
          </w:tcPr>
          <w:p w14:paraId="57461E4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Hospitalizations reduced by a factor of 2.04 (1.56, 2.66) during the last epidemic season (2008/2009) Relative risk for hospitalizations for rotavirus diarrhoea dropped by 98% (95% CI 83, 100)</w:t>
            </w:r>
          </w:p>
        </w:tc>
      </w:tr>
      <w:tr w:rsidR="009A6D94" w:rsidRPr="000E70FB" w14:paraId="710E422C" w14:textId="77777777" w:rsidTr="00F83C27">
        <w:trPr>
          <w:trHeight w:val="3364"/>
        </w:trPr>
        <w:tc>
          <w:tcPr>
            <w:tcW w:w="213" w:type="pct"/>
          </w:tcPr>
          <w:p w14:paraId="785E036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</w:t>
            </w:r>
          </w:p>
          <w:p w14:paraId="49B5988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6A954A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9223E5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1BDC8F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8D2E11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D127F9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9B5487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AAB3A8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5F139C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241DD2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3CF2AC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DA8811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46DFC3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48" w:type="pct"/>
          </w:tcPr>
          <w:p w14:paraId="1A70C8A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Staat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al.,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[55]</w:t>
            </w:r>
          </w:p>
          <w:p w14:paraId="73CE9B3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826549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1871D9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787C8D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F30611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E0923F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FB5A38D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6505CD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406B7C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30" w:type="pct"/>
          </w:tcPr>
          <w:p w14:paraId="10C59AD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complete and partial vaccination with the RV5 to prevent acute rotavirus gastroenteritis (AGE) hospitalizations and emergency department visits during the first 3 rotavirus seasons after vaccine introduction in the USA</w:t>
            </w:r>
          </w:p>
        </w:tc>
        <w:tc>
          <w:tcPr>
            <w:tcW w:w="638" w:type="pct"/>
          </w:tcPr>
          <w:p w14:paraId="07D14D5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older than 52 days. </w:t>
            </w:r>
          </w:p>
          <w:p w14:paraId="039107C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positive for rotavirus (n=184)</w:t>
            </w:r>
          </w:p>
        </w:tc>
        <w:tc>
          <w:tcPr>
            <w:tcW w:w="638" w:type="pct"/>
          </w:tcPr>
          <w:p w14:paraId="6DE3485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rotavirus-negative but with AGE (n=613)</w:t>
            </w:r>
          </w:p>
          <w:p w14:paraId="435AE12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with Acute Respiratory Infection (ARI) (n=675) </w:t>
            </w:r>
          </w:p>
          <w:p w14:paraId="107DAF1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8" w:type="pct"/>
          </w:tcPr>
          <w:p w14:paraId="40B348E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  <w:p w14:paraId="39013C5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F7558D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3DEB5A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1ECB24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07EF32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142F7F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12F553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FE4BEF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57F45C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EA5A05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3040AE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D234B3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E0923C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FAF000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</w:tcPr>
          <w:p w14:paraId="47A1123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vs AGE controls: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 dose of RV5: 74% (95% CI 37, 90)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RV5: 88% (95% CI 66, 96)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87% (95% CI 71, 94)</w:t>
            </w:r>
          </w:p>
          <w:p w14:paraId="0944A39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 vs ARI controls: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 dose RV5: 73% (95% CI 43, 88)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RV5: 88% (95% CI 68, 95)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85% (95% CI 72, 91)</w:t>
            </w:r>
          </w:p>
          <w:p w14:paraId="2945C3D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477922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A2DF99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0CC1A0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A6D94" w:rsidRPr="000E70FB" w14:paraId="3309D2E0" w14:textId="77777777" w:rsidTr="00F83C27">
        <w:tc>
          <w:tcPr>
            <w:tcW w:w="213" w:type="pct"/>
          </w:tcPr>
          <w:p w14:paraId="4B0D797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5</w:t>
            </w:r>
          </w:p>
        </w:tc>
        <w:tc>
          <w:tcPr>
            <w:tcW w:w="548" w:type="pct"/>
          </w:tcPr>
          <w:p w14:paraId="5EF977D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Vesikari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[50]</w:t>
            </w:r>
          </w:p>
        </w:tc>
        <w:tc>
          <w:tcPr>
            <w:tcW w:w="730" w:type="pct"/>
          </w:tcPr>
          <w:p w14:paraId="2378248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To establish the influence of RV5 vaccination and genotype on AGE cases requiring hospitalization in children from Finland</w:t>
            </w:r>
          </w:p>
        </w:tc>
        <w:tc>
          <w:tcPr>
            <w:tcW w:w="638" w:type="pct"/>
          </w:tcPr>
          <w:p w14:paraId="66E9AE57" w14:textId="77777777" w:rsidR="009E6727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younger than 16 admitted for AGE</w:t>
            </w:r>
          </w:p>
          <w:p w14:paraId="7D2C3489" w14:textId="317B7A93" w:rsidR="009A6D94" w:rsidRDefault="009E6727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</w:t>
            </w:r>
            <w:r w:rsidR="009A6D94" w:rsidRPr="000E70FB">
              <w:rPr>
                <w:rFonts w:ascii="Times New Roman" w:hAnsi="Times New Roman" w:cs="Times New Roman"/>
                <w:sz w:val="22"/>
              </w:rPr>
              <w:t>otavirus positive (n=127)</w:t>
            </w:r>
          </w:p>
          <w:p w14:paraId="531D9D84" w14:textId="6EC52A56" w:rsidR="005C2B17" w:rsidRPr="000E70FB" w:rsidRDefault="005C2B17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Cases</w:t>
            </w:r>
            <w:r w:rsidR="009E6727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vaccine effectiveness analysis (n=7)</w:t>
            </w:r>
          </w:p>
        </w:tc>
        <w:tc>
          <w:tcPr>
            <w:tcW w:w="638" w:type="pct"/>
          </w:tcPr>
          <w:p w14:paraId="3230A852" w14:textId="7FB95C2E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admitted for AGE but rotavirus negative (n=</w:t>
            </w:r>
            <w:r w:rsidR="005C2B17">
              <w:rPr>
                <w:rFonts w:ascii="Times New Roman" w:hAnsi="Times New Roman" w:cs="Times New Roman"/>
                <w:sz w:val="22"/>
              </w:rPr>
              <w:t>73</w:t>
            </w:r>
            <w:r w:rsidRPr="000E70F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638" w:type="pct"/>
          </w:tcPr>
          <w:p w14:paraId="0FB623B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</w:tc>
        <w:tc>
          <w:tcPr>
            <w:tcW w:w="1595" w:type="pct"/>
          </w:tcPr>
          <w:p w14:paraId="5983DED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 3 doses of RV5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Hospitalization: 92.1% (95% CI 50, 98.7). Hospitalizations for rotavirus AGE decreased by 78% in the post-vaccination period (2009–2012) compared to the pre-vaccination (2001–2006) period. Most cases occurred in children under 5 years</w:t>
            </w:r>
          </w:p>
        </w:tc>
      </w:tr>
      <w:tr w:rsidR="009A6D94" w:rsidRPr="000E70FB" w14:paraId="7D1A2838" w14:textId="77777777" w:rsidTr="00F83C27">
        <w:tc>
          <w:tcPr>
            <w:tcW w:w="213" w:type="pct"/>
          </w:tcPr>
          <w:p w14:paraId="1AEBA84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548" w:type="pct"/>
          </w:tcPr>
          <w:p w14:paraId="5DA2870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Roué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[56]</w:t>
            </w:r>
          </w:p>
        </w:tc>
        <w:tc>
          <w:tcPr>
            <w:tcW w:w="730" w:type="pct"/>
          </w:tcPr>
          <w:p w14:paraId="3F22E0F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To establish the influence of RV5 vaccination on AGE requiring hospitalization in preterm infants enrolled in the IVANHOE study and to establish vaccine coverage and safety in this population in France </w:t>
            </w:r>
          </w:p>
        </w:tc>
        <w:tc>
          <w:tcPr>
            <w:tcW w:w="638" w:type="pct"/>
          </w:tcPr>
          <w:p w14:paraId="381D8A9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younger than 3 years old, born prematurely (before 37 weeks) (n=217)</w:t>
            </w:r>
          </w:p>
        </w:tc>
        <w:tc>
          <w:tcPr>
            <w:tcW w:w="638" w:type="pct"/>
          </w:tcPr>
          <w:p w14:paraId="605AD6C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Cohort study</w:t>
            </w:r>
          </w:p>
        </w:tc>
        <w:tc>
          <w:tcPr>
            <w:tcW w:w="638" w:type="pct"/>
          </w:tcPr>
          <w:p w14:paraId="17EDE61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</w:tc>
        <w:tc>
          <w:tcPr>
            <w:tcW w:w="1595" w:type="pct"/>
          </w:tcPr>
          <w:p w14:paraId="1CA18FE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Of the 217 infants, 41.9% received all three doses of the RV5 vaccine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Vaccine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safety in premature infants is the same as for term infants.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In the vaccinated group, hospitalisations reduced by a factor of 2.6 (95% CI 1.3, 5.2) during the first two epidemic seasons following vaccine introduction and by a factor of 11 (95% CI 3.5, 34.8) during the third season</w:t>
            </w:r>
          </w:p>
        </w:tc>
      </w:tr>
      <w:tr w:rsidR="009A6D94" w:rsidRPr="000E70FB" w14:paraId="446ABC38" w14:textId="77777777" w:rsidTr="00F83C27">
        <w:tc>
          <w:tcPr>
            <w:tcW w:w="213" w:type="pct"/>
          </w:tcPr>
          <w:p w14:paraId="6F85D8F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548" w:type="pct"/>
          </w:tcPr>
          <w:p w14:paraId="7CE24A6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Leshem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[51]</w:t>
            </w:r>
          </w:p>
        </w:tc>
        <w:tc>
          <w:tcPr>
            <w:tcW w:w="730" w:type="pct"/>
          </w:tcPr>
          <w:p w14:paraId="104E6D2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RV5 vaccination in preventing rotavirus-associated Emergency Department (ED)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visits and hospitalizations. To describe age, dose, ethnicity, and strain-specific vaccine effectiveness in Israel</w:t>
            </w:r>
          </w:p>
        </w:tc>
        <w:tc>
          <w:tcPr>
            <w:tcW w:w="638" w:type="pct"/>
          </w:tcPr>
          <w:p w14:paraId="2BBE292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Surveillance study: children younger than five years old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Vaccine effectiveness: children older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than six months Cases: children hospitalized or visiting the ED with AGE and rotavirus positive (n=185)</w:t>
            </w:r>
          </w:p>
        </w:tc>
        <w:tc>
          <w:tcPr>
            <w:tcW w:w="638" w:type="pct"/>
          </w:tcPr>
          <w:p w14:paraId="393D17D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Children admitted for AGE but rotavirus negative (n=330)</w:t>
            </w:r>
          </w:p>
        </w:tc>
        <w:tc>
          <w:tcPr>
            <w:tcW w:w="638" w:type="pct"/>
          </w:tcPr>
          <w:p w14:paraId="77C8F4D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</w:tc>
        <w:tc>
          <w:tcPr>
            <w:tcW w:w="1595" w:type="pct"/>
          </w:tcPr>
          <w:p w14:paraId="7366A6F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63% (95% CI 38, 78)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6-11 months: 64% (95% CI 21,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12-23 months: 71% (95% CI 39, 86) Hospitalization: 59% (95% CI 23,78)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ED visit: 67% (95% CI 11, 88)</w:t>
            </w:r>
          </w:p>
          <w:p w14:paraId="4421168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A6D94" w:rsidRPr="000E70FB" w14:paraId="7760E384" w14:textId="77777777" w:rsidTr="00F83C27">
        <w:trPr>
          <w:trHeight w:val="557"/>
        </w:trPr>
        <w:tc>
          <w:tcPr>
            <w:tcW w:w="213" w:type="pct"/>
          </w:tcPr>
          <w:p w14:paraId="4DC3957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8</w:t>
            </w:r>
          </w:p>
        </w:tc>
        <w:tc>
          <w:tcPr>
            <w:tcW w:w="548" w:type="pct"/>
          </w:tcPr>
          <w:p w14:paraId="634B0B3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Muhsen</w:t>
            </w:r>
            <w:proofErr w:type="spellEnd"/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[48]</w:t>
            </w:r>
          </w:p>
        </w:tc>
        <w:tc>
          <w:tcPr>
            <w:tcW w:w="730" w:type="pct"/>
          </w:tcPr>
          <w:p w14:paraId="50FA344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Effectiveness of the RV5 universal vaccination programme in preventing rotavirus AGE hospitalization between 2011 and 2015 in Israel, a high-income country</w:t>
            </w:r>
          </w:p>
        </w:tc>
        <w:tc>
          <w:tcPr>
            <w:tcW w:w="638" w:type="pct"/>
          </w:tcPr>
          <w:p w14:paraId="29B3F52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(0 to 59 months) hospitalized due to diarrhoea. Cases: children at least 2 months of age and rotavirus positive (n=98) </w:t>
            </w:r>
          </w:p>
        </w:tc>
        <w:tc>
          <w:tcPr>
            <w:tcW w:w="638" w:type="pct"/>
          </w:tcPr>
          <w:p w14:paraId="77D010C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admitted for AGE but rotavirus negative (n=628)</w:t>
            </w:r>
          </w:p>
        </w:tc>
        <w:tc>
          <w:tcPr>
            <w:tcW w:w="638" w:type="pct"/>
          </w:tcPr>
          <w:p w14:paraId="0420DD6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RV5; None </w:t>
            </w:r>
          </w:p>
        </w:tc>
        <w:tc>
          <w:tcPr>
            <w:tcW w:w="1595" w:type="pct"/>
          </w:tcPr>
          <w:p w14:paraId="7BDA0E3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6-59 months: 77% (95% CI 49, 90)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6-23 months: 86% (95% CI 65, 94) Incomplete schedule: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6-59 months: 72% (95% CI 28, 89)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6-23 months: 75% (95% CI 30, 91)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Genotypes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G1P [8]:79% (95% CI 45,92)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RVGE: 69% (95% CI 11,89) </w:t>
            </w:r>
          </w:p>
        </w:tc>
      </w:tr>
      <w:tr w:rsidR="009A6D94" w:rsidRPr="000E70FB" w14:paraId="5486001F" w14:textId="77777777" w:rsidTr="00F83C27">
        <w:tc>
          <w:tcPr>
            <w:tcW w:w="213" w:type="pct"/>
          </w:tcPr>
          <w:p w14:paraId="5B05495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548" w:type="pct"/>
          </w:tcPr>
          <w:p w14:paraId="74DBA1B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Bonkoungou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[49]</w:t>
            </w:r>
          </w:p>
        </w:tc>
        <w:tc>
          <w:tcPr>
            <w:tcW w:w="730" w:type="pct"/>
          </w:tcPr>
          <w:p w14:paraId="28D6CC4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Effectiveness of the RV5 vaccine in Burkina Faso</w:t>
            </w:r>
          </w:p>
        </w:tc>
        <w:tc>
          <w:tcPr>
            <w:tcW w:w="638" w:type="pct"/>
          </w:tcPr>
          <w:p w14:paraId="5367BCF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younger than 5 (n=1043) Cases: children at least 6 months old, eligible to have received rotavirus vaccine, rotavirus positive (n=227)</w:t>
            </w:r>
          </w:p>
        </w:tc>
        <w:tc>
          <w:tcPr>
            <w:tcW w:w="638" w:type="pct"/>
          </w:tcPr>
          <w:p w14:paraId="4DCA707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Same age as cases and rotavirus negative (n=761) </w:t>
            </w:r>
          </w:p>
        </w:tc>
        <w:tc>
          <w:tcPr>
            <w:tcW w:w="638" w:type="pct"/>
          </w:tcPr>
          <w:p w14:paraId="6A4A037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RV5; None</w:t>
            </w:r>
          </w:p>
        </w:tc>
        <w:tc>
          <w:tcPr>
            <w:tcW w:w="1595" w:type="pct"/>
          </w:tcPr>
          <w:p w14:paraId="3473AB7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Reduced hospital admissions positive for rotavirus: 2014: 36% (154/422), 2015: 22% (71/323), 2016: 20% (61/298)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Reduced hospital admissions of infants with rotavirus 2014: 38% (94/250), 2015: 21% (32/153), 2016: 17% (26/149)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effectiveness: 3 doses of RV5: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Age: 6-11months: 58% (95% CI 10, 81) Older than 12 months: 19% (95% CI 78, 63)</w:t>
            </w:r>
          </w:p>
        </w:tc>
      </w:tr>
      <w:tr w:rsidR="009A6D94" w:rsidRPr="000E70FB" w14:paraId="60BD0E90" w14:textId="77777777" w:rsidTr="00F83C27">
        <w:trPr>
          <w:trHeight w:val="2681"/>
        </w:trPr>
        <w:tc>
          <w:tcPr>
            <w:tcW w:w="213" w:type="pct"/>
          </w:tcPr>
          <w:p w14:paraId="33BF83D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10</w:t>
            </w:r>
          </w:p>
        </w:tc>
        <w:tc>
          <w:tcPr>
            <w:tcW w:w="548" w:type="pct"/>
          </w:tcPr>
          <w:p w14:paraId="5530F1F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Li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[72]</w:t>
            </w:r>
          </w:p>
        </w:tc>
        <w:tc>
          <w:tcPr>
            <w:tcW w:w="730" w:type="pct"/>
          </w:tcPr>
          <w:p w14:paraId="51BF996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the Lamb Rotavirus (LLR) vaccine to prevent laboratory-confirmed gastroenteritis in children 2–59 months of age in China </w:t>
            </w:r>
          </w:p>
        </w:tc>
        <w:tc>
          <w:tcPr>
            <w:tcW w:w="638" w:type="pct"/>
          </w:tcPr>
          <w:p w14:paraId="3E6CC3E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2 to 59 months old Cases: rotavirus positive (n=598)</w:t>
            </w:r>
          </w:p>
        </w:tc>
        <w:tc>
          <w:tcPr>
            <w:tcW w:w="638" w:type="pct"/>
          </w:tcPr>
          <w:p w14:paraId="6DA3892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Same aged children: rotavirus negative (n=1766)</w:t>
            </w:r>
          </w:p>
        </w:tc>
        <w:tc>
          <w:tcPr>
            <w:tcW w:w="638" w:type="pct"/>
          </w:tcPr>
          <w:p w14:paraId="35D22F2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LLR vaccine; None</w:t>
            </w:r>
          </w:p>
        </w:tc>
        <w:tc>
          <w:tcPr>
            <w:tcW w:w="1595" w:type="pct"/>
          </w:tcPr>
          <w:p w14:paraId="5B68DB9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 1 dose of LLR vs. no vaccine: 34.9% (95% CI 5.3, 55.3) Severe gastroenteritis: 87.7% (95% CI 32.7, 97.8)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Age: 2-35 months: 36.2% (95% CI 4.7, 57.3) Genotype G9: 40.8% (95% CI 7.8, 61.9)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Compared to unvaccinated children, vaccinated children were less likely to have watery stool (OR = 0.42) and have diarrhoea longer than 5 days (OR = 0.47)</w:t>
            </w:r>
          </w:p>
        </w:tc>
      </w:tr>
      <w:tr w:rsidR="009A6D94" w:rsidRPr="000E70FB" w14:paraId="726DC195" w14:textId="77777777" w:rsidTr="00F83C27">
        <w:trPr>
          <w:trHeight w:val="4427"/>
        </w:trPr>
        <w:tc>
          <w:tcPr>
            <w:tcW w:w="213" w:type="pct"/>
          </w:tcPr>
          <w:p w14:paraId="4FE49AE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548" w:type="pct"/>
          </w:tcPr>
          <w:p w14:paraId="10187687" w14:textId="77777777" w:rsidR="009A6D94" w:rsidRPr="000E70FB" w:rsidRDefault="009A6D94" w:rsidP="00F83C27">
            <w:pPr>
              <w:tabs>
                <w:tab w:val="left" w:pos="1057"/>
              </w:tabs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Fu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[73]</w:t>
            </w:r>
          </w:p>
        </w:tc>
        <w:tc>
          <w:tcPr>
            <w:tcW w:w="730" w:type="pct"/>
          </w:tcPr>
          <w:p w14:paraId="1587D94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Effectiveness of the LLR prevent rotavirus gastroenteritis in children 2–35 months of age</w:t>
            </w:r>
          </w:p>
        </w:tc>
        <w:tc>
          <w:tcPr>
            <w:tcW w:w="638" w:type="pct"/>
          </w:tcPr>
          <w:p w14:paraId="17A6860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2–35 months old with watery vomiting and watery diarrhoea. Cases: rotavirus positive (n=3130)</w:t>
            </w:r>
          </w:p>
          <w:p w14:paraId="6A6FA3B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8" w:type="pct"/>
          </w:tcPr>
          <w:p w14:paraId="57E864A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Randomly selected children aged 2–35 months without gastroenteritis (n=3607)</w:t>
            </w:r>
          </w:p>
        </w:tc>
        <w:tc>
          <w:tcPr>
            <w:tcW w:w="638" w:type="pct"/>
          </w:tcPr>
          <w:p w14:paraId="096ACF03" w14:textId="77777777" w:rsidR="009A6D94" w:rsidRPr="000E70FB" w:rsidRDefault="009A6D94" w:rsidP="00F83C27">
            <w:pPr>
              <w:tabs>
                <w:tab w:val="left" w:pos="1374"/>
              </w:tabs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LLR vaccine; None </w:t>
            </w:r>
          </w:p>
          <w:p w14:paraId="6194663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522AB7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E19D43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FF035B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D48F28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28C676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F66BB5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</w:tcPr>
          <w:p w14:paraId="232E074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 1 dose of LLR: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Age:9–11 months old: 44.3% (95% CI 28.4, 56.7)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12-17 months old: 52.8% (95% CI 40.8, 62.3)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18-35 months old: 51.8% (95% CI 11.6, 73.8) </w:t>
            </w:r>
          </w:p>
          <w:p w14:paraId="37D9B5E9" w14:textId="77777777" w:rsidR="009A6D94" w:rsidRPr="000E70FB" w:rsidRDefault="009A6D94" w:rsidP="00F83C27">
            <w:pPr>
              <w:tabs>
                <w:tab w:val="left" w:pos="1551"/>
              </w:tabs>
              <w:rPr>
                <w:rFonts w:ascii="Times New Roman" w:hAnsi="Times New Roman" w:cs="Times New Roman"/>
                <w:sz w:val="22"/>
              </w:rPr>
            </w:pPr>
          </w:p>
          <w:p w14:paraId="36248F4D" w14:textId="77777777" w:rsidR="009A6D94" w:rsidRPr="000E70FB" w:rsidRDefault="009A6D94" w:rsidP="00F83C27">
            <w:pPr>
              <w:tabs>
                <w:tab w:val="left" w:pos="2680"/>
              </w:tabs>
              <w:rPr>
                <w:rFonts w:ascii="Times New Roman" w:hAnsi="Times New Roman" w:cs="Times New Roman"/>
                <w:sz w:val="22"/>
              </w:rPr>
            </w:pPr>
          </w:p>
          <w:p w14:paraId="339A46C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09A16E9" w14:textId="77777777" w:rsidR="009A6D94" w:rsidRPr="000E70FB" w:rsidRDefault="009A6D94" w:rsidP="00F83C27">
            <w:pPr>
              <w:tabs>
                <w:tab w:val="left" w:pos="3356"/>
              </w:tabs>
              <w:rPr>
                <w:rFonts w:ascii="Times New Roman" w:hAnsi="Times New Roman" w:cs="Times New Roman"/>
                <w:sz w:val="22"/>
              </w:rPr>
            </w:pPr>
          </w:p>
        </w:tc>
      </w:tr>
      <w:tr w:rsidR="009A6D94" w:rsidRPr="000E70FB" w14:paraId="311D0C98" w14:textId="77777777" w:rsidTr="00F83C27">
        <w:trPr>
          <w:trHeight w:val="3957"/>
        </w:trPr>
        <w:tc>
          <w:tcPr>
            <w:tcW w:w="213" w:type="pct"/>
          </w:tcPr>
          <w:p w14:paraId="77A8624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2</w:t>
            </w:r>
          </w:p>
          <w:p w14:paraId="11CED5B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6E8E56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FB5952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427F93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C90C38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8A9878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AC21BF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3B6BFB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4E5E78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2EF553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2A4396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13A0C6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AFA1D3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83E918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360DE4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63B15B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48" w:type="pct"/>
          </w:tcPr>
          <w:p w14:paraId="23BDE15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Desai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[65]</w:t>
            </w:r>
          </w:p>
          <w:p w14:paraId="467B36E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FF6036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BED44D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876850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5DB569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A956C9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172D9C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E1A99A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D85E2D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45BB13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CAA486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BA92EF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47BFB3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360870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928030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2F0949A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30" w:type="pct"/>
          </w:tcPr>
          <w:p w14:paraId="125BA69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Effectiveness of rotavirus vaccines in preventing hospitalization due to rotavirus in children 8 weeks to 3 years of age</w:t>
            </w:r>
          </w:p>
        </w:tc>
        <w:tc>
          <w:tcPr>
            <w:tcW w:w="638" w:type="pct"/>
          </w:tcPr>
          <w:p w14:paraId="6113ED8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8 weeks to 3 years old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children hospitalised for AGE, rotavirus positive (n=42)</w:t>
            </w:r>
          </w:p>
          <w:p w14:paraId="548BACE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D76075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04048F7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3E01840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B33D82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EF89D3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2B5597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2372E4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9F7757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5634DD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DAE46F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8" w:type="pct"/>
          </w:tcPr>
          <w:p w14:paraId="01E5300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Controls: age matched; rotavirus negative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Hospital controls (n=80) Community controls (n=73) </w:t>
            </w:r>
          </w:p>
          <w:p w14:paraId="506F214D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25D74BF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665491D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556B9F6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1CCEF20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4A27FEE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  <w:p w14:paraId="7B6B20F5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8" w:type="pct"/>
          </w:tcPr>
          <w:p w14:paraId="57DC61E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 &amp; RV5; None </w:t>
            </w:r>
          </w:p>
        </w:tc>
        <w:tc>
          <w:tcPr>
            <w:tcW w:w="1595" w:type="pct"/>
          </w:tcPr>
          <w:p w14:paraId="3CA56B9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At least 1 dose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 vs. hospitalized controls: 94.3% (95% CI 55.4, 99.3; p=0.006)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 vs. community controls: 96.9% (59.4, 99.8; p=0.008)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Partial vaccination: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 vs. hospitalized controls: 93.2% (41.4, 99.2)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 vs. community controls: 93.8% (23, 99.5)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Full vaccination: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 vs. hospitalized controls: 96.3% (28.9, 99.8)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 vs. community controls 99.1% (78.1, 99.9)</w:t>
            </w:r>
          </w:p>
        </w:tc>
      </w:tr>
      <w:tr w:rsidR="009A6D94" w:rsidRPr="000E70FB" w14:paraId="73F0C49B" w14:textId="77777777" w:rsidTr="00F83C27">
        <w:tc>
          <w:tcPr>
            <w:tcW w:w="213" w:type="pct"/>
          </w:tcPr>
          <w:p w14:paraId="4278F86A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548" w:type="pct"/>
          </w:tcPr>
          <w:p w14:paraId="35DEC22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Raes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[70]</w:t>
            </w:r>
          </w:p>
        </w:tc>
        <w:tc>
          <w:tcPr>
            <w:tcW w:w="730" w:type="pct"/>
          </w:tcPr>
          <w:p w14:paraId="3DCAAB6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Effect of rotavirus vaccines on rotavirus-hospitalizations in children younger than 5 years old before and after the introduction of generalized vaccination in Belgium</w:t>
            </w:r>
          </w:p>
        </w:tc>
        <w:tc>
          <w:tcPr>
            <w:tcW w:w="638" w:type="pct"/>
          </w:tcPr>
          <w:p w14:paraId="231F785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less than or equal to 5 years old, hospitalised, rotavirus positive </w:t>
            </w:r>
          </w:p>
          <w:p w14:paraId="0957C812" w14:textId="77777777" w:rsidR="009A6D94" w:rsidRPr="000E70FB" w:rsidRDefault="009A6D94" w:rsidP="00F83C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  <w:lang w:val="en-US"/>
              </w:rPr>
              <w:t xml:space="preserve">In </w:t>
            </w:r>
            <w:r w:rsidRPr="000E70FB">
              <w:rPr>
                <w:rFonts w:ascii="Times New Roman" w:hAnsi="Times New Roman" w:cs="Times New Roman"/>
                <w:sz w:val="22"/>
              </w:rPr>
              <w:t>Pre</w:t>
            </w:r>
            <w:r w:rsidRPr="000E70FB">
              <w:rPr>
                <w:rFonts w:ascii="Times New Roman" w:hAnsi="Times New Roman" w:cs="Times New Roman"/>
                <w:sz w:val="22"/>
                <w:lang w:val="en-US"/>
              </w:rPr>
              <w:t>-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vaccination (June 2004–May 2006) and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postvaccination</w:t>
            </w:r>
            <w:proofErr w:type="spellEnd"/>
          </w:p>
          <w:p w14:paraId="07A30BB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(June 2007–May 2009) periods</w:t>
            </w:r>
          </w:p>
          <w:p w14:paraId="1504652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 </w:t>
            </w:r>
          </w:p>
        </w:tc>
        <w:tc>
          <w:tcPr>
            <w:tcW w:w="638" w:type="pct"/>
          </w:tcPr>
          <w:p w14:paraId="64A8AF6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None</w:t>
            </w:r>
          </w:p>
        </w:tc>
        <w:tc>
          <w:tcPr>
            <w:tcW w:w="638" w:type="pct"/>
          </w:tcPr>
          <w:p w14:paraId="365DEB6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 &amp; RV5; None </w:t>
            </w:r>
          </w:p>
        </w:tc>
        <w:tc>
          <w:tcPr>
            <w:tcW w:w="1595" w:type="pct"/>
          </w:tcPr>
          <w:p w14:paraId="4C1C478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Rotavirus hospitalizations declined among children 2 to 24 months from 716 (pre-vaccine) to 249 (post-vaccine).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Hospitalizations declined by 65% (95% CI 62, 69) in the first year. Hospitalizations further decreased by 140 (80%, 95% CI 77, 83) in the second year post vaccination.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Younger than 2 months: 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 year post-vaccine: hospitalizations declined by 50% (95% CI 36, 64)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post-vaccine: hospitalizations declined by 64% (95% CI 49, 76)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Older than 24 months: 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post-vaccine: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hospitalizations declined by 20% (95% CI 14, 28)  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post-vaccine: hospitalizations declined by 64% (95% CI 56, 72)</w:t>
            </w:r>
          </w:p>
        </w:tc>
      </w:tr>
      <w:tr w:rsidR="009A6D94" w:rsidRPr="000E70FB" w14:paraId="6379465C" w14:textId="77777777" w:rsidTr="00F83C27">
        <w:trPr>
          <w:trHeight w:val="700"/>
        </w:trPr>
        <w:tc>
          <w:tcPr>
            <w:tcW w:w="213" w:type="pct"/>
          </w:tcPr>
          <w:p w14:paraId="76B361D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14</w:t>
            </w:r>
          </w:p>
        </w:tc>
        <w:tc>
          <w:tcPr>
            <w:tcW w:w="548" w:type="pct"/>
          </w:tcPr>
          <w:p w14:paraId="5ABD9F4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Castilla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[64]</w:t>
            </w:r>
          </w:p>
        </w:tc>
        <w:tc>
          <w:tcPr>
            <w:tcW w:w="730" w:type="pct"/>
          </w:tcPr>
          <w:p w14:paraId="3793E10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Effectiveness of rotavirus vaccination in children 3–59 months old in preventing rotavirus AGE and hospital admissions </w:t>
            </w:r>
          </w:p>
        </w:tc>
        <w:tc>
          <w:tcPr>
            <w:tcW w:w="638" w:type="pct"/>
          </w:tcPr>
          <w:p w14:paraId="3F2C7D8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3–59 months seeking medical care for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(n=756) </w:t>
            </w:r>
          </w:p>
        </w:tc>
        <w:tc>
          <w:tcPr>
            <w:tcW w:w="638" w:type="pct"/>
          </w:tcPr>
          <w:p w14:paraId="28D9199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seeking medical care for AGE but rotavirus negative (n=6036)</w:t>
            </w:r>
          </w:p>
        </w:tc>
        <w:tc>
          <w:tcPr>
            <w:tcW w:w="638" w:type="pct"/>
          </w:tcPr>
          <w:p w14:paraId="2BB74C0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 &amp; RV2; None</w:t>
            </w:r>
          </w:p>
        </w:tc>
        <w:tc>
          <w:tcPr>
            <w:tcW w:w="1595" w:type="pct"/>
          </w:tcPr>
          <w:p w14:paraId="31ECC61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At least one dose: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3-59 months: 78% (95% CI 70,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RV1: 76% (95% CI, 63, 85)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RV5: 80% (95% CI 69, 87)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Complete vaccination vs. not vaccinated: 78% (95% CI 68, 85)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RV1: 75% (95% CI 60, 85)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81% (95% CI 68, 89)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&gt;24 months: 61%; 95% CI 0,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Age &lt;24 months: 80%; 95% CI 70, 86). Preventing hospitalizations: 83% (95% CI 65, 93) Preventing outpatient cases: 75% (95% CI: 62, 83) </w:t>
            </w:r>
          </w:p>
        </w:tc>
      </w:tr>
      <w:tr w:rsidR="009A6D94" w:rsidRPr="000E70FB" w14:paraId="402AA630" w14:textId="77777777" w:rsidTr="00F83C27">
        <w:tc>
          <w:tcPr>
            <w:tcW w:w="213" w:type="pct"/>
          </w:tcPr>
          <w:p w14:paraId="3E8D32F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548" w:type="pct"/>
          </w:tcPr>
          <w:p w14:paraId="49E98ED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Payne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[63]</w:t>
            </w:r>
          </w:p>
        </w:tc>
        <w:tc>
          <w:tcPr>
            <w:tcW w:w="730" w:type="pct"/>
          </w:tcPr>
          <w:p w14:paraId="2018B44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To assess RV5 and RV1 vaccine effectiveness in preventing rotavirus AGE hospitalization and emergency department (ED) visits among US children &lt;5 years of age over 2 consecutive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rotavirus seasons in USA</w:t>
            </w:r>
          </w:p>
        </w:tc>
        <w:tc>
          <w:tcPr>
            <w:tcW w:w="638" w:type="pct"/>
          </w:tcPr>
          <w:p w14:paraId="6EC8E52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Children younger than 5 years old with AGE. Either hospitalised or in the ED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(n=359)</w:t>
            </w:r>
          </w:p>
        </w:tc>
        <w:tc>
          <w:tcPr>
            <w:tcW w:w="638" w:type="pct"/>
          </w:tcPr>
          <w:p w14:paraId="2C0BEF7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with AGE, rotavirus negative (n=1811)</w:t>
            </w:r>
          </w:p>
        </w:tc>
        <w:tc>
          <w:tcPr>
            <w:tcW w:w="638" w:type="pct"/>
          </w:tcPr>
          <w:p w14:paraId="60EDC00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 &amp; RV5; None</w:t>
            </w:r>
          </w:p>
        </w:tc>
        <w:tc>
          <w:tcPr>
            <w:tcW w:w="1595" w:type="pct"/>
          </w:tcPr>
          <w:p w14:paraId="1BEBCD2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84% (95% CI 78, 88)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2 doses of RV1: 70% (95% CI 39, 86) </w:t>
            </w:r>
          </w:p>
        </w:tc>
      </w:tr>
      <w:tr w:rsidR="009A6D94" w:rsidRPr="000E70FB" w14:paraId="031F3C51" w14:textId="77777777" w:rsidTr="00F83C27">
        <w:tc>
          <w:tcPr>
            <w:tcW w:w="213" w:type="pct"/>
          </w:tcPr>
          <w:p w14:paraId="3F3668C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16</w:t>
            </w:r>
          </w:p>
        </w:tc>
        <w:tc>
          <w:tcPr>
            <w:tcW w:w="548" w:type="pct"/>
          </w:tcPr>
          <w:p w14:paraId="255ECFB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Cortese</w:t>
            </w:r>
            <w:proofErr w:type="spellEnd"/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[71]</w:t>
            </w:r>
          </w:p>
        </w:tc>
        <w:tc>
          <w:tcPr>
            <w:tcW w:w="730" w:type="pct"/>
          </w:tcPr>
          <w:p w14:paraId="4152AFF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the 2-dose RV1 and 3-doses RV5 series against rotavirus disease resulting in hospitalization, emergency department or inpatient care USA</w:t>
            </w:r>
          </w:p>
        </w:tc>
        <w:tc>
          <w:tcPr>
            <w:tcW w:w="638" w:type="pct"/>
          </w:tcPr>
          <w:p w14:paraId="1C364BF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older than 8 months presenting to the hospital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(n=165)</w:t>
            </w:r>
          </w:p>
        </w:tc>
        <w:tc>
          <w:tcPr>
            <w:tcW w:w="638" w:type="pct"/>
          </w:tcPr>
          <w:p w14:paraId="6A0CE80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older than 8 months presenting to the hospital with AGE, rotavirus negative (n=428)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Community controls (n=5489)</w:t>
            </w:r>
          </w:p>
        </w:tc>
        <w:tc>
          <w:tcPr>
            <w:tcW w:w="638" w:type="pct"/>
          </w:tcPr>
          <w:p w14:paraId="0C2ED95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 &amp; RV2; None</w:t>
            </w:r>
          </w:p>
        </w:tc>
        <w:tc>
          <w:tcPr>
            <w:tcW w:w="1595" w:type="pct"/>
          </w:tcPr>
          <w:p w14:paraId="7C55D02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&gt;8 months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RV1: 91% (95% CI 80, 95)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RV5 92% (95% CI 75, 97)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12-23 months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RV1: 91% (95% CI 75, 96)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Genotypes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RV1_G2P 94% (95% CI 78, 98)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RV1_G1P 89% (95% CI 70, 96). </w:t>
            </w:r>
          </w:p>
        </w:tc>
      </w:tr>
      <w:tr w:rsidR="009A6D94" w:rsidRPr="000E70FB" w14:paraId="5734A83F" w14:textId="77777777" w:rsidTr="00F83C27">
        <w:tc>
          <w:tcPr>
            <w:tcW w:w="213" w:type="pct"/>
          </w:tcPr>
          <w:p w14:paraId="6059A24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548" w:type="pct"/>
          </w:tcPr>
          <w:p w14:paraId="69B44AA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Chang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[62]</w:t>
            </w:r>
          </w:p>
        </w:tc>
        <w:tc>
          <w:tcPr>
            <w:tcW w:w="730" w:type="pct"/>
          </w:tcPr>
          <w:p w14:paraId="449FC71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 and RV5 against rotavirus AGE resulting in hospitalization among children in Taiwan</w:t>
            </w:r>
          </w:p>
        </w:tc>
        <w:tc>
          <w:tcPr>
            <w:tcW w:w="638" w:type="pct"/>
          </w:tcPr>
          <w:p w14:paraId="40A6D8C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8–35 months hospitalized with AGE; Cases: rotavirus positive (n=184) </w:t>
            </w:r>
          </w:p>
        </w:tc>
        <w:tc>
          <w:tcPr>
            <w:tcW w:w="638" w:type="pct"/>
          </w:tcPr>
          <w:p w14:paraId="5BD77FC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 controls: non-AGE, rotavirus negative (n=909)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AGE, rotavirus negative (n=904)</w:t>
            </w:r>
          </w:p>
        </w:tc>
        <w:tc>
          <w:tcPr>
            <w:tcW w:w="638" w:type="pct"/>
          </w:tcPr>
          <w:p w14:paraId="754D7FD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 &amp; RV5; None </w:t>
            </w:r>
          </w:p>
        </w:tc>
        <w:tc>
          <w:tcPr>
            <w:tcW w:w="1595" w:type="pct"/>
          </w:tcPr>
          <w:p w14:paraId="392EE5DA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RV-negative AGE: 90.4% (95% CI 70.3, 98.1)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vs. RV-negative non-AGE: 92.5% (95% CI 77.1, 98.5)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RV-negative AGE: 96.8% (95% CI 82.3, 100)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vs. RV-negative non-AGE: 97.1% (95% CI 84, 100) </w:t>
            </w:r>
          </w:p>
        </w:tc>
      </w:tr>
      <w:tr w:rsidR="009A6D94" w:rsidRPr="000E70FB" w14:paraId="1D24AD49" w14:textId="77777777" w:rsidTr="00F83C27">
        <w:trPr>
          <w:trHeight w:val="700"/>
        </w:trPr>
        <w:tc>
          <w:tcPr>
            <w:tcW w:w="213" w:type="pct"/>
          </w:tcPr>
          <w:p w14:paraId="1A2760B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548" w:type="pct"/>
          </w:tcPr>
          <w:p w14:paraId="73B7030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Marlow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[61]</w:t>
            </w:r>
          </w:p>
        </w:tc>
        <w:tc>
          <w:tcPr>
            <w:tcW w:w="730" w:type="pct"/>
          </w:tcPr>
          <w:p w14:paraId="4EFD2C7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in Coimbra: a low vaccine coverage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setting Portugal </w:t>
            </w:r>
          </w:p>
        </w:tc>
        <w:tc>
          <w:tcPr>
            <w:tcW w:w="638" w:type="pct"/>
          </w:tcPr>
          <w:p w14:paraId="619FBF2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 8 weeks ≤36 months, with AGE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positive (n=542)</w:t>
            </w:r>
          </w:p>
        </w:tc>
        <w:tc>
          <w:tcPr>
            <w:tcW w:w="638" w:type="pct"/>
          </w:tcPr>
          <w:p w14:paraId="4875008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 8 weeks ≤36 months, with AGE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negative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(n=1099)</w:t>
            </w:r>
          </w:p>
        </w:tc>
        <w:tc>
          <w:tcPr>
            <w:tcW w:w="638" w:type="pct"/>
          </w:tcPr>
          <w:p w14:paraId="4BA302B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RV1 &amp; RV5; None </w:t>
            </w:r>
          </w:p>
        </w:tc>
        <w:tc>
          <w:tcPr>
            <w:tcW w:w="1595" w:type="pct"/>
          </w:tcPr>
          <w:p w14:paraId="47AB994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At least 1 dose of either RV1 or RV5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AGE: 83.7% (95% CI 73.9, 89.8)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against hospital admission: 96.1% (95% CI 83.8, 99.1)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Full course of either RV1 or RV5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against attendance: 83% (95% CI 71.8, 89.7) against admission: 97.5% (95% CI 81.4, 99.7) </w:t>
            </w:r>
          </w:p>
        </w:tc>
      </w:tr>
      <w:tr w:rsidR="009A6D94" w:rsidRPr="000E70FB" w14:paraId="7105723C" w14:textId="77777777" w:rsidTr="00F83C27">
        <w:tc>
          <w:tcPr>
            <w:tcW w:w="213" w:type="pct"/>
          </w:tcPr>
          <w:p w14:paraId="2318979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19</w:t>
            </w:r>
          </w:p>
        </w:tc>
        <w:tc>
          <w:tcPr>
            <w:tcW w:w="548" w:type="pct"/>
          </w:tcPr>
          <w:p w14:paraId="017C866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Payne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[68]</w:t>
            </w:r>
          </w:p>
        </w:tc>
        <w:tc>
          <w:tcPr>
            <w:tcW w:w="730" w:type="pct"/>
          </w:tcPr>
          <w:p w14:paraId="213CCB4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  of RV5 and RV1 in preventing rotavirus AGE hospitalization and emergency department (ED) visits among US children during 2 rotavirus seasons (2012 and 2013)</w:t>
            </w:r>
          </w:p>
        </w:tc>
        <w:tc>
          <w:tcPr>
            <w:tcW w:w="638" w:type="pct"/>
          </w:tcPr>
          <w:p w14:paraId="344F1C9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younger than 8 years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positive, RV5 (n=402), RV1 (n=100)</w:t>
            </w:r>
          </w:p>
        </w:tc>
        <w:tc>
          <w:tcPr>
            <w:tcW w:w="638" w:type="pct"/>
          </w:tcPr>
          <w:p w14:paraId="5A07A76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younger than 8 years, rotavirus negative, RV5 (n=2559), RV1 (n=804)</w:t>
            </w:r>
          </w:p>
        </w:tc>
        <w:tc>
          <w:tcPr>
            <w:tcW w:w="638" w:type="pct"/>
          </w:tcPr>
          <w:p w14:paraId="72ACF50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RV5 &amp; RV1; None </w:t>
            </w:r>
          </w:p>
        </w:tc>
        <w:tc>
          <w:tcPr>
            <w:tcW w:w="1595" w:type="pct"/>
          </w:tcPr>
          <w:p w14:paraId="7040623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80% (95% CI 74,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RV1: 80% (95% CI 68, 88)</w:t>
            </w:r>
          </w:p>
        </w:tc>
      </w:tr>
      <w:tr w:rsidR="009A6D94" w:rsidRPr="000E70FB" w14:paraId="1EF9D08E" w14:textId="77777777" w:rsidTr="00F83C27">
        <w:tc>
          <w:tcPr>
            <w:tcW w:w="213" w:type="pct"/>
          </w:tcPr>
          <w:p w14:paraId="78FC4AE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548" w:type="pct"/>
          </w:tcPr>
          <w:p w14:paraId="01D34BE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Mohammed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[69]</w:t>
            </w:r>
          </w:p>
        </w:tc>
        <w:tc>
          <w:tcPr>
            <w:tcW w:w="730" w:type="pct"/>
          </w:tcPr>
          <w:p w14:paraId="2214973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 and RV5: incomplete, complete and mixed regimens against rotavirus infection, association with severity of disease USA</w:t>
            </w:r>
          </w:p>
        </w:tc>
        <w:tc>
          <w:tcPr>
            <w:tcW w:w="638" w:type="pct"/>
          </w:tcPr>
          <w:p w14:paraId="0AFAFEB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born after March 1, 2009,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(n=215)</w:t>
            </w:r>
          </w:p>
        </w:tc>
        <w:tc>
          <w:tcPr>
            <w:tcW w:w="638" w:type="pct"/>
          </w:tcPr>
          <w:p w14:paraId="5A099C9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born after March 1, 2009,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negative (n=493)</w:t>
            </w:r>
          </w:p>
        </w:tc>
        <w:tc>
          <w:tcPr>
            <w:tcW w:w="638" w:type="pct"/>
          </w:tcPr>
          <w:p w14:paraId="3DCA752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 &amp; RV5; None</w:t>
            </w:r>
          </w:p>
        </w:tc>
        <w:tc>
          <w:tcPr>
            <w:tcW w:w="1595" w:type="pct"/>
          </w:tcPr>
          <w:p w14:paraId="1AFE0B0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&gt;12 months: more likely to have rotavirus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Severity score &gt;11, twice as likely to be rotavirus positive.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Prior rotavirus vaccination decreased the mean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Vesikari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score, p &lt; 0.0001.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Complete vaccination with either RV1 or RV5, protected (OR: 0.21, 95% CI 0.14, 0.31, p &lt; 0.0001) </w:t>
            </w:r>
          </w:p>
        </w:tc>
      </w:tr>
      <w:tr w:rsidR="009A6D94" w:rsidRPr="000E70FB" w14:paraId="39F64589" w14:textId="77777777" w:rsidTr="00F83C27">
        <w:tc>
          <w:tcPr>
            <w:tcW w:w="213" w:type="pct"/>
          </w:tcPr>
          <w:p w14:paraId="70C2963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548" w:type="pct"/>
          </w:tcPr>
          <w:p w14:paraId="740A033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Yeung et al.[58]</w:t>
            </w:r>
          </w:p>
        </w:tc>
        <w:tc>
          <w:tcPr>
            <w:tcW w:w="730" w:type="pct"/>
          </w:tcPr>
          <w:p w14:paraId="3F2A2E3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RV1 and RV1 in preventing rotavirus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AGE in Hong Kong, China </w:t>
            </w:r>
          </w:p>
        </w:tc>
        <w:tc>
          <w:tcPr>
            <w:tcW w:w="638" w:type="pct"/>
          </w:tcPr>
          <w:p w14:paraId="503C011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Children, 1 month to 5 years,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within 48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hours of hospitalisation (n=126)</w:t>
            </w:r>
          </w:p>
        </w:tc>
        <w:tc>
          <w:tcPr>
            <w:tcW w:w="638" w:type="pct"/>
          </w:tcPr>
          <w:p w14:paraId="2901EA8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Children, 1 month to 5 years, rotavirus negative (n=278)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638" w:type="pct"/>
          </w:tcPr>
          <w:p w14:paraId="498E1DF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RV1 &amp; RV5; None </w:t>
            </w:r>
          </w:p>
        </w:tc>
        <w:tc>
          <w:tcPr>
            <w:tcW w:w="1595" w:type="pct"/>
          </w:tcPr>
          <w:p w14:paraId="6C209B6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At least 1 dose of either vaccine: 92% (95% CI 75, 98).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matched: 96% (95% CI 72, 100)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Age and admission date matched: 89% (95% CI 51, 97) </w:t>
            </w:r>
          </w:p>
        </w:tc>
      </w:tr>
      <w:tr w:rsidR="009A6D94" w:rsidRPr="000E70FB" w14:paraId="08414BF2" w14:textId="77777777" w:rsidTr="00F83C27">
        <w:tc>
          <w:tcPr>
            <w:tcW w:w="213" w:type="pct"/>
          </w:tcPr>
          <w:p w14:paraId="37D67C8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22</w:t>
            </w:r>
          </w:p>
        </w:tc>
        <w:tc>
          <w:tcPr>
            <w:tcW w:w="548" w:type="pct"/>
          </w:tcPr>
          <w:p w14:paraId="3A730B4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Immergluck</w:t>
            </w:r>
            <w:proofErr w:type="spellEnd"/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[59]</w:t>
            </w:r>
          </w:p>
        </w:tc>
        <w:tc>
          <w:tcPr>
            <w:tcW w:w="730" w:type="pct"/>
          </w:tcPr>
          <w:p w14:paraId="6A844EE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the RV1 and RV5 vaccines USA</w:t>
            </w:r>
          </w:p>
        </w:tc>
        <w:tc>
          <w:tcPr>
            <w:tcW w:w="638" w:type="pct"/>
          </w:tcPr>
          <w:p w14:paraId="70D4B36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Children, ≥8 months, presenting to the ED with AGE Cases: rotavirus positive (n=98) </w:t>
            </w:r>
          </w:p>
        </w:tc>
        <w:tc>
          <w:tcPr>
            <w:tcW w:w="638" w:type="pct"/>
          </w:tcPr>
          <w:p w14:paraId="2AF3B0C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Children, ≥8 months, presenting to the ED with AGE Cases: rotavirus negative (n=175) </w:t>
            </w:r>
          </w:p>
        </w:tc>
        <w:tc>
          <w:tcPr>
            <w:tcW w:w="638" w:type="pct"/>
          </w:tcPr>
          <w:p w14:paraId="61D11F2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 &amp; RV5; None</w:t>
            </w:r>
          </w:p>
        </w:tc>
        <w:tc>
          <w:tcPr>
            <w:tcW w:w="1595" w:type="pct"/>
          </w:tcPr>
          <w:p w14:paraId="2EA4EDB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8-23 months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RV1: 84% (95% CI 38, 96)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3 doses of RV5: 80% (95% CI 27, 95)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&gt;24 months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RV1: 82% (95% CI 41, 95) among 3 doses of RV5: 87% (95% CI 22, 98)</w:t>
            </w:r>
          </w:p>
        </w:tc>
      </w:tr>
      <w:tr w:rsidR="009A6D94" w:rsidRPr="000E70FB" w14:paraId="21BFDC3C" w14:textId="77777777" w:rsidTr="00F83C27">
        <w:tc>
          <w:tcPr>
            <w:tcW w:w="213" w:type="pct"/>
          </w:tcPr>
          <w:p w14:paraId="4C0B460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548" w:type="pct"/>
          </w:tcPr>
          <w:p w14:paraId="678B30F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Gastañaduy</w:t>
            </w:r>
            <w:proofErr w:type="spellEnd"/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[60]</w:t>
            </w:r>
          </w:p>
        </w:tc>
        <w:tc>
          <w:tcPr>
            <w:tcW w:w="730" w:type="pct"/>
          </w:tcPr>
          <w:p w14:paraId="61E2888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 and RV5 against rotavirus diarrhoea requiring emergency department (ED) care or hospitalization in Guatemala</w:t>
            </w:r>
          </w:p>
        </w:tc>
        <w:tc>
          <w:tcPr>
            <w:tcW w:w="638" w:type="pct"/>
          </w:tcPr>
          <w:p w14:paraId="4A9CE5E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eligible children (born after June 2009), presenting to the ED or hospital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(n=213)</w:t>
            </w:r>
          </w:p>
        </w:tc>
        <w:tc>
          <w:tcPr>
            <w:tcW w:w="638" w:type="pct"/>
          </w:tcPr>
          <w:p w14:paraId="002DC67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Two control groups: children, non-AGE, rotavirus negative (n=657)</w:t>
            </w:r>
          </w:p>
          <w:p w14:paraId="77235F0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 with AGE, rotavirus negative (n=334) </w:t>
            </w:r>
          </w:p>
        </w:tc>
        <w:tc>
          <w:tcPr>
            <w:tcW w:w="638" w:type="pct"/>
          </w:tcPr>
          <w:p w14:paraId="2301784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 &amp; RV5; None </w:t>
            </w:r>
          </w:p>
        </w:tc>
        <w:tc>
          <w:tcPr>
            <w:tcW w:w="1595" w:type="pct"/>
          </w:tcPr>
          <w:p w14:paraId="0A70BAE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to 3 doses of either RV1 or RV5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hospital controls: 74% (95% CI 58,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vs. test-negative controls: 52% (95% CI 26, 69)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Vaccine effectiveness was similar across age groups and vaccine type </w:t>
            </w:r>
          </w:p>
        </w:tc>
      </w:tr>
      <w:tr w:rsidR="009A6D94" w:rsidRPr="000E70FB" w14:paraId="13D3ECE8" w14:textId="77777777" w:rsidTr="00F83C27">
        <w:tc>
          <w:tcPr>
            <w:tcW w:w="213" w:type="pct"/>
          </w:tcPr>
          <w:p w14:paraId="58709DD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548" w:type="pct"/>
          </w:tcPr>
          <w:p w14:paraId="7365571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Ali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[67]</w:t>
            </w:r>
          </w:p>
        </w:tc>
        <w:tc>
          <w:tcPr>
            <w:tcW w:w="730" w:type="pct"/>
          </w:tcPr>
          <w:p w14:paraId="11CA05F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Surveillance study: Rotavirus infections in a Lebanese paediatric population, younger than five years</w:t>
            </w:r>
          </w:p>
        </w:tc>
        <w:tc>
          <w:tcPr>
            <w:tcW w:w="638" w:type="pct"/>
          </w:tcPr>
          <w:p w14:paraId="0E537FA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 years, admitted for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(n=428)</w:t>
            </w:r>
          </w:p>
        </w:tc>
        <w:tc>
          <w:tcPr>
            <w:tcW w:w="638" w:type="pct"/>
          </w:tcPr>
          <w:p w14:paraId="345579A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 years, admitted for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negative (n=986)</w:t>
            </w:r>
          </w:p>
        </w:tc>
        <w:tc>
          <w:tcPr>
            <w:tcW w:w="638" w:type="pct"/>
          </w:tcPr>
          <w:p w14:paraId="4E2977F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 &amp; RV5; None </w:t>
            </w:r>
          </w:p>
        </w:tc>
        <w:tc>
          <w:tcPr>
            <w:tcW w:w="1595" w:type="pct"/>
          </w:tcPr>
          <w:p w14:paraId="27EB958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Median duration of hospitalization was 4 days.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RV negative subjects were more likely to be RV vaccinated (21%) compared to the RV positive subjects (11.3%) (P&lt;0.001), vaccine breakthrough rate of 18.8%.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RV1: RV5 (7.8:1)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RV1 and RV5: 68.4% (95% CI 49.6, 80.2)</w:t>
            </w:r>
          </w:p>
        </w:tc>
      </w:tr>
      <w:tr w:rsidR="009A6D94" w:rsidRPr="000E70FB" w14:paraId="5F6358AC" w14:textId="77777777" w:rsidTr="00F83C27">
        <w:tc>
          <w:tcPr>
            <w:tcW w:w="213" w:type="pct"/>
          </w:tcPr>
          <w:p w14:paraId="44342EB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25</w:t>
            </w:r>
          </w:p>
        </w:tc>
        <w:tc>
          <w:tcPr>
            <w:tcW w:w="548" w:type="pct"/>
          </w:tcPr>
          <w:p w14:paraId="20F1D3D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Yoshiyuki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[57]</w:t>
            </w:r>
          </w:p>
        </w:tc>
        <w:tc>
          <w:tcPr>
            <w:tcW w:w="730" w:type="pct"/>
          </w:tcPr>
          <w:p w14:paraId="7857B38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RV1 and RV5 against rotavirus hospitalisation in northern Japan, where there is a burden of rotavirus disease </w:t>
            </w:r>
          </w:p>
        </w:tc>
        <w:tc>
          <w:tcPr>
            <w:tcW w:w="638" w:type="pct"/>
          </w:tcPr>
          <w:p w14:paraId="578ED0C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8-59 weeks,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(n=55) </w:t>
            </w:r>
          </w:p>
        </w:tc>
        <w:tc>
          <w:tcPr>
            <w:tcW w:w="638" w:type="pct"/>
          </w:tcPr>
          <w:p w14:paraId="1CED406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8-59 weeks, with AGE, rotavirus negative (n=189)</w:t>
            </w:r>
          </w:p>
        </w:tc>
        <w:tc>
          <w:tcPr>
            <w:tcW w:w="638" w:type="pct"/>
          </w:tcPr>
          <w:p w14:paraId="54CDB4B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 or RV5; None </w:t>
            </w:r>
          </w:p>
        </w:tc>
        <w:tc>
          <w:tcPr>
            <w:tcW w:w="1595" w:type="pct"/>
          </w:tcPr>
          <w:p w14:paraId="729BD5B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Either RV1 or RV5: 70.4% (95% CI 36.0, 86.4)</w:t>
            </w:r>
          </w:p>
        </w:tc>
      </w:tr>
      <w:tr w:rsidR="009A6D94" w:rsidRPr="000E70FB" w14:paraId="52A03F57" w14:textId="77777777" w:rsidTr="00F83C27">
        <w:tc>
          <w:tcPr>
            <w:tcW w:w="213" w:type="pct"/>
          </w:tcPr>
          <w:p w14:paraId="014DB48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548" w:type="pct"/>
          </w:tcPr>
          <w:p w14:paraId="1D12493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Zaki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[14]</w:t>
            </w:r>
          </w:p>
        </w:tc>
        <w:tc>
          <w:tcPr>
            <w:tcW w:w="730" w:type="pct"/>
          </w:tcPr>
          <w:p w14:paraId="618EF3E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rotavirus vaccines in reducing hospitalisations for rotavirus AGE in Saudi Arabia, before and after rotavirus vaccines were added to the national vaccination schedule</w:t>
            </w:r>
          </w:p>
        </w:tc>
        <w:tc>
          <w:tcPr>
            <w:tcW w:w="638" w:type="pct"/>
          </w:tcPr>
          <w:p w14:paraId="4430E4F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Two groups (n=730):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Group 1: patients admitted to hospital 1 year before the vaccine was introduced to the national vaccination schedule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Group 2: patients admitted to the hospital 3 years post-vaccine</w:t>
            </w:r>
          </w:p>
        </w:tc>
        <w:tc>
          <w:tcPr>
            <w:tcW w:w="638" w:type="pct"/>
          </w:tcPr>
          <w:p w14:paraId="22CC9E5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</w:tcPr>
          <w:p w14:paraId="1EE240F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 &amp; RV5; None </w:t>
            </w:r>
          </w:p>
        </w:tc>
        <w:tc>
          <w:tcPr>
            <w:tcW w:w="1595" w:type="pct"/>
          </w:tcPr>
          <w:p w14:paraId="68E2749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Prevalence of rotavirus-positive gastroenteritis dropped from 38.5% in group 1 to 13.2% in group 2 (P = 0.0001).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Median age of rotavirus infection (P = 0.003)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Pre-vaccine period: 16 (95% CI 12, 36) months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post-vaccine period: 44 (95% CI 21, 56) </w:t>
            </w:r>
          </w:p>
        </w:tc>
      </w:tr>
      <w:tr w:rsidR="009A6D94" w:rsidRPr="000E70FB" w14:paraId="598C60DB" w14:textId="77777777" w:rsidTr="00F83C27">
        <w:tc>
          <w:tcPr>
            <w:tcW w:w="213" w:type="pct"/>
          </w:tcPr>
          <w:p w14:paraId="68AACF0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27</w:t>
            </w:r>
          </w:p>
        </w:tc>
        <w:tc>
          <w:tcPr>
            <w:tcW w:w="548" w:type="pct"/>
          </w:tcPr>
          <w:p w14:paraId="7BD6663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Araki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[66]</w:t>
            </w:r>
          </w:p>
        </w:tc>
        <w:tc>
          <w:tcPr>
            <w:tcW w:w="730" w:type="pct"/>
          </w:tcPr>
          <w:p w14:paraId="6B1C17C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and duration of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protection of RV1 and RV5 against rotavirus AGE, RVGE severity and RV genotype among children aged &lt;3 years in Japan</w:t>
            </w:r>
          </w:p>
        </w:tc>
        <w:tc>
          <w:tcPr>
            <w:tcW w:w="638" w:type="pct"/>
          </w:tcPr>
          <w:p w14:paraId="2FCA332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Children, ≥ 2 months to &lt;3 years, presenting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(n=487) </w:t>
            </w:r>
          </w:p>
        </w:tc>
        <w:tc>
          <w:tcPr>
            <w:tcW w:w="638" w:type="pct"/>
          </w:tcPr>
          <w:p w14:paraId="7B18EF4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Children, ≥ 2 months to &lt;3 years, presenting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with AGE, rotavirus negative (n=925)</w:t>
            </w:r>
          </w:p>
        </w:tc>
        <w:tc>
          <w:tcPr>
            <w:tcW w:w="638" w:type="pct"/>
          </w:tcPr>
          <w:p w14:paraId="06A052A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RV1 or RV5; None </w:t>
            </w:r>
          </w:p>
        </w:tc>
        <w:tc>
          <w:tcPr>
            <w:tcW w:w="1595" w:type="pct"/>
          </w:tcPr>
          <w:p w14:paraId="4F8FC52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rotavirus AGE: 80.0% (95% CI 72.8, 85.5)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RV1: 80.6% (95% CI 70.7, 87.1)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RV5: 80.4% (95% CI 69.1, 87.6)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Duration of protection: against AGE &gt;70% up to 2 years after vaccination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 increased with severity of AGE: 97.3% (95% CI 88.8, 99.3).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 and RV5 similar effectiveness against G1P [8] and G2P[4]</w:t>
            </w:r>
          </w:p>
        </w:tc>
      </w:tr>
      <w:tr w:rsidR="009A6D94" w:rsidRPr="000E70FB" w14:paraId="542D4844" w14:textId="77777777" w:rsidTr="00F83C27">
        <w:tc>
          <w:tcPr>
            <w:tcW w:w="213" w:type="pct"/>
          </w:tcPr>
          <w:p w14:paraId="796CA80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28</w:t>
            </w:r>
          </w:p>
        </w:tc>
        <w:tc>
          <w:tcPr>
            <w:tcW w:w="548" w:type="pct"/>
          </w:tcPr>
          <w:p w14:paraId="5876A85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Justino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[40]</w:t>
            </w:r>
          </w:p>
        </w:tc>
        <w:tc>
          <w:tcPr>
            <w:tcW w:w="730" w:type="pct"/>
          </w:tcPr>
          <w:p w14:paraId="5B24503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(VE) against severe rotavirus gastroenteritis (RVGE)</w:t>
            </w:r>
          </w:p>
          <w:p w14:paraId="1B25520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hospitalizations in Brazil </w:t>
            </w:r>
          </w:p>
          <w:p w14:paraId="01C985E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8" w:type="pct"/>
          </w:tcPr>
          <w:p w14:paraId="2B23C0B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&gt; 12 weeks, hospitalized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(n=538) </w:t>
            </w:r>
          </w:p>
        </w:tc>
        <w:tc>
          <w:tcPr>
            <w:tcW w:w="638" w:type="pct"/>
          </w:tcPr>
          <w:p w14:paraId="15A4403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 controls: no AGE, children matched to cases by date of birth (n=507) Neighbourhood controls: children, no signs of gastroenteritis, from the same neighbourhood as the case (n=346)</w:t>
            </w:r>
          </w:p>
        </w:tc>
        <w:tc>
          <w:tcPr>
            <w:tcW w:w="638" w:type="pct"/>
          </w:tcPr>
          <w:p w14:paraId="5940366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RV1; None</w:t>
            </w:r>
          </w:p>
          <w:p w14:paraId="0F73DEA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</w:tcPr>
          <w:p w14:paraId="6B310F8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rotavirus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vs. neighbourhood controls: 75.8% (95% CI 58.1, 86.0)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3 to 11 months 95.7% (95% CI, 67.8, 99.4)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&gt;12months 65.1% (95% CI, 37.2, 80.6)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hospital controls: 40.0% (95% CI 14.2, 58.1)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Age 3 to 11 months: 55.6% (95% CI, 12.3, 77.5)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&gt;12 months: 32.1% (95% CI 3.7, 55.5) Genotypes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G2P [4]: 82.0% of AGE hospitalizations. Vaccine effectiveness for G2P [4]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neighbourhood controls: 75.4% (95% CI 56.7, 86.0)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hospital controls: 38.9% (95% CI: 11.1, 58.0)</w:t>
            </w:r>
          </w:p>
        </w:tc>
      </w:tr>
      <w:tr w:rsidR="009A6D94" w:rsidRPr="000E70FB" w14:paraId="2EF4E8DD" w14:textId="77777777" w:rsidTr="00F83C27">
        <w:tc>
          <w:tcPr>
            <w:tcW w:w="213" w:type="pct"/>
          </w:tcPr>
          <w:p w14:paraId="683A48B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548" w:type="pct"/>
          </w:tcPr>
          <w:p w14:paraId="1F04A9E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Braeckman</w:t>
            </w:r>
            <w:proofErr w:type="spellEnd"/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[39]</w:t>
            </w:r>
          </w:p>
        </w:tc>
        <w:tc>
          <w:tcPr>
            <w:tcW w:w="730" w:type="pct"/>
          </w:tcPr>
          <w:p w14:paraId="10F64AA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in preventing admission to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hospital for rotavirus AGE among young children in Belgium. The study also assessed the burden of rotavirus disease, distribution of rotavirus genotypes, and co-infections with other common intestinal viruses</w:t>
            </w:r>
          </w:p>
        </w:tc>
        <w:tc>
          <w:tcPr>
            <w:tcW w:w="638" w:type="pct"/>
          </w:tcPr>
          <w:p w14:paraId="539A8C5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 who had received at least one dose of any rotavirus vaccine,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&gt; 14 weeks,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(n=215)</w:t>
            </w:r>
          </w:p>
        </w:tc>
        <w:tc>
          <w:tcPr>
            <w:tcW w:w="638" w:type="pct"/>
          </w:tcPr>
          <w:p w14:paraId="6B06846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 matched to cases by date of birth, not admitted for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AGE, rotavirus negative (n=276) </w:t>
            </w:r>
          </w:p>
        </w:tc>
        <w:tc>
          <w:tcPr>
            <w:tcW w:w="638" w:type="pct"/>
          </w:tcPr>
          <w:p w14:paraId="74122FF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RV1; None </w:t>
            </w:r>
          </w:p>
        </w:tc>
        <w:tc>
          <w:tcPr>
            <w:tcW w:w="1595" w:type="pct"/>
          </w:tcPr>
          <w:p w14:paraId="78C815B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AGE: 90% (95% CI 81, 95)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admission: 90% (95% CI 79, 96)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against severe rotavirus: 91% (80% to 96%)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moderate to mild: 66% (−31% to 91%)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against co-infections (adenovirus,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astrovirus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and/or norovirus): 86% (95% CI 52, 96)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at least 1 dose of RV1 against admission: 91% (95% CI 82, 95).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Genotypes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G2P[4]: 85% (95% CI 64, 94)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against G1P [8] 95% (95% CI 78, 99)  </w:t>
            </w:r>
          </w:p>
        </w:tc>
      </w:tr>
      <w:tr w:rsidR="009A6D94" w:rsidRPr="000E70FB" w14:paraId="6617B27D" w14:textId="77777777" w:rsidTr="00F83C27">
        <w:tc>
          <w:tcPr>
            <w:tcW w:w="213" w:type="pct"/>
          </w:tcPr>
          <w:p w14:paraId="04963DB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30</w:t>
            </w:r>
          </w:p>
        </w:tc>
        <w:tc>
          <w:tcPr>
            <w:tcW w:w="548" w:type="pct"/>
          </w:tcPr>
          <w:p w14:paraId="12CAE17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Patel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[38]</w:t>
            </w:r>
          </w:p>
        </w:tc>
        <w:tc>
          <w:tcPr>
            <w:tcW w:w="730" w:type="pct"/>
          </w:tcPr>
          <w:p w14:paraId="0C37498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2 doses of RV1 against hospital admissions for rotavirus in Bolivia</w:t>
            </w:r>
          </w:p>
        </w:tc>
        <w:tc>
          <w:tcPr>
            <w:tcW w:w="638" w:type="pct"/>
          </w:tcPr>
          <w:p w14:paraId="400B75B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&gt; 8 weeks,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(n=400)</w:t>
            </w:r>
          </w:p>
        </w:tc>
        <w:tc>
          <w:tcPr>
            <w:tcW w:w="638" w:type="pct"/>
          </w:tcPr>
          <w:p w14:paraId="12B09D0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 controls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Children, &gt; 8 weeks, presenting with AGE, rotavirus negative (n=718)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Children, not with AGE (n=1200)</w:t>
            </w:r>
          </w:p>
        </w:tc>
        <w:tc>
          <w:tcPr>
            <w:tcW w:w="638" w:type="pct"/>
          </w:tcPr>
          <w:p w14:paraId="1C8475A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RV1; None</w:t>
            </w:r>
          </w:p>
        </w:tc>
        <w:tc>
          <w:tcPr>
            <w:tcW w:w="1595" w:type="pct"/>
          </w:tcPr>
          <w:p w14:paraId="20A1466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RV1 against hospital admission: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rotavirus negative controls: 69% (95% CI 54, 79)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non-diarrhoea controls: 77% (95% CI 65,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one dose of RV1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rotavirus negative controls: 36%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vs. non-diarrhoea controls: 56%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Protection was sustained through two years of life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Hospital admissions: children under 1 year (64% and 77%) and over 1 year of age (72% and 76%). RV1 provided significant protection against diverse serotypes of Rotavirus </w:t>
            </w:r>
          </w:p>
        </w:tc>
      </w:tr>
      <w:tr w:rsidR="009A6D94" w:rsidRPr="000E70FB" w14:paraId="19A38521" w14:textId="77777777" w:rsidTr="00F83C27">
        <w:tc>
          <w:tcPr>
            <w:tcW w:w="213" w:type="pct"/>
          </w:tcPr>
          <w:p w14:paraId="36275F0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548" w:type="pct"/>
          </w:tcPr>
          <w:p w14:paraId="1F75151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Cotes-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Cantillo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[45]</w:t>
            </w:r>
          </w:p>
        </w:tc>
        <w:tc>
          <w:tcPr>
            <w:tcW w:w="730" w:type="pct"/>
          </w:tcPr>
          <w:p w14:paraId="69B6D7C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RV1 in preventing rotavirus AGE admissions to emergency departments (ED) in Colombia</w:t>
            </w:r>
          </w:p>
        </w:tc>
        <w:tc>
          <w:tcPr>
            <w:tcW w:w="638" w:type="pct"/>
          </w:tcPr>
          <w:p w14:paraId="26804DD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Children, &gt; 8 weeks, presenting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(n=193) </w:t>
            </w:r>
          </w:p>
        </w:tc>
        <w:tc>
          <w:tcPr>
            <w:tcW w:w="638" w:type="pct"/>
          </w:tcPr>
          <w:p w14:paraId="2336666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Children, &gt; 8 weeks, presenting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with AGE, rotavirus negative (n=858) </w:t>
            </w:r>
          </w:p>
        </w:tc>
        <w:tc>
          <w:tcPr>
            <w:tcW w:w="638" w:type="pct"/>
          </w:tcPr>
          <w:p w14:paraId="7903539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RV1; None</w:t>
            </w:r>
          </w:p>
        </w:tc>
        <w:tc>
          <w:tcPr>
            <w:tcW w:w="1595" w:type="pct"/>
          </w:tcPr>
          <w:p w14:paraId="0FAA76F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Age 6-11 months 79.19% (95% CI 23.7, 94.32)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Age &gt;12 months: −39.75% (95% CI −270.67, 47.24)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overnight hospitalizations: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Age 6-11 months: 84.42% (95% CI 22.68, 96.86)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Age &gt;12 months: −79.49% (95% CI, −555.8 to 51.08) </w:t>
            </w:r>
          </w:p>
        </w:tc>
      </w:tr>
      <w:tr w:rsidR="009A6D94" w:rsidRPr="000E70FB" w14:paraId="3F917747" w14:textId="77777777" w:rsidTr="00F83C27">
        <w:tc>
          <w:tcPr>
            <w:tcW w:w="213" w:type="pct"/>
          </w:tcPr>
          <w:p w14:paraId="313705D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32</w:t>
            </w:r>
          </w:p>
        </w:tc>
        <w:tc>
          <w:tcPr>
            <w:tcW w:w="548" w:type="pct"/>
          </w:tcPr>
          <w:p w14:paraId="26E74A64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Ichihara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[36]</w:t>
            </w:r>
          </w:p>
        </w:tc>
        <w:tc>
          <w:tcPr>
            <w:tcW w:w="730" w:type="pct"/>
          </w:tcPr>
          <w:p w14:paraId="121DB6E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RV1 in preventing hospitalization for rotavirus AGE in Brazil and genotype-specific vaccine effectiveness by time since second vaccine dose </w:t>
            </w:r>
          </w:p>
        </w:tc>
        <w:tc>
          <w:tcPr>
            <w:tcW w:w="638" w:type="pct"/>
          </w:tcPr>
          <w:p w14:paraId="18FE3D7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4 to 24 months,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(n=215) </w:t>
            </w:r>
          </w:p>
        </w:tc>
        <w:tc>
          <w:tcPr>
            <w:tcW w:w="638" w:type="pct"/>
          </w:tcPr>
          <w:p w14:paraId="6C89DD7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 rotavirus negative matched by age and sex to cases (n=1961)</w:t>
            </w:r>
          </w:p>
        </w:tc>
        <w:tc>
          <w:tcPr>
            <w:tcW w:w="638" w:type="pct"/>
          </w:tcPr>
          <w:p w14:paraId="000318F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RV1; None</w:t>
            </w:r>
          </w:p>
        </w:tc>
        <w:tc>
          <w:tcPr>
            <w:tcW w:w="1595" w:type="pct"/>
          </w:tcPr>
          <w:p w14:paraId="11E2A99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 doses of RV1: 76% (95% CI 58, 86) lasting for two years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after adjusting for confounders: 72% (95% CI 44, 85)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Genotypes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G1P [8]: 89% (95% CI 78, 95)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G2P [4]: 76% (95% CI 64,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all G1: 74% (95% CI 35, 90)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all G2: 76% (95% CI 63, 84)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all non G1/G2 genotypes: 63% (95% CI 27, 99).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1 dose of RV1: 62% (95% CI 39, 97). </w:t>
            </w:r>
          </w:p>
        </w:tc>
      </w:tr>
      <w:tr w:rsidR="009A6D94" w:rsidRPr="000E70FB" w14:paraId="192B146E" w14:textId="77777777" w:rsidTr="00F83C27">
        <w:tc>
          <w:tcPr>
            <w:tcW w:w="213" w:type="pct"/>
          </w:tcPr>
          <w:p w14:paraId="4A99A98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>33</w:t>
            </w:r>
          </w:p>
        </w:tc>
        <w:tc>
          <w:tcPr>
            <w:tcW w:w="548" w:type="pct"/>
          </w:tcPr>
          <w:p w14:paraId="0409BA8D" w14:textId="77777777" w:rsidR="009A6D94" w:rsidRPr="000E70FB" w:rsidRDefault="009A6D94" w:rsidP="00F83C2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>Groome</w:t>
            </w:r>
            <w:proofErr w:type="spellEnd"/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[37]</w:t>
            </w:r>
          </w:p>
        </w:tc>
        <w:tc>
          <w:tcPr>
            <w:tcW w:w="730" w:type="pct"/>
          </w:tcPr>
          <w:p w14:paraId="0446552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Vaccine effectiveness of RV 1 in preventing admission for rotavirus AGE in children younger than 2 years in a high HIV setting, where infants are 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 xml:space="preserve">HIV exposed in South Africa </w:t>
            </w:r>
          </w:p>
        </w:tc>
        <w:tc>
          <w:tcPr>
            <w:tcW w:w="638" w:type="pct"/>
          </w:tcPr>
          <w:p w14:paraId="193E10F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Children, 18 weeks to 23 months, admitted with AGE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Cases: rotavirus positive (n=540)</w:t>
            </w:r>
          </w:p>
        </w:tc>
        <w:tc>
          <w:tcPr>
            <w:tcW w:w="638" w:type="pct"/>
          </w:tcPr>
          <w:p w14:paraId="7D1D8C0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Children, 18 weeks to 23 months, admitted with AGE and respiratory infection, rotavirus negative (n=1434) </w:t>
            </w:r>
          </w:p>
        </w:tc>
        <w:tc>
          <w:tcPr>
            <w:tcW w:w="638" w:type="pct"/>
          </w:tcPr>
          <w:p w14:paraId="7190C5A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59FB4FA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2 doses of RV1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vs rotavirus-negative controls: 57% (95% CI 40, 68) (similar to respiratory controls)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Age 12-23 months: 60% (95% CI 21, 80)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Age: 18 weeks -22 months: 66% (95% CI 46, 79)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Age: 18 weeks to 23 months: 63%(95% CI 45, 75)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Adjusted: 18 weeks-11 months: 54% (95% CI 32, 68)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Adjusted: 12-23 months: 61% (95% CI 35, 77)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HIV exposed: 64% (95% CI 34, 80)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HIV unexposed: 54% (95% CI 31, 69)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1 dose of RV1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 xml:space="preserve">vs. rotavirus negative controls: 40% (95% CI 16, 57) (similar to respiratory controls) 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Age 12-23 months: 41% (95% CI -17, 71)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>Age: 18 weeks -22 months: 60% (95% CI 34 to 76)</w:t>
            </w:r>
            <w:r w:rsidRPr="000E70FB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  <w:t xml:space="preserve">Age: 18 weeks to 23 months: 54% (95% CI 31 to 69) </w:t>
            </w:r>
          </w:p>
        </w:tc>
      </w:tr>
      <w:tr w:rsidR="009A6D94" w:rsidRPr="000E70FB" w14:paraId="25A7D011" w14:textId="77777777" w:rsidTr="00F83C27">
        <w:tc>
          <w:tcPr>
            <w:tcW w:w="213" w:type="pct"/>
          </w:tcPr>
          <w:p w14:paraId="24BB8F3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34</w:t>
            </w:r>
          </w:p>
        </w:tc>
        <w:tc>
          <w:tcPr>
            <w:tcW w:w="548" w:type="pct"/>
          </w:tcPr>
          <w:p w14:paraId="4A72D161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Bar-Zeev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[35]</w:t>
            </w:r>
          </w:p>
        </w:tc>
        <w:tc>
          <w:tcPr>
            <w:tcW w:w="730" w:type="pct"/>
          </w:tcPr>
          <w:p w14:paraId="31D7554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a complete series of RV1 against rotavirus diarrhoea hospitalisation in Malawi </w:t>
            </w:r>
          </w:p>
        </w:tc>
        <w:tc>
          <w:tcPr>
            <w:tcW w:w="638" w:type="pct"/>
          </w:tcPr>
          <w:p w14:paraId="2CEE380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&lt;5years,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(n=118)</w:t>
            </w:r>
          </w:p>
        </w:tc>
        <w:tc>
          <w:tcPr>
            <w:tcW w:w="638" w:type="pct"/>
          </w:tcPr>
          <w:p w14:paraId="49E7BB0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 controls: presenting with AGE, rotavirus negative (n=317)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Community controls (n=380)</w:t>
            </w:r>
          </w:p>
        </w:tc>
        <w:tc>
          <w:tcPr>
            <w:tcW w:w="638" w:type="pct"/>
          </w:tcPr>
          <w:p w14:paraId="59FF09F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282EC77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Pre-vaccination program: 79/157 (50%) rotavirus positive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2 years Post-vaccination program: 52/170 (31%) rotavirus positive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Incidence of hospital admission: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2012: 269/ 100 000; 2013: 284/100 00; 2014: 153/ 100 000, incidence dropped by 43.2% (95% CI 18, 60.7)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Vaccine effectiveness  of 2 doses of RV1: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rotavirus-negative individuals: 64% (95% CI</w:t>
            </w:r>
            <w:r w:rsidRPr="000E70FB" w:rsidDel="00414F4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sz w:val="22"/>
              </w:rPr>
              <w:t>24, 83)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vs. community controls: 63% (95% CI 23, 83)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was more effective against genotype G1 than against G2 and G12</w:t>
            </w:r>
          </w:p>
        </w:tc>
      </w:tr>
      <w:tr w:rsidR="009A6D94" w:rsidRPr="000E70FB" w14:paraId="463FBC20" w14:textId="77777777" w:rsidTr="00F83C27">
        <w:tc>
          <w:tcPr>
            <w:tcW w:w="213" w:type="pct"/>
          </w:tcPr>
          <w:p w14:paraId="31E5E4D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548" w:type="pct"/>
          </w:tcPr>
          <w:p w14:paraId="5B8986BD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Doll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[43]</w:t>
            </w:r>
          </w:p>
        </w:tc>
        <w:tc>
          <w:tcPr>
            <w:tcW w:w="730" w:type="pct"/>
          </w:tcPr>
          <w:p w14:paraId="4602F10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effectiveness of RV1 in preventing rotavirus emergency visits and hospitalizations among young children in Canada, examine the effect of increasing vaccination coverage on the prevalence of paediatric rotavirus over time</w:t>
            </w:r>
          </w:p>
        </w:tc>
        <w:tc>
          <w:tcPr>
            <w:tcW w:w="638" w:type="pct"/>
          </w:tcPr>
          <w:p w14:paraId="79E66B3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Children, 8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weeks to &lt;3 years, presenting with AGE, diarrhoea, vomiting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(n=32)</w:t>
            </w:r>
          </w:p>
        </w:tc>
        <w:tc>
          <w:tcPr>
            <w:tcW w:w="638" w:type="pct"/>
          </w:tcPr>
          <w:p w14:paraId="17AD1C7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Children, 8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weeks to &lt;3 years, presenting with AGE, diarrhoea, vomiting, rotavirus negative: (n=342)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Surveillance (n=866)</w:t>
            </w:r>
          </w:p>
        </w:tc>
        <w:tc>
          <w:tcPr>
            <w:tcW w:w="638" w:type="pct"/>
          </w:tcPr>
          <w:p w14:paraId="6729CD4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RV1; None </w:t>
            </w:r>
          </w:p>
        </w:tc>
        <w:tc>
          <w:tcPr>
            <w:tcW w:w="1595" w:type="pct"/>
          </w:tcPr>
          <w:p w14:paraId="49B52B0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2012-13 season vs. 2013-14 season: reduced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prevalence of 70.1% (95% CI 21.9, 88.6)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 1% increase in 2 dose RV1 coverage in children 1 year of age: reduced prevalence of 3.8% (95% CI 1.8, 5.8)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Reduced prevalence of rotavirus homotypic strain: 2011–12 season: 77% (95% CI 68, 89) vs. 2013–14 season: 8% (95% CI 0, 36)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 of 2 dose RV1: 91.2% (95% CI 61.6, 98.0)</w:t>
            </w:r>
          </w:p>
        </w:tc>
      </w:tr>
      <w:tr w:rsidR="009A6D94" w:rsidRPr="000E70FB" w14:paraId="3BB2FB51" w14:textId="77777777" w:rsidTr="00F83C27">
        <w:tc>
          <w:tcPr>
            <w:tcW w:w="213" w:type="pct"/>
          </w:tcPr>
          <w:p w14:paraId="1620EDA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36</w:t>
            </w:r>
          </w:p>
        </w:tc>
        <w:tc>
          <w:tcPr>
            <w:tcW w:w="548" w:type="pct"/>
          </w:tcPr>
          <w:p w14:paraId="08499A8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Benhafid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[44]</w:t>
            </w:r>
          </w:p>
        </w:tc>
        <w:tc>
          <w:tcPr>
            <w:tcW w:w="730" w:type="pct"/>
          </w:tcPr>
          <w:p w14:paraId="0AB8E5E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RV1 in reducing the prevalence of children hospitalized with rotavirus diarrhoea; describe rotavirus genotype and prevalence before and after the introduction of vaccination in Morocco </w:t>
            </w:r>
          </w:p>
        </w:tc>
        <w:tc>
          <w:tcPr>
            <w:tcW w:w="638" w:type="pct"/>
          </w:tcPr>
          <w:p w14:paraId="7257F09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 5 years, diarrhoea positive,</w:t>
            </w:r>
          </w:p>
          <w:p w14:paraId="32B56A0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Diarrhoea positive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Pre-vaccine:  (n=1861)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post-vaccine: (n=533)</w:t>
            </w:r>
          </w:p>
          <w:p w14:paraId="74B18FF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Rotavirus positive cases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Pre-vaccine: Cases (n=766)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Post-vaccine: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Cases (n=128)</w:t>
            </w:r>
          </w:p>
        </w:tc>
        <w:tc>
          <w:tcPr>
            <w:tcW w:w="638" w:type="pct"/>
          </w:tcPr>
          <w:p w14:paraId="5AEC04F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None </w:t>
            </w:r>
          </w:p>
        </w:tc>
        <w:tc>
          <w:tcPr>
            <w:tcW w:w="638" w:type="pct"/>
          </w:tcPr>
          <w:p w14:paraId="2B88423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2562005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Pre-vaccine (2006 to 2010): 1861 children hospitalized with AGE; 766 (41%) rotaviruses positive.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proofErr w:type="gramStart"/>
            <w:r w:rsidRPr="000E70FB">
              <w:rPr>
                <w:rFonts w:ascii="Times New Roman" w:hAnsi="Times New Roman" w:cs="Times New Roman"/>
                <w:sz w:val="22"/>
              </w:rPr>
              <w:t>post-vaccine</w:t>
            </w:r>
            <w:proofErr w:type="gramEnd"/>
            <w:r w:rsidRPr="000E70FB">
              <w:rPr>
                <w:rFonts w:ascii="Times New Roman" w:hAnsi="Times New Roman" w:cs="Times New Roman"/>
                <w:sz w:val="22"/>
              </w:rPr>
              <w:t xml:space="preserve"> (2011 to 2013): 533 children hospitalized with AGE, 128 (24%) rotavirus positive.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Overall decline in prevalence of 41.5%</w:t>
            </w:r>
          </w:p>
        </w:tc>
      </w:tr>
      <w:tr w:rsidR="009A6D94" w:rsidRPr="000E70FB" w14:paraId="5F101463" w14:textId="77777777" w:rsidTr="00F83C27">
        <w:tc>
          <w:tcPr>
            <w:tcW w:w="213" w:type="pct"/>
          </w:tcPr>
          <w:p w14:paraId="5C602EB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37</w:t>
            </w:r>
          </w:p>
        </w:tc>
        <w:tc>
          <w:tcPr>
            <w:tcW w:w="548" w:type="pct"/>
          </w:tcPr>
          <w:p w14:paraId="70EDDA1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Sahakyan</w:t>
            </w:r>
            <w:proofErr w:type="spellEnd"/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 et al. </w:t>
            </w:r>
            <w:r w:rsidRPr="000E70FB">
              <w:rPr>
                <w:rFonts w:ascii="Times New Roman" w:hAnsi="Times New Roman" w:cs="Times New Roman"/>
                <w:sz w:val="22"/>
              </w:rPr>
              <w:t>[31]</w:t>
            </w:r>
          </w:p>
        </w:tc>
        <w:tc>
          <w:tcPr>
            <w:tcW w:w="730" w:type="pct"/>
          </w:tcPr>
          <w:p w14:paraId="6FD528A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RV1 on reducing disease burden in Armenia </w:t>
            </w:r>
          </w:p>
        </w:tc>
        <w:tc>
          <w:tcPr>
            <w:tcW w:w="638" w:type="pct"/>
          </w:tcPr>
          <w:p w14:paraId="5F858FC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0–59 months, with diarrhoea.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positive, between 6 months and 2 years old </w:t>
            </w:r>
          </w:p>
        </w:tc>
        <w:tc>
          <w:tcPr>
            <w:tcW w:w="638" w:type="pct"/>
          </w:tcPr>
          <w:p w14:paraId="21E9513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0–59 months, with diarrhoea, rotavirus negative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638" w:type="pct"/>
          </w:tcPr>
          <w:p w14:paraId="0EDD338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570E6A4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1st year post-vaccination: 48% reduction in  rotavirus hospitalizations in infants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&amp; 3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rd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years post-vaccinations: ≥75% reduction in rotavirus hospitalizations in infants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Hospitalisations reduced by ≥30% in non-vaccinated children in 3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rd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 introduction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Hospitalizations reduced 69% in children aged &lt;5 years.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  of 2 doses of RV1 against hospitalization: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6–23 months: 62% (95% CI 36, 77)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Aged 6–11 months: 68% (95% CI 24, 86)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12-23 months: 60% (95% CI 20, 80)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severe rotavirus disease: 79% (95% CI 55, 90)</w:t>
            </w:r>
          </w:p>
        </w:tc>
      </w:tr>
      <w:tr w:rsidR="009A6D94" w:rsidRPr="000E70FB" w14:paraId="1742B6D4" w14:textId="77777777" w:rsidTr="00F83C27">
        <w:trPr>
          <w:trHeight w:val="983"/>
        </w:trPr>
        <w:tc>
          <w:tcPr>
            <w:tcW w:w="213" w:type="pct"/>
          </w:tcPr>
          <w:p w14:paraId="06EAF7B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548" w:type="pct"/>
          </w:tcPr>
          <w:p w14:paraId="7F2D70C8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Gheorghita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[32]</w:t>
            </w:r>
          </w:p>
        </w:tc>
        <w:tc>
          <w:tcPr>
            <w:tcW w:w="730" w:type="pct"/>
          </w:tcPr>
          <w:p w14:paraId="0D4C91E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RV1 in Moldova, impact of RV1 introduction on rotavirus-associated hospitalizations in Moldova  </w:t>
            </w:r>
          </w:p>
        </w:tc>
        <w:tc>
          <w:tcPr>
            <w:tcW w:w="638" w:type="pct"/>
          </w:tcPr>
          <w:p w14:paraId="4D87393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younger than 5 years,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positive, older than 6 months (n=100)</w:t>
            </w:r>
          </w:p>
        </w:tc>
        <w:tc>
          <w:tcPr>
            <w:tcW w:w="638" w:type="pct"/>
          </w:tcPr>
          <w:p w14:paraId="57ABDAE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Children, younger than 5 years, presenting with AGE, rotavirus negative (n=875) </w:t>
            </w:r>
          </w:p>
        </w:tc>
        <w:tc>
          <w:tcPr>
            <w:tcW w:w="638" w:type="pct"/>
          </w:tcPr>
          <w:p w14:paraId="76FAF3B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14658F9A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Hospitalization for positive rotavirus declined, also in unvaccinated children: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post-vaccine: 45% to 25% (rate reduction, 36%; 95% CI 26, 44)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post-vaccine: 14% (rate reduction, 67%; 95% CI 48, 88)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The highest reduction in hospitalizations of infants younger than 1 year old.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 of 2 doses of RV1: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against hospitalization: 79% (95% CI 62, 88) against severe disease: 84% (95% CI, 64, 83) </w:t>
            </w:r>
          </w:p>
        </w:tc>
      </w:tr>
      <w:tr w:rsidR="009A6D94" w:rsidRPr="000E70FB" w14:paraId="76D44EF5" w14:textId="77777777" w:rsidTr="00F83C27">
        <w:tc>
          <w:tcPr>
            <w:tcW w:w="213" w:type="pct"/>
          </w:tcPr>
          <w:p w14:paraId="756C991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39</w:t>
            </w:r>
          </w:p>
        </w:tc>
        <w:tc>
          <w:tcPr>
            <w:tcW w:w="548" w:type="pct"/>
          </w:tcPr>
          <w:p w14:paraId="623ACCE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Gastañaduy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[60]</w:t>
            </w:r>
          </w:p>
        </w:tc>
        <w:tc>
          <w:tcPr>
            <w:tcW w:w="730" w:type="pct"/>
          </w:tcPr>
          <w:p w14:paraId="04D4360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 in preventing rotavirus diarrhoea requiring hospitalization in Botswana</w:t>
            </w:r>
          </w:p>
        </w:tc>
        <w:tc>
          <w:tcPr>
            <w:tcW w:w="638" w:type="pct"/>
          </w:tcPr>
          <w:p w14:paraId="5C2A730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≥ 4 months hospitalised with diarrhoea and/or vomiting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(n=242) </w:t>
            </w:r>
          </w:p>
        </w:tc>
        <w:tc>
          <w:tcPr>
            <w:tcW w:w="638" w:type="pct"/>
          </w:tcPr>
          <w:p w14:paraId="638BB95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≥4 months, hospitalised with diarrhoea and/or vomiting, rotavirus negative (n=368)</w:t>
            </w:r>
          </w:p>
        </w:tc>
        <w:tc>
          <w:tcPr>
            <w:tcW w:w="638" w:type="pct"/>
          </w:tcPr>
          <w:p w14:paraId="0253459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RV1; None</w:t>
            </w:r>
          </w:p>
        </w:tc>
        <w:tc>
          <w:tcPr>
            <w:tcW w:w="1595" w:type="pct"/>
          </w:tcPr>
          <w:p w14:paraId="4FA1375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2 doses of RV1 against hospitalization: 54% (95% CI 23, 73)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 dose of RV1: 48% (95% CI 1, 72)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G2P [4]: 59% (95% CI 4, 83)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Nutrition status &amp; 2 doses of RV1: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no undernutrition: 75% (95% CI 41, 89)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moderate or severe undernutrition: -28% (95% CI -309% to 60%) (P = 0.02)</w:t>
            </w:r>
          </w:p>
        </w:tc>
      </w:tr>
      <w:tr w:rsidR="009A6D94" w:rsidRPr="000E70FB" w14:paraId="2447BAFB" w14:textId="77777777" w:rsidTr="00F83C27">
        <w:tc>
          <w:tcPr>
            <w:tcW w:w="213" w:type="pct"/>
          </w:tcPr>
          <w:p w14:paraId="49E5FBB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548" w:type="pct"/>
          </w:tcPr>
          <w:p w14:paraId="16F7BA3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Bar-Zeev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[34]</w:t>
            </w:r>
          </w:p>
        </w:tc>
        <w:tc>
          <w:tcPr>
            <w:tcW w:w="730" w:type="pct"/>
          </w:tcPr>
          <w:p w14:paraId="38AF6BB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 and rotavirus prevalence in diarrheal stool and hospitalization incidence before and after rotavirus vaccine introduction in Malawi</w:t>
            </w:r>
          </w:p>
        </w:tc>
        <w:tc>
          <w:tcPr>
            <w:tcW w:w="638" w:type="pct"/>
          </w:tcPr>
          <w:p w14:paraId="3CC3BA2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 years, presenting with AGE, HIV positive or exposed or stunted.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(n=241)  </w:t>
            </w:r>
          </w:p>
        </w:tc>
        <w:tc>
          <w:tcPr>
            <w:tcW w:w="638" w:type="pct"/>
          </w:tcPr>
          <w:p w14:paraId="3BCA056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 years, presenting with AGE, HIV positive or exposed or stunted, rotavirus negative (n=692)</w:t>
            </w:r>
          </w:p>
        </w:tc>
        <w:tc>
          <w:tcPr>
            <w:tcW w:w="638" w:type="pct"/>
          </w:tcPr>
          <w:p w14:paraId="503DE49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7178043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&lt;12 months: 70.6% (95% CI 33.6, 87.0)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12 to 24 months: 31.7% (95% CI −140.6, 80.6)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effectiveness  not influenced by nutritional status (P=0.12) or HIV exposure (P=0.91)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well nourished: 78.1% (95% CI 5.6, 94.9) in stunted: 27.8% (95% CI -99.5, 73.9)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HIV unexposed: 60.5% (95% CI 13.3, 82.0)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HIV exposed: 42.2% (95% CI, −106.9, 83.8)</w:t>
            </w:r>
          </w:p>
        </w:tc>
      </w:tr>
      <w:tr w:rsidR="009A6D94" w:rsidRPr="000E70FB" w14:paraId="13F1DC54" w14:textId="77777777" w:rsidTr="00F83C27">
        <w:tc>
          <w:tcPr>
            <w:tcW w:w="213" w:type="pct"/>
          </w:tcPr>
          <w:p w14:paraId="6EDCFDC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548" w:type="pct"/>
          </w:tcPr>
          <w:p w14:paraId="2F00D040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Beres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[41]</w:t>
            </w:r>
          </w:p>
        </w:tc>
        <w:tc>
          <w:tcPr>
            <w:tcW w:w="730" w:type="pct"/>
          </w:tcPr>
          <w:p w14:paraId="4D4204F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the RV1 vaccine in Lusaka province Zambia </w:t>
            </w:r>
          </w:p>
        </w:tc>
        <w:tc>
          <w:tcPr>
            <w:tcW w:w="638" w:type="pct"/>
          </w:tcPr>
          <w:p w14:paraId="78C61A4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0 to 59 months, presenting with diarrhoea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(n=125)</w:t>
            </w:r>
          </w:p>
        </w:tc>
        <w:tc>
          <w:tcPr>
            <w:tcW w:w="638" w:type="pct"/>
          </w:tcPr>
          <w:p w14:paraId="62EBE53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0 to 59 months, presenting with diarrhoea, rotavirus negative (n=404)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Surveillance, children with vaccination cards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(n=1506)</w:t>
            </w:r>
          </w:p>
        </w:tc>
        <w:tc>
          <w:tcPr>
            <w:tcW w:w="638" w:type="pct"/>
          </w:tcPr>
          <w:p w14:paraId="0EC683A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RV1; None or pentavalent vaccine (DTP-Hib-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HepB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95" w:type="pct"/>
          </w:tcPr>
          <w:p w14:paraId="70B6128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2 doses of RV1: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&gt;6months: 26% (95% CI, −30, 58)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hospitalization: 56% (95% CI, −34, 86)</w:t>
            </w:r>
          </w:p>
        </w:tc>
      </w:tr>
      <w:tr w:rsidR="009A6D94" w:rsidRPr="000E70FB" w14:paraId="46401FB3" w14:textId="77777777" w:rsidTr="00F83C27">
        <w:tc>
          <w:tcPr>
            <w:tcW w:w="213" w:type="pct"/>
          </w:tcPr>
          <w:p w14:paraId="409E2BC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42</w:t>
            </w:r>
          </w:p>
        </w:tc>
        <w:tc>
          <w:tcPr>
            <w:tcW w:w="548" w:type="pct"/>
          </w:tcPr>
          <w:p w14:paraId="0F033489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Zaman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[30]</w:t>
            </w:r>
          </w:p>
        </w:tc>
        <w:tc>
          <w:tcPr>
            <w:tcW w:w="730" w:type="pct"/>
          </w:tcPr>
          <w:p w14:paraId="0903362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Effectiveness of a rotavirus vaccination program in reducing the risk of presenting with rotavirus AGE in vaccination eligible children in Bangladesh </w:t>
            </w:r>
          </w:p>
        </w:tc>
        <w:tc>
          <w:tcPr>
            <w:tcW w:w="638" w:type="pct"/>
          </w:tcPr>
          <w:p w14:paraId="5B421DF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&lt;2 years, eligible for vaccination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72 villages in vaccine areas with 6527 eligible children </w:t>
            </w:r>
          </w:p>
        </w:tc>
        <w:tc>
          <w:tcPr>
            <w:tcW w:w="638" w:type="pct"/>
          </w:tcPr>
          <w:p w14:paraId="12852AE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72 villages in non-vaccine areas with 5791 eligible children</w:t>
            </w:r>
          </w:p>
        </w:tc>
        <w:tc>
          <w:tcPr>
            <w:tcW w:w="638" w:type="pct"/>
          </w:tcPr>
          <w:p w14:paraId="19CAEDE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1914990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Incidence of rotavirus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non-vaccine villages: 4.10/ 100 person-years vaccine villages: 2.8/ 100 100 person-years Overall effectiveness: 29.0% (95% CI 11.3, 43.1)</w:t>
            </w:r>
          </w:p>
        </w:tc>
      </w:tr>
      <w:tr w:rsidR="009A6D94" w:rsidRPr="000E70FB" w14:paraId="29944EF0" w14:textId="77777777" w:rsidTr="00F83C27">
        <w:tc>
          <w:tcPr>
            <w:tcW w:w="213" w:type="pct"/>
          </w:tcPr>
          <w:p w14:paraId="250CF4AA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548" w:type="pct"/>
          </w:tcPr>
          <w:p w14:paraId="7D12E10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Wandera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[28]</w:t>
            </w:r>
          </w:p>
        </w:tc>
        <w:tc>
          <w:tcPr>
            <w:tcW w:w="730" w:type="pct"/>
          </w:tcPr>
          <w:p w14:paraId="5850412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Effectiveness  of a rotavirus vaccination program in Western Kenya on rotavirus AGE and distribution of strains</w:t>
            </w:r>
          </w:p>
        </w:tc>
        <w:tc>
          <w:tcPr>
            <w:tcW w:w="638" w:type="pct"/>
          </w:tcPr>
          <w:p w14:paraId="19E167F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 years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Cases: rotavirus positive (n=323) </w:t>
            </w:r>
          </w:p>
        </w:tc>
        <w:tc>
          <w:tcPr>
            <w:tcW w:w="638" w:type="pct"/>
          </w:tcPr>
          <w:p w14:paraId="775F2C6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</w:tcPr>
          <w:p w14:paraId="1938316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1BCD2F1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Hospitalizations due to rotavirus AGE declined by 48% (95% CI 27, 64)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decline: 40%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decline: 51%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Dominant strain changed from GIP (8) to G2P (4) after the introduction of the vaccine</w:t>
            </w:r>
          </w:p>
        </w:tc>
      </w:tr>
      <w:tr w:rsidR="009A6D94" w:rsidRPr="000E70FB" w14:paraId="445008BE" w14:textId="77777777" w:rsidTr="00F83C27">
        <w:tc>
          <w:tcPr>
            <w:tcW w:w="213" w:type="pct"/>
          </w:tcPr>
          <w:p w14:paraId="39A50EE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548" w:type="pct"/>
          </w:tcPr>
          <w:p w14:paraId="0C3972D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Restivo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[47]</w:t>
            </w:r>
          </w:p>
        </w:tc>
        <w:tc>
          <w:tcPr>
            <w:tcW w:w="730" w:type="pct"/>
          </w:tcPr>
          <w:p w14:paraId="12F82B9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Impact of vaccination coverage on rotavirus AGE hospitalization rates in Sicily Italy, after the first five-years universal rotavirus vaccination, to evaluate changes in hospitalization in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different age-groups and Provinces</w:t>
            </w:r>
          </w:p>
        </w:tc>
        <w:tc>
          <w:tcPr>
            <w:tcW w:w="638" w:type="pct"/>
          </w:tcPr>
          <w:p w14:paraId="55AC957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Children, 0 to 59 months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Pre-vaccination (2009 - 2012) Post vaccination (2013 - 2017)</w:t>
            </w:r>
          </w:p>
        </w:tc>
        <w:tc>
          <w:tcPr>
            <w:tcW w:w="638" w:type="pct"/>
          </w:tcPr>
          <w:p w14:paraId="58EE179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</w:tcPr>
          <w:p w14:paraId="410C129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0732D63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Pre-vaccination hospitalizations: 394/ 100 000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post-vaccination hospitalizations: 200/ 100 000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49.2% overall reduction in hospitalizations. Reductions in hospitalization by age: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0 to 11 months (-61.4%)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12-23 months (-51.2%)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24-35 months (-48.8%)</w:t>
            </w:r>
          </w:p>
        </w:tc>
      </w:tr>
      <w:tr w:rsidR="009A6D94" w:rsidRPr="000E70FB" w14:paraId="641790D6" w14:textId="77777777" w:rsidTr="00F83C27">
        <w:tc>
          <w:tcPr>
            <w:tcW w:w="213" w:type="pct"/>
            <w:shd w:val="clear" w:color="auto" w:fill="auto"/>
          </w:tcPr>
          <w:p w14:paraId="4D6C2CE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45</w:t>
            </w:r>
          </w:p>
        </w:tc>
        <w:tc>
          <w:tcPr>
            <w:tcW w:w="548" w:type="pct"/>
            <w:shd w:val="clear" w:color="auto" w:fill="auto"/>
          </w:tcPr>
          <w:p w14:paraId="4A045A03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Mpabalwani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[29]</w:t>
            </w:r>
          </w:p>
        </w:tc>
        <w:tc>
          <w:tcPr>
            <w:tcW w:w="730" w:type="pct"/>
            <w:shd w:val="clear" w:color="auto" w:fill="auto"/>
          </w:tcPr>
          <w:p w14:paraId="23FDFDB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Impact of rotavirus vaccine on hospitalisations for rotavirus AGE in children &lt;5 years in the first four years after introducing the vaccine in Zambia</w:t>
            </w:r>
          </w:p>
        </w:tc>
        <w:tc>
          <w:tcPr>
            <w:tcW w:w="638" w:type="pct"/>
            <w:shd w:val="clear" w:color="auto" w:fill="auto"/>
          </w:tcPr>
          <w:p w14:paraId="61FBC43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&lt;5 years, hospitalised for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Pre-vaccine: Jan 2009-Dec 2011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Post-vaccine: Jan 2013-Dec 2016</w:t>
            </w:r>
          </w:p>
        </w:tc>
        <w:tc>
          <w:tcPr>
            <w:tcW w:w="638" w:type="pct"/>
            <w:shd w:val="clear" w:color="auto" w:fill="auto"/>
          </w:tcPr>
          <w:p w14:paraId="12A2CD7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  <w:shd w:val="clear" w:color="auto" w:fill="auto"/>
          </w:tcPr>
          <w:p w14:paraId="0AB2230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  <w:shd w:val="clear" w:color="auto" w:fill="auto"/>
          </w:tcPr>
          <w:p w14:paraId="6EF5BB1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Pre-vaccine hospitalizations: 40%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Post-vaccine hospitalizations: 29%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Significant reduction (p &lt; 0.001)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Rotavirus positivity decreased from 2013 to 2015, and increased to 37% in 2016.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Post-vaccine years (2012 to 2016), fewer tests conducted (median decline: 34% range: 20 to 43) and lower positivity (median decline: 52% range: 30 to 65)</w:t>
            </w:r>
          </w:p>
        </w:tc>
      </w:tr>
      <w:tr w:rsidR="009A6D94" w:rsidRPr="000E70FB" w14:paraId="78F37B56" w14:textId="77777777" w:rsidTr="00F83C27">
        <w:tc>
          <w:tcPr>
            <w:tcW w:w="213" w:type="pct"/>
          </w:tcPr>
          <w:p w14:paraId="771C4B2A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548" w:type="pct"/>
          </w:tcPr>
          <w:p w14:paraId="137C79E7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Jani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[42]</w:t>
            </w:r>
          </w:p>
        </w:tc>
        <w:tc>
          <w:tcPr>
            <w:tcW w:w="730" w:type="pct"/>
          </w:tcPr>
          <w:p w14:paraId="295D5F4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 in preventing hospitalisations, and impact on detection rate before and after the vaccine was introduced in mainland Tanzania</w:t>
            </w:r>
          </w:p>
        </w:tc>
        <w:tc>
          <w:tcPr>
            <w:tcW w:w="638" w:type="pct"/>
          </w:tcPr>
          <w:p w14:paraId="7E1CB76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 5 years, presenting with AGE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(n=154)</w:t>
            </w:r>
          </w:p>
        </w:tc>
        <w:tc>
          <w:tcPr>
            <w:tcW w:w="638" w:type="pct"/>
          </w:tcPr>
          <w:p w14:paraId="2EB5B6E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 5 years, presenting with AGE, rotavirus negative (n=670)</w:t>
            </w:r>
          </w:p>
        </w:tc>
        <w:tc>
          <w:tcPr>
            <w:tcW w:w="638" w:type="pct"/>
          </w:tcPr>
          <w:p w14:paraId="0C3586F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7C87988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Positivity declined after the vaccine was introduced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Vaccine efficacy of &gt;/1 RV1 dose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hospitalization among children 5 to 23 months: 53% (95% CI -14, 81)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against hospitalization with intravenous rehydration: 66% (95% CI 9, 87) </w:t>
            </w:r>
          </w:p>
        </w:tc>
      </w:tr>
      <w:tr w:rsidR="009A6D94" w:rsidRPr="000E70FB" w14:paraId="279FC64A" w14:textId="77777777" w:rsidTr="00F83C27">
        <w:tc>
          <w:tcPr>
            <w:tcW w:w="213" w:type="pct"/>
          </w:tcPr>
          <w:p w14:paraId="2FCF7BA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548" w:type="pct"/>
          </w:tcPr>
          <w:p w14:paraId="45C8187A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Mujuru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[26]</w:t>
            </w:r>
          </w:p>
        </w:tc>
        <w:tc>
          <w:tcPr>
            <w:tcW w:w="730" w:type="pct"/>
          </w:tcPr>
          <w:p w14:paraId="285FD37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routine RV1 vaccination in Zimbabwe</w:t>
            </w:r>
          </w:p>
        </w:tc>
        <w:tc>
          <w:tcPr>
            <w:tcW w:w="638" w:type="pct"/>
          </w:tcPr>
          <w:p w14:paraId="7F41541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&gt; 6 months, &lt; 5 years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(n=903)</w:t>
            </w:r>
          </w:p>
        </w:tc>
        <w:tc>
          <w:tcPr>
            <w:tcW w:w="638" w:type="pct"/>
          </w:tcPr>
          <w:p w14:paraId="08434BC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&gt; 6 months, &lt; 5 years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negative (n=2685)</w:t>
            </w:r>
          </w:p>
        </w:tc>
        <w:tc>
          <w:tcPr>
            <w:tcW w:w="638" w:type="pct"/>
          </w:tcPr>
          <w:p w14:paraId="18BFA45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RV1; None</w:t>
            </w:r>
          </w:p>
        </w:tc>
        <w:tc>
          <w:tcPr>
            <w:tcW w:w="1595" w:type="pct"/>
          </w:tcPr>
          <w:p w14:paraId="0B11095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2 doses of RV1: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hospitalization, any severity: 61% (95% CI 21, 81)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against severe disease: 68% (95% CI 13, 88) Nutritional status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stunted infants: 45% (95% CI -148, 88) normal height for age: 71% (95% CI 29, 88) </w:t>
            </w:r>
          </w:p>
        </w:tc>
      </w:tr>
      <w:tr w:rsidR="009A6D94" w:rsidRPr="000E70FB" w14:paraId="2E2678F7" w14:textId="77777777" w:rsidTr="00F83C27">
        <w:tc>
          <w:tcPr>
            <w:tcW w:w="213" w:type="pct"/>
          </w:tcPr>
          <w:p w14:paraId="3786D88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48</w:t>
            </w:r>
          </w:p>
        </w:tc>
        <w:tc>
          <w:tcPr>
            <w:tcW w:w="548" w:type="pct"/>
          </w:tcPr>
          <w:p w14:paraId="4B2C9B9D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Maguire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[27]</w:t>
            </w:r>
          </w:p>
        </w:tc>
        <w:tc>
          <w:tcPr>
            <w:tcW w:w="730" w:type="pct"/>
          </w:tcPr>
          <w:p w14:paraId="095AAC3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RV1, surveillance of rotavirus disease, epidemiology, and genotypic profiles in Australia</w:t>
            </w:r>
          </w:p>
        </w:tc>
        <w:tc>
          <w:tcPr>
            <w:tcW w:w="638" w:type="pct"/>
          </w:tcPr>
          <w:p w14:paraId="768D1C6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&gt; 6 months eligible for vaccination.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(n=3587), 2010-2017</w:t>
            </w:r>
          </w:p>
        </w:tc>
        <w:tc>
          <w:tcPr>
            <w:tcW w:w="638" w:type="pct"/>
          </w:tcPr>
          <w:p w14:paraId="1E86BF1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Cased matched controls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10 controls for each case</w:t>
            </w:r>
          </w:p>
        </w:tc>
        <w:tc>
          <w:tcPr>
            <w:tcW w:w="638" w:type="pct"/>
          </w:tcPr>
          <w:p w14:paraId="325E510A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RV1; None</w:t>
            </w:r>
          </w:p>
        </w:tc>
        <w:tc>
          <w:tcPr>
            <w:tcW w:w="1595" w:type="pct"/>
          </w:tcPr>
          <w:p w14:paraId="6757CB7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2 doses of RV1: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6 to 11 months: 88.6%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1 to 3 years: 83.7%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Age: 4 to 9 years: 78.7%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of vaccination: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5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th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to 10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th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post-vaccination: 77.05%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Equine like G3P [8] (48%) and G8P [8] (23%) were most common genotypes in case patients &gt;/6 months.</w:t>
            </w:r>
          </w:p>
        </w:tc>
      </w:tr>
      <w:tr w:rsidR="009A6D94" w:rsidRPr="000E70FB" w14:paraId="7A97E9CF" w14:textId="77777777" w:rsidTr="00F83C27">
        <w:tc>
          <w:tcPr>
            <w:tcW w:w="213" w:type="pct"/>
          </w:tcPr>
          <w:p w14:paraId="14FB6D8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548" w:type="pct"/>
          </w:tcPr>
          <w:p w14:paraId="0CA6A18D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Gikonyo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[46]</w:t>
            </w:r>
          </w:p>
        </w:tc>
        <w:tc>
          <w:tcPr>
            <w:tcW w:w="730" w:type="pct"/>
          </w:tcPr>
          <w:p w14:paraId="6F90643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Impact of RV1 vaccination on the prevalence, age and seasonal distribution of rotavirus gastroenteritis in urban, Nairobi County, Kenya</w:t>
            </w:r>
          </w:p>
        </w:tc>
        <w:tc>
          <w:tcPr>
            <w:tcW w:w="638" w:type="pct"/>
          </w:tcPr>
          <w:p w14:paraId="116111C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Children, &lt; 5 years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Cases: rotavirus positive (n=323), 2015-2017</w:t>
            </w:r>
          </w:p>
        </w:tc>
        <w:tc>
          <w:tcPr>
            <w:tcW w:w="638" w:type="pct"/>
          </w:tcPr>
          <w:p w14:paraId="53F3047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</w:tcPr>
          <w:p w14:paraId="2CFFEE0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RV1; None </w:t>
            </w:r>
          </w:p>
        </w:tc>
        <w:tc>
          <w:tcPr>
            <w:tcW w:w="1595" w:type="pct"/>
          </w:tcPr>
          <w:p w14:paraId="715C3CD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Rotavirus infections detected in 49/323 faecal samples, prevalence = 15.2%.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In 2015, 21/95 (22.1%) samples were rotavirus positive.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In 2016, 17/115 (14.8%) samples were rotavirus positive.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In 2017, 11/ 113 (10%) samples were rotavirus positive.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Age distribution of rotavirus prevalence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 ≤ 6 months: 8.5%, 7 to 12 months: 27.4%, 13 to 24 months: 41.4%, 25 to 36 months: 16.4%, 36 to 65: 6.3%.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Rotavirus diarrhoea was more common in wet and cold months, highest prevalence in August (24.5%), July and March (12.3%), April (10.2%).</w:t>
            </w:r>
          </w:p>
        </w:tc>
      </w:tr>
      <w:tr w:rsidR="009A6D94" w:rsidRPr="000E70FB" w14:paraId="13D3BADC" w14:textId="77777777" w:rsidTr="00F83C27">
        <w:tc>
          <w:tcPr>
            <w:tcW w:w="213" w:type="pct"/>
          </w:tcPr>
          <w:p w14:paraId="30F1B06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548" w:type="pct"/>
          </w:tcPr>
          <w:p w14:paraId="4308F8D2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Bompangue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 xml:space="preserve">et al. </w:t>
            </w:r>
            <w:r w:rsidRPr="000E70FB">
              <w:rPr>
                <w:rFonts w:ascii="Times New Roman" w:hAnsi="Times New Roman" w:cs="Times New Roman"/>
                <w:sz w:val="22"/>
              </w:rPr>
              <w:t>[74]</w:t>
            </w:r>
          </w:p>
        </w:tc>
        <w:tc>
          <w:tcPr>
            <w:tcW w:w="730" w:type="pct"/>
          </w:tcPr>
          <w:p w14:paraId="4A3E59D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Temporal pattern of cholera outbreaks, number of cases per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health zone in Kinshasa Province DRC, before and after interventions were implemented</w:t>
            </w:r>
          </w:p>
        </w:tc>
        <w:tc>
          <w:tcPr>
            <w:tcW w:w="638" w:type="pct"/>
          </w:tcPr>
          <w:p w14:paraId="550A81B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Any person &gt;/2 years, cholera cases (2017 to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2018), n=1712</w:t>
            </w:r>
          </w:p>
        </w:tc>
        <w:tc>
          <w:tcPr>
            <w:tcW w:w="638" w:type="pct"/>
          </w:tcPr>
          <w:p w14:paraId="0F1F7B8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None</w:t>
            </w:r>
          </w:p>
        </w:tc>
        <w:tc>
          <w:tcPr>
            <w:tcW w:w="638" w:type="pct"/>
          </w:tcPr>
          <w:p w14:paraId="45D21A3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Grid approach: Emergency water supply,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Household water treatment, safe storage, home disinfection, hygiene promotion; None </w:t>
            </w:r>
          </w:p>
        </w:tc>
        <w:tc>
          <w:tcPr>
            <w:tcW w:w="1595" w:type="pct"/>
          </w:tcPr>
          <w:p w14:paraId="2845AB9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 xml:space="preserve">Weekly cholera cases dropped by an average of 57% after 2 weeks and 86% after 4 weeks of interventions. The total weekly cases dropped </w:t>
            </w: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by 71</w:t>
            </w:r>
            <w:proofErr w:type="gramStart"/>
            <w:r w:rsidRPr="000E70FB">
              <w:rPr>
                <w:rFonts w:ascii="Times New Roman" w:hAnsi="Times New Roman" w:cs="Times New Roman"/>
                <w:sz w:val="22"/>
              </w:rPr>
              <w:t>% ,</w:t>
            </w:r>
            <w:proofErr w:type="gramEnd"/>
            <w:r w:rsidRPr="000E70FB">
              <w:rPr>
                <w:rFonts w:ascii="Times New Roman" w:hAnsi="Times New Roman" w:cs="Times New Roman"/>
                <w:sz w:val="22"/>
              </w:rPr>
              <w:t xml:space="preserve"> following the peak of the outbreak.</w:t>
            </w:r>
          </w:p>
        </w:tc>
      </w:tr>
      <w:tr w:rsidR="009A6D94" w:rsidRPr="000E70FB" w14:paraId="05F6926D" w14:textId="77777777" w:rsidTr="00F83C27">
        <w:tc>
          <w:tcPr>
            <w:tcW w:w="213" w:type="pct"/>
          </w:tcPr>
          <w:p w14:paraId="3CB453F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51</w:t>
            </w:r>
          </w:p>
        </w:tc>
        <w:tc>
          <w:tcPr>
            <w:tcW w:w="548" w:type="pct"/>
          </w:tcPr>
          <w:p w14:paraId="6D057CC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Ali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[80]</w:t>
            </w:r>
          </w:p>
        </w:tc>
        <w:tc>
          <w:tcPr>
            <w:tcW w:w="730" w:type="pct"/>
          </w:tcPr>
          <w:p w14:paraId="0691910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The impact of the mass vaccination campaign on the spatial patterns of typhoid fever using Geographic Information System (GIS) methodologies</w:t>
            </w:r>
          </w:p>
        </w:tc>
        <w:tc>
          <w:tcPr>
            <w:tcW w:w="638" w:type="pct"/>
          </w:tcPr>
          <w:p w14:paraId="19766BC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Persons aged two years and older, living in the area where Vi vaccine was given (n=37763)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post-vaccine (n=37 578)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 vaccine (n=36 376)</w:t>
            </w:r>
          </w:p>
        </w:tc>
        <w:tc>
          <w:tcPr>
            <w:tcW w:w="638" w:type="pct"/>
          </w:tcPr>
          <w:p w14:paraId="6F1172C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Persons who got a single dose of the inactivated hepatitis A vaccine, outside of the Vi vaccine area</w:t>
            </w:r>
          </w:p>
        </w:tc>
        <w:tc>
          <w:tcPr>
            <w:tcW w:w="638" w:type="pct"/>
          </w:tcPr>
          <w:p w14:paraId="0B6D330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Vi polysaccharide; Inactivated hepatitis A vaccine</w:t>
            </w:r>
          </w:p>
        </w:tc>
        <w:tc>
          <w:tcPr>
            <w:tcW w:w="1595" w:type="pct"/>
          </w:tcPr>
          <w:p w14:paraId="774C762D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Typhoid was randomly distributed in the pre-vaccine period. Following mass vaccination, control clusters were the high-risk areas for typhoid, low-risk areas were dominated by Vi clusters. Control clusters surrounded by Vi clusters also had low risk for typhoid fevers.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Pre-vaccination incidences: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Salmonella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(S.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): 194/100 000 Salmonella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paratyphi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(S.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paratyphi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): 104/100 000 </w:t>
            </w:r>
          </w:p>
          <w:p w14:paraId="4B5E913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post-vaccination: incidence of S.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dropped, incidence of S.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paratyphi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similar to pre-vaccination period.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2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nd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 post-vaccination period: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S.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>: 190/100 000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S.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paratyphi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>: 170/100 000</w:t>
            </w:r>
          </w:p>
        </w:tc>
      </w:tr>
      <w:tr w:rsidR="009A6D94" w:rsidRPr="000E70FB" w14:paraId="0A70C19C" w14:textId="77777777" w:rsidTr="00F83C27">
        <w:trPr>
          <w:trHeight w:val="2087"/>
        </w:trPr>
        <w:tc>
          <w:tcPr>
            <w:tcW w:w="213" w:type="pct"/>
          </w:tcPr>
          <w:p w14:paraId="5F5C1B1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52</w:t>
            </w:r>
          </w:p>
        </w:tc>
        <w:tc>
          <w:tcPr>
            <w:tcW w:w="548" w:type="pct"/>
          </w:tcPr>
          <w:p w14:paraId="6B8823B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Pollock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[79]</w:t>
            </w:r>
          </w:p>
        </w:tc>
        <w:tc>
          <w:tcPr>
            <w:tcW w:w="730" w:type="pct"/>
          </w:tcPr>
          <w:p w14:paraId="60CFD01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Association between Loch Katrine sourced water with the local incidence of cryptosporidiosis in Scotland </w:t>
            </w:r>
          </w:p>
        </w:tc>
        <w:tc>
          <w:tcPr>
            <w:tcW w:w="638" w:type="pct"/>
          </w:tcPr>
          <w:p w14:paraId="1F6EF8A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Community members with cryptosporidiosis (n=395)</w:t>
            </w:r>
          </w:p>
        </w:tc>
        <w:tc>
          <w:tcPr>
            <w:tcW w:w="638" w:type="pct"/>
          </w:tcPr>
          <w:p w14:paraId="7F468AB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</w:tcPr>
          <w:p w14:paraId="5043889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Enhanced water filtration/ No enhanced filtration/ non-Loch Katrine areas</w:t>
            </w:r>
          </w:p>
        </w:tc>
        <w:tc>
          <w:tcPr>
            <w:tcW w:w="1595" w:type="pct"/>
          </w:tcPr>
          <w:p w14:paraId="49DBA5B4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Incidence of cryptosporidiosis associated with, unfiltered Loch Katrine drinking water supplied to the home (OR, 1.86, 95% CI 1.11, 3.11)</w:t>
            </w:r>
          </w:p>
        </w:tc>
      </w:tr>
      <w:tr w:rsidR="009A6D94" w:rsidRPr="000E70FB" w14:paraId="127018B8" w14:textId="77777777" w:rsidTr="00F83C27">
        <w:tc>
          <w:tcPr>
            <w:tcW w:w="213" w:type="pct"/>
          </w:tcPr>
          <w:p w14:paraId="22C041A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548" w:type="pct"/>
          </w:tcPr>
          <w:p w14:paraId="44A2B406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Khatib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[78]</w:t>
            </w:r>
          </w:p>
        </w:tc>
        <w:tc>
          <w:tcPr>
            <w:tcW w:w="730" w:type="pct"/>
          </w:tcPr>
          <w:p w14:paraId="30E131A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Effectiveness of oral cholera vaccination in high-risk populations to estimate the indirect (herd) protection Tanzania </w:t>
            </w:r>
          </w:p>
        </w:tc>
        <w:tc>
          <w:tcPr>
            <w:tcW w:w="638" w:type="pct"/>
          </w:tcPr>
          <w:p w14:paraId="4A3ACDF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People 2 years and older Vaccine eligible (n=48178)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Received the vaccine (n=23921) </w:t>
            </w:r>
          </w:p>
        </w:tc>
        <w:tc>
          <w:tcPr>
            <w:tcW w:w="638" w:type="pct"/>
          </w:tcPr>
          <w:p w14:paraId="4CFBCDE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None</w:t>
            </w:r>
          </w:p>
        </w:tc>
        <w:tc>
          <w:tcPr>
            <w:tcW w:w="638" w:type="pct"/>
          </w:tcPr>
          <w:p w14:paraId="7316DC9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Two doses of a killed whole-cell B-subunit cholera vaccine; None </w:t>
            </w:r>
          </w:p>
        </w:tc>
        <w:tc>
          <w:tcPr>
            <w:tcW w:w="1595" w:type="pct"/>
          </w:tcPr>
          <w:p w14:paraId="4F19D6F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Vaccine effectiveness of doses of cholera vaccine: 79% (95% CI 47, 92) 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Reduced risk of cholera for people living in neighbourhoods of high vaccine coverage. Herd immunity was also found </w:t>
            </w:r>
          </w:p>
          <w:p w14:paraId="2D578AAF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9A6D94" w:rsidRPr="000E70FB" w14:paraId="3FF125BD" w14:textId="77777777" w:rsidTr="00F83C27">
        <w:tc>
          <w:tcPr>
            <w:tcW w:w="213" w:type="pct"/>
          </w:tcPr>
          <w:p w14:paraId="717106B5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548" w:type="pct"/>
          </w:tcPr>
          <w:p w14:paraId="181B52FB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Wierzba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[76]</w:t>
            </w:r>
          </w:p>
        </w:tc>
        <w:tc>
          <w:tcPr>
            <w:tcW w:w="730" w:type="pct"/>
          </w:tcPr>
          <w:p w14:paraId="6B4B1929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Effectiveness of cholera vaccine for local staff, cold chain equipment staff and logistics staff to prevent clinically significant cholera in India </w:t>
            </w:r>
          </w:p>
        </w:tc>
        <w:tc>
          <w:tcPr>
            <w:tcW w:w="638" w:type="pct"/>
          </w:tcPr>
          <w:p w14:paraId="3B1119A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Patients, &gt; 1 year, with acute diarrhoea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 xml:space="preserve">Cases, cholera positive (n=44) </w:t>
            </w:r>
          </w:p>
        </w:tc>
        <w:tc>
          <w:tcPr>
            <w:tcW w:w="638" w:type="pct"/>
          </w:tcPr>
          <w:p w14:paraId="1A11FAE8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Patients, &gt; 1 year, with acute diarrhoea, cholera negative (n=366)</w:t>
            </w:r>
          </w:p>
        </w:tc>
        <w:tc>
          <w:tcPr>
            <w:tcW w:w="638" w:type="pct"/>
          </w:tcPr>
          <w:p w14:paraId="3ED3449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Two (2) dose cholera vaccine; None </w:t>
            </w:r>
          </w:p>
        </w:tc>
        <w:tc>
          <w:tcPr>
            <w:tcW w:w="1595" w:type="pct"/>
          </w:tcPr>
          <w:p w14:paraId="49FB121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2 doses of cholera vaccine: 69.0% (95% CI 14.5, 88.8%)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Single dose: 33%, test for trend, p = 0.0091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Incidence of cholera: 2.42/100 000 population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</w:r>
            <w:r w:rsidRPr="000E70FB" w:rsidDel="00571C64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9A6D94" w:rsidRPr="000E70FB" w14:paraId="1F4C6B3A" w14:textId="77777777" w:rsidTr="00F83C27">
        <w:tc>
          <w:tcPr>
            <w:tcW w:w="213" w:type="pct"/>
          </w:tcPr>
          <w:p w14:paraId="21419E67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548" w:type="pct"/>
          </w:tcPr>
          <w:p w14:paraId="6D66879E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Franke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[77]</w:t>
            </w:r>
          </w:p>
        </w:tc>
        <w:tc>
          <w:tcPr>
            <w:tcW w:w="730" w:type="pct"/>
          </w:tcPr>
          <w:p w14:paraId="116DAD1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Effectiveness and duration of 2 doses and 1 dose of cholera vaccine </w:t>
            </w:r>
          </w:p>
        </w:tc>
        <w:tc>
          <w:tcPr>
            <w:tcW w:w="638" w:type="pct"/>
          </w:tcPr>
          <w:p w14:paraId="3795119C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Participants ≥12 months, positive for Vibrio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cholerae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01 (n=178)    </w:t>
            </w:r>
          </w:p>
        </w:tc>
        <w:tc>
          <w:tcPr>
            <w:tcW w:w="638" w:type="pct"/>
          </w:tcPr>
          <w:p w14:paraId="6CD15C7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4 community controls selected for each case, from the same area (n=706)</w:t>
            </w:r>
          </w:p>
        </w:tc>
        <w:tc>
          <w:tcPr>
            <w:tcW w:w="638" w:type="pct"/>
          </w:tcPr>
          <w:p w14:paraId="36D65146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Killed, bivalent, whole-cell oral cholera vaccine; None</w:t>
            </w:r>
          </w:p>
        </w:tc>
        <w:tc>
          <w:tcPr>
            <w:tcW w:w="1595" w:type="pct"/>
          </w:tcPr>
          <w:p w14:paraId="56F8BBE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of 2 doses of cholera vaccine over 4-years: 76% (95% CI 59, 86). Vaccine effectiveness of a single dose: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1</w:t>
            </w:r>
            <w:r w:rsidRPr="000E70FB">
              <w:rPr>
                <w:rFonts w:ascii="Times New Roman" w:hAnsi="Times New Roman" w:cs="Times New Roman"/>
                <w:sz w:val="22"/>
                <w:vertAlign w:val="superscript"/>
              </w:rPr>
              <w:t>st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year: 79% (95% CI 43, 93)</w:t>
            </w:r>
            <w:r w:rsidRPr="000E70FB">
              <w:rPr>
                <w:rFonts w:ascii="Times New Roman" w:hAnsi="Times New Roman" w:cs="Times New Roman"/>
                <w:sz w:val="22"/>
              </w:rPr>
              <w:br/>
              <w:t>Dropped zero by the end of 2nd year</w:t>
            </w:r>
          </w:p>
        </w:tc>
      </w:tr>
      <w:tr w:rsidR="009A6D94" w:rsidRPr="000E70FB" w14:paraId="3399D4B2" w14:textId="77777777" w:rsidTr="00F83C27">
        <w:tc>
          <w:tcPr>
            <w:tcW w:w="213" w:type="pct"/>
          </w:tcPr>
          <w:p w14:paraId="51BA444B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lastRenderedPageBreak/>
              <w:t>56</w:t>
            </w:r>
          </w:p>
        </w:tc>
        <w:tc>
          <w:tcPr>
            <w:tcW w:w="548" w:type="pct"/>
          </w:tcPr>
          <w:p w14:paraId="71DAE23C" w14:textId="77777777" w:rsidR="009A6D94" w:rsidRPr="000E70FB" w:rsidRDefault="009A6D94" w:rsidP="00F83C2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Luquero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E70FB">
              <w:rPr>
                <w:rFonts w:ascii="Times New Roman" w:hAnsi="Times New Roman" w:cs="Times New Roman"/>
                <w:i/>
                <w:iCs/>
                <w:sz w:val="22"/>
              </w:rPr>
              <w:t>et al.</w:t>
            </w:r>
            <w:r w:rsidRPr="000E70FB">
              <w:rPr>
                <w:rFonts w:ascii="Times New Roman" w:hAnsi="Times New Roman" w:cs="Times New Roman"/>
                <w:sz w:val="22"/>
              </w:rPr>
              <w:t xml:space="preserve"> [75]</w:t>
            </w:r>
          </w:p>
        </w:tc>
        <w:tc>
          <w:tcPr>
            <w:tcW w:w="730" w:type="pct"/>
          </w:tcPr>
          <w:p w14:paraId="752614B3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 xml:space="preserve">Effectiveness of the   </w:t>
            </w: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Shanchol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vaccine in response to a cholera outbreak in an African country</w:t>
            </w:r>
          </w:p>
        </w:tc>
        <w:tc>
          <w:tcPr>
            <w:tcW w:w="638" w:type="pct"/>
          </w:tcPr>
          <w:p w14:paraId="50F50F70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Suspected cholera patients, &gt; 12 years. Cases: cholera positive (n=40)</w:t>
            </w:r>
          </w:p>
        </w:tc>
        <w:tc>
          <w:tcPr>
            <w:tcW w:w="638" w:type="pct"/>
          </w:tcPr>
          <w:p w14:paraId="645E11A1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Neighbours, same age and sex as cases who did not seek care for diarrhoea during the outbreak (n=160)</w:t>
            </w:r>
          </w:p>
        </w:tc>
        <w:tc>
          <w:tcPr>
            <w:tcW w:w="638" w:type="pct"/>
          </w:tcPr>
          <w:p w14:paraId="07D73472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E70FB">
              <w:rPr>
                <w:rFonts w:ascii="Times New Roman" w:hAnsi="Times New Roman" w:cs="Times New Roman"/>
                <w:sz w:val="22"/>
              </w:rPr>
              <w:t>Shanchol</w:t>
            </w:r>
            <w:proofErr w:type="spellEnd"/>
            <w:r w:rsidRPr="000E70FB">
              <w:rPr>
                <w:rFonts w:ascii="Times New Roman" w:hAnsi="Times New Roman" w:cs="Times New Roman"/>
                <w:sz w:val="22"/>
              </w:rPr>
              <w:t xml:space="preserve"> vaccine 2 dose cholera vaccine; None</w:t>
            </w:r>
          </w:p>
        </w:tc>
        <w:tc>
          <w:tcPr>
            <w:tcW w:w="1595" w:type="pct"/>
          </w:tcPr>
          <w:p w14:paraId="66039C8E" w14:textId="77777777" w:rsidR="009A6D94" w:rsidRPr="000E70FB" w:rsidRDefault="009A6D94" w:rsidP="00F83C27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r w:rsidRPr="000E70FB">
              <w:rPr>
                <w:rFonts w:ascii="Times New Roman" w:hAnsi="Times New Roman" w:cs="Times New Roman"/>
                <w:sz w:val="22"/>
              </w:rPr>
              <w:t>Vaccine effectiveness with 2 complete doses: 86.6%; 95% CI 56.7, 95.8 (P = 0.001)</w:t>
            </w:r>
          </w:p>
        </w:tc>
      </w:tr>
    </w:tbl>
    <w:p w14:paraId="2F8173BA" w14:textId="77777777" w:rsidR="009A6D94" w:rsidRPr="000E70FB" w:rsidRDefault="009A6D94" w:rsidP="009A6D94">
      <w:pPr>
        <w:rPr>
          <w:rFonts w:ascii="Times New Roman" w:hAnsi="Times New Roman" w:cs="Times New Roman"/>
        </w:rPr>
      </w:pPr>
    </w:p>
    <w:p w14:paraId="35E4C67F" w14:textId="77777777" w:rsidR="009A6D94" w:rsidRPr="000E70FB" w:rsidRDefault="009A6D94">
      <w:pPr>
        <w:rPr>
          <w:rFonts w:ascii="Times New Roman" w:hAnsi="Times New Roman" w:cs="Times New Roman"/>
        </w:rPr>
      </w:pPr>
    </w:p>
    <w:sectPr w:rsidR="009A6D94" w:rsidRPr="000E70FB" w:rsidSect="00501D8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799"/>
  </w:docVars>
  <w:rsids>
    <w:rsidRoot w:val="0079303C"/>
    <w:rsid w:val="00002F34"/>
    <w:rsid w:val="0000420F"/>
    <w:rsid w:val="00004628"/>
    <w:rsid w:val="00005E16"/>
    <w:rsid w:val="000076A2"/>
    <w:rsid w:val="00010513"/>
    <w:rsid w:val="000105AB"/>
    <w:rsid w:val="00010A71"/>
    <w:rsid w:val="000111CA"/>
    <w:rsid w:val="000146F1"/>
    <w:rsid w:val="00017B99"/>
    <w:rsid w:val="000200B6"/>
    <w:rsid w:val="00020A9E"/>
    <w:rsid w:val="00021BF6"/>
    <w:rsid w:val="00021E9E"/>
    <w:rsid w:val="000233A9"/>
    <w:rsid w:val="00023584"/>
    <w:rsid w:val="0002441A"/>
    <w:rsid w:val="00024690"/>
    <w:rsid w:val="000253F4"/>
    <w:rsid w:val="00025C91"/>
    <w:rsid w:val="000301EC"/>
    <w:rsid w:val="0003055B"/>
    <w:rsid w:val="00033FAD"/>
    <w:rsid w:val="000341A2"/>
    <w:rsid w:val="000362DA"/>
    <w:rsid w:val="00037884"/>
    <w:rsid w:val="00043423"/>
    <w:rsid w:val="0004496D"/>
    <w:rsid w:val="000465A3"/>
    <w:rsid w:val="00050853"/>
    <w:rsid w:val="00051A0E"/>
    <w:rsid w:val="00051AD6"/>
    <w:rsid w:val="00051C60"/>
    <w:rsid w:val="00051FC9"/>
    <w:rsid w:val="0005242B"/>
    <w:rsid w:val="000529A4"/>
    <w:rsid w:val="00056C8C"/>
    <w:rsid w:val="000618EC"/>
    <w:rsid w:val="0006204E"/>
    <w:rsid w:val="000628AA"/>
    <w:rsid w:val="000663E9"/>
    <w:rsid w:val="00070F1D"/>
    <w:rsid w:val="0007344A"/>
    <w:rsid w:val="00075666"/>
    <w:rsid w:val="000756D7"/>
    <w:rsid w:val="0007627C"/>
    <w:rsid w:val="00076B99"/>
    <w:rsid w:val="00077125"/>
    <w:rsid w:val="00084394"/>
    <w:rsid w:val="00085B04"/>
    <w:rsid w:val="00087C14"/>
    <w:rsid w:val="0009108B"/>
    <w:rsid w:val="00091698"/>
    <w:rsid w:val="00094360"/>
    <w:rsid w:val="00097873"/>
    <w:rsid w:val="000A32CE"/>
    <w:rsid w:val="000A5494"/>
    <w:rsid w:val="000A5F85"/>
    <w:rsid w:val="000A69CB"/>
    <w:rsid w:val="000A6DBE"/>
    <w:rsid w:val="000B1A67"/>
    <w:rsid w:val="000B1AF3"/>
    <w:rsid w:val="000B50C8"/>
    <w:rsid w:val="000B6EE5"/>
    <w:rsid w:val="000C02A7"/>
    <w:rsid w:val="000C364A"/>
    <w:rsid w:val="000C4116"/>
    <w:rsid w:val="000C417F"/>
    <w:rsid w:val="000C63D0"/>
    <w:rsid w:val="000C7D01"/>
    <w:rsid w:val="000D00E9"/>
    <w:rsid w:val="000D23D9"/>
    <w:rsid w:val="000D2469"/>
    <w:rsid w:val="000D3DCB"/>
    <w:rsid w:val="000D4824"/>
    <w:rsid w:val="000D5EE1"/>
    <w:rsid w:val="000D7A1A"/>
    <w:rsid w:val="000E1721"/>
    <w:rsid w:val="000E2121"/>
    <w:rsid w:val="000E25C6"/>
    <w:rsid w:val="000E26EE"/>
    <w:rsid w:val="000E2B56"/>
    <w:rsid w:val="000E2EEB"/>
    <w:rsid w:val="000E4A1F"/>
    <w:rsid w:val="000E6002"/>
    <w:rsid w:val="000E70FB"/>
    <w:rsid w:val="000E7629"/>
    <w:rsid w:val="000E7F4B"/>
    <w:rsid w:val="000F0C09"/>
    <w:rsid w:val="000F2244"/>
    <w:rsid w:val="000F3CFC"/>
    <w:rsid w:val="001000C6"/>
    <w:rsid w:val="00101270"/>
    <w:rsid w:val="00101D8E"/>
    <w:rsid w:val="00101E32"/>
    <w:rsid w:val="0010326A"/>
    <w:rsid w:val="00104FC6"/>
    <w:rsid w:val="001054AF"/>
    <w:rsid w:val="0010573D"/>
    <w:rsid w:val="001058B4"/>
    <w:rsid w:val="0010721D"/>
    <w:rsid w:val="00110B1D"/>
    <w:rsid w:val="00112872"/>
    <w:rsid w:val="00114875"/>
    <w:rsid w:val="00115553"/>
    <w:rsid w:val="00115B2D"/>
    <w:rsid w:val="001163A7"/>
    <w:rsid w:val="001226DB"/>
    <w:rsid w:val="00123D6C"/>
    <w:rsid w:val="00123EDF"/>
    <w:rsid w:val="00126AA7"/>
    <w:rsid w:val="001346AD"/>
    <w:rsid w:val="001352F2"/>
    <w:rsid w:val="00141721"/>
    <w:rsid w:val="00141AD3"/>
    <w:rsid w:val="00142A70"/>
    <w:rsid w:val="00143FAC"/>
    <w:rsid w:val="00144710"/>
    <w:rsid w:val="001517A1"/>
    <w:rsid w:val="00152E62"/>
    <w:rsid w:val="00153303"/>
    <w:rsid w:val="00155476"/>
    <w:rsid w:val="00155C45"/>
    <w:rsid w:val="00160233"/>
    <w:rsid w:val="00161651"/>
    <w:rsid w:val="001619DE"/>
    <w:rsid w:val="00162F76"/>
    <w:rsid w:val="00163C08"/>
    <w:rsid w:val="00164E02"/>
    <w:rsid w:val="00166750"/>
    <w:rsid w:val="00167F73"/>
    <w:rsid w:val="00170B51"/>
    <w:rsid w:val="00170BB9"/>
    <w:rsid w:val="00172D3E"/>
    <w:rsid w:val="00172F3E"/>
    <w:rsid w:val="0017684D"/>
    <w:rsid w:val="0017685F"/>
    <w:rsid w:val="00181779"/>
    <w:rsid w:val="00181E5D"/>
    <w:rsid w:val="001833DC"/>
    <w:rsid w:val="00183BC3"/>
    <w:rsid w:val="001854D0"/>
    <w:rsid w:val="001867C4"/>
    <w:rsid w:val="001875C5"/>
    <w:rsid w:val="00187A4E"/>
    <w:rsid w:val="00190AFB"/>
    <w:rsid w:val="00191057"/>
    <w:rsid w:val="001924A3"/>
    <w:rsid w:val="00192EF7"/>
    <w:rsid w:val="00193BF7"/>
    <w:rsid w:val="001A08F0"/>
    <w:rsid w:val="001A1B23"/>
    <w:rsid w:val="001A2619"/>
    <w:rsid w:val="001A4B0F"/>
    <w:rsid w:val="001A54EB"/>
    <w:rsid w:val="001A57E4"/>
    <w:rsid w:val="001A6DEE"/>
    <w:rsid w:val="001B170B"/>
    <w:rsid w:val="001B5655"/>
    <w:rsid w:val="001B5E29"/>
    <w:rsid w:val="001B64E7"/>
    <w:rsid w:val="001B68A0"/>
    <w:rsid w:val="001B6CFE"/>
    <w:rsid w:val="001B6DF7"/>
    <w:rsid w:val="001B6E64"/>
    <w:rsid w:val="001C2094"/>
    <w:rsid w:val="001C3D95"/>
    <w:rsid w:val="001C575F"/>
    <w:rsid w:val="001C6D52"/>
    <w:rsid w:val="001C6F71"/>
    <w:rsid w:val="001D0BDB"/>
    <w:rsid w:val="001E1ECC"/>
    <w:rsid w:val="001E52B9"/>
    <w:rsid w:val="001E5FB6"/>
    <w:rsid w:val="001E61CE"/>
    <w:rsid w:val="001E6925"/>
    <w:rsid w:val="001E76A9"/>
    <w:rsid w:val="001F139B"/>
    <w:rsid w:val="001F6390"/>
    <w:rsid w:val="001F76C8"/>
    <w:rsid w:val="001F7713"/>
    <w:rsid w:val="002008A6"/>
    <w:rsid w:val="00202C6A"/>
    <w:rsid w:val="00203D94"/>
    <w:rsid w:val="00204646"/>
    <w:rsid w:val="002074D3"/>
    <w:rsid w:val="00210024"/>
    <w:rsid w:val="0021078D"/>
    <w:rsid w:val="00211610"/>
    <w:rsid w:val="002122FD"/>
    <w:rsid w:val="002131B6"/>
    <w:rsid w:val="002152AE"/>
    <w:rsid w:val="0021662B"/>
    <w:rsid w:val="00216870"/>
    <w:rsid w:val="0021784B"/>
    <w:rsid w:val="00220091"/>
    <w:rsid w:val="00220370"/>
    <w:rsid w:val="002207CE"/>
    <w:rsid w:val="002212D7"/>
    <w:rsid w:val="00223C05"/>
    <w:rsid w:val="00225711"/>
    <w:rsid w:val="00230791"/>
    <w:rsid w:val="00231585"/>
    <w:rsid w:val="002429BE"/>
    <w:rsid w:val="00245E5C"/>
    <w:rsid w:val="00247408"/>
    <w:rsid w:val="0025274C"/>
    <w:rsid w:val="00252CA6"/>
    <w:rsid w:val="00252D2B"/>
    <w:rsid w:val="002539F6"/>
    <w:rsid w:val="00253F2B"/>
    <w:rsid w:val="00255547"/>
    <w:rsid w:val="00256356"/>
    <w:rsid w:val="002566F1"/>
    <w:rsid w:val="0025768F"/>
    <w:rsid w:val="00257F50"/>
    <w:rsid w:val="00261938"/>
    <w:rsid w:val="00264DC9"/>
    <w:rsid w:val="00266B1B"/>
    <w:rsid w:val="002710AF"/>
    <w:rsid w:val="0027298D"/>
    <w:rsid w:val="00272A48"/>
    <w:rsid w:val="00275EDF"/>
    <w:rsid w:val="00275F6D"/>
    <w:rsid w:val="0027634D"/>
    <w:rsid w:val="002773A4"/>
    <w:rsid w:val="002812A2"/>
    <w:rsid w:val="002849DE"/>
    <w:rsid w:val="00287A60"/>
    <w:rsid w:val="00287BDE"/>
    <w:rsid w:val="00287C88"/>
    <w:rsid w:val="00294AE4"/>
    <w:rsid w:val="00295910"/>
    <w:rsid w:val="002976E4"/>
    <w:rsid w:val="002A2645"/>
    <w:rsid w:val="002A4D73"/>
    <w:rsid w:val="002B2EFA"/>
    <w:rsid w:val="002B4507"/>
    <w:rsid w:val="002C045C"/>
    <w:rsid w:val="002C56DA"/>
    <w:rsid w:val="002C6696"/>
    <w:rsid w:val="002C72D6"/>
    <w:rsid w:val="002D0F30"/>
    <w:rsid w:val="002D1735"/>
    <w:rsid w:val="002D17EC"/>
    <w:rsid w:val="002D2738"/>
    <w:rsid w:val="002D2B09"/>
    <w:rsid w:val="002D3331"/>
    <w:rsid w:val="002D3CD3"/>
    <w:rsid w:val="002D3D27"/>
    <w:rsid w:val="002D4CBE"/>
    <w:rsid w:val="002D5958"/>
    <w:rsid w:val="002D6AC5"/>
    <w:rsid w:val="002D7529"/>
    <w:rsid w:val="002E328B"/>
    <w:rsid w:val="002E3D73"/>
    <w:rsid w:val="002F3B62"/>
    <w:rsid w:val="002F591B"/>
    <w:rsid w:val="002F5956"/>
    <w:rsid w:val="002F7720"/>
    <w:rsid w:val="00300723"/>
    <w:rsid w:val="00301A94"/>
    <w:rsid w:val="00301BD1"/>
    <w:rsid w:val="003056DB"/>
    <w:rsid w:val="00305941"/>
    <w:rsid w:val="003103F5"/>
    <w:rsid w:val="00310C9E"/>
    <w:rsid w:val="00311D74"/>
    <w:rsid w:val="00313007"/>
    <w:rsid w:val="00313FD2"/>
    <w:rsid w:val="00316549"/>
    <w:rsid w:val="00321DF5"/>
    <w:rsid w:val="00325113"/>
    <w:rsid w:val="003254A3"/>
    <w:rsid w:val="00326093"/>
    <w:rsid w:val="00326E9A"/>
    <w:rsid w:val="00330B59"/>
    <w:rsid w:val="003315D4"/>
    <w:rsid w:val="003317AE"/>
    <w:rsid w:val="003317B2"/>
    <w:rsid w:val="0033391F"/>
    <w:rsid w:val="00334306"/>
    <w:rsid w:val="00335113"/>
    <w:rsid w:val="00335A3C"/>
    <w:rsid w:val="003366E9"/>
    <w:rsid w:val="0033767B"/>
    <w:rsid w:val="0033790F"/>
    <w:rsid w:val="00341350"/>
    <w:rsid w:val="003420A4"/>
    <w:rsid w:val="00343024"/>
    <w:rsid w:val="0034417B"/>
    <w:rsid w:val="00344709"/>
    <w:rsid w:val="0034602F"/>
    <w:rsid w:val="003460C6"/>
    <w:rsid w:val="00354124"/>
    <w:rsid w:val="00354CE0"/>
    <w:rsid w:val="00355E97"/>
    <w:rsid w:val="003576B0"/>
    <w:rsid w:val="0036049C"/>
    <w:rsid w:val="00364A63"/>
    <w:rsid w:val="00365A82"/>
    <w:rsid w:val="00366B71"/>
    <w:rsid w:val="003671F5"/>
    <w:rsid w:val="003731CC"/>
    <w:rsid w:val="00373D8D"/>
    <w:rsid w:val="0037518D"/>
    <w:rsid w:val="00382176"/>
    <w:rsid w:val="003829CD"/>
    <w:rsid w:val="00382D30"/>
    <w:rsid w:val="0038407A"/>
    <w:rsid w:val="00384BBD"/>
    <w:rsid w:val="00386697"/>
    <w:rsid w:val="00391CD5"/>
    <w:rsid w:val="00392D89"/>
    <w:rsid w:val="00394028"/>
    <w:rsid w:val="0039455B"/>
    <w:rsid w:val="00394823"/>
    <w:rsid w:val="00397FD6"/>
    <w:rsid w:val="003A178E"/>
    <w:rsid w:val="003A4913"/>
    <w:rsid w:val="003A576A"/>
    <w:rsid w:val="003A61C4"/>
    <w:rsid w:val="003A6C00"/>
    <w:rsid w:val="003B07FC"/>
    <w:rsid w:val="003B0DF3"/>
    <w:rsid w:val="003B2A4B"/>
    <w:rsid w:val="003B5F22"/>
    <w:rsid w:val="003B79F6"/>
    <w:rsid w:val="003B7D14"/>
    <w:rsid w:val="003C1743"/>
    <w:rsid w:val="003C192F"/>
    <w:rsid w:val="003C2477"/>
    <w:rsid w:val="003C247F"/>
    <w:rsid w:val="003C2629"/>
    <w:rsid w:val="003C35F3"/>
    <w:rsid w:val="003C479E"/>
    <w:rsid w:val="003C5E36"/>
    <w:rsid w:val="003D001B"/>
    <w:rsid w:val="003D04AF"/>
    <w:rsid w:val="003D1CA1"/>
    <w:rsid w:val="003D1E98"/>
    <w:rsid w:val="003D2504"/>
    <w:rsid w:val="003D2C1D"/>
    <w:rsid w:val="003D3235"/>
    <w:rsid w:val="003D4707"/>
    <w:rsid w:val="003D48AD"/>
    <w:rsid w:val="003D6AA6"/>
    <w:rsid w:val="003D6E26"/>
    <w:rsid w:val="003D718E"/>
    <w:rsid w:val="003D77D5"/>
    <w:rsid w:val="003D79DD"/>
    <w:rsid w:val="003E37DE"/>
    <w:rsid w:val="003E6632"/>
    <w:rsid w:val="003E67AF"/>
    <w:rsid w:val="003E6B08"/>
    <w:rsid w:val="003F11EB"/>
    <w:rsid w:val="003F13FA"/>
    <w:rsid w:val="003F23D2"/>
    <w:rsid w:val="003F53EC"/>
    <w:rsid w:val="00401005"/>
    <w:rsid w:val="00405987"/>
    <w:rsid w:val="00406CE7"/>
    <w:rsid w:val="0041135C"/>
    <w:rsid w:val="00414C2A"/>
    <w:rsid w:val="00414F45"/>
    <w:rsid w:val="00415FE9"/>
    <w:rsid w:val="00416176"/>
    <w:rsid w:val="004175E5"/>
    <w:rsid w:val="0041778A"/>
    <w:rsid w:val="00417DF1"/>
    <w:rsid w:val="00423975"/>
    <w:rsid w:val="004309A1"/>
    <w:rsid w:val="004328ED"/>
    <w:rsid w:val="00432D15"/>
    <w:rsid w:val="00433F01"/>
    <w:rsid w:val="004340CE"/>
    <w:rsid w:val="0043578B"/>
    <w:rsid w:val="00435A38"/>
    <w:rsid w:val="004376F4"/>
    <w:rsid w:val="0044316C"/>
    <w:rsid w:val="00443216"/>
    <w:rsid w:val="00444555"/>
    <w:rsid w:val="004453BD"/>
    <w:rsid w:val="004469EB"/>
    <w:rsid w:val="00446A00"/>
    <w:rsid w:val="004471AE"/>
    <w:rsid w:val="00447637"/>
    <w:rsid w:val="004479CE"/>
    <w:rsid w:val="00452138"/>
    <w:rsid w:val="00452648"/>
    <w:rsid w:val="004539EA"/>
    <w:rsid w:val="004543AC"/>
    <w:rsid w:val="00455EF1"/>
    <w:rsid w:val="00461B17"/>
    <w:rsid w:val="00462257"/>
    <w:rsid w:val="00462B13"/>
    <w:rsid w:val="00471017"/>
    <w:rsid w:val="00472A3B"/>
    <w:rsid w:val="004742E2"/>
    <w:rsid w:val="004751CE"/>
    <w:rsid w:val="0047627F"/>
    <w:rsid w:val="0048133E"/>
    <w:rsid w:val="0048356E"/>
    <w:rsid w:val="00483C19"/>
    <w:rsid w:val="00487B26"/>
    <w:rsid w:val="00490FF7"/>
    <w:rsid w:val="00491E38"/>
    <w:rsid w:val="00492007"/>
    <w:rsid w:val="00492FC3"/>
    <w:rsid w:val="00494563"/>
    <w:rsid w:val="004945AC"/>
    <w:rsid w:val="004950EF"/>
    <w:rsid w:val="004A0A75"/>
    <w:rsid w:val="004A5980"/>
    <w:rsid w:val="004A6CCC"/>
    <w:rsid w:val="004A7AB2"/>
    <w:rsid w:val="004B086C"/>
    <w:rsid w:val="004B0BB9"/>
    <w:rsid w:val="004B238B"/>
    <w:rsid w:val="004B2FEA"/>
    <w:rsid w:val="004B41F4"/>
    <w:rsid w:val="004B4CD8"/>
    <w:rsid w:val="004B6743"/>
    <w:rsid w:val="004B694B"/>
    <w:rsid w:val="004B6F9F"/>
    <w:rsid w:val="004C1A5B"/>
    <w:rsid w:val="004C2CC3"/>
    <w:rsid w:val="004C3963"/>
    <w:rsid w:val="004C456B"/>
    <w:rsid w:val="004C4FBF"/>
    <w:rsid w:val="004C50AD"/>
    <w:rsid w:val="004C5394"/>
    <w:rsid w:val="004C6AC2"/>
    <w:rsid w:val="004D2313"/>
    <w:rsid w:val="004D3396"/>
    <w:rsid w:val="004D4F2C"/>
    <w:rsid w:val="004D6F54"/>
    <w:rsid w:val="004E0152"/>
    <w:rsid w:val="004E1A63"/>
    <w:rsid w:val="004E1C63"/>
    <w:rsid w:val="004E2086"/>
    <w:rsid w:val="004E4C7F"/>
    <w:rsid w:val="004E4FB6"/>
    <w:rsid w:val="004E6B9A"/>
    <w:rsid w:val="004F0350"/>
    <w:rsid w:val="004F0914"/>
    <w:rsid w:val="004F303B"/>
    <w:rsid w:val="004F3FCC"/>
    <w:rsid w:val="004F4FAF"/>
    <w:rsid w:val="004F6E19"/>
    <w:rsid w:val="00500400"/>
    <w:rsid w:val="00501768"/>
    <w:rsid w:val="00501D89"/>
    <w:rsid w:val="00503B88"/>
    <w:rsid w:val="00503E38"/>
    <w:rsid w:val="005048F1"/>
    <w:rsid w:val="00506546"/>
    <w:rsid w:val="00507611"/>
    <w:rsid w:val="00510180"/>
    <w:rsid w:val="00515B44"/>
    <w:rsid w:val="00515C3C"/>
    <w:rsid w:val="005163F4"/>
    <w:rsid w:val="00516EE5"/>
    <w:rsid w:val="00521F8C"/>
    <w:rsid w:val="00521FD6"/>
    <w:rsid w:val="005221F8"/>
    <w:rsid w:val="0053240D"/>
    <w:rsid w:val="00535320"/>
    <w:rsid w:val="00535741"/>
    <w:rsid w:val="005401DE"/>
    <w:rsid w:val="00540802"/>
    <w:rsid w:val="005421D3"/>
    <w:rsid w:val="0054356A"/>
    <w:rsid w:val="0054481C"/>
    <w:rsid w:val="00544EB9"/>
    <w:rsid w:val="0054577D"/>
    <w:rsid w:val="0054674C"/>
    <w:rsid w:val="0055262E"/>
    <w:rsid w:val="00557278"/>
    <w:rsid w:val="005604C9"/>
    <w:rsid w:val="00561C47"/>
    <w:rsid w:val="00562428"/>
    <w:rsid w:val="0056436A"/>
    <w:rsid w:val="00564BB1"/>
    <w:rsid w:val="005652C1"/>
    <w:rsid w:val="00565D3C"/>
    <w:rsid w:val="00567D63"/>
    <w:rsid w:val="0057018D"/>
    <w:rsid w:val="005702FC"/>
    <w:rsid w:val="00570CEF"/>
    <w:rsid w:val="00571C64"/>
    <w:rsid w:val="005722E7"/>
    <w:rsid w:val="005763F9"/>
    <w:rsid w:val="00576A9B"/>
    <w:rsid w:val="00576B7E"/>
    <w:rsid w:val="00580351"/>
    <w:rsid w:val="0058169A"/>
    <w:rsid w:val="00581BC8"/>
    <w:rsid w:val="00583C46"/>
    <w:rsid w:val="00585488"/>
    <w:rsid w:val="00586BF1"/>
    <w:rsid w:val="00587D3B"/>
    <w:rsid w:val="005915F6"/>
    <w:rsid w:val="005A0BD6"/>
    <w:rsid w:val="005A135C"/>
    <w:rsid w:val="005A3C9E"/>
    <w:rsid w:val="005A49C0"/>
    <w:rsid w:val="005A5570"/>
    <w:rsid w:val="005A7149"/>
    <w:rsid w:val="005B0516"/>
    <w:rsid w:val="005B0FC2"/>
    <w:rsid w:val="005B3C36"/>
    <w:rsid w:val="005B3EF8"/>
    <w:rsid w:val="005B4498"/>
    <w:rsid w:val="005B4F21"/>
    <w:rsid w:val="005B56ED"/>
    <w:rsid w:val="005B5B6B"/>
    <w:rsid w:val="005B647D"/>
    <w:rsid w:val="005C014C"/>
    <w:rsid w:val="005C1CF0"/>
    <w:rsid w:val="005C279E"/>
    <w:rsid w:val="005C2B17"/>
    <w:rsid w:val="005C52A6"/>
    <w:rsid w:val="005C5F0B"/>
    <w:rsid w:val="005C6CF0"/>
    <w:rsid w:val="005C7688"/>
    <w:rsid w:val="005D05E4"/>
    <w:rsid w:val="005D092C"/>
    <w:rsid w:val="005D0A1A"/>
    <w:rsid w:val="005D479E"/>
    <w:rsid w:val="005D5301"/>
    <w:rsid w:val="005D5D07"/>
    <w:rsid w:val="005D6220"/>
    <w:rsid w:val="005E0307"/>
    <w:rsid w:val="005E05AC"/>
    <w:rsid w:val="005E0A40"/>
    <w:rsid w:val="005E1907"/>
    <w:rsid w:val="005E1A56"/>
    <w:rsid w:val="005E27D4"/>
    <w:rsid w:val="005E453A"/>
    <w:rsid w:val="005E4D41"/>
    <w:rsid w:val="005F23FC"/>
    <w:rsid w:val="005F2495"/>
    <w:rsid w:val="005F3803"/>
    <w:rsid w:val="005F7975"/>
    <w:rsid w:val="005F7F5A"/>
    <w:rsid w:val="006007B8"/>
    <w:rsid w:val="0060156D"/>
    <w:rsid w:val="00602531"/>
    <w:rsid w:val="00602AA3"/>
    <w:rsid w:val="00606348"/>
    <w:rsid w:val="00606481"/>
    <w:rsid w:val="00610536"/>
    <w:rsid w:val="00613062"/>
    <w:rsid w:val="00613542"/>
    <w:rsid w:val="00614F0E"/>
    <w:rsid w:val="006171A1"/>
    <w:rsid w:val="00617B18"/>
    <w:rsid w:val="0062065E"/>
    <w:rsid w:val="0062069E"/>
    <w:rsid w:val="0062323D"/>
    <w:rsid w:val="00625AAF"/>
    <w:rsid w:val="00626385"/>
    <w:rsid w:val="00627B67"/>
    <w:rsid w:val="00636ECE"/>
    <w:rsid w:val="006403FD"/>
    <w:rsid w:val="00640CB8"/>
    <w:rsid w:val="0064240C"/>
    <w:rsid w:val="00642C45"/>
    <w:rsid w:val="0064335F"/>
    <w:rsid w:val="0064366D"/>
    <w:rsid w:val="00643CEF"/>
    <w:rsid w:val="00644568"/>
    <w:rsid w:val="00646880"/>
    <w:rsid w:val="006528C8"/>
    <w:rsid w:val="006530E5"/>
    <w:rsid w:val="0065558B"/>
    <w:rsid w:val="006560B1"/>
    <w:rsid w:val="00656AF0"/>
    <w:rsid w:val="00656ED5"/>
    <w:rsid w:val="0065749B"/>
    <w:rsid w:val="00660922"/>
    <w:rsid w:val="00665176"/>
    <w:rsid w:val="0066687F"/>
    <w:rsid w:val="006676AC"/>
    <w:rsid w:val="00667722"/>
    <w:rsid w:val="00667EDF"/>
    <w:rsid w:val="00670522"/>
    <w:rsid w:val="006726BB"/>
    <w:rsid w:val="00672DBF"/>
    <w:rsid w:val="00673A6B"/>
    <w:rsid w:val="006755FD"/>
    <w:rsid w:val="006804DA"/>
    <w:rsid w:val="00682EF4"/>
    <w:rsid w:val="0068364D"/>
    <w:rsid w:val="00683D50"/>
    <w:rsid w:val="00691377"/>
    <w:rsid w:val="00692293"/>
    <w:rsid w:val="006927C2"/>
    <w:rsid w:val="00692B41"/>
    <w:rsid w:val="006945BD"/>
    <w:rsid w:val="00694A0D"/>
    <w:rsid w:val="00697C33"/>
    <w:rsid w:val="006A1949"/>
    <w:rsid w:val="006A2330"/>
    <w:rsid w:val="006A424F"/>
    <w:rsid w:val="006A51F9"/>
    <w:rsid w:val="006A769F"/>
    <w:rsid w:val="006B1C98"/>
    <w:rsid w:val="006B1CB6"/>
    <w:rsid w:val="006B36B5"/>
    <w:rsid w:val="006B4D6F"/>
    <w:rsid w:val="006B5DD7"/>
    <w:rsid w:val="006C1B37"/>
    <w:rsid w:val="006C28E0"/>
    <w:rsid w:val="006C3088"/>
    <w:rsid w:val="006C344A"/>
    <w:rsid w:val="006C3F6C"/>
    <w:rsid w:val="006C4991"/>
    <w:rsid w:val="006C6C48"/>
    <w:rsid w:val="006D30EB"/>
    <w:rsid w:val="006D323D"/>
    <w:rsid w:val="006D3423"/>
    <w:rsid w:val="006D444F"/>
    <w:rsid w:val="006D4E4C"/>
    <w:rsid w:val="006D535C"/>
    <w:rsid w:val="006D53B3"/>
    <w:rsid w:val="006D6030"/>
    <w:rsid w:val="006D604C"/>
    <w:rsid w:val="006D67A5"/>
    <w:rsid w:val="006D6E58"/>
    <w:rsid w:val="006D7707"/>
    <w:rsid w:val="006D7FAC"/>
    <w:rsid w:val="006E1120"/>
    <w:rsid w:val="006E277B"/>
    <w:rsid w:val="006E56A3"/>
    <w:rsid w:val="006E587A"/>
    <w:rsid w:val="006E5CB7"/>
    <w:rsid w:val="006E7B19"/>
    <w:rsid w:val="006F36E5"/>
    <w:rsid w:val="006F41B1"/>
    <w:rsid w:val="006F4FBD"/>
    <w:rsid w:val="006F67DF"/>
    <w:rsid w:val="006F6F16"/>
    <w:rsid w:val="007009CA"/>
    <w:rsid w:val="0070344A"/>
    <w:rsid w:val="00704FBB"/>
    <w:rsid w:val="0070545D"/>
    <w:rsid w:val="00707589"/>
    <w:rsid w:val="00710A1C"/>
    <w:rsid w:val="00711CEE"/>
    <w:rsid w:val="007139CD"/>
    <w:rsid w:val="00714ED6"/>
    <w:rsid w:val="007201B9"/>
    <w:rsid w:val="0072083A"/>
    <w:rsid w:val="00722F56"/>
    <w:rsid w:val="00723105"/>
    <w:rsid w:val="00723E2A"/>
    <w:rsid w:val="00723F45"/>
    <w:rsid w:val="0072422B"/>
    <w:rsid w:val="00726CD0"/>
    <w:rsid w:val="0073069E"/>
    <w:rsid w:val="00732DBD"/>
    <w:rsid w:val="00737A3C"/>
    <w:rsid w:val="00740270"/>
    <w:rsid w:val="0074103E"/>
    <w:rsid w:val="0074179B"/>
    <w:rsid w:val="007426B4"/>
    <w:rsid w:val="00742BA5"/>
    <w:rsid w:val="007439C3"/>
    <w:rsid w:val="007459CE"/>
    <w:rsid w:val="007526FF"/>
    <w:rsid w:val="00754924"/>
    <w:rsid w:val="00755542"/>
    <w:rsid w:val="00756A67"/>
    <w:rsid w:val="00756D5B"/>
    <w:rsid w:val="00760EB4"/>
    <w:rsid w:val="0076141B"/>
    <w:rsid w:val="00764342"/>
    <w:rsid w:val="007653BA"/>
    <w:rsid w:val="00766242"/>
    <w:rsid w:val="007669B5"/>
    <w:rsid w:val="00771316"/>
    <w:rsid w:val="00774412"/>
    <w:rsid w:val="00774F85"/>
    <w:rsid w:val="00777425"/>
    <w:rsid w:val="007810A0"/>
    <w:rsid w:val="007816FF"/>
    <w:rsid w:val="00782E5B"/>
    <w:rsid w:val="007844EA"/>
    <w:rsid w:val="00784E3F"/>
    <w:rsid w:val="00786198"/>
    <w:rsid w:val="00786C00"/>
    <w:rsid w:val="00786CAD"/>
    <w:rsid w:val="00786FD1"/>
    <w:rsid w:val="007903BA"/>
    <w:rsid w:val="00790D08"/>
    <w:rsid w:val="00792E55"/>
    <w:rsid w:val="0079303C"/>
    <w:rsid w:val="007942D8"/>
    <w:rsid w:val="00796F32"/>
    <w:rsid w:val="007A1F3E"/>
    <w:rsid w:val="007A249F"/>
    <w:rsid w:val="007A4C1F"/>
    <w:rsid w:val="007A65DC"/>
    <w:rsid w:val="007B0545"/>
    <w:rsid w:val="007B081D"/>
    <w:rsid w:val="007B17E6"/>
    <w:rsid w:val="007B1AB0"/>
    <w:rsid w:val="007B5198"/>
    <w:rsid w:val="007B6460"/>
    <w:rsid w:val="007C2B1C"/>
    <w:rsid w:val="007C2C77"/>
    <w:rsid w:val="007C4882"/>
    <w:rsid w:val="007D04C1"/>
    <w:rsid w:val="007D35C1"/>
    <w:rsid w:val="007D4DD1"/>
    <w:rsid w:val="007D5A08"/>
    <w:rsid w:val="007E44E0"/>
    <w:rsid w:val="007F19EC"/>
    <w:rsid w:val="007F2B60"/>
    <w:rsid w:val="007F6E56"/>
    <w:rsid w:val="00801BD9"/>
    <w:rsid w:val="00805940"/>
    <w:rsid w:val="00807010"/>
    <w:rsid w:val="008104CF"/>
    <w:rsid w:val="008119FE"/>
    <w:rsid w:val="00815127"/>
    <w:rsid w:val="008154F1"/>
    <w:rsid w:val="008162B8"/>
    <w:rsid w:val="008170A2"/>
    <w:rsid w:val="008209D5"/>
    <w:rsid w:val="00820E6C"/>
    <w:rsid w:val="0082133C"/>
    <w:rsid w:val="0082304B"/>
    <w:rsid w:val="00823421"/>
    <w:rsid w:val="00825343"/>
    <w:rsid w:val="00825A02"/>
    <w:rsid w:val="00826E86"/>
    <w:rsid w:val="00826FB3"/>
    <w:rsid w:val="00832CDA"/>
    <w:rsid w:val="00833C81"/>
    <w:rsid w:val="008368C1"/>
    <w:rsid w:val="00836E19"/>
    <w:rsid w:val="00836F79"/>
    <w:rsid w:val="00842B73"/>
    <w:rsid w:val="0084572E"/>
    <w:rsid w:val="00845799"/>
    <w:rsid w:val="00846647"/>
    <w:rsid w:val="00847FC7"/>
    <w:rsid w:val="00850778"/>
    <w:rsid w:val="00850BC9"/>
    <w:rsid w:val="008521D2"/>
    <w:rsid w:val="0085576A"/>
    <w:rsid w:val="0085684D"/>
    <w:rsid w:val="00860867"/>
    <w:rsid w:val="00861893"/>
    <w:rsid w:val="00862BD1"/>
    <w:rsid w:val="00863B9D"/>
    <w:rsid w:val="00864CB9"/>
    <w:rsid w:val="00867085"/>
    <w:rsid w:val="0087190E"/>
    <w:rsid w:val="00871F38"/>
    <w:rsid w:val="0087396D"/>
    <w:rsid w:val="00873F7B"/>
    <w:rsid w:val="00874598"/>
    <w:rsid w:val="00876840"/>
    <w:rsid w:val="00877A72"/>
    <w:rsid w:val="00881D5C"/>
    <w:rsid w:val="00884EF1"/>
    <w:rsid w:val="00885FE7"/>
    <w:rsid w:val="0088656F"/>
    <w:rsid w:val="00892858"/>
    <w:rsid w:val="008940F3"/>
    <w:rsid w:val="00894E52"/>
    <w:rsid w:val="00895F18"/>
    <w:rsid w:val="0089731A"/>
    <w:rsid w:val="008A1041"/>
    <w:rsid w:val="008A1FF8"/>
    <w:rsid w:val="008A68C1"/>
    <w:rsid w:val="008A70DC"/>
    <w:rsid w:val="008B0E4A"/>
    <w:rsid w:val="008B3459"/>
    <w:rsid w:val="008B4E8C"/>
    <w:rsid w:val="008C0086"/>
    <w:rsid w:val="008C5605"/>
    <w:rsid w:val="008C6D83"/>
    <w:rsid w:val="008D0946"/>
    <w:rsid w:val="008D0C1D"/>
    <w:rsid w:val="008E0400"/>
    <w:rsid w:val="008E13DF"/>
    <w:rsid w:val="008E2AAB"/>
    <w:rsid w:val="008E3554"/>
    <w:rsid w:val="008E5528"/>
    <w:rsid w:val="008E72E5"/>
    <w:rsid w:val="008F0EA9"/>
    <w:rsid w:val="008F1EB6"/>
    <w:rsid w:val="008F1EFB"/>
    <w:rsid w:val="008F2297"/>
    <w:rsid w:val="008F2AA7"/>
    <w:rsid w:val="008F4F93"/>
    <w:rsid w:val="008F5790"/>
    <w:rsid w:val="008F5EAA"/>
    <w:rsid w:val="008F6796"/>
    <w:rsid w:val="00902B34"/>
    <w:rsid w:val="00903FDA"/>
    <w:rsid w:val="0091314B"/>
    <w:rsid w:val="009165D7"/>
    <w:rsid w:val="009211BB"/>
    <w:rsid w:val="00924FAF"/>
    <w:rsid w:val="00925EBC"/>
    <w:rsid w:val="009263AD"/>
    <w:rsid w:val="009303F1"/>
    <w:rsid w:val="009307CC"/>
    <w:rsid w:val="009312DB"/>
    <w:rsid w:val="0093305F"/>
    <w:rsid w:val="009331B4"/>
    <w:rsid w:val="00934F8D"/>
    <w:rsid w:val="00936141"/>
    <w:rsid w:val="00937D3E"/>
    <w:rsid w:val="00937E9A"/>
    <w:rsid w:val="009429A3"/>
    <w:rsid w:val="009436DA"/>
    <w:rsid w:val="0094382D"/>
    <w:rsid w:val="00943A66"/>
    <w:rsid w:val="0094662B"/>
    <w:rsid w:val="0094718D"/>
    <w:rsid w:val="0095001B"/>
    <w:rsid w:val="0095133C"/>
    <w:rsid w:val="00952501"/>
    <w:rsid w:val="00952BA9"/>
    <w:rsid w:val="0095330A"/>
    <w:rsid w:val="0095394E"/>
    <w:rsid w:val="00954742"/>
    <w:rsid w:val="0095507C"/>
    <w:rsid w:val="009567C0"/>
    <w:rsid w:val="00957251"/>
    <w:rsid w:val="00957359"/>
    <w:rsid w:val="0096494C"/>
    <w:rsid w:val="00965CD2"/>
    <w:rsid w:val="009679BA"/>
    <w:rsid w:val="00967E67"/>
    <w:rsid w:val="0097003E"/>
    <w:rsid w:val="0097029D"/>
    <w:rsid w:val="00973193"/>
    <w:rsid w:val="00973A78"/>
    <w:rsid w:val="009749E1"/>
    <w:rsid w:val="00975586"/>
    <w:rsid w:val="00976F2B"/>
    <w:rsid w:val="009775B8"/>
    <w:rsid w:val="009804C0"/>
    <w:rsid w:val="009816D8"/>
    <w:rsid w:val="0098206A"/>
    <w:rsid w:val="00983E7E"/>
    <w:rsid w:val="00984CD1"/>
    <w:rsid w:val="009865BA"/>
    <w:rsid w:val="0099349E"/>
    <w:rsid w:val="009949C2"/>
    <w:rsid w:val="00994EAF"/>
    <w:rsid w:val="00996AD8"/>
    <w:rsid w:val="00997C18"/>
    <w:rsid w:val="009A05C1"/>
    <w:rsid w:val="009A1370"/>
    <w:rsid w:val="009A285C"/>
    <w:rsid w:val="009A6D94"/>
    <w:rsid w:val="009A6DE4"/>
    <w:rsid w:val="009A71CE"/>
    <w:rsid w:val="009A7526"/>
    <w:rsid w:val="009B07B6"/>
    <w:rsid w:val="009B1948"/>
    <w:rsid w:val="009B432A"/>
    <w:rsid w:val="009B48B0"/>
    <w:rsid w:val="009C504E"/>
    <w:rsid w:val="009C6F4B"/>
    <w:rsid w:val="009C7C2B"/>
    <w:rsid w:val="009D476E"/>
    <w:rsid w:val="009D59FC"/>
    <w:rsid w:val="009D61D2"/>
    <w:rsid w:val="009D6CB5"/>
    <w:rsid w:val="009D7A73"/>
    <w:rsid w:val="009E2CBD"/>
    <w:rsid w:val="009E5964"/>
    <w:rsid w:val="009E59EE"/>
    <w:rsid w:val="009E5AA9"/>
    <w:rsid w:val="009E6727"/>
    <w:rsid w:val="009E768C"/>
    <w:rsid w:val="009F5128"/>
    <w:rsid w:val="009F5FD9"/>
    <w:rsid w:val="009F615F"/>
    <w:rsid w:val="009F7DD4"/>
    <w:rsid w:val="00A0045B"/>
    <w:rsid w:val="00A00EA6"/>
    <w:rsid w:val="00A0162B"/>
    <w:rsid w:val="00A02600"/>
    <w:rsid w:val="00A0299E"/>
    <w:rsid w:val="00A04494"/>
    <w:rsid w:val="00A0461E"/>
    <w:rsid w:val="00A0519F"/>
    <w:rsid w:val="00A103FB"/>
    <w:rsid w:val="00A14DAF"/>
    <w:rsid w:val="00A1666C"/>
    <w:rsid w:val="00A16C7E"/>
    <w:rsid w:val="00A207EC"/>
    <w:rsid w:val="00A20FC0"/>
    <w:rsid w:val="00A213FD"/>
    <w:rsid w:val="00A227A5"/>
    <w:rsid w:val="00A26113"/>
    <w:rsid w:val="00A315CB"/>
    <w:rsid w:val="00A335EE"/>
    <w:rsid w:val="00A33B5B"/>
    <w:rsid w:val="00A3410F"/>
    <w:rsid w:val="00A34503"/>
    <w:rsid w:val="00A35228"/>
    <w:rsid w:val="00A429EF"/>
    <w:rsid w:val="00A43CDD"/>
    <w:rsid w:val="00A44653"/>
    <w:rsid w:val="00A44C9A"/>
    <w:rsid w:val="00A453CC"/>
    <w:rsid w:val="00A469EF"/>
    <w:rsid w:val="00A46C0D"/>
    <w:rsid w:val="00A47039"/>
    <w:rsid w:val="00A50B4B"/>
    <w:rsid w:val="00A51C20"/>
    <w:rsid w:val="00A54CFC"/>
    <w:rsid w:val="00A61DCC"/>
    <w:rsid w:val="00A62C13"/>
    <w:rsid w:val="00A6378C"/>
    <w:rsid w:val="00A64663"/>
    <w:rsid w:val="00A65DD4"/>
    <w:rsid w:val="00A66F4C"/>
    <w:rsid w:val="00A70253"/>
    <w:rsid w:val="00A70565"/>
    <w:rsid w:val="00A71EFB"/>
    <w:rsid w:val="00A721A9"/>
    <w:rsid w:val="00A74CEF"/>
    <w:rsid w:val="00A75C69"/>
    <w:rsid w:val="00A75CAD"/>
    <w:rsid w:val="00A80592"/>
    <w:rsid w:val="00A82D41"/>
    <w:rsid w:val="00A83D50"/>
    <w:rsid w:val="00A86698"/>
    <w:rsid w:val="00A872C2"/>
    <w:rsid w:val="00A8795C"/>
    <w:rsid w:val="00A87B22"/>
    <w:rsid w:val="00A90513"/>
    <w:rsid w:val="00A9108C"/>
    <w:rsid w:val="00A92050"/>
    <w:rsid w:val="00A92E28"/>
    <w:rsid w:val="00A92FE0"/>
    <w:rsid w:val="00A94C2B"/>
    <w:rsid w:val="00A9514F"/>
    <w:rsid w:val="00AA17C5"/>
    <w:rsid w:val="00AA4243"/>
    <w:rsid w:val="00AA4BA0"/>
    <w:rsid w:val="00AA59EB"/>
    <w:rsid w:val="00AB0A03"/>
    <w:rsid w:val="00AB1F34"/>
    <w:rsid w:val="00AB5EBD"/>
    <w:rsid w:val="00AB6552"/>
    <w:rsid w:val="00AB6A79"/>
    <w:rsid w:val="00AB7D48"/>
    <w:rsid w:val="00AC093C"/>
    <w:rsid w:val="00AC0DFF"/>
    <w:rsid w:val="00AC0E3C"/>
    <w:rsid w:val="00AC1830"/>
    <w:rsid w:val="00AC5DC5"/>
    <w:rsid w:val="00AC6897"/>
    <w:rsid w:val="00AC7702"/>
    <w:rsid w:val="00AD0A94"/>
    <w:rsid w:val="00AD1411"/>
    <w:rsid w:val="00AD2DB7"/>
    <w:rsid w:val="00AD643D"/>
    <w:rsid w:val="00AD78DF"/>
    <w:rsid w:val="00AD7E6D"/>
    <w:rsid w:val="00AE1194"/>
    <w:rsid w:val="00AE2342"/>
    <w:rsid w:val="00AE28FB"/>
    <w:rsid w:val="00AE4BD9"/>
    <w:rsid w:val="00AF0C1E"/>
    <w:rsid w:val="00AF197E"/>
    <w:rsid w:val="00AF212A"/>
    <w:rsid w:val="00B02A0B"/>
    <w:rsid w:val="00B040C7"/>
    <w:rsid w:val="00B04865"/>
    <w:rsid w:val="00B058E9"/>
    <w:rsid w:val="00B06A28"/>
    <w:rsid w:val="00B07F91"/>
    <w:rsid w:val="00B10DB5"/>
    <w:rsid w:val="00B10FAB"/>
    <w:rsid w:val="00B113A0"/>
    <w:rsid w:val="00B1281B"/>
    <w:rsid w:val="00B12A6A"/>
    <w:rsid w:val="00B1314D"/>
    <w:rsid w:val="00B1534D"/>
    <w:rsid w:val="00B154FE"/>
    <w:rsid w:val="00B21FC8"/>
    <w:rsid w:val="00B22471"/>
    <w:rsid w:val="00B25646"/>
    <w:rsid w:val="00B30909"/>
    <w:rsid w:val="00B30FE2"/>
    <w:rsid w:val="00B31234"/>
    <w:rsid w:val="00B3143F"/>
    <w:rsid w:val="00B316EE"/>
    <w:rsid w:val="00B320C4"/>
    <w:rsid w:val="00B34792"/>
    <w:rsid w:val="00B350B9"/>
    <w:rsid w:val="00B3520B"/>
    <w:rsid w:val="00B36751"/>
    <w:rsid w:val="00B44022"/>
    <w:rsid w:val="00B4416A"/>
    <w:rsid w:val="00B46E6F"/>
    <w:rsid w:val="00B47302"/>
    <w:rsid w:val="00B50F85"/>
    <w:rsid w:val="00B51023"/>
    <w:rsid w:val="00B5129F"/>
    <w:rsid w:val="00B5157E"/>
    <w:rsid w:val="00B52E05"/>
    <w:rsid w:val="00B53814"/>
    <w:rsid w:val="00B5409A"/>
    <w:rsid w:val="00B57B2B"/>
    <w:rsid w:val="00B609F7"/>
    <w:rsid w:val="00B62965"/>
    <w:rsid w:val="00B63F34"/>
    <w:rsid w:val="00B64591"/>
    <w:rsid w:val="00B67903"/>
    <w:rsid w:val="00B67C93"/>
    <w:rsid w:val="00B70073"/>
    <w:rsid w:val="00B70689"/>
    <w:rsid w:val="00B71F93"/>
    <w:rsid w:val="00B80987"/>
    <w:rsid w:val="00B81AA2"/>
    <w:rsid w:val="00B96FA8"/>
    <w:rsid w:val="00B97E7D"/>
    <w:rsid w:val="00BA05FB"/>
    <w:rsid w:val="00BA2A2F"/>
    <w:rsid w:val="00BA6821"/>
    <w:rsid w:val="00BB119B"/>
    <w:rsid w:val="00BB33B2"/>
    <w:rsid w:val="00BB445F"/>
    <w:rsid w:val="00BB7145"/>
    <w:rsid w:val="00BB7C38"/>
    <w:rsid w:val="00BC0E4E"/>
    <w:rsid w:val="00BC24E4"/>
    <w:rsid w:val="00BC4D15"/>
    <w:rsid w:val="00BD006B"/>
    <w:rsid w:val="00BD0B5F"/>
    <w:rsid w:val="00BD30D6"/>
    <w:rsid w:val="00BD3B09"/>
    <w:rsid w:val="00BD60E1"/>
    <w:rsid w:val="00BD6962"/>
    <w:rsid w:val="00BE0533"/>
    <w:rsid w:val="00BE16B6"/>
    <w:rsid w:val="00BE19E6"/>
    <w:rsid w:val="00BE3E91"/>
    <w:rsid w:val="00BE6564"/>
    <w:rsid w:val="00BF1071"/>
    <w:rsid w:val="00BF16EC"/>
    <w:rsid w:val="00BF2890"/>
    <w:rsid w:val="00BF2C17"/>
    <w:rsid w:val="00BF3B94"/>
    <w:rsid w:val="00BF56E4"/>
    <w:rsid w:val="00BF78B2"/>
    <w:rsid w:val="00C01061"/>
    <w:rsid w:val="00C0193B"/>
    <w:rsid w:val="00C05F43"/>
    <w:rsid w:val="00C06488"/>
    <w:rsid w:val="00C07746"/>
    <w:rsid w:val="00C11173"/>
    <w:rsid w:val="00C12B89"/>
    <w:rsid w:val="00C13945"/>
    <w:rsid w:val="00C14C15"/>
    <w:rsid w:val="00C17F8D"/>
    <w:rsid w:val="00C21795"/>
    <w:rsid w:val="00C21B82"/>
    <w:rsid w:val="00C221E7"/>
    <w:rsid w:val="00C2326A"/>
    <w:rsid w:val="00C23AB4"/>
    <w:rsid w:val="00C269AD"/>
    <w:rsid w:val="00C309A9"/>
    <w:rsid w:val="00C31859"/>
    <w:rsid w:val="00C32571"/>
    <w:rsid w:val="00C33486"/>
    <w:rsid w:val="00C336EC"/>
    <w:rsid w:val="00C339E8"/>
    <w:rsid w:val="00C34651"/>
    <w:rsid w:val="00C34B1A"/>
    <w:rsid w:val="00C36713"/>
    <w:rsid w:val="00C40834"/>
    <w:rsid w:val="00C45F41"/>
    <w:rsid w:val="00C4603F"/>
    <w:rsid w:val="00C47610"/>
    <w:rsid w:val="00C51163"/>
    <w:rsid w:val="00C55716"/>
    <w:rsid w:val="00C5760D"/>
    <w:rsid w:val="00C60ADA"/>
    <w:rsid w:val="00C6143A"/>
    <w:rsid w:val="00C62E9E"/>
    <w:rsid w:val="00C656FB"/>
    <w:rsid w:val="00C705E4"/>
    <w:rsid w:val="00C71AC5"/>
    <w:rsid w:val="00C748CB"/>
    <w:rsid w:val="00C75223"/>
    <w:rsid w:val="00C757AE"/>
    <w:rsid w:val="00C77137"/>
    <w:rsid w:val="00C813EF"/>
    <w:rsid w:val="00C81EDD"/>
    <w:rsid w:val="00C83413"/>
    <w:rsid w:val="00C835C2"/>
    <w:rsid w:val="00C86C8B"/>
    <w:rsid w:val="00C914DE"/>
    <w:rsid w:val="00C92883"/>
    <w:rsid w:val="00C93D68"/>
    <w:rsid w:val="00C942B5"/>
    <w:rsid w:val="00CA0E0B"/>
    <w:rsid w:val="00CA2373"/>
    <w:rsid w:val="00CB4426"/>
    <w:rsid w:val="00CB67B3"/>
    <w:rsid w:val="00CB7931"/>
    <w:rsid w:val="00CC00EC"/>
    <w:rsid w:val="00CC29CD"/>
    <w:rsid w:val="00CC4A26"/>
    <w:rsid w:val="00CC5D89"/>
    <w:rsid w:val="00CC6049"/>
    <w:rsid w:val="00CC6478"/>
    <w:rsid w:val="00CC68EA"/>
    <w:rsid w:val="00CC6B07"/>
    <w:rsid w:val="00CC6BD6"/>
    <w:rsid w:val="00CC72B9"/>
    <w:rsid w:val="00CD27AC"/>
    <w:rsid w:val="00CD3549"/>
    <w:rsid w:val="00CD3910"/>
    <w:rsid w:val="00CD4BE7"/>
    <w:rsid w:val="00CD5468"/>
    <w:rsid w:val="00CD5B55"/>
    <w:rsid w:val="00CD7AF0"/>
    <w:rsid w:val="00CE014F"/>
    <w:rsid w:val="00CE2E34"/>
    <w:rsid w:val="00CE2FD7"/>
    <w:rsid w:val="00CE3BAC"/>
    <w:rsid w:val="00CE566D"/>
    <w:rsid w:val="00CE6058"/>
    <w:rsid w:val="00CE7524"/>
    <w:rsid w:val="00CF0CA2"/>
    <w:rsid w:val="00CF0FBA"/>
    <w:rsid w:val="00CF49A6"/>
    <w:rsid w:val="00CF58F6"/>
    <w:rsid w:val="00CF6C1C"/>
    <w:rsid w:val="00CF7678"/>
    <w:rsid w:val="00CF7F07"/>
    <w:rsid w:val="00D006F0"/>
    <w:rsid w:val="00D017CC"/>
    <w:rsid w:val="00D038BC"/>
    <w:rsid w:val="00D04295"/>
    <w:rsid w:val="00D04DF6"/>
    <w:rsid w:val="00D066E0"/>
    <w:rsid w:val="00D07444"/>
    <w:rsid w:val="00D07B83"/>
    <w:rsid w:val="00D11903"/>
    <w:rsid w:val="00D11DDE"/>
    <w:rsid w:val="00D14602"/>
    <w:rsid w:val="00D160EF"/>
    <w:rsid w:val="00D172D1"/>
    <w:rsid w:val="00D173EF"/>
    <w:rsid w:val="00D22992"/>
    <w:rsid w:val="00D246FD"/>
    <w:rsid w:val="00D256DC"/>
    <w:rsid w:val="00D25F9C"/>
    <w:rsid w:val="00D25FDA"/>
    <w:rsid w:val="00D26560"/>
    <w:rsid w:val="00D26A5D"/>
    <w:rsid w:val="00D2790D"/>
    <w:rsid w:val="00D30E83"/>
    <w:rsid w:val="00D31292"/>
    <w:rsid w:val="00D33649"/>
    <w:rsid w:val="00D36C47"/>
    <w:rsid w:val="00D42166"/>
    <w:rsid w:val="00D4561C"/>
    <w:rsid w:val="00D45F00"/>
    <w:rsid w:val="00D46235"/>
    <w:rsid w:val="00D47DF9"/>
    <w:rsid w:val="00D5129C"/>
    <w:rsid w:val="00D520CB"/>
    <w:rsid w:val="00D573DE"/>
    <w:rsid w:val="00D60C7A"/>
    <w:rsid w:val="00D61B30"/>
    <w:rsid w:val="00D63297"/>
    <w:rsid w:val="00D63617"/>
    <w:rsid w:val="00D63AE5"/>
    <w:rsid w:val="00D64368"/>
    <w:rsid w:val="00D65948"/>
    <w:rsid w:val="00D66643"/>
    <w:rsid w:val="00D66B7A"/>
    <w:rsid w:val="00D67EB1"/>
    <w:rsid w:val="00D67F41"/>
    <w:rsid w:val="00D70557"/>
    <w:rsid w:val="00D7219A"/>
    <w:rsid w:val="00D73273"/>
    <w:rsid w:val="00D769B1"/>
    <w:rsid w:val="00D77790"/>
    <w:rsid w:val="00D80AB6"/>
    <w:rsid w:val="00D83375"/>
    <w:rsid w:val="00D83B4A"/>
    <w:rsid w:val="00D858B7"/>
    <w:rsid w:val="00D876C3"/>
    <w:rsid w:val="00D90389"/>
    <w:rsid w:val="00D93BFD"/>
    <w:rsid w:val="00D946EC"/>
    <w:rsid w:val="00DA0E23"/>
    <w:rsid w:val="00DA0EC3"/>
    <w:rsid w:val="00DA14AB"/>
    <w:rsid w:val="00DA38E0"/>
    <w:rsid w:val="00DA3A27"/>
    <w:rsid w:val="00DA4B82"/>
    <w:rsid w:val="00DA571A"/>
    <w:rsid w:val="00DA749C"/>
    <w:rsid w:val="00DA7565"/>
    <w:rsid w:val="00DB489A"/>
    <w:rsid w:val="00DB4D37"/>
    <w:rsid w:val="00DB6F91"/>
    <w:rsid w:val="00DC0D53"/>
    <w:rsid w:val="00DC2749"/>
    <w:rsid w:val="00DC657B"/>
    <w:rsid w:val="00DD1CE0"/>
    <w:rsid w:val="00DD26C8"/>
    <w:rsid w:val="00DD4EF8"/>
    <w:rsid w:val="00DD52FF"/>
    <w:rsid w:val="00DD6C39"/>
    <w:rsid w:val="00DD77DF"/>
    <w:rsid w:val="00DE04F3"/>
    <w:rsid w:val="00DE2649"/>
    <w:rsid w:val="00DE5B3A"/>
    <w:rsid w:val="00DE5E1E"/>
    <w:rsid w:val="00DE6F43"/>
    <w:rsid w:val="00DE6FEE"/>
    <w:rsid w:val="00DF11ED"/>
    <w:rsid w:val="00DF1EDC"/>
    <w:rsid w:val="00DF684E"/>
    <w:rsid w:val="00E01DA4"/>
    <w:rsid w:val="00E02C0B"/>
    <w:rsid w:val="00E030CC"/>
    <w:rsid w:val="00E03C1E"/>
    <w:rsid w:val="00E10D72"/>
    <w:rsid w:val="00E15471"/>
    <w:rsid w:val="00E209CC"/>
    <w:rsid w:val="00E209CE"/>
    <w:rsid w:val="00E22955"/>
    <w:rsid w:val="00E22DDA"/>
    <w:rsid w:val="00E2389A"/>
    <w:rsid w:val="00E23BED"/>
    <w:rsid w:val="00E26FC1"/>
    <w:rsid w:val="00E27847"/>
    <w:rsid w:val="00E33AC4"/>
    <w:rsid w:val="00E45A6F"/>
    <w:rsid w:val="00E471F6"/>
    <w:rsid w:val="00E50427"/>
    <w:rsid w:val="00E5202C"/>
    <w:rsid w:val="00E53F29"/>
    <w:rsid w:val="00E54EC9"/>
    <w:rsid w:val="00E56D05"/>
    <w:rsid w:val="00E579DC"/>
    <w:rsid w:val="00E579E5"/>
    <w:rsid w:val="00E61D95"/>
    <w:rsid w:val="00E649EC"/>
    <w:rsid w:val="00E64BFA"/>
    <w:rsid w:val="00E70F45"/>
    <w:rsid w:val="00E7103F"/>
    <w:rsid w:val="00E75479"/>
    <w:rsid w:val="00E7607E"/>
    <w:rsid w:val="00E7609B"/>
    <w:rsid w:val="00E7758F"/>
    <w:rsid w:val="00E8081B"/>
    <w:rsid w:val="00E80D6F"/>
    <w:rsid w:val="00E83D4A"/>
    <w:rsid w:val="00E84489"/>
    <w:rsid w:val="00E84D17"/>
    <w:rsid w:val="00E84FB8"/>
    <w:rsid w:val="00E8720B"/>
    <w:rsid w:val="00E9282E"/>
    <w:rsid w:val="00E943BE"/>
    <w:rsid w:val="00E94919"/>
    <w:rsid w:val="00E94DF5"/>
    <w:rsid w:val="00E96668"/>
    <w:rsid w:val="00EA0818"/>
    <w:rsid w:val="00EA0D55"/>
    <w:rsid w:val="00EA2565"/>
    <w:rsid w:val="00EA3D5B"/>
    <w:rsid w:val="00EA57C8"/>
    <w:rsid w:val="00EA7575"/>
    <w:rsid w:val="00EA7F34"/>
    <w:rsid w:val="00EB1D95"/>
    <w:rsid w:val="00EB295E"/>
    <w:rsid w:val="00EB351C"/>
    <w:rsid w:val="00EB38DE"/>
    <w:rsid w:val="00EB4E9A"/>
    <w:rsid w:val="00EB66E1"/>
    <w:rsid w:val="00EB6B46"/>
    <w:rsid w:val="00EB7D31"/>
    <w:rsid w:val="00EB7D34"/>
    <w:rsid w:val="00EC09D6"/>
    <w:rsid w:val="00EC119D"/>
    <w:rsid w:val="00EC31EC"/>
    <w:rsid w:val="00EC3CF8"/>
    <w:rsid w:val="00EC6F9C"/>
    <w:rsid w:val="00ED35A2"/>
    <w:rsid w:val="00ED4B5B"/>
    <w:rsid w:val="00ED5193"/>
    <w:rsid w:val="00ED6154"/>
    <w:rsid w:val="00ED652F"/>
    <w:rsid w:val="00ED75A1"/>
    <w:rsid w:val="00ED7F15"/>
    <w:rsid w:val="00EE0032"/>
    <w:rsid w:val="00EE0C2A"/>
    <w:rsid w:val="00EE241E"/>
    <w:rsid w:val="00EE2D95"/>
    <w:rsid w:val="00EE5EA2"/>
    <w:rsid w:val="00EF061F"/>
    <w:rsid w:val="00EF07AF"/>
    <w:rsid w:val="00EF2928"/>
    <w:rsid w:val="00EF527C"/>
    <w:rsid w:val="00EF6C5A"/>
    <w:rsid w:val="00EF7E7E"/>
    <w:rsid w:val="00EF7FFB"/>
    <w:rsid w:val="00F028DE"/>
    <w:rsid w:val="00F04F49"/>
    <w:rsid w:val="00F0557E"/>
    <w:rsid w:val="00F12432"/>
    <w:rsid w:val="00F12468"/>
    <w:rsid w:val="00F14188"/>
    <w:rsid w:val="00F164FE"/>
    <w:rsid w:val="00F17B20"/>
    <w:rsid w:val="00F17C32"/>
    <w:rsid w:val="00F2183F"/>
    <w:rsid w:val="00F2545C"/>
    <w:rsid w:val="00F25C7A"/>
    <w:rsid w:val="00F261B4"/>
    <w:rsid w:val="00F32CC6"/>
    <w:rsid w:val="00F33004"/>
    <w:rsid w:val="00F36315"/>
    <w:rsid w:val="00F370A3"/>
    <w:rsid w:val="00F40406"/>
    <w:rsid w:val="00F415B6"/>
    <w:rsid w:val="00F42F36"/>
    <w:rsid w:val="00F45461"/>
    <w:rsid w:val="00F45F94"/>
    <w:rsid w:val="00F47056"/>
    <w:rsid w:val="00F47F8B"/>
    <w:rsid w:val="00F521F9"/>
    <w:rsid w:val="00F54309"/>
    <w:rsid w:val="00F5622E"/>
    <w:rsid w:val="00F56555"/>
    <w:rsid w:val="00F566E6"/>
    <w:rsid w:val="00F600E2"/>
    <w:rsid w:val="00F627E4"/>
    <w:rsid w:val="00F634B6"/>
    <w:rsid w:val="00F636C8"/>
    <w:rsid w:val="00F63C7B"/>
    <w:rsid w:val="00F64F06"/>
    <w:rsid w:val="00F66F57"/>
    <w:rsid w:val="00F6785B"/>
    <w:rsid w:val="00F6799E"/>
    <w:rsid w:val="00F71EA6"/>
    <w:rsid w:val="00F724D7"/>
    <w:rsid w:val="00F767F1"/>
    <w:rsid w:val="00F804D9"/>
    <w:rsid w:val="00F80CFC"/>
    <w:rsid w:val="00F81752"/>
    <w:rsid w:val="00F83523"/>
    <w:rsid w:val="00F860E2"/>
    <w:rsid w:val="00F90A87"/>
    <w:rsid w:val="00F911AE"/>
    <w:rsid w:val="00F943C9"/>
    <w:rsid w:val="00F967C6"/>
    <w:rsid w:val="00F9686B"/>
    <w:rsid w:val="00F9758B"/>
    <w:rsid w:val="00FA1A85"/>
    <w:rsid w:val="00FA28FA"/>
    <w:rsid w:val="00FA3106"/>
    <w:rsid w:val="00FA379F"/>
    <w:rsid w:val="00FA61E2"/>
    <w:rsid w:val="00FB06E7"/>
    <w:rsid w:val="00FB1395"/>
    <w:rsid w:val="00FB1C24"/>
    <w:rsid w:val="00FB74AC"/>
    <w:rsid w:val="00FB7EF6"/>
    <w:rsid w:val="00FC3DA7"/>
    <w:rsid w:val="00FC6387"/>
    <w:rsid w:val="00FC7987"/>
    <w:rsid w:val="00FD01FD"/>
    <w:rsid w:val="00FD034B"/>
    <w:rsid w:val="00FD072E"/>
    <w:rsid w:val="00FD156F"/>
    <w:rsid w:val="00FD20C8"/>
    <w:rsid w:val="00FD3816"/>
    <w:rsid w:val="00FD3C12"/>
    <w:rsid w:val="00FD6467"/>
    <w:rsid w:val="00FE1CC0"/>
    <w:rsid w:val="00FE1FF1"/>
    <w:rsid w:val="00FE396D"/>
    <w:rsid w:val="00FE4DF3"/>
    <w:rsid w:val="00FE641A"/>
    <w:rsid w:val="00FE6700"/>
    <w:rsid w:val="00FE719B"/>
    <w:rsid w:val="00FF0174"/>
    <w:rsid w:val="00FF198C"/>
    <w:rsid w:val="00FF3DA2"/>
    <w:rsid w:val="00FF40C1"/>
    <w:rsid w:val="00FF44C6"/>
    <w:rsid w:val="00F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D6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79303C"/>
  </w:style>
  <w:style w:type="table" w:customStyle="1" w:styleId="TableGrid1">
    <w:name w:val="Table Grid1"/>
    <w:basedOn w:val="TableNormal"/>
    <w:next w:val="TableGrid"/>
    <w:uiPriority w:val="39"/>
    <w:rsid w:val="0079303C"/>
    <w:pPr>
      <w:spacing w:after="0" w:line="240" w:lineRule="auto"/>
    </w:pPr>
    <w:rPr>
      <w:sz w:val="1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93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2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D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D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79303C"/>
  </w:style>
  <w:style w:type="table" w:customStyle="1" w:styleId="TableGrid1">
    <w:name w:val="Table Grid1"/>
    <w:basedOn w:val="TableNormal"/>
    <w:next w:val="TableGrid"/>
    <w:uiPriority w:val="39"/>
    <w:rsid w:val="0079303C"/>
    <w:pPr>
      <w:spacing w:after="0" w:line="240" w:lineRule="auto"/>
    </w:pPr>
    <w:rPr>
      <w:sz w:val="1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93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2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D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24</Pages>
  <Words>5794</Words>
  <Characters>30888</Characters>
  <Application>Microsoft Office Word</Application>
  <DocSecurity>0</DocSecurity>
  <Lines>2206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SoPH-EH</dc:creator>
  <cp:keywords/>
  <dc:description/>
  <cp:lastModifiedBy>MLAPINIG</cp:lastModifiedBy>
  <cp:revision>109</cp:revision>
  <dcterms:created xsi:type="dcterms:W3CDTF">2021-07-07T14:10:00Z</dcterms:created>
  <dcterms:modified xsi:type="dcterms:W3CDTF">2022-04-08T03:32:00Z</dcterms:modified>
</cp:coreProperties>
</file>