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BD444" w14:textId="77777777" w:rsidR="00AC6B64" w:rsidRPr="00AC6B64" w:rsidRDefault="00AC6B64" w:rsidP="00AC6B64">
      <w:pPr>
        <w:pStyle w:val="Beschriftung"/>
        <w:keepNext/>
        <w:rPr>
          <w:rFonts w:ascii="Calibri" w:hAnsi="Calibri" w:cs="Calibri"/>
          <w:b w:val="0"/>
          <w:bCs w:val="0"/>
          <w:i/>
          <w:iCs/>
          <w:sz w:val="18"/>
          <w:szCs w:val="18"/>
          <w:lang w:val="en-US"/>
        </w:rPr>
      </w:pPr>
      <w:r w:rsidRPr="00AC6B64">
        <w:rPr>
          <w:rFonts w:ascii="Calibri" w:hAnsi="Calibri" w:cs="Calibri"/>
          <w:b w:val="0"/>
          <w:bCs w:val="0"/>
          <w:i/>
          <w:iCs/>
          <w:sz w:val="18"/>
          <w:szCs w:val="18"/>
          <w:lang w:val="en-US"/>
        </w:rPr>
        <w:t xml:space="preserve">Table: Reported adjusted unstandardized mean differences, standardized effect sizes and p-values </w:t>
      </w:r>
      <w:r w:rsidR="00F510D2">
        <w:rPr>
          <w:rFonts w:ascii="Calibri" w:hAnsi="Calibri" w:cs="Calibri"/>
          <w:b w:val="0"/>
          <w:bCs w:val="0"/>
          <w:i/>
          <w:iCs/>
          <w:sz w:val="18"/>
          <w:szCs w:val="18"/>
          <w:lang w:val="en-US"/>
        </w:rPr>
        <w:t xml:space="preserve">(between groups) </w:t>
      </w:r>
      <w:r w:rsidRPr="00AC6B64">
        <w:rPr>
          <w:rFonts w:ascii="Calibri" w:hAnsi="Calibri" w:cs="Calibri"/>
          <w:b w:val="0"/>
          <w:bCs w:val="0"/>
          <w:i/>
          <w:iCs/>
          <w:sz w:val="18"/>
          <w:szCs w:val="18"/>
          <w:lang w:val="en-US"/>
        </w:rPr>
        <w:t>in studies measuring functional ability</w:t>
      </w:r>
    </w:p>
    <w:tbl>
      <w:tblPr>
        <w:tblW w:w="14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38"/>
        <w:gridCol w:w="2101"/>
        <w:gridCol w:w="4603"/>
        <w:gridCol w:w="1918"/>
        <w:gridCol w:w="2242"/>
        <w:gridCol w:w="1644"/>
      </w:tblGrid>
      <w:tr w:rsidR="000E64D5" w:rsidRPr="000C7651" w14:paraId="074BCE8A" w14:textId="77777777" w:rsidTr="00D52504">
        <w:trPr>
          <w:trHeight w:val="992"/>
        </w:trPr>
        <w:tc>
          <w:tcPr>
            <w:tcW w:w="1938" w:type="dxa"/>
            <w:shd w:val="clear" w:color="auto" w:fill="auto"/>
            <w:hideMark/>
          </w:tcPr>
          <w:p w14:paraId="71FAF25E" w14:textId="77777777" w:rsidR="000E64D5" w:rsidRPr="000C7651" w:rsidRDefault="000E64D5" w:rsidP="00F85C49">
            <w:pPr>
              <w:spacing w:line="276" w:lineRule="auto"/>
              <w:ind w:right="491"/>
              <w:rPr>
                <w:rFonts w:ascii="Arial" w:hAnsi="Arial" w:cs="Arial"/>
                <w:b/>
                <w:bCs/>
                <w:color w:val="000000"/>
                <w:sz w:val="17"/>
                <w:szCs w:val="17"/>
              </w:rPr>
            </w:pPr>
            <w:r w:rsidRPr="000C7651">
              <w:rPr>
                <w:rFonts w:ascii="Arial" w:hAnsi="Arial" w:cs="Arial"/>
                <w:b/>
                <w:bCs/>
                <w:color w:val="000000"/>
                <w:sz w:val="17"/>
                <w:szCs w:val="17"/>
              </w:rPr>
              <w:t>Source</w:t>
            </w:r>
            <w:r>
              <w:rPr>
                <w:rFonts w:ascii="Arial" w:hAnsi="Arial" w:cs="Arial"/>
                <w:b/>
                <w:bCs/>
                <w:color w:val="000000"/>
                <w:sz w:val="17"/>
                <w:szCs w:val="17"/>
              </w:rPr>
              <w:t xml:space="preserve"> (Study type)</w:t>
            </w:r>
          </w:p>
        </w:tc>
        <w:tc>
          <w:tcPr>
            <w:tcW w:w="2101" w:type="dxa"/>
          </w:tcPr>
          <w:p w14:paraId="4330ECCB" w14:textId="77777777" w:rsidR="000E64D5" w:rsidRPr="00FA7DBB" w:rsidRDefault="000E64D5" w:rsidP="00F85C49">
            <w:pPr>
              <w:spacing w:line="276" w:lineRule="auto"/>
              <w:ind w:right="491"/>
              <w:rPr>
                <w:rFonts w:ascii="Arial" w:hAnsi="Arial" w:cs="Arial"/>
                <w:b/>
                <w:bCs/>
                <w:color w:val="000000"/>
                <w:sz w:val="17"/>
                <w:szCs w:val="17"/>
                <w:lang w:val="en-US"/>
              </w:rPr>
            </w:pPr>
            <w:r>
              <w:rPr>
                <w:rFonts w:ascii="Arial" w:hAnsi="Arial" w:cs="Arial"/>
                <w:b/>
                <w:bCs/>
                <w:color w:val="000000"/>
                <w:sz w:val="17"/>
                <w:szCs w:val="17"/>
                <w:lang w:val="en-US"/>
              </w:rPr>
              <w:t>Study population</w:t>
            </w:r>
          </w:p>
        </w:tc>
        <w:tc>
          <w:tcPr>
            <w:tcW w:w="4603" w:type="dxa"/>
            <w:tcBorders>
              <w:bottom w:val="single" w:sz="4" w:space="0" w:color="auto"/>
            </w:tcBorders>
            <w:shd w:val="clear" w:color="auto" w:fill="auto"/>
            <w:hideMark/>
          </w:tcPr>
          <w:p w14:paraId="46F91045" w14:textId="77777777" w:rsidR="000E64D5" w:rsidRPr="00FA7DBB" w:rsidRDefault="000E64D5" w:rsidP="00F85C49">
            <w:pPr>
              <w:spacing w:line="276" w:lineRule="auto"/>
              <w:ind w:right="491"/>
              <w:rPr>
                <w:rFonts w:ascii="Arial" w:hAnsi="Arial" w:cs="Arial"/>
                <w:b/>
                <w:bCs/>
                <w:color w:val="000000"/>
                <w:sz w:val="17"/>
                <w:szCs w:val="17"/>
                <w:lang w:val="en-US"/>
              </w:rPr>
            </w:pPr>
            <w:r w:rsidRPr="00FA7DBB">
              <w:rPr>
                <w:rFonts w:ascii="Arial" w:hAnsi="Arial" w:cs="Arial"/>
                <w:b/>
                <w:bCs/>
                <w:color w:val="000000"/>
                <w:sz w:val="17"/>
                <w:szCs w:val="17"/>
                <w:lang w:val="en-US"/>
              </w:rPr>
              <w:t>Measures Functional ability (total score)</w:t>
            </w:r>
          </w:p>
        </w:tc>
        <w:tc>
          <w:tcPr>
            <w:tcW w:w="1918" w:type="dxa"/>
            <w:tcBorders>
              <w:bottom w:val="single" w:sz="4" w:space="0" w:color="auto"/>
            </w:tcBorders>
            <w:shd w:val="clear" w:color="auto" w:fill="auto"/>
            <w:hideMark/>
          </w:tcPr>
          <w:p w14:paraId="5BF20FD1" w14:textId="77777777" w:rsidR="000E64D5" w:rsidRPr="00ED5ADF" w:rsidRDefault="000E64D5" w:rsidP="00F85C49">
            <w:pPr>
              <w:spacing w:line="276" w:lineRule="auto"/>
              <w:ind w:right="491"/>
              <w:rPr>
                <w:rFonts w:ascii="Arial" w:hAnsi="Arial" w:cs="Arial"/>
                <w:b/>
                <w:bCs/>
                <w:color w:val="000000"/>
                <w:sz w:val="17"/>
                <w:szCs w:val="17"/>
                <w:lang w:val="en-US"/>
              </w:rPr>
            </w:pPr>
            <w:r>
              <w:rPr>
                <w:rFonts w:ascii="Arial" w:hAnsi="Arial" w:cs="Arial"/>
                <w:b/>
                <w:bCs/>
                <w:color w:val="000000"/>
                <w:sz w:val="17"/>
                <w:szCs w:val="17"/>
                <w:lang w:val="en-US"/>
              </w:rPr>
              <w:t>Adjusted m</w:t>
            </w:r>
            <w:r w:rsidRPr="00ED5ADF">
              <w:rPr>
                <w:rFonts w:ascii="Arial" w:hAnsi="Arial" w:cs="Arial"/>
                <w:b/>
                <w:bCs/>
                <w:color w:val="000000"/>
                <w:sz w:val="17"/>
                <w:szCs w:val="17"/>
                <w:lang w:val="en-US"/>
              </w:rPr>
              <w:t xml:space="preserve">ean </w:t>
            </w:r>
            <w:r>
              <w:rPr>
                <w:rFonts w:ascii="Arial" w:hAnsi="Arial" w:cs="Arial"/>
                <w:b/>
                <w:bCs/>
                <w:color w:val="000000"/>
                <w:sz w:val="17"/>
                <w:szCs w:val="17"/>
                <w:lang w:val="en-US"/>
              </w:rPr>
              <w:t xml:space="preserve">differences </w:t>
            </w:r>
          </w:p>
          <w:p w14:paraId="70559C37" w14:textId="77777777" w:rsidR="000E64D5" w:rsidRPr="00ED5ADF" w:rsidRDefault="000E64D5" w:rsidP="00F85C49">
            <w:pPr>
              <w:spacing w:line="276" w:lineRule="auto"/>
              <w:ind w:right="491"/>
              <w:rPr>
                <w:rFonts w:ascii="Arial" w:hAnsi="Arial" w:cs="Arial"/>
                <w:b/>
                <w:bCs/>
                <w:color w:val="000000"/>
                <w:sz w:val="17"/>
                <w:szCs w:val="17"/>
                <w:lang w:val="en-US"/>
              </w:rPr>
            </w:pPr>
            <w:r w:rsidRPr="00ED5ADF">
              <w:rPr>
                <w:rFonts w:ascii="Arial" w:hAnsi="Arial" w:cs="Arial"/>
                <w:b/>
                <w:bCs/>
                <w:color w:val="000000"/>
                <w:sz w:val="17"/>
                <w:szCs w:val="17"/>
                <w:lang w:val="en-US"/>
              </w:rPr>
              <w:t>(95% CI or SE)</w:t>
            </w:r>
          </w:p>
        </w:tc>
        <w:tc>
          <w:tcPr>
            <w:tcW w:w="2242" w:type="dxa"/>
            <w:tcBorders>
              <w:bottom w:val="single" w:sz="4" w:space="0" w:color="auto"/>
            </w:tcBorders>
            <w:shd w:val="clear" w:color="auto" w:fill="auto"/>
            <w:hideMark/>
          </w:tcPr>
          <w:p w14:paraId="1F56DB46" w14:textId="77777777" w:rsidR="000E64D5" w:rsidRPr="00ED5ADF" w:rsidRDefault="000E64D5" w:rsidP="00F85C49">
            <w:pPr>
              <w:spacing w:line="276" w:lineRule="auto"/>
              <w:ind w:right="491"/>
              <w:rPr>
                <w:rFonts w:ascii="Arial" w:hAnsi="Arial" w:cs="Arial"/>
                <w:b/>
                <w:bCs/>
                <w:color w:val="000000"/>
                <w:sz w:val="17"/>
                <w:szCs w:val="17"/>
                <w:lang w:val="en-US"/>
              </w:rPr>
            </w:pPr>
            <w:r>
              <w:rPr>
                <w:rFonts w:ascii="Arial" w:hAnsi="Arial" w:cs="Arial"/>
                <w:b/>
                <w:bCs/>
                <w:color w:val="000000"/>
                <w:sz w:val="17"/>
                <w:szCs w:val="17"/>
                <w:lang w:val="en-US"/>
              </w:rPr>
              <w:t>S</w:t>
            </w:r>
            <w:r w:rsidRPr="00ED5ADF">
              <w:rPr>
                <w:rFonts w:ascii="Arial" w:hAnsi="Arial" w:cs="Arial"/>
                <w:b/>
                <w:bCs/>
                <w:color w:val="000000"/>
                <w:sz w:val="17"/>
                <w:szCs w:val="17"/>
                <w:lang w:val="en-US"/>
              </w:rPr>
              <w:t>tandardized effect sizes</w:t>
            </w:r>
          </w:p>
        </w:tc>
        <w:tc>
          <w:tcPr>
            <w:tcW w:w="1644" w:type="dxa"/>
            <w:tcBorders>
              <w:bottom w:val="single" w:sz="4" w:space="0" w:color="auto"/>
            </w:tcBorders>
            <w:shd w:val="clear" w:color="auto" w:fill="auto"/>
            <w:hideMark/>
          </w:tcPr>
          <w:p w14:paraId="6226D87B" w14:textId="77777777" w:rsidR="000E64D5" w:rsidRPr="000C7651" w:rsidRDefault="000E64D5" w:rsidP="00F85C49">
            <w:pPr>
              <w:spacing w:line="276" w:lineRule="auto"/>
              <w:ind w:right="491"/>
              <w:rPr>
                <w:rFonts w:ascii="Arial" w:hAnsi="Arial" w:cs="Arial"/>
                <w:b/>
                <w:bCs/>
                <w:color w:val="000000"/>
                <w:sz w:val="17"/>
                <w:szCs w:val="17"/>
              </w:rPr>
            </w:pPr>
            <w:r w:rsidRPr="000C7651">
              <w:rPr>
                <w:rFonts w:ascii="Arial" w:hAnsi="Arial" w:cs="Arial"/>
                <w:b/>
                <w:bCs/>
                <w:color w:val="000000"/>
                <w:sz w:val="17"/>
                <w:szCs w:val="17"/>
                <w:lang w:val="en-US"/>
              </w:rPr>
              <w:t>p-value</w:t>
            </w:r>
          </w:p>
        </w:tc>
      </w:tr>
      <w:tr w:rsidR="000E64D5" w:rsidRPr="000C7651" w14:paraId="5587D144" w14:textId="77777777" w:rsidTr="00D52504">
        <w:trPr>
          <w:trHeight w:val="228"/>
        </w:trPr>
        <w:tc>
          <w:tcPr>
            <w:tcW w:w="1938" w:type="dxa"/>
            <w:vMerge w:val="restart"/>
            <w:shd w:val="clear" w:color="auto" w:fill="auto"/>
            <w:noWrap/>
            <w:hideMark/>
          </w:tcPr>
          <w:p w14:paraId="023F2E2C" w14:textId="0745FAC9" w:rsidR="000E64D5" w:rsidRPr="000C7651" w:rsidRDefault="000E64D5" w:rsidP="00F85C49">
            <w:pPr>
              <w:spacing w:line="276" w:lineRule="auto"/>
              <w:ind w:right="491"/>
              <w:rPr>
                <w:rFonts w:ascii="Arial" w:hAnsi="Arial" w:cs="Arial"/>
                <w:color w:val="000000"/>
                <w:sz w:val="17"/>
                <w:szCs w:val="17"/>
              </w:rPr>
            </w:pPr>
            <w:proofErr w:type="spellStart"/>
            <w:r>
              <w:rPr>
                <w:rFonts w:ascii="Arial" w:hAnsi="Arial" w:cs="Arial"/>
                <w:color w:val="000000"/>
                <w:sz w:val="17"/>
                <w:szCs w:val="17"/>
              </w:rPr>
              <w:t>Counsell</w:t>
            </w:r>
            <w:proofErr w:type="spellEnd"/>
            <w:r>
              <w:rPr>
                <w:rFonts w:ascii="Arial" w:hAnsi="Arial" w:cs="Arial"/>
                <w:color w:val="000000"/>
                <w:sz w:val="17"/>
                <w:szCs w:val="17"/>
              </w:rPr>
              <w:t xml:space="preserve"> et al. 2000 </w:t>
            </w:r>
            <w:r>
              <w:rPr>
                <w:rFonts w:ascii="Arial" w:hAnsi="Arial" w:cs="Arial"/>
                <w:color w:val="000000"/>
                <w:sz w:val="17"/>
                <w:szCs w:val="17"/>
              </w:rPr>
              <w:fldChar w:fldCharType="begin"/>
            </w:r>
            <w:r w:rsidR="00D52504">
              <w:rPr>
                <w:rFonts w:ascii="Arial" w:hAnsi="Arial" w:cs="Arial"/>
                <w:color w:val="000000"/>
                <w:sz w:val="17"/>
                <w:szCs w:val="17"/>
              </w:rPr>
              <w:instrText xml:space="preserve"> ADDIN ZOTERO_ITEM CSL_CITATION {"citationID":"AoGYm7o3","properties":{"formattedCitation":"[1]","plainCitation":"[1]","noteIndex":0},"citationItems":[{"id":"tJnrEpOK/UjrVgXal","uris":["http://zotero.org/users/1684662/items/JW77C4LU"],"uri":["http://zotero.org/users/1684662/items/JW77C4LU"],"itemData":{"id":66305,"type":"article-journal","abstract":"BACKGROUND: Older persons frequently experience a decline in function following an acute medical illness and hospitalization.OBJECTIVE: To test the hypothesis that a multicomponent intervention, called Acute Care for Elders (ACE), will improve functional outcomes and the process of care in hospitalized older patients.DESIGN: Randomized controlled trial.SETTING: Community teaching hospital.PATIENTS: A total of 1531 community-dwelling patients, aged 70 or older, admitted for an acute medical illness between November 1994 and May 1997.INTERVENTION: ACE includes a specially designed environment (with, for example, carpeting and uncluttered hallways); patient-centered care, including nursing care plans for prevention of disability and rehabilitation; planning for patient discharge to home; and review of medical care to prevent iatrogenic illness.MEASUREMENTS: The main outcome was change in the number of independent activities of daily living (ADL) from 2 weeks before admission (baseline) to discharge. Secondary outcomes included resource use, implementation of orders to promote function, and patient and provider satisfaction.RESULTS: Self-reported measures of function did not differ at discharge between the intervention and usual care groups by intention-to-treat analysis. The composite outcome of ADL decline from baseline or nursing home placement was less frequent in the intervention group at discharge (34% vs 40%; P = .027) and during the year following hospitalization (P = .022). There were no significant group differences in hospital length of stay and costs, home healthcare visits, or readmissions. Nursing care plans to promote independent function were more often implemented in the intervention group (79% vs 50%; P = .001), physical therapy consults were obtained more frequently (42% vs 36%; P = .027), and restraints were applied to fewer patients (2% vs 6%; P = .001). Satisfaction with care was higher for the intervention group than the usual care group among patients, caregivers, physicians, and nurses (P &lt; .05).CONCLUSIONS: ACE in a community hospital improved the process of care and patient and provider satisfaction without increasing hospital length of stay or costs. A lower frequency of the composite outcome ADL decline or nursing home placement may indicate potentially beneficial effects on patient outcomes.","container-title":"Journal of the American Geriatrics Society","DOI":"10.1111/j.1532-5415.2000.tb03866.x","ISSN":"1532-5415","issue":"12","note":"e","page":"1572-1581","title":"Effects of a Multicomponent Intervention on Functional Outcomes and Process of Care in Hospitalized Older Patients: A Randomized Controlled Trial of Acute Care for Elders (ACE) in a Community Hospital","volume":"48","author":[{"family":"Counsell","given":"Steven R."},{"family":"Holder","given":"Carolyn M."},{"family":"Liebenauer","given":"Laura L."},{"family":"Palmer","given":"Robert M."},{"family":"Fortinsky","given":"Richard H."},{"family":"Kresevic","given":"Denise M."},{"family":"Quinn","given":"Linda M."},{"family":"Allen","given":"Kyle R."},{"family":"Covinsky","given":"Kenneth E."},{"family":"Landefeld","given":"C. Seth"}],"issued":{"date-parts":[["2000"]]}}}],"schema":"https://github.com/citation-style-language/schema/raw/master/csl-citation.json"} </w:instrText>
            </w:r>
            <w:r>
              <w:rPr>
                <w:rFonts w:ascii="Arial" w:hAnsi="Arial" w:cs="Arial"/>
                <w:color w:val="000000"/>
                <w:sz w:val="17"/>
                <w:szCs w:val="17"/>
              </w:rPr>
              <w:fldChar w:fldCharType="separate"/>
            </w:r>
            <w:r>
              <w:rPr>
                <w:rFonts w:ascii="Arial" w:hAnsi="Arial" w:cs="Arial"/>
                <w:noProof/>
                <w:color w:val="000000"/>
                <w:sz w:val="17"/>
                <w:szCs w:val="17"/>
              </w:rPr>
              <w:t>[1]</w:t>
            </w:r>
            <w:r>
              <w:rPr>
                <w:rFonts w:ascii="Arial" w:hAnsi="Arial" w:cs="Arial"/>
                <w:color w:val="000000"/>
                <w:sz w:val="17"/>
                <w:szCs w:val="17"/>
              </w:rPr>
              <w:fldChar w:fldCharType="end"/>
            </w:r>
            <w:r>
              <w:rPr>
                <w:rFonts w:ascii="Arial" w:hAnsi="Arial" w:cs="Arial"/>
                <w:color w:val="000000"/>
                <w:sz w:val="17"/>
                <w:szCs w:val="17"/>
              </w:rPr>
              <w:t xml:space="preserve"> (RCT)</w:t>
            </w:r>
          </w:p>
        </w:tc>
        <w:tc>
          <w:tcPr>
            <w:tcW w:w="2101" w:type="dxa"/>
            <w:vMerge w:val="restart"/>
          </w:tcPr>
          <w:p w14:paraId="4CDAFDA3" w14:textId="77777777" w:rsidR="000E64D5" w:rsidRDefault="000E64D5" w:rsidP="009E1D82">
            <w:pPr>
              <w:tabs>
                <w:tab w:val="left" w:pos="1869"/>
              </w:tabs>
              <w:spacing w:line="276" w:lineRule="auto"/>
              <w:ind w:right="491"/>
              <w:rPr>
                <w:rFonts w:ascii="Arial" w:hAnsi="Arial" w:cs="Arial"/>
                <w:color w:val="000000"/>
                <w:sz w:val="17"/>
                <w:szCs w:val="17"/>
                <w:lang w:val="en-US"/>
              </w:rPr>
            </w:pPr>
            <w:r>
              <w:rPr>
                <w:rFonts w:ascii="Arial" w:hAnsi="Arial" w:cs="Arial"/>
                <w:color w:val="000000"/>
                <w:sz w:val="17"/>
                <w:szCs w:val="17"/>
                <w:lang w:val="en-US"/>
              </w:rPr>
              <w:t>Old age (&gt;70 years old)</w:t>
            </w:r>
          </w:p>
        </w:tc>
        <w:tc>
          <w:tcPr>
            <w:tcW w:w="4603" w:type="dxa"/>
            <w:tcBorders>
              <w:top w:val="single" w:sz="4" w:space="0" w:color="auto"/>
              <w:bottom w:val="nil"/>
            </w:tcBorders>
            <w:shd w:val="clear" w:color="auto" w:fill="auto"/>
          </w:tcPr>
          <w:p w14:paraId="08414424" w14:textId="77777777" w:rsidR="000E64D5" w:rsidRPr="000C7651" w:rsidRDefault="000E64D5" w:rsidP="009E1D82">
            <w:pPr>
              <w:tabs>
                <w:tab w:val="left" w:pos="1869"/>
              </w:tabs>
              <w:spacing w:line="276" w:lineRule="auto"/>
              <w:ind w:right="491"/>
              <w:rPr>
                <w:rFonts w:ascii="Arial" w:hAnsi="Arial" w:cs="Arial"/>
                <w:color w:val="000000"/>
                <w:sz w:val="17"/>
                <w:szCs w:val="17"/>
                <w:lang w:val="en-US"/>
              </w:rPr>
            </w:pPr>
            <w:r>
              <w:rPr>
                <w:rFonts w:ascii="Arial" w:hAnsi="Arial" w:cs="Arial"/>
                <w:color w:val="000000"/>
                <w:sz w:val="17"/>
                <w:szCs w:val="17"/>
                <w:lang w:val="en-US"/>
              </w:rPr>
              <w:t>ADL decline (yes/no)</w:t>
            </w:r>
          </w:p>
        </w:tc>
        <w:tc>
          <w:tcPr>
            <w:tcW w:w="1918" w:type="dxa"/>
            <w:tcBorders>
              <w:top w:val="single" w:sz="4" w:space="0" w:color="auto"/>
              <w:bottom w:val="nil"/>
            </w:tcBorders>
            <w:shd w:val="clear" w:color="auto" w:fill="auto"/>
            <w:noWrap/>
          </w:tcPr>
          <w:p w14:paraId="4ADFCF1A" w14:textId="77777777" w:rsidR="000E64D5" w:rsidRPr="000C7651" w:rsidRDefault="000E64D5" w:rsidP="00F85C49">
            <w:pPr>
              <w:spacing w:line="276" w:lineRule="auto"/>
              <w:ind w:right="491"/>
              <w:rPr>
                <w:rFonts w:ascii="Arial" w:hAnsi="Arial" w:cs="Arial"/>
                <w:color w:val="000000"/>
                <w:sz w:val="17"/>
                <w:szCs w:val="17"/>
              </w:rPr>
            </w:pPr>
            <w:r>
              <w:rPr>
                <w:rFonts w:ascii="Arial" w:hAnsi="Arial" w:cs="Arial"/>
                <w:color w:val="000000"/>
                <w:sz w:val="17"/>
                <w:szCs w:val="17"/>
              </w:rPr>
              <w:t>.</w:t>
            </w:r>
          </w:p>
        </w:tc>
        <w:tc>
          <w:tcPr>
            <w:tcW w:w="2242" w:type="dxa"/>
            <w:tcBorders>
              <w:top w:val="single" w:sz="4" w:space="0" w:color="auto"/>
              <w:bottom w:val="nil"/>
            </w:tcBorders>
            <w:shd w:val="clear" w:color="auto" w:fill="auto"/>
            <w:noWrap/>
          </w:tcPr>
          <w:p w14:paraId="0718F0DD" w14:textId="77777777" w:rsidR="000E64D5" w:rsidRPr="000C7651" w:rsidRDefault="000E64D5" w:rsidP="00F85C49">
            <w:pPr>
              <w:spacing w:line="276" w:lineRule="auto"/>
              <w:ind w:right="491"/>
              <w:rPr>
                <w:rFonts w:ascii="Arial" w:hAnsi="Arial" w:cs="Arial"/>
                <w:color w:val="000000"/>
                <w:sz w:val="17"/>
                <w:szCs w:val="17"/>
              </w:rPr>
            </w:pPr>
            <w:r>
              <w:rPr>
                <w:rFonts w:ascii="Arial" w:hAnsi="Arial" w:cs="Arial"/>
                <w:color w:val="000000"/>
                <w:sz w:val="17"/>
                <w:szCs w:val="17"/>
              </w:rPr>
              <w:t>.</w:t>
            </w:r>
          </w:p>
        </w:tc>
        <w:tc>
          <w:tcPr>
            <w:tcW w:w="1644" w:type="dxa"/>
            <w:tcBorders>
              <w:top w:val="single" w:sz="4" w:space="0" w:color="auto"/>
              <w:bottom w:val="nil"/>
            </w:tcBorders>
            <w:shd w:val="clear" w:color="auto" w:fill="auto"/>
            <w:noWrap/>
          </w:tcPr>
          <w:p w14:paraId="62DD0EA6" w14:textId="77777777" w:rsidR="000E64D5" w:rsidRPr="000C7651" w:rsidRDefault="000E64D5" w:rsidP="00F85C49">
            <w:pPr>
              <w:spacing w:line="276" w:lineRule="auto"/>
              <w:ind w:right="491"/>
              <w:rPr>
                <w:rFonts w:ascii="Arial" w:hAnsi="Arial" w:cs="Arial"/>
                <w:color w:val="000000"/>
                <w:sz w:val="17"/>
                <w:szCs w:val="17"/>
              </w:rPr>
            </w:pPr>
            <w:r>
              <w:rPr>
                <w:rFonts w:ascii="Arial" w:hAnsi="Arial" w:cs="Arial"/>
                <w:color w:val="000000"/>
                <w:sz w:val="17"/>
                <w:szCs w:val="17"/>
              </w:rPr>
              <w:t>0.11</w:t>
            </w:r>
          </w:p>
        </w:tc>
      </w:tr>
      <w:tr w:rsidR="000E64D5" w:rsidRPr="000C7651" w14:paraId="2CBACD4A" w14:textId="77777777" w:rsidTr="00D52504">
        <w:trPr>
          <w:trHeight w:val="156"/>
        </w:trPr>
        <w:tc>
          <w:tcPr>
            <w:tcW w:w="1938" w:type="dxa"/>
            <w:vMerge/>
            <w:shd w:val="clear" w:color="auto" w:fill="auto"/>
            <w:noWrap/>
            <w:hideMark/>
          </w:tcPr>
          <w:p w14:paraId="56740B2C" w14:textId="77777777" w:rsidR="000E64D5" w:rsidRPr="000C7651" w:rsidRDefault="000E64D5" w:rsidP="00F85C49">
            <w:pPr>
              <w:spacing w:line="276" w:lineRule="auto"/>
              <w:ind w:right="491"/>
              <w:rPr>
                <w:rFonts w:ascii="Arial" w:hAnsi="Arial" w:cs="Arial"/>
                <w:color w:val="000000"/>
                <w:sz w:val="17"/>
                <w:szCs w:val="17"/>
              </w:rPr>
            </w:pPr>
          </w:p>
        </w:tc>
        <w:tc>
          <w:tcPr>
            <w:tcW w:w="2101" w:type="dxa"/>
            <w:vMerge/>
          </w:tcPr>
          <w:p w14:paraId="3CDD7F49" w14:textId="77777777" w:rsidR="000E64D5" w:rsidRDefault="000E64D5" w:rsidP="00F85C49">
            <w:pPr>
              <w:spacing w:line="276" w:lineRule="auto"/>
              <w:ind w:right="491"/>
              <w:rPr>
                <w:rFonts w:ascii="Arial" w:hAnsi="Arial" w:cs="Arial"/>
                <w:color w:val="000000"/>
                <w:sz w:val="17"/>
                <w:szCs w:val="17"/>
                <w:lang w:val="en-US"/>
              </w:rPr>
            </w:pPr>
          </w:p>
        </w:tc>
        <w:tc>
          <w:tcPr>
            <w:tcW w:w="4603" w:type="dxa"/>
            <w:tcBorders>
              <w:top w:val="nil"/>
              <w:bottom w:val="nil"/>
            </w:tcBorders>
            <w:shd w:val="clear" w:color="auto" w:fill="auto"/>
          </w:tcPr>
          <w:p w14:paraId="1868E75E" w14:textId="77777777" w:rsidR="000E64D5" w:rsidRPr="000C7651" w:rsidRDefault="000E64D5" w:rsidP="00F85C49">
            <w:pPr>
              <w:spacing w:line="276" w:lineRule="auto"/>
              <w:ind w:right="491"/>
              <w:rPr>
                <w:rFonts w:ascii="Arial" w:hAnsi="Arial" w:cs="Arial"/>
                <w:color w:val="000000"/>
                <w:sz w:val="17"/>
                <w:szCs w:val="17"/>
                <w:lang w:val="en-US"/>
              </w:rPr>
            </w:pPr>
            <w:r>
              <w:rPr>
                <w:rFonts w:ascii="Arial" w:hAnsi="Arial" w:cs="Arial"/>
                <w:color w:val="000000"/>
                <w:sz w:val="17"/>
                <w:szCs w:val="17"/>
                <w:lang w:val="en-US"/>
              </w:rPr>
              <w:t>Instrumental ADL (number of independent ADL)</w:t>
            </w:r>
          </w:p>
        </w:tc>
        <w:tc>
          <w:tcPr>
            <w:tcW w:w="1918" w:type="dxa"/>
            <w:tcBorders>
              <w:top w:val="nil"/>
              <w:bottom w:val="nil"/>
            </w:tcBorders>
            <w:shd w:val="clear" w:color="auto" w:fill="auto"/>
            <w:noWrap/>
          </w:tcPr>
          <w:p w14:paraId="0B80BE71" w14:textId="77777777" w:rsidR="000E64D5" w:rsidRPr="0039572F" w:rsidRDefault="000E64D5" w:rsidP="00F85C49">
            <w:pPr>
              <w:spacing w:line="276" w:lineRule="auto"/>
              <w:ind w:right="491"/>
              <w:rPr>
                <w:rFonts w:ascii="Arial" w:hAnsi="Arial" w:cs="Arial"/>
                <w:color w:val="000000"/>
                <w:sz w:val="17"/>
                <w:szCs w:val="17"/>
                <w:lang w:val="en-US"/>
              </w:rPr>
            </w:pPr>
            <w:r>
              <w:rPr>
                <w:rFonts w:ascii="Arial" w:hAnsi="Arial" w:cs="Arial"/>
                <w:color w:val="000000"/>
                <w:sz w:val="17"/>
                <w:szCs w:val="17"/>
                <w:lang w:val="en-US"/>
              </w:rPr>
              <w:t>.</w:t>
            </w:r>
          </w:p>
        </w:tc>
        <w:tc>
          <w:tcPr>
            <w:tcW w:w="2242" w:type="dxa"/>
            <w:tcBorders>
              <w:top w:val="nil"/>
              <w:bottom w:val="nil"/>
            </w:tcBorders>
            <w:shd w:val="clear" w:color="auto" w:fill="auto"/>
            <w:noWrap/>
          </w:tcPr>
          <w:p w14:paraId="6516BEDA" w14:textId="77777777" w:rsidR="000E64D5" w:rsidRPr="0039572F" w:rsidRDefault="000E64D5" w:rsidP="00F85C49">
            <w:pPr>
              <w:spacing w:line="276" w:lineRule="auto"/>
              <w:ind w:right="491"/>
              <w:rPr>
                <w:rFonts w:ascii="Arial" w:hAnsi="Arial" w:cs="Arial"/>
                <w:color w:val="000000"/>
                <w:sz w:val="17"/>
                <w:szCs w:val="17"/>
                <w:lang w:val="en-US"/>
              </w:rPr>
            </w:pPr>
            <w:r>
              <w:rPr>
                <w:rFonts w:ascii="Arial" w:hAnsi="Arial" w:cs="Arial"/>
                <w:color w:val="000000"/>
                <w:sz w:val="17"/>
                <w:szCs w:val="17"/>
                <w:lang w:val="en-US"/>
              </w:rPr>
              <w:t>.</w:t>
            </w:r>
          </w:p>
        </w:tc>
        <w:tc>
          <w:tcPr>
            <w:tcW w:w="1644" w:type="dxa"/>
            <w:tcBorders>
              <w:top w:val="nil"/>
              <w:bottom w:val="nil"/>
            </w:tcBorders>
            <w:shd w:val="clear" w:color="auto" w:fill="auto"/>
            <w:noWrap/>
          </w:tcPr>
          <w:p w14:paraId="34A4AE2D" w14:textId="77777777" w:rsidR="000E64D5" w:rsidRPr="000C7651" w:rsidRDefault="000E64D5" w:rsidP="00F85C49">
            <w:pPr>
              <w:spacing w:line="276" w:lineRule="auto"/>
              <w:ind w:right="491"/>
              <w:rPr>
                <w:rFonts w:ascii="Arial" w:hAnsi="Arial" w:cs="Arial"/>
                <w:color w:val="000000"/>
                <w:sz w:val="17"/>
                <w:szCs w:val="17"/>
              </w:rPr>
            </w:pPr>
            <w:r>
              <w:rPr>
                <w:rFonts w:ascii="Arial" w:hAnsi="Arial" w:cs="Arial"/>
                <w:color w:val="000000"/>
                <w:sz w:val="17"/>
                <w:szCs w:val="17"/>
              </w:rPr>
              <w:t>0.39</w:t>
            </w:r>
          </w:p>
        </w:tc>
      </w:tr>
      <w:tr w:rsidR="000E64D5" w:rsidRPr="00877306" w14:paraId="6E27CC43" w14:textId="77777777" w:rsidTr="00D52504">
        <w:trPr>
          <w:trHeight w:val="217"/>
        </w:trPr>
        <w:tc>
          <w:tcPr>
            <w:tcW w:w="1938" w:type="dxa"/>
            <w:shd w:val="clear" w:color="auto" w:fill="auto"/>
            <w:noWrap/>
          </w:tcPr>
          <w:p w14:paraId="15625AAA" w14:textId="4D6A830C" w:rsidR="000E64D5" w:rsidRPr="00D52504" w:rsidRDefault="000E64D5" w:rsidP="00F85C49">
            <w:pPr>
              <w:spacing w:line="276" w:lineRule="auto"/>
              <w:ind w:right="491"/>
              <w:rPr>
                <w:rFonts w:ascii="Arial" w:hAnsi="Arial" w:cs="Arial"/>
                <w:color w:val="000000"/>
                <w:sz w:val="17"/>
                <w:szCs w:val="17"/>
                <w:lang w:val="en-US"/>
              </w:rPr>
            </w:pPr>
            <w:r>
              <w:rPr>
                <w:rFonts w:ascii="Arial" w:hAnsi="Arial" w:cs="Arial"/>
                <w:color w:val="000000"/>
                <w:sz w:val="17"/>
                <w:szCs w:val="17"/>
              </w:rPr>
              <w:t xml:space="preserve">Goldberg et al. 2013 </w:t>
            </w:r>
            <w:r>
              <w:rPr>
                <w:rFonts w:ascii="Arial" w:hAnsi="Arial" w:cs="Arial"/>
                <w:color w:val="000000"/>
                <w:sz w:val="17"/>
                <w:szCs w:val="17"/>
              </w:rPr>
              <w:fldChar w:fldCharType="begin"/>
            </w:r>
            <w:r w:rsidR="00D52504">
              <w:rPr>
                <w:rFonts w:ascii="Arial" w:hAnsi="Arial" w:cs="Arial"/>
                <w:color w:val="000000"/>
                <w:sz w:val="17"/>
                <w:szCs w:val="17"/>
              </w:rPr>
              <w:instrText xml:space="preserve"> ADDIN ZOTERO_ITEM CSL_CITATION {"citationID":"JAl6PHRz","properties":{"formattedCitation":"[2]","plainCitation":"[2]","noteIndex":0},"citationItems":[{"id":"tJnrEpOK/5DyEnPcR","uris":["http://zotero.org/users/1684662/items/NL5Y8DMJ"],"uri":["http://zotero.org/users/1684662/items/NL5Y8DMJ"],"itemData":{"id":66309,"type":"article-journal","abstract":"OBJECTIVE: To develop and evaluate a best practice model of general hospital acute medical care for older people with cognitive impairment. DESIGN: Randomised controlled trial, adapted to take account of constraints imposed by a busy acute  medical admission system. SETTING: Large acute general hospital in the United Kingdom. PARTICIPANTS: 600 patients aged over 65 admitted for acute medical care, identified as \"confused\" on admission. INTERVENTIONS: Participants were randomised to a specialist medical and mental health unit, designed to deliver best practice care for people with delirium or dementia, or to standard care (acute geriatric or general medical wards). Features of the specialist unit included joint staffing by medical and mental health professionals; enhanced staff training in delirium, dementia, and person centred dementia care; provision of organised purposeful activity; environmental modification to meet the needs of those with cognitive impairment; delirium prevention; and a proactive and inclusive approach to family carers. MAIN OUTCOME MEASURES: PRIMARY OUTCOME: number of days spent at home over the 90 days after randomisation. SECONDARY OUTCOMES: structured non-participant observations to ascertain patients' experiences; satisfaction of family carers with hospital care. When possible, outcome assessment was blind to allocation. RESULTS: There was no significant difference in days spent at home between the specialist unit and standard care groups (median 51 v 45 days, 95% confidence interval for difference -12 to 24; P=0.3). Median index hospital stay was 11 versus 11 days, mortality 22% versus 25% (-9% to 4%), readmission 32% versus 35% (-10% to 5%), and new admission to care home 20% versus 28% (-16% to 0) for the specialist unit and standard care groups, respectively. Patients returning home spent a median of 70.5 versus 71.0  days at home (-6.0 to 6.5). Patients on the specialist unit spent significantly more time with positive mood or engagement (79% v 68%, 2% to 20%; P=0.03) and experienced more staff interactions that met emotional and psychological needs (median 4 v 1 per observation; P&lt;0.001). More family carers were satisfied with car</w:instrText>
            </w:r>
            <w:r w:rsidR="00D52504" w:rsidRPr="00D52504">
              <w:rPr>
                <w:rFonts w:ascii="Arial" w:hAnsi="Arial" w:cs="Arial"/>
                <w:color w:val="000000"/>
                <w:sz w:val="17"/>
                <w:szCs w:val="17"/>
                <w:lang w:val="en-US"/>
              </w:rPr>
              <w:instrText xml:space="preserve">e (overall 91% v 83%, 2% to 15%; P=0.004), and severe dissatisfaction was reduced (5% v 10%, -10% to 0%; P=0.05). CONCLUSIONS: Specialist care for people with delirium and dementia improved the experience of patients and satisfaction of carers, but there were no convincing benefits in health status or service use. Patients' experience and carers' satisfaction might be more appropriate measures  of success for frail older people approaching the end of life. TRIAL REGISTRATION: Clinical Trials NCT01136148.","container-title":"BMJ (Clinical research ed.)","ISSN":"1756-1833 0959-535X","journalAbbreviation":"BMJ","language":"eng","note":"e","page":"f4132","title":"Care in specialist medical and mental health unit compared with standard care for older people with cognitive impairment admitted to general hospital: randomised controlled trial (NIHR TEAM trial).","volume":"347","author":[{"family":"Goldberg","given":"Sarah E."},{"family":"Bradshaw","given":"Lucy E."},{"family":"Kearney","given":"Fiona C."},{"family":"Russell","given":"Catherine"},{"family":"Whittamore","given":"Kathy H."},{"family":"Foster","given":"Pippa E. R."},{"family":"Mamza","given":"Jil"},{"family":"Gladman","given":"John R. F."},{"family":"Jones","given":"Rob G."},{"family":"Lewis","given":"Sarah A."},{"family":"Porock","given":"Davina"},{"family":"Harwood","given":"Rowan H."}],"issued":{"date-parts":[["2013",7,2]]}}}],"schema":"https://github.com/citation-style-language/schema/raw/master/csl-citation.json"} </w:instrText>
            </w:r>
            <w:r>
              <w:rPr>
                <w:rFonts w:ascii="Arial" w:hAnsi="Arial" w:cs="Arial"/>
                <w:color w:val="000000"/>
                <w:sz w:val="17"/>
                <w:szCs w:val="17"/>
              </w:rPr>
              <w:fldChar w:fldCharType="separate"/>
            </w:r>
            <w:r w:rsidRPr="00D52504">
              <w:rPr>
                <w:rFonts w:ascii="Arial" w:hAnsi="Arial" w:cs="Arial"/>
                <w:noProof/>
                <w:color w:val="000000"/>
                <w:sz w:val="17"/>
                <w:szCs w:val="17"/>
                <w:lang w:val="en-US"/>
              </w:rPr>
              <w:t>[2]</w:t>
            </w:r>
            <w:r>
              <w:rPr>
                <w:rFonts w:ascii="Arial" w:hAnsi="Arial" w:cs="Arial"/>
                <w:color w:val="000000"/>
                <w:sz w:val="17"/>
                <w:szCs w:val="17"/>
              </w:rPr>
              <w:fldChar w:fldCharType="end"/>
            </w:r>
            <w:r w:rsidRPr="00D52504">
              <w:rPr>
                <w:rFonts w:ascii="Arial" w:hAnsi="Arial" w:cs="Arial"/>
                <w:color w:val="000000"/>
                <w:sz w:val="17"/>
                <w:szCs w:val="17"/>
                <w:lang w:val="en-US"/>
              </w:rPr>
              <w:t xml:space="preserve"> (RCT)</w:t>
            </w:r>
          </w:p>
        </w:tc>
        <w:tc>
          <w:tcPr>
            <w:tcW w:w="2101" w:type="dxa"/>
          </w:tcPr>
          <w:p w14:paraId="793CE9DF" w14:textId="77777777" w:rsidR="000E64D5" w:rsidRPr="000E64D5" w:rsidRDefault="000E64D5" w:rsidP="00F85C49">
            <w:pPr>
              <w:spacing w:line="276" w:lineRule="auto"/>
              <w:ind w:right="491"/>
              <w:rPr>
                <w:rFonts w:ascii="Arial" w:hAnsi="Arial" w:cs="Arial"/>
                <w:color w:val="000000"/>
                <w:sz w:val="17"/>
                <w:szCs w:val="17"/>
                <w:lang w:val="en-US"/>
              </w:rPr>
            </w:pPr>
            <w:r w:rsidRPr="000E64D5">
              <w:rPr>
                <w:rFonts w:ascii="Arial" w:hAnsi="Arial" w:cs="Arial"/>
                <w:color w:val="000000"/>
                <w:sz w:val="17"/>
                <w:szCs w:val="17"/>
                <w:lang w:val="en-US"/>
              </w:rPr>
              <w:t>Cognitive impairment in old age (</w:t>
            </w:r>
            <w:r>
              <w:rPr>
                <w:rFonts w:ascii="Arial" w:hAnsi="Arial" w:cs="Arial"/>
                <w:color w:val="000000"/>
                <w:sz w:val="17"/>
                <w:szCs w:val="17"/>
                <w:lang w:val="en-US"/>
              </w:rPr>
              <w:t>&gt;65 years old)</w:t>
            </w:r>
          </w:p>
        </w:tc>
        <w:tc>
          <w:tcPr>
            <w:tcW w:w="4603" w:type="dxa"/>
            <w:tcBorders>
              <w:top w:val="single" w:sz="4" w:space="0" w:color="auto"/>
              <w:bottom w:val="single" w:sz="4" w:space="0" w:color="auto"/>
            </w:tcBorders>
            <w:shd w:val="clear" w:color="auto" w:fill="auto"/>
          </w:tcPr>
          <w:p w14:paraId="30E5001B" w14:textId="77777777" w:rsidR="000E64D5" w:rsidRPr="00D52504" w:rsidRDefault="000E64D5" w:rsidP="00F85C49">
            <w:pPr>
              <w:spacing w:line="276" w:lineRule="auto"/>
              <w:ind w:right="491"/>
              <w:rPr>
                <w:rFonts w:ascii="Arial" w:hAnsi="Arial" w:cs="Arial"/>
                <w:color w:val="000000"/>
                <w:sz w:val="17"/>
                <w:szCs w:val="17"/>
                <w:lang w:val="en-US"/>
              </w:rPr>
            </w:pPr>
            <w:r w:rsidRPr="00D52504">
              <w:rPr>
                <w:rFonts w:ascii="Arial" w:hAnsi="Arial" w:cs="Arial"/>
                <w:color w:val="000000"/>
                <w:sz w:val="17"/>
                <w:szCs w:val="17"/>
                <w:lang w:val="en-US"/>
              </w:rPr>
              <w:t>London handicap scale (100)</w:t>
            </w:r>
            <w:r w:rsidRPr="00C966D6">
              <w:rPr>
                <w:rFonts w:ascii="Arial" w:hAnsi="Arial" w:cs="Arial"/>
                <w:color w:val="000000"/>
                <w:sz w:val="16"/>
                <w:szCs w:val="16"/>
                <w:vertAlign w:val="superscript"/>
                <w:lang w:val="en-US"/>
              </w:rPr>
              <w:t xml:space="preserve"> ‡</w:t>
            </w:r>
          </w:p>
        </w:tc>
        <w:tc>
          <w:tcPr>
            <w:tcW w:w="1918" w:type="dxa"/>
            <w:tcBorders>
              <w:top w:val="single" w:sz="4" w:space="0" w:color="auto"/>
              <w:bottom w:val="single" w:sz="4" w:space="0" w:color="auto"/>
            </w:tcBorders>
            <w:shd w:val="clear" w:color="auto" w:fill="auto"/>
            <w:noWrap/>
          </w:tcPr>
          <w:p w14:paraId="5C41DB75" w14:textId="77777777" w:rsidR="000E64D5" w:rsidRPr="00D52504" w:rsidRDefault="000E64D5" w:rsidP="00F85C49">
            <w:pPr>
              <w:spacing w:line="276" w:lineRule="auto"/>
              <w:ind w:right="491"/>
              <w:rPr>
                <w:rFonts w:ascii="Arial" w:hAnsi="Arial" w:cs="Arial"/>
                <w:color w:val="000000"/>
                <w:sz w:val="17"/>
                <w:szCs w:val="17"/>
                <w:lang w:val="en-US"/>
              </w:rPr>
            </w:pPr>
            <w:r w:rsidRPr="00D52504">
              <w:rPr>
                <w:rFonts w:ascii="Arial" w:hAnsi="Arial" w:cs="Arial"/>
                <w:color w:val="000000"/>
                <w:sz w:val="17"/>
                <w:szCs w:val="17"/>
                <w:lang w:val="en-US"/>
              </w:rPr>
              <w:t>0.5 (-5.2, 6.2)</w:t>
            </w:r>
          </w:p>
        </w:tc>
        <w:tc>
          <w:tcPr>
            <w:tcW w:w="2242" w:type="dxa"/>
            <w:tcBorders>
              <w:top w:val="single" w:sz="4" w:space="0" w:color="auto"/>
              <w:bottom w:val="single" w:sz="4" w:space="0" w:color="auto"/>
            </w:tcBorders>
            <w:shd w:val="clear" w:color="auto" w:fill="auto"/>
            <w:noWrap/>
          </w:tcPr>
          <w:p w14:paraId="658CF490" w14:textId="77777777" w:rsidR="000E64D5" w:rsidRPr="00D52504" w:rsidRDefault="000E64D5" w:rsidP="00F85C49">
            <w:pPr>
              <w:spacing w:line="276" w:lineRule="auto"/>
              <w:ind w:right="491"/>
              <w:rPr>
                <w:rFonts w:ascii="Arial" w:hAnsi="Arial" w:cs="Arial"/>
                <w:color w:val="000000"/>
                <w:sz w:val="17"/>
                <w:szCs w:val="17"/>
                <w:lang w:val="en-US"/>
              </w:rPr>
            </w:pPr>
            <w:r w:rsidRPr="00D52504">
              <w:rPr>
                <w:rFonts w:ascii="Arial" w:hAnsi="Arial" w:cs="Arial"/>
                <w:color w:val="000000"/>
                <w:sz w:val="17"/>
                <w:szCs w:val="17"/>
                <w:lang w:val="en-US"/>
              </w:rPr>
              <w:t>.</w:t>
            </w:r>
          </w:p>
        </w:tc>
        <w:tc>
          <w:tcPr>
            <w:tcW w:w="1644" w:type="dxa"/>
            <w:tcBorders>
              <w:top w:val="single" w:sz="4" w:space="0" w:color="auto"/>
              <w:bottom w:val="single" w:sz="4" w:space="0" w:color="auto"/>
            </w:tcBorders>
            <w:shd w:val="clear" w:color="auto" w:fill="auto"/>
            <w:noWrap/>
          </w:tcPr>
          <w:p w14:paraId="6B8F2914" w14:textId="77777777" w:rsidR="000E64D5" w:rsidRPr="00D52504" w:rsidRDefault="000E64D5" w:rsidP="00F85C49">
            <w:pPr>
              <w:spacing w:line="276" w:lineRule="auto"/>
              <w:ind w:right="491"/>
              <w:rPr>
                <w:rFonts w:ascii="Arial" w:hAnsi="Arial" w:cs="Arial"/>
                <w:color w:val="000000"/>
                <w:sz w:val="17"/>
                <w:szCs w:val="17"/>
                <w:lang w:val="en-US"/>
              </w:rPr>
            </w:pPr>
            <w:r w:rsidRPr="00D52504">
              <w:rPr>
                <w:rFonts w:ascii="Arial" w:hAnsi="Arial" w:cs="Arial"/>
                <w:color w:val="000000"/>
                <w:sz w:val="17"/>
                <w:szCs w:val="17"/>
                <w:lang w:val="en-US"/>
              </w:rPr>
              <w:t>0.87</w:t>
            </w:r>
          </w:p>
        </w:tc>
      </w:tr>
      <w:tr w:rsidR="000E64D5" w:rsidRPr="000C7651" w14:paraId="220B824B" w14:textId="77777777" w:rsidTr="007775D5">
        <w:trPr>
          <w:trHeight w:val="217"/>
        </w:trPr>
        <w:tc>
          <w:tcPr>
            <w:tcW w:w="1938" w:type="dxa"/>
            <w:shd w:val="clear" w:color="auto" w:fill="auto"/>
            <w:noWrap/>
          </w:tcPr>
          <w:p w14:paraId="07D42B0B" w14:textId="5311CA39" w:rsidR="000E64D5" w:rsidRDefault="000E64D5" w:rsidP="00F85C49">
            <w:pPr>
              <w:spacing w:line="276" w:lineRule="auto"/>
              <w:ind w:right="491"/>
              <w:rPr>
                <w:rFonts w:ascii="Arial" w:hAnsi="Arial" w:cs="Arial"/>
                <w:color w:val="000000"/>
                <w:sz w:val="17"/>
                <w:szCs w:val="17"/>
              </w:rPr>
            </w:pPr>
            <w:proofErr w:type="spellStart"/>
            <w:r w:rsidRPr="00D52504">
              <w:rPr>
                <w:rFonts w:ascii="Arial" w:hAnsi="Arial" w:cs="Arial"/>
                <w:color w:val="000000"/>
                <w:sz w:val="17"/>
                <w:szCs w:val="17"/>
                <w:lang w:val="en-US"/>
              </w:rPr>
              <w:t>Hamnes</w:t>
            </w:r>
            <w:proofErr w:type="spellEnd"/>
            <w:r w:rsidRPr="00D52504">
              <w:rPr>
                <w:rFonts w:ascii="Arial" w:hAnsi="Arial" w:cs="Arial"/>
                <w:color w:val="000000"/>
                <w:sz w:val="17"/>
                <w:szCs w:val="17"/>
                <w:lang w:val="en-US"/>
              </w:rPr>
              <w:t xml:space="preserve"> et al. 2012 </w:t>
            </w:r>
            <w:r>
              <w:rPr>
                <w:rFonts w:ascii="Arial" w:hAnsi="Arial" w:cs="Arial"/>
                <w:color w:val="000000"/>
                <w:sz w:val="17"/>
                <w:szCs w:val="17"/>
              </w:rPr>
              <w:fldChar w:fldCharType="begin"/>
            </w:r>
            <w:r w:rsidR="00D52504">
              <w:rPr>
                <w:rFonts w:ascii="Arial" w:hAnsi="Arial" w:cs="Arial"/>
                <w:color w:val="000000"/>
                <w:sz w:val="17"/>
                <w:szCs w:val="17"/>
                <w:lang w:val="en-US"/>
              </w:rPr>
              <w:instrText xml:space="preserve"> ADDIN ZOTERO_ITEM CSL_CITATION {"citationID":"kgs2FIQm","properties":{"formattedCitation":"[3]","plainCitation":"[3]","noteIndex":0},"citationItems":[{"id":"tJnrEpOK/KFYqZaiS","uris":["http://zotero.org/users/1684662/items/Y63Q36ZD"],"uri":["http://zotero.org/users/1684662/items/Y63Q36ZD"],"itemData":{"id":66313,"type":"article-journal","abstract":"Background: Self-management programmes (SMP) are recommended for patients with fibromyalgia. The purpose of this study was to evaluate effects of a one week multidisciplinary inpatient self-management programme on psychological distress, skills as a consumer of health services, self-efficacy, and functional and symptomatic consequences of fibromyalgia (FM). Methods: A randomised controlled two-armed, assessor-blinded trial with three-week follow-up to evaluate SMP. Primary outcomes were the General Health Questionnaire (GHQ-20) and the Effective Musculoskeletal Consumer Scale (EC-17), while secondary outcomes included the Fibromyalgia Impact Questionnaire (FIQ) and Self-efficacy scales for pain, function and symptoms (ASES). Results: 150 patients with FM were randomised to one week one SMP (n = 75) or to a waiting list control group (n = 75). Of these, 58 participants in the treatment group and 60 in the control group completed the study. At three weeks' follow up there was a significant difference in EC-17 (0-100) in favour of the treatment group (mean difference 4.26, 95 CI 0.8 to 7.7, p = 0.02). There were no differences between the groups for any of the other outcomes. Conclusion: This study shows that in patients with FM the SMP had no effect on psychological distress, functional and symptomatic consequences and self-efficacy, except for a small short-term effect on skills and behaviour that are important for managing and participating in health care (EC-17). Clinical Trials.gov Id: NCT01035125. Trial registration: Clinical Trials. gov Id: NCT01035125","container-title":"BMC MUSCULOSKELETAL DISORDERS","DOI":"10.1186/1471-2474-13-189","ISSN":"1471-2474","language":"English","note":"e","title":"Effects of a one week multidisciplinary inpatient self-management programme for patients with fibromyalgia: a randomised controlled trial","volume":"13","author":[{"family":"Hamnes","given":"Bente"},{"family":"Mowinckel","given":"Petter"},{"family":"Kjeken","given":"Ingvild"},{"family":"Hagen","given":"Kare B."}],"issued":{"date-parts":[["2012",9,26]]}}}],"schema":"https://github.com/citation-style-language/schema/raw/master/csl-citation.json"} </w:instrText>
            </w:r>
            <w:r>
              <w:rPr>
                <w:rFonts w:ascii="Arial" w:hAnsi="Arial" w:cs="Arial"/>
                <w:color w:val="000000"/>
                <w:sz w:val="17"/>
                <w:szCs w:val="17"/>
              </w:rPr>
              <w:fldChar w:fldCharType="separate"/>
            </w:r>
            <w:r>
              <w:rPr>
                <w:rFonts w:ascii="Arial" w:hAnsi="Arial" w:cs="Arial"/>
                <w:noProof/>
                <w:color w:val="000000"/>
                <w:sz w:val="17"/>
                <w:szCs w:val="17"/>
              </w:rPr>
              <w:t>[3]</w:t>
            </w:r>
            <w:r>
              <w:rPr>
                <w:rFonts w:ascii="Arial" w:hAnsi="Arial" w:cs="Arial"/>
                <w:color w:val="000000"/>
                <w:sz w:val="17"/>
                <w:szCs w:val="17"/>
              </w:rPr>
              <w:fldChar w:fldCharType="end"/>
            </w:r>
            <w:r>
              <w:rPr>
                <w:rFonts w:ascii="Arial" w:hAnsi="Arial" w:cs="Arial"/>
                <w:color w:val="000000"/>
                <w:sz w:val="17"/>
                <w:szCs w:val="17"/>
              </w:rPr>
              <w:t xml:space="preserve"> (RCT)</w:t>
            </w:r>
          </w:p>
        </w:tc>
        <w:tc>
          <w:tcPr>
            <w:tcW w:w="2101" w:type="dxa"/>
          </w:tcPr>
          <w:p w14:paraId="7183EC7B" w14:textId="77777777" w:rsidR="000E64D5" w:rsidRDefault="000E64D5" w:rsidP="00F85C49">
            <w:pPr>
              <w:spacing w:line="276" w:lineRule="auto"/>
              <w:ind w:right="491"/>
              <w:rPr>
                <w:rFonts w:ascii="Arial" w:hAnsi="Arial" w:cs="Arial"/>
                <w:color w:val="000000"/>
                <w:sz w:val="17"/>
                <w:szCs w:val="17"/>
              </w:rPr>
            </w:pPr>
            <w:proofErr w:type="spellStart"/>
            <w:r>
              <w:rPr>
                <w:rFonts w:ascii="Arial" w:hAnsi="Arial" w:cs="Arial"/>
                <w:color w:val="000000"/>
                <w:sz w:val="17"/>
                <w:szCs w:val="17"/>
              </w:rPr>
              <w:t>fibromyalgia</w:t>
            </w:r>
            <w:proofErr w:type="spellEnd"/>
          </w:p>
        </w:tc>
        <w:tc>
          <w:tcPr>
            <w:tcW w:w="4603" w:type="dxa"/>
            <w:tcBorders>
              <w:top w:val="single" w:sz="4" w:space="0" w:color="auto"/>
              <w:bottom w:val="single" w:sz="4" w:space="0" w:color="auto"/>
            </w:tcBorders>
            <w:shd w:val="clear" w:color="auto" w:fill="auto"/>
          </w:tcPr>
          <w:p w14:paraId="6D142052" w14:textId="77777777" w:rsidR="000E64D5" w:rsidRDefault="000E64D5" w:rsidP="00F85C49">
            <w:pPr>
              <w:spacing w:line="276" w:lineRule="auto"/>
              <w:ind w:right="491"/>
              <w:rPr>
                <w:rFonts w:ascii="Arial" w:hAnsi="Arial" w:cs="Arial"/>
                <w:color w:val="000000"/>
                <w:sz w:val="17"/>
                <w:szCs w:val="17"/>
              </w:rPr>
            </w:pPr>
            <w:proofErr w:type="spellStart"/>
            <w:r>
              <w:rPr>
                <w:rFonts w:ascii="Arial" w:hAnsi="Arial" w:cs="Arial"/>
                <w:color w:val="000000"/>
                <w:sz w:val="17"/>
                <w:szCs w:val="17"/>
              </w:rPr>
              <w:t>Fibromyalgia</w:t>
            </w:r>
            <w:proofErr w:type="spellEnd"/>
            <w:r>
              <w:rPr>
                <w:rFonts w:ascii="Arial" w:hAnsi="Arial" w:cs="Arial"/>
                <w:color w:val="000000"/>
                <w:sz w:val="17"/>
                <w:szCs w:val="17"/>
              </w:rPr>
              <w:t xml:space="preserve"> Impact </w:t>
            </w:r>
            <w:proofErr w:type="spellStart"/>
            <w:r>
              <w:rPr>
                <w:rFonts w:ascii="Arial" w:hAnsi="Arial" w:cs="Arial"/>
                <w:color w:val="000000"/>
                <w:sz w:val="17"/>
                <w:szCs w:val="17"/>
              </w:rPr>
              <w:t>Questionnaire</w:t>
            </w:r>
            <w:proofErr w:type="spellEnd"/>
            <w:r>
              <w:rPr>
                <w:rFonts w:ascii="Arial" w:hAnsi="Arial" w:cs="Arial"/>
                <w:color w:val="000000"/>
                <w:sz w:val="17"/>
                <w:szCs w:val="17"/>
              </w:rPr>
              <w:t xml:space="preserve"> (0-10)</w:t>
            </w:r>
            <w:r w:rsidRPr="00C966D6">
              <w:rPr>
                <w:rFonts w:ascii="Arial" w:hAnsi="Arial" w:cs="Arial"/>
                <w:color w:val="000000"/>
                <w:sz w:val="16"/>
                <w:szCs w:val="16"/>
                <w:vertAlign w:val="superscript"/>
                <w:lang w:val="en-US"/>
              </w:rPr>
              <w:t xml:space="preserve"> ‡</w:t>
            </w:r>
          </w:p>
        </w:tc>
        <w:tc>
          <w:tcPr>
            <w:tcW w:w="1918" w:type="dxa"/>
            <w:tcBorders>
              <w:top w:val="single" w:sz="4" w:space="0" w:color="auto"/>
              <w:bottom w:val="single" w:sz="4" w:space="0" w:color="auto"/>
            </w:tcBorders>
            <w:shd w:val="clear" w:color="auto" w:fill="auto"/>
            <w:noWrap/>
          </w:tcPr>
          <w:p w14:paraId="3828CA86" w14:textId="77777777" w:rsidR="000E64D5" w:rsidRPr="009E1D82" w:rsidRDefault="000E64D5" w:rsidP="009E1D82">
            <w:pPr>
              <w:rPr>
                <w:rFonts w:ascii="Arial" w:hAnsi="Arial" w:cs="Arial"/>
                <w:color w:val="000000"/>
                <w:sz w:val="17"/>
                <w:szCs w:val="17"/>
              </w:rPr>
            </w:pPr>
            <w:r w:rsidRPr="009E1D82">
              <w:rPr>
                <w:rFonts w:ascii="Arial" w:hAnsi="Arial" w:cs="Arial"/>
                <w:color w:val="000000"/>
                <w:sz w:val="17"/>
                <w:szCs w:val="17"/>
              </w:rPr>
              <w:t>-2.76 (-7.7, 2.1)</w:t>
            </w:r>
          </w:p>
          <w:p w14:paraId="0FEE3D57" w14:textId="77777777" w:rsidR="000E64D5" w:rsidRDefault="000E64D5" w:rsidP="00F85C49">
            <w:pPr>
              <w:spacing w:line="276" w:lineRule="auto"/>
              <w:ind w:right="491"/>
              <w:rPr>
                <w:rFonts w:ascii="Arial" w:hAnsi="Arial" w:cs="Arial"/>
                <w:color w:val="000000"/>
                <w:sz w:val="17"/>
                <w:szCs w:val="17"/>
              </w:rPr>
            </w:pPr>
          </w:p>
        </w:tc>
        <w:tc>
          <w:tcPr>
            <w:tcW w:w="2242" w:type="dxa"/>
            <w:tcBorders>
              <w:top w:val="single" w:sz="4" w:space="0" w:color="auto"/>
              <w:bottom w:val="single" w:sz="4" w:space="0" w:color="auto"/>
            </w:tcBorders>
            <w:shd w:val="clear" w:color="auto" w:fill="auto"/>
            <w:noWrap/>
          </w:tcPr>
          <w:p w14:paraId="41B3F119" w14:textId="77777777" w:rsidR="000E64D5" w:rsidRDefault="000E64D5" w:rsidP="00F85C49">
            <w:pPr>
              <w:spacing w:line="276" w:lineRule="auto"/>
              <w:ind w:right="491"/>
              <w:rPr>
                <w:rFonts w:ascii="Arial" w:hAnsi="Arial" w:cs="Arial"/>
                <w:color w:val="000000"/>
                <w:sz w:val="17"/>
                <w:szCs w:val="17"/>
              </w:rPr>
            </w:pPr>
            <w:r>
              <w:rPr>
                <w:rFonts w:ascii="Arial" w:hAnsi="Arial" w:cs="Arial"/>
                <w:color w:val="000000"/>
                <w:sz w:val="17"/>
                <w:szCs w:val="17"/>
              </w:rPr>
              <w:t>0.15 (Cohens‘ d)</w:t>
            </w:r>
          </w:p>
        </w:tc>
        <w:tc>
          <w:tcPr>
            <w:tcW w:w="1644" w:type="dxa"/>
            <w:tcBorders>
              <w:top w:val="single" w:sz="4" w:space="0" w:color="auto"/>
              <w:bottom w:val="single" w:sz="4" w:space="0" w:color="auto"/>
            </w:tcBorders>
            <w:shd w:val="clear" w:color="auto" w:fill="auto"/>
            <w:noWrap/>
          </w:tcPr>
          <w:p w14:paraId="2F35124B" w14:textId="77777777" w:rsidR="000E64D5" w:rsidRDefault="000E64D5" w:rsidP="00F85C49">
            <w:pPr>
              <w:spacing w:line="276" w:lineRule="auto"/>
              <w:ind w:right="491"/>
              <w:rPr>
                <w:rFonts w:ascii="Arial" w:hAnsi="Arial" w:cs="Arial"/>
                <w:color w:val="000000"/>
                <w:sz w:val="17"/>
                <w:szCs w:val="17"/>
              </w:rPr>
            </w:pPr>
            <w:r>
              <w:rPr>
                <w:rFonts w:ascii="Arial" w:hAnsi="Arial" w:cs="Arial"/>
                <w:color w:val="000000"/>
                <w:sz w:val="17"/>
                <w:szCs w:val="17"/>
              </w:rPr>
              <w:t>0.265</w:t>
            </w:r>
          </w:p>
        </w:tc>
      </w:tr>
      <w:tr w:rsidR="000E64D5" w:rsidRPr="000C7651" w14:paraId="4A6F8ED1" w14:textId="77777777" w:rsidTr="007775D5">
        <w:trPr>
          <w:trHeight w:val="217"/>
        </w:trPr>
        <w:tc>
          <w:tcPr>
            <w:tcW w:w="1938" w:type="dxa"/>
            <w:tcBorders>
              <w:bottom w:val="single" w:sz="4" w:space="0" w:color="auto"/>
            </w:tcBorders>
            <w:shd w:val="clear" w:color="auto" w:fill="auto"/>
            <w:noWrap/>
          </w:tcPr>
          <w:p w14:paraId="2E922FD1" w14:textId="265745C6" w:rsidR="000E64D5" w:rsidRDefault="000E64D5" w:rsidP="00F85C49">
            <w:pPr>
              <w:spacing w:line="276" w:lineRule="auto"/>
              <w:ind w:right="491"/>
              <w:rPr>
                <w:rFonts w:ascii="Arial" w:hAnsi="Arial" w:cs="Arial"/>
                <w:color w:val="000000"/>
                <w:sz w:val="17"/>
                <w:szCs w:val="17"/>
              </w:rPr>
            </w:pPr>
            <w:r>
              <w:rPr>
                <w:rFonts w:ascii="Arial" w:hAnsi="Arial" w:cs="Arial"/>
                <w:color w:val="000000"/>
                <w:sz w:val="17"/>
                <w:szCs w:val="17"/>
              </w:rPr>
              <w:t xml:space="preserve">Hechler et al. 2014 </w:t>
            </w:r>
            <w:r>
              <w:rPr>
                <w:rFonts w:ascii="Arial" w:hAnsi="Arial" w:cs="Arial"/>
                <w:color w:val="000000"/>
                <w:sz w:val="17"/>
                <w:szCs w:val="17"/>
              </w:rPr>
              <w:fldChar w:fldCharType="begin"/>
            </w:r>
            <w:r w:rsidR="00D52504">
              <w:rPr>
                <w:rFonts w:ascii="Arial" w:hAnsi="Arial" w:cs="Arial"/>
                <w:color w:val="000000"/>
                <w:sz w:val="17"/>
                <w:szCs w:val="17"/>
              </w:rPr>
              <w:instrText xml:space="preserve"> ADDIN ZOTERO_ITEM CSL_CITATION {"citationID":"QUAXqsEF","properties":{"formattedCitation":"[4]","plainCitation":"[4]","noteIndex":0},"citationItems":[{"id":"tJnrEpOK/gIhLTkIi","uris":["http://zotero.org/users/1684662/items/UHM4ABV2"],"uri":["http://zotero.org/users/1684662/items/UHM4ABV2"],"itemData":{"id":66315,"type":"article-journal","abstract":"Pediatric chronic pain, which can result in deleterious effects for the child, bears the risk of aggravation into adulthood. Intensive interdisciplinary pain treatment (IIPT) might be an effective treatment, given the advantage of consulting with multiple professionals on a daily basis. Evidence for the effectiveness of IIPT is scarce. We investigated the efficacy of an IIPT within a randomized controlled trial by comparing an intervention group (IG) (n = 52) to a waiting-list control group (WCG) (n = 52). We made assessments before treatment (PRE), immediately after treatment (POST), as well as at short-term (POST6MONTHS) and long-term (POST12MONTHS) follow-up. We determined a combined endpoint, improvement (pain intensity, disability, school absence), and investigated 3 additional outcome domains (anxiety, depression, catastrophizing). We also investigated changes in economic parameters (health care use, parental work absenteeism, subjective financial burden) and their relationship to the child's improvement. Results at POST showed that significantly more children in the IG than in the WCG were assigned to improvement (55% compared to 14%; Fisher P &lt; .001; 95% confidence interval for incidence difference: 0.21% to 0.60%). Although immediate effects were achieved for disability, school absence, depression, and catastrophizing, pain intensity and anxiety did not change until short-term follow-up. More than 60% of the children in both groups were improved long-term. The parents reported significant reductions in all economic parameters. The results from the present study support the efficacy of the IIPT. Future research is warranted to investigate differences in treatment response and to understand the changes in economic parameters in nonimproved children. (C) 2013 International Association for the Study of Pain. Published by Elsevier B.V. All rights reserved.","container-title":"PAIN","DOI":"10.1016/j.pain.2013.09.015","ISSN":"0304-3959","issue":"1","language":"English","note":"e","page":"118-128","title":"Inpatient-based intensive interdisciplinary pain treatment for highly impaired children with severe chronic pain: Randomized controlled trial of efficacy and economic effects","volume":"155","author":[{"family":"Hechler","given":"Tanja"},{"family":"Ruhe","given":"Ann-Kristin"},{"family":"Schmidt","given":"Pia"},{"family":"Hirsch","given":"Jessica"},{"family":"Wager","given":"Julia"},{"family":"Dobe","given":"Michael"},{"family":"Krummenauer","given":"Frank"},{"family":"Zernikow","given":"Boris"}],"issued":{"date-parts":[["2014",1]]}}}],"schema":"https://github.com/citation-style-language/schema/raw/master/csl-citation.json"} </w:instrText>
            </w:r>
            <w:r>
              <w:rPr>
                <w:rFonts w:ascii="Arial" w:hAnsi="Arial" w:cs="Arial"/>
                <w:color w:val="000000"/>
                <w:sz w:val="17"/>
                <w:szCs w:val="17"/>
              </w:rPr>
              <w:fldChar w:fldCharType="separate"/>
            </w:r>
            <w:r>
              <w:rPr>
                <w:rFonts w:ascii="Arial" w:hAnsi="Arial" w:cs="Arial"/>
                <w:noProof/>
                <w:color w:val="000000"/>
                <w:sz w:val="17"/>
                <w:szCs w:val="17"/>
              </w:rPr>
              <w:t>[4]</w:t>
            </w:r>
            <w:r>
              <w:rPr>
                <w:rFonts w:ascii="Arial" w:hAnsi="Arial" w:cs="Arial"/>
                <w:color w:val="000000"/>
                <w:sz w:val="17"/>
                <w:szCs w:val="17"/>
              </w:rPr>
              <w:fldChar w:fldCharType="end"/>
            </w:r>
            <w:r>
              <w:rPr>
                <w:rFonts w:ascii="Arial" w:hAnsi="Arial" w:cs="Arial"/>
                <w:color w:val="000000"/>
                <w:sz w:val="17"/>
                <w:szCs w:val="17"/>
              </w:rPr>
              <w:t xml:space="preserve"> (RCT)</w:t>
            </w:r>
          </w:p>
        </w:tc>
        <w:tc>
          <w:tcPr>
            <w:tcW w:w="2101" w:type="dxa"/>
            <w:tcBorders>
              <w:bottom w:val="single" w:sz="4" w:space="0" w:color="auto"/>
            </w:tcBorders>
          </w:tcPr>
          <w:p w14:paraId="39414416" w14:textId="77777777" w:rsidR="000E64D5" w:rsidRDefault="000E64D5" w:rsidP="00F85C49">
            <w:pPr>
              <w:spacing w:line="276" w:lineRule="auto"/>
              <w:ind w:right="491"/>
              <w:rPr>
                <w:rFonts w:ascii="Arial" w:hAnsi="Arial" w:cs="Arial"/>
                <w:color w:val="000000"/>
                <w:sz w:val="17"/>
                <w:szCs w:val="17"/>
              </w:rPr>
            </w:pPr>
            <w:proofErr w:type="spellStart"/>
            <w:r>
              <w:rPr>
                <w:rFonts w:ascii="Arial" w:hAnsi="Arial" w:cs="Arial"/>
                <w:color w:val="000000"/>
                <w:sz w:val="17"/>
                <w:szCs w:val="17"/>
              </w:rPr>
              <w:t>Chronic</w:t>
            </w:r>
            <w:proofErr w:type="spellEnd"/>
            <w:r>
              <w:rPr>
                <w:rFonts w:ascii="Arial" w:hAnsi="Arial" w:cs="Arial"/>
                <w:color w:val="000000"/>
                <w:sz w:val="17"/>
                <w:szCs w:val="17"/>
              </w:rPr>
              <w:t xml:space="preserve"> </w:t>
            </w:r>
            <w:proofErr w:type="spellStart"/>
            <w:r>
              <w:rPr>
                <w:rFonts w:ascii="Arial" w:hAnsi="Arial" w:cs="Arial"/>
                <w:color w:val="000000"/>
                <w:sz w:val="17"/>
                <w:szCs w:val="17"/>
              </w:rPr>
              <w:t>pain</w:t>
            </w:r>
            <w:proofErr w:type="spellEnd"/>
            <w:r>
              <w:rPr>
                <w:rFonts w:ascii="Arial" w:hAnsi="Arial" w:cs="Arial"/>
                <w:color w:val="000000"/>
                <w:sz w:val="17"/>
                <w:szCs w:val="17"/>
              </w:rPr>
              <w:t xml:space="preserve"> (</w:t>
            </w:r>
            <w:proofErr w:type="spellStart"/>
            <w:r>
              <w:rPr>
                <w:rFonts w:ascii="Arial" w:hAnsi="Arial" w:cs="Arial"/>
                <w:color w:val="000000"/>
                <w:sz w:val="17"/>
                <w:szCs w:val="17"/>
              </w:rPr>
              <w:t>pediatric</w:t>
            </w:r>
            <w:proofErr w:type="spellEnd"/>
            <w:r>
              <w:rPr>
                <w:rFonts w:ascii="Arial" w:hAnsi="Arial" w:cs="Arial"/>
                <w:color w:val="000000"/>
                <w:sz w:val="17"/>
                <w:szCs w:val="17"/>
              </w:rPr>
              <w:t>)</w:t>
            </w:r>
          </w:p>
        </w:tc>
        <w:tc>
          <w:tcPr>
            <w:tcW w:w="4603" w:type="dxa"/>
            <w:tcBorders>
              <w:top w:val="single" w:sz="4" w:space="0" w:color="auto"/>
              <w:bottom w:val="single" w:sz="4" w:space="0" w:color="auto"/>
            </w:tcBorders>
            <w:shd w:val="clear" w:color="auto" w:fill="auto"/>
          </w:tcPr>
          <w:p w14:paraId="17DDCDB2" w14:textId="77777777" w:rsidR="000E64D5" w:rsidRDefault="000E64D5" w:rsidP="00F85C49">
            <w:pPr>
              <w:spacing w:line="276" w:lineRule="auto"/>
              <w:ind w:right="491"/>
              <w:rPr>
                <w:rFonts w:ascii="Arial" w:hAnsi="Arial" w:cs="Arial"/>
                <w:color w:val="000000"/>
                <w:sz w:val="17"/>
                <w:szCs w:val="17"/>
              </w:rPr>
            </w:pPr>
            <w:r>
              <w:rPr>
                <w:rFonts w:ascii="Arial" w:hAnsi="Arial" w:cs="Arial"/>
                <w:color w:val="000000"/>
                <w:sz w:val="17"/>
                <w:szCs w:val="17"/>
              </w:rPr>
              <w:t>P-PDI (12-60)</w:t>
            </w:r>
            <w:r w:rsidRPr="00C966D6">
              <w:rPr>
                <w:rFonts w:ascii="Arial" w:hAnsi="Arial" w:cs="Arial"/>
                <w:color w:val="000000"/>
                <w:sz w:val="16"/>
                <w:szCs w:val="16"/>
                <w:vertAlign w:val="superscript"/>
                <w:lang w:val="en-US"/>
              </w:rPr>
              <w:t xml:space="preserve"> ‡</w:t>
            </w:r>
          </w:p>
        </w:tc>
        <w:tc>
          <w:tcPr>
            <w:tcW w:w="1918" w:type="dxa"/>
            <w:tcBorders>
              <w:top w:val="single" w:sz="4" w:space="0" w:color="auto"/>
              <w:bottom w:val="single" w:sz="4" w:space="0" w:color="auto"/>
            </w:tcBorders>
            <w:shd w:val="clear" w:color="auto" w:fill="auto"/>
            <w:noWrap/>
          </w:tcPr>
          <w:p w14:paraId="3328E701" w14:textId="77777777" w:rsidR="000E64D5" w:rsidRPr="009E1D82" w:rsidRDefault="000E64D5" w:rsidP="009E1D82">
            <w:pPr>
              <w:rPr>
                <w:rFonts w:ascii="Arial" w:hAnsi="Arial" w:cs="Arial"/>
                <w:color w:val="000000"/>
                <w:sz w:val="17"/>
                <w:szCs w:val="17"/>
              </w:rPr>
            </w:pPr>
            <w:r>
              <w:rPr>
                <w:rFonts w:ascii="Arial" w:hAnsi="Arial" w:cs="Arial"/>
                <w:color w:val="000000"/>
                <w:sz w:val="17"/>
                <w:szCs w:val="17"/>
              </w:rPr>
              <w:t>.</w:t>
            </w:r>
          </w:p>
        </w:tc>
        <w:tc>
          <w:tcPr>
            <w:tcW w:w="2242" w:type="dxa"/>
            <w:tcBorders>
              <w:top w:val="single" w:sz="4" w:space="0" w:color="auto"/>
              <w:bottom w:val="single" w:sz="4" w:space="0" w:color="auto"/>
            </w:tcBorders>
            <w:shd w:val="clear" w:color="auto" w:fill="auto"/>
            <w:noWrap/>
          </w:tcPr>
          <w:p w14:paraId="4332D3D3" w14:textId="77777777" w:rsidR="000E64D5" w:rsidRDefault="000E64D5" w:rsidP="00F85C49">
            <w:pPr>
              <w:spacing w:line="276" w:lineRule="auto"/>
              <w:ind w:right="491"/>
              <w:rPr>
                <w:rFonts w:ascii="Arial" w:hAnsi="Arial" w:cs="Arial"/>
                <w:color w:val="000000"/>
                <w:sz w:val="17"/>
                <w:szCs w:val="17"/>
              </w:rPr>
            </w:pPr>
            <w:r>
              <w:rPr>
                <w:rFonts w:ascii="Arial" w:hAnsi="Arial" w:cs="Arial"/>
                <w:color w:val="000000"/>
                <w:sz w:val="17"/>
                <w:szCs w:val="17"/>
              </w:rPr>
              <w:t>.</w:t>
            </w:r>
          </w:p>
        </w:tc>
        <w:tc>
          <w:tcPr>
            <w:tcW w:w="1644" w:type="dxa"/>
            <w:tcBorders>
              <w:top w:val="single" w:sz="4" w:space="0" w:color="auto"/>
              <w:bottom w:val="single" w:sz="4" w:space="0" w:color="auto"/>
            </w:tcBorders>
            <w:shd w:val="clear" w:color="auto" w:fill="auto"/>
            <w:noWrap/>
          </w:tcPr>
          <w:p w14:paraId="0FF523EA" w14:textId="77777777" w:rsidR="000E64D5" w:rsidRDefault="000E64D5" w:rsidP="00F85C49">
            <w:pPr>
              <w:spacing w:line="276" w:lineRule="auto"/>
              <w:ind w:right="491"/>
              <w:rPr>
                <w:rFonts w:ascii="Arial" w:hAnsi="Arial" w:cs="Arial"/>
                <w:color w:val="000000"/>
                <w:sz w:val="17"/>
                <w:szCs w:val="17"/>
              </w:rPr>
            </w:pPr>
            <w:r>
              <w:rPr>
                <w:rFonts w:ascii="Arial" w:hAnsi="Arial" w:cs="Arial"/>
                <w:color w:val="000000"/>
                <w:sz w:val="17"/>
                <w:szCs w:val="17"/>
              </w:rPr>
              <w:t>.</w:t>
            </w:r>
          </w:p>
        </w:tc>
      </w:tr>
      <w:tr w:rsidR="000E64D5" w:rsidRPr="000C7651" w14:paraId="1BFCD8BE" w14:textId="77777777" w:rsidTr="007775D5">
        <w:trPr>
          <w:trHeight w:val="124"/>
        </w:trPr>
        <w:tc>
          <w:tcPr>
            <w:tcW w:w="1938" w:type="dxa"/>
            <w:vMerge w:val="restart"/>
            <w:tcBorders>
              <w:right w:val="single" w:sz="4" w:space="0" w:color="auto"/>
            </w:tcBorders>
            <w:shd w:val="clear" w:color="auto" w:fill="auto"/>
            <w:noWrap/>
          </w:tcPr>
          <w:p w14:paraId="34C6B45B"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 xml:space="preserve">Mangels et al. 2009 </w:t>
            </w:r>
            <w:r>
              <w:rPr>
                <w:rFonts w:ascii="Arial" w:hAnsi="Arial" w:cs="Arial"/>
                <w:color w:val="000000"/>
                <w:sz w:val="17"/>
                <w:szCs w:val="17"/>
              </w:rPr>
              <w:fldChar w:fldCharType="begin"/>
            </w:r>
            <w:r>
              <w:rPr>
                <w:rFonts w:ascii="Arial" w:hAnsi="Arial" w:cs="Arial"/>
                <w:color w:val="000000"/>
                <w:sz w:val="17"/>
                <w:szCs w:val="17"/>
              </w:rPr>
              <w:instrText xml:space="preserve"> ADDIN ZOTERO_ITEM CSL_CITATION {"citationID":"R1mq3dvb","properties":{"formattedCitation":"[5]","plainCitation":"[5]","noteIndex":0},"citationItems":[{"id":66319,"uris":["http://zotero.org/users/1684662/items/LMWZ6J7C"],"uri":["http://zotero.org/users/1684662/items/LMWZ6J7C"],"itemData":{"id":66319,"type":"article-journal","abstract":"OBJECTIVES: The aim of this randomized controlled study was to investigate whether additional psychologic interventions in the context of multidisciplinary inpatient pain treatment increases treatment efficacy compared with normal orthopedic rehabilitation. In addition, we aimed to demonstrate the additional benefit of a subsequent maintenance program in further stabilizing treatment successes. METHODS: We randomly assigned 363 chronic back pain patients to 1 of 3 treatment conditions: traditional orthopedic rehabilitation, multidisciplinary (behavioral-medical) rehabilitation alone, and multidisciplinary rehabilitation with subsequent booster sessions. Pain disability, depression, self-efficacy, health status, life satisfaction, and coping strategies were assessed at admission, discharge, and 12 months follow-up. The completion rate was 94%. RESULTS: All 3 treatment conditions were effective in improving core outcome measures in chronic back pain patients in the short term. The results were almost maintained at follow-up (small-to-medium within-group effect sizes). Significant advantages in favor of behavioral-medical interventions were found on almost all pain coping strategies and depression compared with traditional orthopedic rehabilitation. We found only slight advantages for the behavioral-medical treatment with subsequent booster sessions compared with the condition without a further maintenance program. DISCUSSION: The results concerning the efficacy of the multidisciplinary treatment are in accordance with former meta-analyses. Surprisingly, the findings suggest that the presented traditional orthopedic treatment was inherently very effective. The implications of these findings are discussed with respect to the benefit of additional psychologic interventions and the benefit of aftercare approaches for chronic pain patients.","archive":"cin20","container-title":"Clinical Journal of Pain","DOI":"10.1097/AJP.0b013e3181925791","ISSN":"0749-8047","issue":"5","journalAbbreviation":"Clinical Journal of Pain","note":"e","page":"356-364","source":"EBSCOhost","title":"Evaluation of a behavioral-medical inpatient rehabilitation treatment including booster sessions: a randomized controlled study.","volume":"25","author":[{"literal":"Mangels M"},{"literal":"Schwarz S"},{"literal":"Worringen U"},{"literal":"Holme M"},{"literal":"Rief W"}],"issued":{"date-parts":[["2009",6]]}}}],"schema":"https://github.com/citation-style-language/schema/raw/master/csl-citation.json"} </w:instrText>
            </w:r>
            <w:r>
              <w:rPr>
                <w:rFonts w:ascii="Arial" w:hAnsi="Arial" w:cs="Arial"/>
                <w:color w:val="000000"/>
                <w:sz w:val="17"/>
                <w:szCs w:val="17"/>
              </w:rPr>
              <w:fldChar w:fldCharType="separate"/>
            </w:r>
            <w:r>
              <w:rPr>
                <w:rFonts w:ascii="Arial" w:hAnsi="Arial" w:cs="Arial"/>
                <w:noProof/>
                <w:color w:val="000000"/>
                <w:sz w:val="17"/>
                <w:szCs w:val="17"/>
              </w:rPr>
              <w:t>[5]</w:t>
            </w:r>
            <w:r>
              <w:rPr>
                <w:rFonts w:ascii="Arial" w:hAnsi="Arial" w:cs="Arial"/>
                <w:color w:val="000000"/>
                <w:sz w:val="17"/>
                <w:szCs w:val="17"/>
              </w:rPr>
              <w:fldChar w:fldCharType="end"/>
            </w:r>
            <w:r>
              <w:rPr>
                <w:rFonts w:ascii="Arial" w:hAnsi="Arial" w:cs="Arial"/>
                <w:color w:val="000000"/>
                <w:sz w:val="17"/>
                <w:szCs w:val="17"/>
              </w:rPr>
              <w:t xml:space="preserve"> (RCT)</w:t>
            </w:r>
          </w:p>
        </w:tc>
        <w:tc>
          <w:tcPr>
            <w:tcW w:w="2101" w:type="dxa"/>
            <w:vMerge w:val="restart"/>
            <w:tcBorders>
              <w:right w:val="single" w:sz="4" w:space="0" w:color="auto"/>
            </w:tcBorders>
          </w:tcPr>
          <w:p w14:paraId="4601C506" w14:textId="77777777" w:rsidR="000E64D5" w:rsidRDefault="000E64D5" w:rsidP="009E0113">
            <w:pPr>
              <w:spacing w:line="276" w:lineRule="auto"/>
              <w:ind w:right="491"/>
              <w:rPr>
                <w:rFonts w:ascii="Arial" w:hAnsi="Arial" w:cs="Arial"/>
                <w:color w:val="000000"/>
                <w:sz w:val="17"/>
                <w:szCs w:val="17"/>
              </w:rPr>
            </w:pPr>
            <w:proofErr w:type="spellStart"/>
            <w:r>
              <w:rPr>
                <w:rFonts w:ascii="Arial" w:hAnsi="Arial" w:cs="Arial"/>
                <w:color w:val="000000"/>
                <w:sz w:val="17"/>
                <w:szCs w:val="17"/>
              </w:rPr>
              <w:t>Chronic</w:t>
            </w:r>
            <w:proofErr w:type="spellEnd"/>
            <w:r>
              <w:rPr>
                <w:rFonts w:ascii="Arial" w:hAnsi="Arial" w:cs="Arial"/>
                <w:color w:val="000000"/>
                <w:sz w:val="17"/>
                <w:szCs w:val="17"/>
              </w:rPr>
              <w:t xml:space="preserve"> </w:t>
            </w:r>
            <w:proofErr w:type="spellStart"/>
            <w:r>
              <w:rPr>
                <w:rFonts w:ascii="Arial" w:hAnsi="Arial" w:cs="Arial"/>
                <w:color w:val="000000"/>
                <w:sz w:val="17"/>
                <w:szCs w:val="17"/>
              </w:rPr>
              <w:t>low</w:t>
            </w:r>
            <w:proofErr w:type="spellEnd"/>
            <w:r>
              <w:rPr>
                <w:rFonts w:ascii="Arial" w:hAnsi="Arial" w:cs="Arial"/>
                <w:color w:val="000000"/>
                <w:sz w:val="17"/>
                <w:szCs w:val="17"/>
              </w:rPr>
              <w:t xml:space="preserve"> back </w:t>
            </w:r>
            <w:proofErr w:type="spellStart"/>
            <w:r>
              <w:rPr>
                <w:rFonts w:ascii="Arial" w:hAnsi="Arial" w:cs="Arial"/>
                <w:color w:val="000000"/>
                <w:sz w:val="17"/>
                <w:szCs w:val="17"/>
              </w:rPr>
              <w:t>pain</w:t>
            </w:r>
            <w:proofErr w:type="spellEnd"/>
          </w:p>
        </w:tc>
        <w:tc>
          <w:tcPr>
            <w:tcW w:w="4603" w:type="dxa"/>
            <w:tcBorders>
              <w:top w:val="single" w:sz="4" w:space="0" w:color="auto"/>
              <w:left w:val="single" w:sz="4" w:space="0" w:color="auto"/>
              <w:bottom w:val="nil"/>
              <w:right w:val="single" w:sz="4" w:space="0" w:color="auto"/>
            </w:tcBorders>
            <w:shd w:val="clear" w:color="auto" w:fill="auto"/>
          </w:tcPr>
          <w:p w14:paraId="4CF05956"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PDI (.)</w:t>
            </w:r>
            <w:r w:rsidRPr="00C966D6">
              <w:rPr>
                <w:rFonts w:ascii="Arial" w:hAnsi="Arial" w:cs="Arial"/>
                <w:color w:val="000000"/>
                <w:sz w:val="16"/>
                <w:szCs w:val="16"/>
                <w:vertAlign w:val="superscript"/>
                <w:lang w:val="en-US"/>
              </w:rPr>
              <w:t>‡</w:t>
            </w:r>
          </w:p>
        </w:tc>
        <w:tc>
          <w:tcPr>
            <w:tcW w:w="1918" w:type="dxa"/>
            <w:tcBorders>
              <w:top w:val="single" w:sz="4" w:space="0" w:color="auto"/>
              <w:left w:val="single" w:sz="4" w:space="0" w:color="auto"/>
              <w:bottom w:val="nil"/>
              <w:right w:val="single" w:sz="4" w:space="0" w:color="auto"/>
            </w:tcBorders>
            <w:shd w:val="clear" w:color="auto" w:fill="auto"/>
            <w:noWrap/>
          </w:tcPr>
          <w:p w14:paraId="3BA01022" w14:textId="77777777" w:rsidR="000E64D5" w:rsidRDefault="000E64D5" w:rsidP="009E0113">
            <w:pPr>
              <w:rPr>
                <w:rFonts w:ascii="Arial" w:hAnsi="Arial" w:cs="Arial"/>
                <w:color w:val="000000"/>
                <w:sz w:val="17"/>
                <w:szCs w:val="17"/>
              </w:rPr>
            </w:pPr>
            <w:r>
              <w:rPr>
                <w:rFonts w:ascii="Arial" w:hAnsi="Arial" w:cs="Arial"/>
                <w:color w:val="000000"/>
                <w:sz w:val="17"/>
                <w:szCs w:val="17"/>
              </w:rPr>
              <w:t>.</w:t>
            </w:r>
          </w:p>
        </w:tc>
        <w:tc>
          <w:tcPr>
            <w:tcW w:w="2242" w:type="dxa"/>
            <w:tcBorders>
              <w:top w:val="single" w:sz="4" w:space="0" w:color="auto"/>
              <w:left w:val="single" w:sz="4" w:space="0" w:color="auto"/>
              <w:bottom w:val="nil"/>
            </w:tcBorders>
            <w:shd w:val="clear" w:color="auto" w:fill="auto"/>
            <w:noWrap/>
          </w:tcPr>
          <w:p w14:paraId="0697C4AB"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w:t>
            </w:r>
          </w:p>
        </w:tc>
        <w:tc>
          <w:tcPr>
            <w:tcW w:w="1644" w:type="dxa"/>
            <w:tcBorders>
              <w:top w:val="single" w:sz="4" w:space="0" w:color="auto"/>
              <w:bottom w:val="nil"/>
            </w:tcBorders>
            <w:shd w:val="clear" w:color="auto" w:fill="auto"/>
            <w:noWrap/>
          </w:tcPr>
          <w:p w14:paraId="07607F35"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w:t>
            </w:r>
          </w:p>
        </w:tc>
      </w:tr>
      <w:tr w:rsidR="000E64D5" w:rsidRPr="000C7651" w14:paraId="06B87A2A" w14:textId="77777777" w:rsidTr="007775D5">
        <w:trPr>
          <w:trHeight w:val="217"/>
        </w:trPr>
        <w:tc>
          <w:tcPr>
            <w:tcW w:w="1938" w:type="dxa"/>
            <w:vMerge/>
            <w:tcBorders>
              <w:right w:val="single" w:sz="4" w:space="0" w:color="auto"/>
            </w:tcBorders>
            <w:shd w:val="clear" w:color="auto" w:fill="auto"/>
            <w:noWrap/>
          </w:tcPr>
          <w:p w14:paraId="4E13A53F" w14:textId="77777777" w:rsidR="000E64D5" w:rsidRDefault="000E64D5" w:rsidP="009E0113">
            <w:pPr>
              <w:spacing w:line="276" w:lineRule="auto"/>
              <w:ind w:right="491"/>
              <w:rPr>
                <w:rFonts w:ascii="Arial" w:hAnsi="Arial" w:cs="Arial"/>
                <w:color w:val="000000"/>
                <w:sz w:val="17"/>
                <w:szCs w:val="17"/>
              </w:rPr>
            </w:pPr>
          </w:p>
        </w:tc>
        <w:tc>
          <w:tcPr>
            <w:tcW w:w="2101" w:type="dxa"/>
            <w:vMerge/>
            <w:tcBorders>
              <w:right w:val="single" w:sz="4" w:space="0" w:color="auto"/>
            </w:tcBorders>
          </w:tcPr>
          <w:p w14:paraId="62B752E0" w14:textId="77777777" w:rsidR="000E64D5" w:rsidRDefault="000E64D5" w:rsidP="009E0113">
            <w:pPr>
              <w:spacing w:line="276" w:lineRule="auto"/>
              <w:ind w:right="491"/>
              <w:rPr>
                <w:rFonts w:ascii="Arial" w:hAnsi="Arial" w:cs="Arial"/>
                <w:color w:val="000000"/>
                <w:sz w:val="17"/>
                <w:szCs w:val="17"/>
              </w:rPr>
            </w:pPr>
          </w:p>
        </w:tc>
        <w:tc>
          <w:tcPr>
            <w:tcW w:w="4603" w:type="dxa"/>
            <w:tcBorders>
              <w:top w:val="nil"/>
              <w:left w:val="single" w:sz="4" w:space="0" w:color="auto"/>
              <w:bottom w:val="nil"/>
              <w:right w:val="single" w:sz="4" w:space="0" w:color="auto"/>
            </w:tcBorders>
            <w:shd w:val="clear" w:color="auto" w:fill="auto"/>
          </w:tcPr>
          <w:p w14:paraId="2DF35848"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PSEQ (.)</w:t>
            </w:r>
          </w:p>
        </w:tc>
        <w:tc>
          <w:tcPr>
            <w:tcW w:w="1918" w:type="dxa"/>
            <w:tcBorders>
              <w:top w:val="nil"/>
              <w:left w:val="single" w:sz="4" w:space="0" w:color="auto"/>
              <w:bottom w:val="nil"/>
              <w:right w:val="single" w:sz="4" w:space="0" w:color="auto"/>
            </w:tcBorders>
            <w:shd w:val="clear" w:color="auto" w:fill="auto"/>
            <w:noWrap/>
          </w:tcPr>
          <w:p w14:paraId="6B8E9420" w14:textId="77777777" w:rsidR="000E64D5" w:rsidRDefault="000E64D5" w:rsidP="009E0113">
            <w:pPr>
              <w:rPr>
                <w:rFonts w:ascii="Arial" w:hAnsi="Arial" w:cs="Arial"/>
                <w:color w:val="000000"/>
                <w:sz w:val="17"/>
                <w:szCs w:val="17"/>
              </w:rPr>
            </w:pPr>
            <w:r>
              <w:rPr>
                <w:rFonts w:ascii="Arial" w:hAnsi="Arial" w:cs="Arial"/>
                <w:color w:val="000000"/>
                <w:sz w:val="17"/>
                <w:szCs w:val="17"/>
              </w:rPr>
              <w:t>.</w:t>
            </w:r>
          </w:p>
        </w:tc>
        <w:tc>
          <w:tcPr>
            <w:tcW w:w="2242" w:type="dxa"/>
            <w:tcBorders>
              <w:top w:val="nil"/>
              <w:left w:val="single" w:sz="4" w:space="0" w:color="auto"/>
              <w:bottom w:val="nil"/>
            </w:tcBorders>
            <w:shd w:val="clear" w:color="auto" w:fill="auto"/>
            <w:noWrap/>
          </w:tcPr>
          <w:p w14:paraId="57D584E3"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w:t>
            </w:r>
          </w:p>
        </w:tc>
        <w:tc>
          <w:tcPr>
            <w:tcW w:w="1644" w:type="dxa"/>
            <w:tcBorders>
              <w:top w:val="nil"/>
              <w:bottom w:val="nil"/>
            </w:tcBorders>
            <w:shd w:val="clear" w:color="auto" w:fill="auto"/>
            <w:noWrap/>
          </w:tcPr>
          <w:p w14:paraId="3557DCA5"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w:t>
            </w:r>
          </w:p>
        </w:tc>
      </w:tr>
      <w:tr w:rsidR="000E64D5" w:rsidRPr="000C7651" w14:paraId="522B6651" w14:textId="77777777" w:rsidTr="007775D5">
        <w:trPr>
          <w:trHeight w:val="217"/>
        </w:trPr>
        <w:tc>
          <w:tcPr>
            <w:tcW w:w="1938" w:type="dxa"/>
            <w:vMerge/>
            <w:tcBorders>
              <w:right w:val="single" w:sz="4" w:space="0" w:color="auto"/>
            </w:tcBorders>
            <w:shd w:val="clear" w:color="auto" w:fill="auto"/>
            <w:noWrap/>
          </w:tcPr>
          <w:p w14:paraId="6E335706" w14:textId="77777777" w:rsidR="000E64D5" w:rsidRDefault="000E64D5" w:rsidP="009E0113">
            <w:pPr>
              <w:spacing w:line="276" w:lineRule="auto"/>
              <w:ind w:right="491"/>
              <w:rPr>
                <w:rFonts w:ascii="Arial" w:hAnsi="Arial" w:cs="Arial"/>
                <w:color w:val="000000"/>
                <w:sz w:val="17"/>
                <w:szCs w:val="17"/>
              </w:rPr>
            </w:pPr>
          </w:p>
        </w:tc>
        <w:tc>
          <w:tcPr>
            <w:tcW w:w="2101" w:type="dxa"/>
            <w:vMerge/>
            <w:tcBorders>
              <w:right w:val="single" w:sz="4" w:space="0" w:color="auto"/>
            </w:tcBorders>
          </w:tcPr>
          <w:p w14:paraId="429E831B" w14:textId="77777777" w:rsidR="000E64D5" w:rsidRDefault="000E64D5" w:rsidP="009E0113">
            <w:pPr>
              <w:spacing w:line="276" w:lineRule="auto"/>
              <w:ind w:right="491"/>
              <w:rPr>
                <w:rFonts w:ascii="Arial" w:hAnsi="Arial" w:cs="Arial"/>
                <w:color w:val="000000"/>
                <w:sz w:val="17"/>
                <w:szCs w:val="17"/>
              </w:rPr>
            </w:pPr>
          </w:p>
        </w:tc>
        <w:tc>
          <w:tcPr>
            <w:tcW w:w="4603" w:type="dxa"/>
            <w:tcBorders>
              <w:top w:val="nil"/>
              <w:left w:val="single" w:sz="4" w:space="0" w:color="auto"/>
              <w:bottom w:val="nil"/>
              <w:right w:val="single" w:sz="4" w:space="0" w:color="auto"/>
            </w:tcBorders>
            <w:shd w:val="clear" w:color="auto" w:fill="auto"/>
          </w:tcPr>
          <w:p w14:paraId="56187B73"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 xml:space="preserve">SES: </w:t>
            </w:r>
            <w:r>
              <w:rPr>
                <w:rFonts w:ascii="Arial" w:hAnsi="Arial" w:cs="Arial"/>
                <w:color w:val="000000"/>
                <w:sz w:val="17"/>
                <w:szCs w:val="17"/>
              </w:rPr>
              <w:tab/>
            </w:r>
            <w:proofErr w:type="spellStart"/>
            <w:r>
              <w:rPr>
                <w:rFonts w:ascii="Arial" w:hAnsi="Arial" w:cs="Arial"/>
                <w:color w:val="000000"/>
                <w:sz w:val="17"/>
                <w:szCs w:val="17"/>
              </w:rPr>
              <w:t>affective</w:t>
            </w:r>
            <w:proofErr w:type="spellEnd"/>
            <w:r>
              <w:rPr>
                <w:rFonts w:ascii="Arial" w:hAnsi="Arial" w:cs="Arial"/>
                <w:color w:val="000000"/>
                <w:sz w:val="17"/>
                <w:szCs w:val="17"/>
              </w:rPr>
              <w:t xml:space="preserve"> </w:t>
            </w:r>
            <w:proofErr w:type="spellStart"/>
            <w:r>
              <w:rPr>
                <w:rFonts w:ascii="Arial" w:hAnsi="Arial" w:cs="Arial"/>
                <w:color w:val="000000"/>
                <w:sz w:val="17"/>
                <w:szCs w:val="17"/>
              </w:rPr>
              <w:t>pain</w:t>
            </w:r>
            <w:proofErr w:type="spellEnd"/>
            <w:r>
              <w:rPr>
                <w:rFonts w:ascii="Arial" w:hAnsi="Arial" w:cs="Arial"/>
                <w:color w:val="000000"/>
                <w:sz w:val="17"/>
                <w:szCs w:val="17"/>
              </w:rPr>
              <w:t xml:space="preserve"> </w:t>
            </w:r>
            <w:proofErr w:type="spellStart"/>
            <w:r>
              <w:rPr>
                <w:rFonts w:ascii="Arial" w:hAnsi="Arial" w:cs="Arial"/>
                <w:color w:val="000000"/>
                <w:sz w:val="17"/>
                <w:szCs w:val="17"/>
              </w:rPr>
              <w:t>perception</w:t>
            </w:r>
            <w:proofErr w:type="spellEnd"/>
            <w:r>
              <w:rPr>
                <w:rFonts w:ascii="Arial" w:hAnsi="Arial" w:cs="Arial"/>
                <w:color w:val="000000"/>
                <w:sz w:val="17"/>
                <w:szCs w:val="17"/>
              </w:rPr>
              <w:t xml:space="preserve"> (.)</w:t>
            </w:r>
            <w:r w:rsidRPr="00C966D6">
              <w:rPr>
                <w:rFonts w:ascii="Arial" w:hAnsi="Arial" w:cs="Arial"/>
                <w:color w:val="000000"/>
                <w:sz w:val="16"/>
                <w:szCs w:val="16"/>
                <w:vertAlign w:val="superscript"/>
                <w:lang w:val="en-US"/>
              </w:rPr>
              <w:t>‡</w:t>
            </w:r>
          </w:p>
        </w:tc>
        <w:tc>
          <w:tcPr>
            <w:tcW w:w="1918" w:type="dxa"/>
            <w:tcBorders>
              <w:top w:val="nil"/>
              <w:left w:val="single" w:sz="4" w:space="0" w:color="auto"/>
              <w:bottom w:val="nil"/>
              <w:right w:val="single" w:sz="4" w:space="0" w:color="auto"/>
            </w:tcBorders>
            <w:shd w:val="clear" w:color="auto" w:fill="auto"/>
            <w:noWrap/>
          </w:tcPr>
          <w:p w14:paraId="0444C00D" w14:textId="77777777" w:rsidR="000E64D5" w:rsidRDefault="000E64D5" w:rsidP="009E0113">
            <w:pPr>
              <w:rPr>
                <w:rFonts w:ascii="Arial" w:hAnsi="Arial" w:cs="Arial"/>
                <w:color w:val="000000"/>
                <w:sz w:val="17"/>
                <w:szCs w:val="17"/>
              </w:rPr>
            </w:pPr>
            <w:r>
              <w:rPr>
                <w:rFonts w:ascii="Arial" w:hAnsi="Arial" w:cs="Arial"/>
                <w:color w:val="000000"/>
                <w:sz w:val="17"/>
                <w:szCs w:val="17"/>
              </w:rPr>
              <w:t>.</w:t>
            </w:r>
          </w:p>
        </w:tc>
        <w:tc>
          <w:tcPr>
            <w:tcW w:w="2242" w:type="dxa"/>
            <w:tcBorders>
              <w:top w:val="nil"/>
              <w:left w:val="single" w:sz="4" w:space="0" w:color="auto"/>
              <w:bottom w:val="nil"/>
            </w:tcBorders>
            <w:shd w:val="clear" w:color="auto" w:fill="auto"/>
            <w:noWrap/>
          </w:tcPr>
          <w:p w14:paraId="5C885AF5"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w:t>
            </w:r>
          </w:p>
        </w:tc>
        <w:tc>
          <w:tcPr>
            <w:tcW w:w="1644" w:type="dxa"/>
            <w:tcBorders>
              <w:top w:val="nil"/>
              <w:bottom w:val="nil"/>
            </w:tcBorders>
            <w:shd w:val="clear" w:color="auto" w:fill="auto"/>
            <w:noWrap/>
          </w:tcPr>
          <w:p w14:paraId="76165798"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w:t>
            </w:r>
          </w:p>
        </w:tc>
      </w:tr>
      <w:tr w:rsidR="000E64D5" w:rsidRPr="000C7651" w14:paraId="3722746C" w14:textId="77777777" w:rsidTr="007775D5">
        <w:trPr>
          <w:trHeight w:val="217"/>
        </w:trPr>
        <w:tc>
          <w:tcPr>
            <w:tcW w:w="1938" w:type="dxa"/>
            <w:vMerge/>
            <w:tcBorders>
              <w:right w:val="single" w:sz="4" w:space="0" w:color="auto"/>
            </w:tcBorders>
            <w:shd w:val="clear" w:color="auto" w:fill="auto"/>
            <w:noWrap/>
          </w:tcPr>
          <w:p w14:paraId="66011441" w14:textId="77777777" w:rsidR="000E64D5" w:rsidRDefault="000E64D5" w:rsidP="009E0113">
            <w:pPr>
              <w:spacing w:line="276" w:lineRule="auto"/>
              <w:ind w:right="491"/>
              <w:rPr>
                <w:rFonts w:ascii="Arial" w:hAnsi="Arial" w:cs="Arial"/>
                <w:color w:val="000000"/>
                <w:sz w:val="17"/>
                <w:szCs w:val="17"/>
              </w:rPr>
            </w:pPr>
          </w:p>
        </w:tc>
        <w:tc>
          <w:tcPr>
            <w:tcW w:w="2101" w:type="dxa"/>
            <w:vMerge/>
            <w:tcBorders>
              <w:right w:val="single" w:sz="4" w:space="0" w:color="auto"/>
            </w:tcBorders>
          </w:tcPr>
          <w:p w14:paraId="5272F1DB" w14:textId="77777777" w:rsidR="000E64D5" w:rsidRDefault="000E64D5" w:rsidP="009E0113">
            <w:pPr>
              <w:spacing w:line="276" w:lineRule="auto"/>
              <w:ind w:right="491"/>
              <w:rPr>
                <w:rFonts w:ascii="Arial" w:hAnsi="Arial" w:cs="Arial"/>
                <w:color w:val="000000"/>
                <w:sz w:val="17"/>
                <w:szCs w:val="17"/>
              </w:rPr>
            </w:pPr>
          </w:p>
        </w:tc>
        <w:tc>
          <w:tcPr>
            <w:tcW w:w="4603" w:type="dxa"/>
            <w:tcBorders>
              <w:top w:val="nil"/>
              <w:left w:val="single" w:sz="4" w:space="0" w:color="auto"/>
              <w:bottom w:val="single" w:sz="4" w:space="0" w:color="auto"/>
              <w:right w:val="single" w:sz="4" w:space="0" w:color="auto"/>
            </w:tcBorders>
            <w:shd w:val="clear" w:color="auto" w:fill="auto"/>
          </w:tcPr>
          <w:p w14:paraId="1EB53C25"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ab/>
            </w:r>
            <w:proofErr w:type="spellStart"/>
            <w:r>
              <w:rPr>
                <w:rFonts w:ascii="Arial" w:hAnsi="Arial" w:cs="Arial"/>
                <w:color w:val="000000"/>
                <w:sz w:val="17"/>
                <w:szCs w:val="17"/>
              </w:rPr>
              <w:t>sensory</w:t>
            </w:r>
            <w:proofErr w:type="spellEnd"/>
            <w:r>
              <w:rPr>
                <w:rFonts w:ascii="Arial" w:hAnsi="Arial" w:cs="Arial"/>
                <w:color w:val="000000"/>
                <w:sz w:val="17"/>
                <w:szCs w:val="17"/>
              </w:rPr>
              <w:t xml:space="preserve"> </w:t>
            </w:r>
            <w:proofErr w:type="spellStart"/>
            <w:r>
              <w:rPr>
                <w:rFonts w:ascii="Arial" w:hAnsi="Arial" w:cs="Arial"/>
                <w:color w:val="000000"/>
                <w:sz w:val="17"/>
                <w:szCs w:val="17"/>
              </w:rPr>
              <w:t>pain</w:t>
            </w:r>
            <w:proofErr w:type="spellEnd"/>
            <w:r>
              <w:rPr>
                <w:rFonts w:ascii="Arial" w:hAnsi="Arial" w:cs="Arial"/>
                <w:color w:val="000000"/>
                <w:sz w:val="17"/>
                <w:szCs w:val="17"/>
              </w:rPr>
              <w:t xml:space="preserve"> </w:t>
            </w:r>
            <w:proofErr w:type="spellStart"/>
            <w:r>
              <w:rPr>
                <w:rFonts w:ascii="Arial" w:hAnsi="Arial" w:cs="Arial"/>
                <w:color w:val="000000"/>
                <w:sz w:val="17"/>
                <w:szCs w:val="17"/>
              </w:rPr>
              <w:t>perception</w:t>
            </w:r>
            <w:proofErr w:type="spellEnd"/>
            <w:r>
              <w:rPr>
                <w:rFonts w:ascii="Arial" w:hAnsi="Arial" w:cs="Arial"/>
                <w:color w:val="000000"/>
                <w:sz w:val="17"/>
                <w:szCs w:val="17"/>
              </w:rPr>
              <w:t xml:space="preserve"> (.)</w:t>
            </w:r>
            <w:r w:rsidRPr="00C966D6">
              <w:rPr>
                <w:rFonts w:ascii="Arial" w:hAnsi="Arial" w:cs="Arial"/>
                <w:color w:val="000000"/>
                <w:sz w:val="16"/>
                <w:szCs w:val="16"/>
                <w:vertAlign w:val="superscript"/>
                <w:lang w:val="en-US"/>
              </w:rPr>
              <w:t>‡</w:t>
            </w:r>
          </w:p>
        </w:tc>
        <w:tc>
          <w:tcPr>
            <w:tcW w:w="1918" w:type="dxa"/>
            <w:tcBorders>
              <w:top w:val="nil"/>
              <w:left w:val="single" w:sz="4" w:space="0" w:color="auto"/>
              <w:bottom w:val="single" w:sz="4" w:space="0" w:color="auto"/>
              <w:right w:val="single" w:sz="4" w:space="0" w:color="auto"/>
            </w:tcBorders>
            <w:shd w:val="clear" w:color="auto" w:fill="auto"/>
            <w:noWrap/>
          </w:tcPr>
          <w:p w14:paraId="29D12C43" w14:textId="77777777" w:rsidR="000E64D5" w:rsidRDefault="000E64D5" w:rsidP="009E0113">
            <w:pPr>
              <w:rPr>
                <w:rFonts w:ascii="Arial" w:hAnsi="Arial" w:cs="Arial"/>
                <w:color w:val="000000"/>
                <w:sz w:val="17"/>
                <w:szCs w:val="17"/>
              </w:rPr>
            </w:pPr>
            <w:r>
              <w:rPr>
                <w:rFonts w:ascii="Arial" w:hAnsi="Arial" w:cs="Arial"/>
                <w:color w:val="000000"/>
                <w:sz w:val="17"/>
                <w:szCs w:val="17"/>
              </w:rPr>
              <w:t>.</w:t>
            </w:r>
          </w:p>
        </w:tc>
        <w:tc>
          <w:tcPr>
            <w:tcW w:w="2242" w:type="dxa"/>
            <w:tcBorders>
              <w:top w:val="nil"/>
              <w:left w:val="single" w:sz="4" w:space="0" w:color="auto"/>
              <w:bottom w:val="single" w:sz="4" w:space="0" w:color="auto"/>
            </w:tcBorders>
            <w:shd w:val="clear" w:color="auto" w:fill="auto"/>
            <w:noWrap/>
          </w:tcPr>
          <w:p w14:paraId="589BD17E"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w:t>
            </w:r>
          </w:p>
        </w:tc>
        <w:tc>
          <w:tcPr>
            <w:tcW w:w="1644" w:type="dxa"/>
            <w:tcBorders>
              <w:top w:val="nil"/>
              <w:bottom w:val="single" w:sz="4" w:space="0" w:color="auto"/>
            </w:tcBorders>
            <w:shd w:val="clear" w:color="auto" w:fill="auto"/>
            <w:noWrap/>
          </w:tcPr>
          <w:p w14:paraId="6CC0AFBA"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w:t>
            </w:r>
          </w:p>
        </w:tc>
      </w:tr>
      <w:tr w:rsidR="000E64D5" w:rsidRPr="000C7651" w14:paraId="652921E4" w14:textId="77777777" w:rsidTr="007775D5">
        <w:trPr>
          <w:trHeight w:val="217"/>
        </w:trPr>
        <w:tc>
          <w:tcPr>
            <w:tcW w:w="1938" w:type="dxa"/>
            <w:tcBorders>
              <w:right w:val="single" w:sz="4" w:space="0" w:color="auto"/>
            </w:tcBorders>
            <w:shd w:val="clear" w:color="auto" w:fill="auto"/>
            <w:noWrap/>
          </w:tcPr>
          <w:p w14:paraId="3FD924D5" w14:textId="2750C7E1" w:rsidR="000E64D5" w:rsidRDefault="000E64D5" w:rsidP="009E0113">
            <w:pPr>
              <w:spacing w:line="276" w:lineRule="auto"/>
              <w:ind w:right="491"/>
              <w:rPr>
                <w:rFonts w:ascii="Arial" w:hAnsi="Arial" w:cs="Arial"/>
                <w:color w:val="000000"/>
                <w:sz w:val="17"/>
                <w:szCs w:val="17"/>
              </w:rPr>
            </w:pPr>
            <w:proofErr w:type="spellStart"/>
            <w:r>
              <w:rPr>
                <w:rFonts w:ascii="Arial" w:hAnsi="Arial" w:cs="Arial"/>
                <w:color w:val="000000"/>
                <w:sz w:val="17"/>
                <w:szCs w:val="17"/>
              </w:rPr>
              <w:t>Monticone</w:t>
            </w:r>
            <w:proofErr w:type="spellEnd"/>
            <w:r>
              <w:rPr>
                <w:rFonts w:ascii="Arial" w:hAnsi="Arial" w:cs="Arial"/>
                <w:color w:val="000000"/>
                <w:sz w:val="17"/>
                <w:szCs w:val="17"/>
              </w:rPr>
              <w:t xml:space="preserve"> et al. 2015 </w:t>
            </w:r>
            <w:r>
              <w:rPr>
                <w:rFonts w:ascii="Arial" w:hAnsi="Arial" w:cs="Arial"/>
                <w:color w:val="000000"/>
                <w:sz w:val="17"/>
                <w:szCs w:val="17"/>
              </w:rPr>
              <w:fldChar w:fldCharType="begin"/>
            </w:r>
            <w:r w:rsidR="00D52504">
              <w:rPr>
                <w:rFonts w:ascii="Arial" w:hAnsi="Arial" w:cs="Arial"/>
                <w:color w:val="000000"/>
                <w:sz w:val="17"/>
                <w:szCs w:val="17"/>
              </w:rPr>
              <w:instrText xml:space="preserve"> ADDIN ZOTERO_ITEM CSL_CITATION {"citationID":"mP9GIWsF","properties":{"formattedCitation":"[6]","plainCitation":"[6]","noteIndex":0},"citationItems":[{"id":"tJnrEpOK/pIIL57Rh","uris":["http://zotero.org/users/1684662/items/9Z6J8HBT"],"uri":["http://zotero.org/users/1684662/items/9Z6J8HBT"],"itemData":{"id":66321,"type":"article-journal","abstract":"PurposeThis study was undertaken to evaluate the effects of an inpatient 2-month multidisciplinary rehabilitative program of task-oriented exercises, cognitive-behavioral training, and occupational therapy on motor impairment, activities of daily living, and quality of life (QoL) in subjects with long-duration Parkinson's disease (PD). MethodsSubjects were randomly selected for an experimental (multidisciplinary rehabilitative care) and a control group (general physiotherapy) and were assessed before treatment, after 8 weeks (post-treatment), and 12 months after the end of treatment. Medications were not adjusted during training. Outcome measures were the Movement Disorder Society Unified Parkinson's Disease Rating Scale, Part III (primary outcome), the Berg Balance Scale, the Functional Independence Measure, and the 39-Parkinson's Disease Questionnaire. A linear mixed model for repeated measures was used for each outcome. ResultsSeventy subjects with PD (46 females; mean age, 747 years; mean disease duration,15 +/- 3 years, modified Hoehn &amp; Yahr stage, 2.5-4) were randomized, 64 completed the study (experimental=32; control=32). A significant effect of time, group, and time by group interaction were noted for all outcomes. The primary outcome showed a between-group difference in favor of the experimental group of 25 points after training, which was maintained at follow-up. After training, the Berg Balance Scale score of the experimental group was greater than 43.5, a value previously identified as a cutoff between fallers and nonfallers for subjects with PD. ConclusionOur findings suggest that multidisciplinary rehabilitative care is useful in changing the course of motor impairment, balance, activities of daily living, and QoL. The effects lasted for at least 1 y after the intervention. (c) 2015 International Parkinson and Movement Disorder Society","container-title":"MOVEMENT DISORDERS","DOI":"10.1002/mds.26256","ISSN":"0885-3185","issue":"8","language":"English","note":"e","page":"1050-1058","title":"In-patient multidisciplinary rehabilitation for Parkinson's disease: A randomized controlled trial","volume":"30","author":[{"family":"Monticone","given":"Marco"},{"family":"Ambrosini","given":"Emilia"},{"family":"Laurini","given":"Alessandro"},{"family":"Rocca","given":"Barbara"},{"family":"Foti","given":"Calogero"}],"issued":{"date-parts":[["2015",7]]}}}],"schema":"https://github.com/citation-style-language/schema/raw/master/csl-citation.json"} </w:instrText>
            </w:r>
            <w:r>
              <w:rPr>
                <w:rFonts w:ascii="Arial" w:hAnsi="Arial" w:cs="Arial"/>
                <w:color w:val="000000"/>
                <w:sz w:val="17"/>
                <w:szCs w:val="17"/>
              </w:rPr>
              <w:fldChar w:fldCharType="separate"/>
            </w:r>
            <w:r>
              <w:rPr>
                <w:rFonts w:ascii="Arial" w:hAnsi="Arial" w:cs="Arial"/>
                <w:noProof/>
                <w:color w:val="000000"/>
                <w:sz w:val="17"/>
                <w:szCs w:val="17"/>
              </w:rPr>
              <w:t>[6]</w:t>
            </w:r>
            <w:r>
              <w:rPr>
                <w:rFonts w:ascii="Arial" w:hAnsi="Arial" w:cs="Arial"/>
                <w:color w:val="000000"/>
                <w:sz w:val="17"/>
                <w:szCs w:val="17"/>
              </w:rPr>
              <w:fldChar w:fldCharType="end"/>
            </w:r>
            <w:r>
              <w:rPr>
                <w:rFonts w:ascii="Arial" w:hAnsi="Arial" w:cs="Arial"/>
                <w:color w:val="000000"/>
                <w:sz w:val="17"/>
                <w:szCs w:val="17"/>
              </w:rPr>
              <w:t xml:space="preserve"> (RCT)</w:t>
            </w:r>
          </w:p>
        </w:tc>
        <w:tc>
          <w:tcPr>
            <w:tcW w:w="2101" w:type="dxa"/>
            <w:tcBorders>
              <w:right w:val="single" w:sz="4" w:space="0" w:color="auto"/>
            </w:tcBorders>
          </w:tcPr>
          <w:p w14:paraId="0866D1CE" w14:textId="77777777" w:rsidR="000E64D5" w:rsidRDefault="000E64D5" w:rsidP="009E0113">
            <w:pPr>
              <w:spacing w:line="276" w:lineRule="auto"/>
              <w:ind w:right="491"/>
              <w:rPr>
                <w:rFonts w:ascii="Arial" w:hAnsi="Arial" w:cs="Arial"/>
                <w:color w:val="000000"/>
                <w:sz w:val="17"/>
                <w:szCs w:val="17"/>
              </w:rPr>
            </w:pPr>
            <w:proofErr w:type="spellStart"/>
            <w:r>
              <w:rPr>
                <w:rFonts w:ascii="Arial" w:hAnsi="Arial" w:cs="Arial"/>
                <w:color w:val="000000"/>
                <w:sz w:val="17"/>
                <w:szCs w:val="17"/>
              </w:rPr>
              <w:t>Parkinson’s</w:t>
            </w:r>
            <w:proofErr w:type="spellEnd"/>
            <w:r>
              <w:rPr>
                <w:rFonts w:ascii="Arial" w:hAnsi="Arial" w:cs="Arial"/>
                <w:color w:val="000000"/>
                <w:sz w:val="17"/>
                <w:szCs w:val="17"/>
              </w:rPr>
              <w:t xml:space="preserve"> </w:t>
            </w:r>
            <w:proofErr w:type="spellStart"/>
            <w:r>
              <w:rPr>
                <w:rFonts w:ascii="Arial" w:hAnsi="Arial" w:cs="Arial"/>
                <w:color w:val="000000"/>
                <w:sz w:val="17"/>
                <w:szCs w:val="17"/>
              </w:rPr>
              <w:t>disease</w:t>
            </w:r>
            <w:proofErr w:type="spellEnd"/>
          </w:p>
        </w:tc>
        <w:tc>
          <w:tcPr>
            <w:tcW w:w="4603" w:type="dxa"/>
            <w:tcBorders>
              <w:top w:val="single" w:sz="4" w:space="0" w:color="auto"/>
              <w:left w:val="single" w:sz="4" w:space="0" w:color="auto"/>
              <w:bottom w:val="single" w:sz="4" w:space="0" w:color="auto"/>
              <w:right w:val="single" w:sz="4" w:space="0" w:color="auto"/>
            </w:tcBorders>
            <w:shd w:val="clear" w:color="auto" w:fill="auto"/>
          </w:tcPr>
          <w:p w14:paraId="6B8B77D1"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MDS-UPDRS: Part III (0-132)</w:t>
            </w:r>
            <w:r w:rsidRPr="00C966D6">
              <w:rPr>
                <w:rFonts w:ascii="Arial" w:hAnsi="Arial" w:cs="Arial"/>
                <w:color w:val="000000"/>
                <w:sz w:val="16"/>
                <w:szCs w:val="16"/>
                <w:vertAlign w:val="superscript"/>
                <w:lang w:val="en-US"/>
              </w:rPr>
              <w:t xml:space="preserve"> ‡</w:t>
            </w:r>
          </w:p>
        </w:tc>
        <w:tc>
          <w:tcPr>
            <w:tcW w:w="1918" w:type="dxa"/>
            <w:tcBorders>
              <w:top w:val="single" w:sz="4" w:space="0" w:color="auto"/>
              <w:left w:val="single" w:sz="4" w:space="0" w:color="auto"/>
              <w:bottom w:val="single" w:sz="4" w:space="0" w:color="auto"/>
            </w:tcBorders>
            <w:shd w:val="clear" w:color="auto" w:fill="auto"/>
            <w:noWrap/>
          </w:tcPr>
          <w:p w14:paraId="60807EAA" w14:textId="77777777" w:rsidR="000E64D5" w:rsidRDefault="000E64D5" w:rsidP="009E0113">
            <w:pPr>
              <w:rPr>
                <w:rFonts w:ascii="Arial" w:hAnsi="Arial" w:cs="Arial"/>
                <w:color w:val="000000"/>
                <w:sz w:val="17"/>
                <w:szCs w:val="17"/>
              </w:rPr>
            </w:pPr>
            <w:r>
              <w:rPr>
                <w:rFonts w:ascii="Arial" w:hAnsi="Arial" w:cs="Arial"/>
                <w:color w:val="000000"/>
                <w:sz w:val="17"/>
                <w:szCs w:val="17"/>
              </w:rPr>
              <w:t>-24.5 (3.2)</w:t>
            </w:r>
          </w:p>
        </w:tc>
        <w:tc>
          <w:tcPr>
            <w:tcW w:w="2242" w:type="dxa"/>
            <w:tcBorders>
              <w:top w:val="single" w:sz="4" w:space="0" w:color="auto"/>
              <w:bottom w:val="single" w:sz="4" w:space="0" w:color="auto"/>
            </w:tcBorders>
            <w:shd w:val="clear" w:color="auto" w:fill="auto"/>
            <w:noWrap/>
          </w:tcPr>
          <w:p w14:paraId="3C8835C5"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w:t>
            </w:r>
          </w:p>
        </w:tc>
        <w:tc>
          <w:tcPr>
            <w:tcW w:w="1644" w:type="dxa"/>
            <w:tcBorders>
              <w:top w:val="single" w:sz="4" w:space="0" w:color="auto"/>
              <w:bottom w:val="single" w:sz="4" w:space="0" w:color="auto"/>
            </w:tcBorders>
            <w:shd w:val="clear" w:color="auto" w:fill="auto"/>
            <w:noWrap/>
          </w:tcPr>
          <w:p w14:paraId="5083A3A0"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w:t>
            </w:r>
          </w:p>
        </w:tc>
      </w:tr>
      <w:tr w:rsidR="00D52504" w:rsidRPr="00D52504" w14:paraId="5BB5AF69" w14:textId="77777777" w:rsidTr="007775D5">
        <w:trPr>
          <w:trHeight w:val="217"/>
        </w:trPr>
        <w:tc>
          <w:tcPr>
            <w:tcW w:w="1938" w:type="dxa"/>
            <w:tcBorders>
              <w:right w:val="single" w:sz="4" w:space="0" w:color="auto"/>
            </w:tcBorders>
            <w:shd w:val="clear" w:color="auto" w:fill="auto"/>
            <w:noWrap/>
          </w:tcPr>
          <w:p w14:paraId="12FB8546" w14:textId="22B29C2E" w:rsidR="00D52504" w:rsidRDefault="00D52504" w:rsidP="009E0113">
            <w:pPr>
              <w:spacing w:line="276" w:lineRule="auto"/>
              <w:ind w:right="491"/>
              <w:rPr>
                <w:rFonts w:ascii="Arial" w:hAnsi="Arial" w:cs="Arial"/>
                <w:color w:val="000000"/>
                <w:sz w:val="17"/>
                <w:szCs w:val="17"/>
              </w:rPr>
            </w:pPr>
            <w:r>
              <w:rPr>
                <w:rFonts w:ascii="Arial" w:hAnsi="Arial" w:cs="Arial"/>
                <w:color w:val="000000"/>
                <w:sz w:val="17"/>
                <w:szCs w:val="17"/>
              </w:rPr>
              <w:t xml:space="preserve">Wu et al. 2019 </w:t>
            </w:r>
            <w:r>
              <w:rPr>
                <w:rFonts w:ascii="Arial" w:hAnsi="Arial" w:cs="Arial"/>
                <w:color w:val="000000"/>
                <w:sz w:val="17"/>
                <w:szCs w:val="17"/>
              </w:rPr>
              <w:fldChar w:fldCharType="begin"/>
            </w:r>
            <w:r>
              <w:rPr>
                <w:rFonts w:ascii="Arial" w:hAnsi="Arial" w:cs="Arial"/>
                <w:color w:val="000000"/>
                <w:sz w:val="17"/>
                <w:szCs w:val="17"/>
              </w:rPr>
              <w:instrText xml:space="preserve"> ADDIN ZOTERO_ITEM CSL_CITATION {"citationID":"ZuFR5E3D","properties":{"formattedCitation":"[7]","plainCitation":"[7]","noteIndex":0},"citationItems":[{"id":72350,"uris":["http://zotero.org/users/1684662/items/IVEUYQJ8"],"uri":["http://zotero.org/users/1684662/items/IVEUYQJ8"],"itemData":{"id":72350,"type":"article-journal","abstract":"Objectives: To assess the feasibility of in-reach rehabilitation for critical care survivors following discharge from the intensive care unit. To determine whether additional in-reach rehabilitation reduces hospital length-of-stay and improves outcomes in critical care survivors, compared with usual therapy. Participants: A total of 66 consecutively-admitted critical care survivors with an intensive care unit stay &gt;= 5 days were enrolled in the study. Of these, 62 were included in the analyses. Methods: Pilot randomized control trial with blinded assessment at 6 and 12 months. The intervention group (n = 29) received in-reach rehabilitation in addition to usual ward therapy. The usual-care group (n=33) received usual ward therapy. The primary outcome assessed was length-of-stay. Secondary outcomes included mobility, functional independence, psychological status and quality-of-life. Results: The intervention group received more physiotherapy and occupational therapy sessions per week than the usual-care group (median =8.2 vs 4.9, p&lt;0.001). Total length-of-stay was variable; while median values differed between the intervention and usual care groups (median 31 vs 41 days), this was not significant and the pilot study was not adequately powered (p= 0.57). No significant differences were observed in the secondary outcomes at hospital discharge, 6- or 12-month follow-ups. Conclusion: Provision of intensive early rehabilitation to intensive care unit survivors on the acute ward is feasible. A further trial is needed to draw conclusions on how this intervention affects length-of-stay and functional outcomes.","container-title":"JOURNAL OF REHABILITATION MEDICINE","DOI":"10.2340/16501977-2579","ISSN":"1650-1977","issue":"8","note":"e","page":"598-606","title":"CAN IN-REACH MULTIDISCIPLINARY REHABILITATION IN THE ACUTE WARD IMPROVE OUTCOMES FOR CRITICAL CARE SURVIVORS? A PILOT RANDOMIZED CONTROLLED TRIAL","volume":"51","author":[{"family":"Wu","given":"Jane"},{"family":"Vratsistas-Curto","given":"Angela"},{"family":"Shiner","given":"Christine T."},{"family":"Faux","given":"Steven G."},{"family":"Harris","given":"Ian"},{"family":"Poulos","given":"Christopher J."}],"issued":{"date-parts":[["2019",9]]}}}],"schema":"https://github.com/citation-style-language/schema/raw/master/csl-citation.json"} </w:instrText>
            </w:r>
            <w:r>
              <w:rPr>
                <w:rFonts w:ascii="Arial" w:hAnsi="Arial" w:cs="Arial"/>
                <w:color w:val="000000"/>
                <w:sz w:val="17"/>
                <w:szCs w:val="17"/>
              </w:rPr>
              <w:fldChar w:fldCharType="separate"/>
            </w:r>
            <w:r>
              <w:rPr>
                <w:rFonts w:ascii="Arial" w:hAnsi="Arial" w:cs="Arial"/>
                <w:noProof/>
                <w:color w:val="000000"/>
                <w:sz w:val="17"/>
                <w:szCs w:val="17"/>
              </w:rPr>
              <w:t>[7]</w:t>
            </w:r>
            <w:r>
              <w:rPr>
                <w:rFonts w:ascii="Arial" w:hAnsi="Arial" w:cs="Arial"/>
                <w:color w:val="000000"/>
                <w:sz w:val="17"/>
                <w:szCs w:val="17"/>
              </w:rPr>
              <w:fldChar w:fldCharType="end"/>
            </w:r>
            <w:r>
              <w:rPr>
                <w:rFonts w:ascii="Arial" w:hAnsi="Arial" w:cs="Arial"/>
                <w:color w:val="000000"/>
                <w:sz w:val="17"/>
                <w:szCs w:val="17"/>
              </w:rPr>
              <w:t xml:space="preserve"> (RCT)</w:t>
            </w:r>
          </w:p>
        </w:tc>
        <w:tc>
          <w:tcPr>
            <w:tcW w:w="2101" w:type="dxa"/>
            <w:tcBorders>
              <w:right w:val="single" w:sz="4" w:space="0" w:color="auto"/>
            </w:tcBorders>
          </w:tcPr>
          <w:p w14:paraId="56349649" w14:textId="65168116" w:rsidR="00D52504" w:rsidRDefault="00D52504" w:rsidP="009E0113">
            <w:pPr>
              <w:spacing w:line="276" w:lineRule="auto"/>
              <w:ind w:right="491"/>
              <w:rPr>
                <w:rFonts w:ascii="Arial" w:hAnsi="Arial" w:cs="Arial"/>
                <w:color w:val="000000"/>
                <w:sz w:val="17"/>
                <w:szCs w:val="17"/>
              </w:rPr>
            </w:pPr>
            <w:proofErr w:type="spellStart"/>
            <w:r>
              <w:rPr>
                <w:rFonts w:ascii="Arial" w:hAnsi="Arial" w:cs="Arial"/>
                <w:color w:val="000000"/>
                <w:sz w:val="17"/>
                <w:szCs w:val="17"/>
              </w:rPr>
              <w:t>critical</w:t>
            </w:r>
            <w:proofErr w:type="spellEnd"/>
            <w:r>
              <w:rPr>
                <w:rFonts w:ascii="Arial" w:hAnsi="Arial" w:cs="Arial"/>
                <w:color w:val="000000"/>
                <w:sz w:val="17"/>
                <w:szCs w:val="17"/>
              </w:rPr>
              <w:t xml:space="preserve"> care </w:t>
            </w:r>
            <w:proofErr w:type="spellStart"/>
            <w:r>
              <w:rPr>
                <w:rFonts w:ascii="Arial" w:hAnsi="Arial" w:cs="Arial"/>
                <w:color w:val="000000"/>
                <w:sz w:val="17"/>
                <w:szCs w:val="17"/>
              </w:rPr>
              <w:t>survivors</w:t>
            </w:r>
            <w:proofErr w:type="spellEnd"/>
          </w:p>
        </w:tc>
        <w:tc>
          <w:tcPr>
            <w:tcW w:w="4603" w:type="dxa"/>
            <w:tcBorders>
              <w:top w:val="single" w:sz="4" w:space="0" w:color="auto"/>
              <w:left w:val="single" w:sz="4" w:space="0" w:color="auto"/>
              <w:bottom w:val="single" w:sz="4" w:space="0" w:color="auto"/>
              <w:right w:val="single" w:sz="4" w:space="0" w:color="auto"/>
            </w:tcBorders>
            <w:shd w:val="clear" w:color="auto" w:fill="auto"/>
          </w:tcPr>
          <w:p w14:paraId="3A764FC7" w14:textId="6C79F44A" w:rsidR="00D52504" w:rsidRPr="00D52504" w:rsidRDefault="00D52504" w:rsidP="009E0113">
            <w:pPr>
              <w:spacing w:line="276" w:lineRule="auto"/>
              <w:ind w:right="491"/>
              <w:rPr>
                <w:rFonts w:ascii="Arial" w:hAnsi="Arial" w:cs="Arial"/>
                <w:color w:val="000000"/>
                <w:sz w:val="17"/>
                <w:szCs w:val="17"/>
                <w:lang w:val="en-US"/>
              </w:rPr>
            </w:pPr>
            <w:r w:rsidRPr="00D52504">
              <w:rPr>
                <w:rFonts w:ascii="Arial" w:hAnsi="Arial" w:cs="Arial"/>
                <w:color w:val="000000"/>
                <w:sz w:val="17"/>
                <w:szCs w:val="17"/>
                <w:lang w:val="en-US"/>
              </w:rPr>
              <w:t>Lawton’s Instrumental Activities of Daily Li</w:t>
            </w:r>
            <w:r>
              <w:rPr>
                <w:rFonts w:ascii="Arial" w:hAnsi="Arial" w:cs="Arial"/>
                <w:color w:val="000000"/>
                <w:sz w:val="17"/>
                <w:szCs w:val="17"/>
                <w:lang w:val="en-US"/>
              </w:rPr>
              <w:t>ving Scale</w:t>
            </w:r>
            <w:r w:rsidR="001B3ED0">
              <w:rPr>
                <w:rFonts w:ascii="Arial" w:hAnsi="Arial" w:cs="Arial"/>
                <w:color w:val="000000"/>
                <w:sz w:val="17"/>
                <w:szCs w:val="17"/>
                <w:lang w:val="en-US"/>
              </w:rPr>
              <w:t xml:space="preserve"> (8-30)</w:t>
            </w:r>
          </w:p>
        </w:tc>
        <w:tc>
          <w:tcPr>
            <w:tcW w:w="1918" w:type="dxa"/>
            <w:tcBorders>
              <w:top w:val="single" w:sz="4" w:space="0" w:color="auto"/>
              <w:left w:val="single" w:sz="4" w:space="0" w:color="auto"/>
              <w:bottom w:val="single" w:sz="4" w:space="0" w:color="auto"/>
            </w:tcBorders>
            <w:shd w:val="clear" w:color="auto" w:fill="auto"/>
            <w:noWrap/>
          </w:tcPr>
          <w:p w14:paraId="67DF564A" w14:textId="5985FFEA" w:rsidR="00D52504" w:rsidRPr="00D52504" w:rsidRDefault="00D52504" w:rsidP="009E0113">
            <w:pPr>
              <w:rPr>
                <w:rFonts w:ascii="Arial" w:hAnsi="Arial" w:cs="Arial"/>
                <w:color w:val="000000"/>
                <w:sz w:val="17"/>
                <w:szCs w:val="17"/>
                <w:lang w:val="en-US"/>
              </w:rPr>
            </w:pPr>
            <w:r>
              <w:rPr>
                <w:rFonts w:ascii="Arial" w:hAnsi="Arial" w:cs="Arial"/>
                <w:color w:val="000000"/>
                <w:sz w:val="17"/>
                <w:szCs w:val="17"/>
                <w:lang w:val="en-US"/>
              </w:rPr>
              <w:t>.</w:t>
            </w:r>
          </w:p>
        </w:tc>
        <w:tc>
          <w:tcPr>
            <w:tcW w:w="2242" w:type="dxa"/>
            <w:tcBorders>
              <w:top w:val="single" w:sz="4" w:space="0" w:color="auto"/>
              <w:bottom w:val="single" w:sz="4" w:space="0" w:color="auto"/>
            </w:tcBorders>
            <w:shd w:val="clear" w:color="auto" w:fill="auto"/>
            <w:noWrap/>
          </w:tcPr>
          <w:p w14:paraId="7DFE3C48" w14:textId="04B795DE" w:rsidR="00D52504" w:rsidRPr="00D52504" w:rsidRDefault="00D52504" w:rsidP="009E0113">
            <w:pPr>
              <w:spacing w:line="276" w:lineRule="auto"/>
              <w:ind w:right="491"/>
              <w:rPr>
                <w:rFonts w:ascii="Arial" w:hAnsi="Arial" w:cs="Arial"/>
                <w:color w:val="000000"/>
                <w:sz w:val="17"/>
                <w:szCs w:val="17"/>
                <w:lang w:val="en-US"/>
              </w:rPr>
            </w:pPr>
            <w:r>
              <w:rPr>
                <w:rFonts w:ascii="Arial" w:hAnsi="Arial" w:cs="Arial"/>
                <w:color w:val="000000"/>
                <w:sz w:val="17"/>
                <w:szCs w:val="17"/>
                <w:lang w:val="en-US"/>
              </w:rPr>
              <w:t>.</w:t>
            </w:r>
          </w:p>
        </w:tc>
        <w:tc>
          <w:tcPr>
            <w:tcW w:w="1644" w:type="dxa"/>
            <w:tcBorders>
              <w:top w:val="single" w:sz="4" w:space="0" w:color="auto"/>
              <w:bottom w:val="single" w:sz="4" w:space="0" w:color="auto"/>
            </w:tcBorders>
            <w:shd w:val="clear" w:color="auto" w:fill="auto"/>
            <w:noWrap/>
          </w:tcPr>
          <w:p w14:paraId="1D5B8979" w14:textId="11FD21AB" w:rsidR="00D52504" w:rsidRPr="00D52504" w:rsidRDefault="00D52504" w:rsidP="009E0113">
            <w:pPr>
              <w:spacing w:line="276" w:lineRule="auto"/>
              <w:ind w:right="491"/>
              <w:rPr>
                <w:rFonts w:ascii="Arial" w:hAnsi="Arial" w:cs="Arial"/>
                <w:color w:val="000000"/>
                <w:sz w:val="17"/>
                <w:szCs w:val="17"/>
                <w:lang w:val="en-US"/>
              </w:rPr>
            </w:pPr>
            <w:r>
              <w:rPr>
                <w:rFonts w:ascii="Arial" w:hAnsi="Arial" w:cs="Arial"/>
                <w:color w:val="000000"/>
                <w:sz w:val="17"/>
                <w:szCs w:val="17"/>
                <w:lang w:val="en-US"/>
              </w:rPr>
              <w:t>.</w:t>
            </w:r>
          </w:p>
        </w:tc>
      </w:tr>
      <w:tr w:rsidR="000E64D5" w:rsidRPr="000C7651" w14:paraId="771AAA49" w14:textId="77777777" w:rsidTr="007775D5">
        <w:trPr>
          <w:trHeight w:val="217"/>
        </w:trPr>
        <w:tc>
          <w:tcPr>
            <w:tcW w:w="1938" w:type="dxa"/>
            <w:vMerge w:val="restart"/>
            <w:tcBorders>
              <w:right w:val="single" w:sz="4" w:space="0" w:color="auto"/>
            </w:tcBorders>
            <w:shd w:val="clear" w:color="auto" w:fill="auto"/>
            <w:noWrap/>
          </w:tcPr>
          <w:p w14:paraId="76060FD3" w14:textId="0E51FAC4"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 xml:space="preserve">Semrau et al. 2015 </w:t>
            </w:r>
            <w:r>
              <w:rPr>
                <w:rFonts w:ascii="Arial" w:hAnsi="Arial" w:cs="Arial"/>
                <w:color w:val="000000"/>
                <w:sz w:val="17"/>
                <w:szCs w:val="17"/>
              </w:rPr>
              <w:fldChar w:fldCharType="begin"/>
            </w:r>
            <w:r w:rsidR="00D52504">
              <w:rPr>
                <w:rFonts w:ascii="Arial" w:hAnsi="Arial" w:cs="Arial"/>
                <w:color w:val="000000"/>
                <w:sz w:val="17"/>
                <w:szCs w:val="17"/>
              </w:rPr>
              <w:instrText xml:space="preserve"> ADDIN ZOTERO_ITEM CSL_CITATION {"citationID":"6TgqZXKZ","properties":{"formattedCitation":"[8]","plainCitation":"[8]","noteIndex":0},"citationItems":[{"id":"tJnrEpOK/QeobhGXG","uris":["http://zotero.org/users/1684662/items/EDSHWMR2"],"uri":["http://zotero.org/users/1684662/items/EDSHWMR2"],"itemData":{"id":66301,"type":"article-journal","abstract":"Background: Improvement of the long-term effectiveness of multidisciplinary ortho-paedic rehabilitation (MOR) in the management of chronic non-specific low back pain (CLBP) remains a central issue for health care in Germany. We developed an interprofessional and interdisciplinary, biopsychosocial rehabilitation concept named \"PASTOR\" to promote self-management in adults with CLBP and compared its effectiveness with the current model of MOR. Methods: A multicentre quasi-experimental study with three measurement time points was implemented. 680 adults aged 18 to 65 with CLBP were assed for eligibil-ity in three inpatient rehabilitation centres in Germany. At first the effects of the MOR, with a total extent of 48 hours (control group), were assessed. Thereafter, PASTOR was implemented and evaluated in the same centres (intervention group). It consisted of six interprofessional modules, which were provided on 12 days in fixed groups, with a total extent of 48 hours. Participants were assessed with self-report measures at baseline, discharge, and 12 months for functional ability (primary outcome) using the Hannover Functional Ability Questionnaire (FFbH-R) and vari-ous secondary outcomes (e.g. pain, health status, physical activity, pain coping, pain-related cognitions). Results: In total 536 participants were consecutively assigned to PASTOR (n=266) or MOR (n=270). At 12 months, complete data of 368 participants was available. The adjusted betweengroup difference in the FFbH-R at 12 months was 6.58 (95% CI 3.38 to 9.78) using complete data and 3.56 (95% CI 0.45 to 6.67) using available da-ta, corresponding to significant small-to-medium effect sizes of d=0.42 (p&lt;0.001) and d=0.10 (p=0.025) in favour of PASTOR. Further improvements in secondary out-comes were also observed in favour of PASTOR. Conclusion: The interprofessional and interdisciplinary, biopsychosocial rehabilita-tion program PAS-TOR shows some improvements of the long-term effectiveness of inpatient rehabilitation in the management of adults with CLBP. Further insights into mechanisms of action of complex intervention programs are required.","archive":"Embase","container-title":"PLoS ONE","DOI":"10.1371/journal.pone.0118609","ISSN":"1932-6203","issue":"3","journalAbbreviation":"PLoS ONE","note":"e","title":"Long-term effects of interprofessional biopsychosocial rehabilitation for adults with chronic non-specific low Back pain: A multicentre, quasi-experimental study","URL":"http://www.embase.com/search/results?subaction=viewrecord&amp;from=export&amp;id=L604114743","volume":"10","author":[{"literal":"Semrau J."},{"literal":"Hentschke C."},{"literal":"Buchmann J."},{"literal":"Meng K."},{"literal":"Vogel H."},{"literal":"Faller H."},{"literal":"Bork H."},{"literal":"Pfeifer K."}],"issued":{"date-parts":[["2015"]]}}}],"schema":"https://github.com/citation-style-language/schema/raw/master/csl-citation.json"} </w:instrText>
            </w:r>
            <w:r>
              <w:rPr>
                <w:rFonts w:ascii="Arial" w:hAnsi="Arial" w:cs="Arial"/>
                <w:color w:val="000000"/>
                <w:sz w:val="17"/>
                <w:szCs w:val="17"/>
              </w:rPr>
              <w:fldChar w:fldCharType="separate"/>
            </w:r>
            <w:r w:rsidR="00D52504">
              <w:rPr>
                <w:rFonts w:ascii="Arial" w:hAnsi="Arial" w:cs="Arial"/>
                <w:noProof/>
                <w:color w:val="000000"/>
                <w:sz w:val="17"/>
                <w:szCs w:val="17"/>
              </w:rPr>
              <w:t>[8]</w:t>
            </w:r>
            <w:r>
              <w:rPr>
                <w:rFonts w:ascii="Arial" w:hAnsi="Arial" w:cs="Arial"/>
                <w:color w:val="000000"/>
                <w:sz w:val="17"/>
                <w:szCs w:val="17"/>
              </w:rPr>
              <w:fldChar w:fldCharType="end"/>
            </w:r>
            <w:r>
              <w:rPr>
                <w:rFonts w:ascii="Arial" w:hAnsi="Arial" w:cs="Arial"/>
                <w:color w:val="000000"/>
                <w:sz w:val="17"/>
                <w:szCs w:val="17"/>
              </w:rPr>
              <w:t xml:space="preserve"> (</w:t>
            </w:r>
            <w:r w:rsidR="00877306">
              <w:rPr>
                <w:rFonts w:ascii="Arial" w:hAnsi="Arial" w:cs="Arial"/>
                <w:color w:val="000000"/>
                <w:sz w:val="17"/>
                <w:szCs w:val="17"/>
              </w:rPr>
              <w:t>NRS)</w:t>
            </w:r>
          </w:p>
        </w:tc>
        <w:tc>
          <w:tcPr>
            <w:tcW w:w="2101" w:type="dxa"/>
            <w:vMerge w:val="restart"/>
            <w:tcBorders>
              <w:right w:val="single" w:sz="4" w:space="0" w:color="auto"/>
            </w:tcBorders>
          </w:tcPr>
          <w:p w14:paraId="619A1659" w14:textId="77777777" w:rsidR="000E64D5" w:rsidRPr="00F85C49" w:rsidRDefault="000E64D5" w:rsidP="009E0113">
            <w:pPr>
              <w:spacing w:line="276" w:lineRule="auto"/>
              <w:ind w:right="491"/>
              <w:rPr>
                <w:rFonts w:ascii="Arial" w:hAnsi="Arial" w:cs="Arial"/>
                <w:color w:val="000000"/>
                <w:sz w:val="17"/>
                <w:szCs w:val="17"/>
              </w:rPr>
            </w:pPr>
            <w:proofErr w:type="spellStart"/>
            <w:r>
              <w:rPr>
                <w:rFonts w:ascii="Arial" w:hAnsi="Arial" w:cs="Arial"/>
                <w:color w:val="000000"/>
                <w:sz w:val="17"/>
                <w:szCs w:val="17"/>
              </w:rPr>
              <w:t>Chronic</w:t>
            </w:r>
            <w:proofErr w:type="spellEnd"/>
            <w:r>
              <w:rPr>
                <w:rFonts w:ascii="Arial" w:hAnsi="Arial" w:cs="Arial"/>
                <w:color w:val="000000"/>
                <w:sz w:val="17"/>
                <w:szCs w:val="17"/>
              </w:rPr>
              <w:t xml:space="preserve"> </w:t>
            </w:r>
            <w:proofErr w:type="spellStart"/>
            <w:r>
              <w:rPr>
                <w:rFonts w:ascii="Arial" w:hAnsi="Arial" w:cs="Arial"/>
                <w:color w:val="000000"/>
                <w:sz w:val="17"/>
                <w:szCs w:val="17"/>
              </w:rPr>
              <w:t>low</w:t>
            </w:r>
            <w:proofErr w:type="spellEnd"/>
            <w:r>
              <w:rPr>
                <w:rFonts w:ascii="Arial" w:hAnsi="Arial" w:cs="Arial"/>
                <w:color w:val="000000"/>
                <w:sz w:val="17"/>
                <w:szCs w:val="17"/>
              </w:rPr>
              <w:t xml:space="preserve"> back </w:t>
            </w:r>
            <w:proofErr w:type="spellStart"/>
            <w:r>
              <w:rPr>
                <w:rFonts w:ascii="Arial" w:hAnsi="Arial" w:cs="Arial"/>
                <w:color w:val="000000"/>
                <w:sz w:val="17"/>
                <w:szCs w:val="17"/>
              </w:rPr>
              <w:t>pain</w:t>
            </w:r>
            <w:proofErr w:type="spellEnd"/>
          </w:p>
        </w:tc>
        <w:tc>
          <w:tcPr>
            <w:tcW w:w="4603" w:type="dxa"/>
            <w:tcBorders>
              <w:top w:val="single" w:sz="4" w:space="0" w:color="auto"/>
              <w:left w:val="single" w:sz="4" w:space="0" w:color="auto"/>
              <w:bottom w:val="nil"/>
              <w:right w:val="single" w:sz="4" w:space="0" w:color="auto"/>
            </w:tcBorders>
            <w:shd w:val="clear" w:color="auto" w:fill="auto"/>
          </w:tcPr>
          <w:p w14:paraId="6F58488B" w14:textId="77777777" w:rsidR="000E64D5" w:rsidRPr="00F85C49" w:rsidRDefault="000E64D5" w:rsidP="009E0113">
            <w:pPr>
              <w:spacing w:line="276" w:lineRule="auto"/>
              <w:ind w:right="491"/>
              <w:rPr>
                <w:rFonts w:ascii="Arial" w:hAnsi="Arial" w:cs="Arial"/>
                <w:color w:val="000000"/>
                <w:sz w:val="17"/>
                <w:szCs w:val="17"/>
              </w:rPr>
            </w:pPr>
            <w:proofErr w:type="spellStart"/>
            <w:r w:rsidRPr="00F85C49">
              <w:rPr>
                <w:rFonts w:ascii="Arial" w:hAnsi="Arial" w:cs="Arial"/>
                <w:color w:val="000000"/>
                <w:sz w:val="17"/>
                <w:szCs w:val="17"/>
              </w:rPr>
              <w:t>FFbH</w:t>
            </w:r>
            <w:proofErr w:type="spellEnd"/>
            <w:r w:rsidRPr="00F85C49">
              <w:rPr>
                <w:rFonts w:ascii="Arial" w:hAnsi="Arial" w:cs="Arial"/>
                <w:color w:val="000000"/>
                <w:sz w:val="17"/>
                <w:szCs w:val="17"/>
              </w:rPr>
              <w:t>-R (</w:t>
            </w:r>
            <w:proofErr w:type="spellStart"/>
            <w:r w:rsidRPr="00F85C49">
              <w:rPr>
                <w:rFonts w:ascii="Arial" w:hAnsi="Arial" w:cs="Arial"/>
                <w:color w:val="000000"/>
                <w:sz w:val="17"/>
                <w:szCs w:val="17"/>
              </w:rPr>
              <w:t>percentage</w:t>
            </w:r>
            <w:proofErr w:type="spellEnd"/>
            <w:r w:rsidRPr="00F85C49">
              <w:rPr>
                <w:rFonts w:ascii="Arial" w:hAnsi="Arial" w:cs="Arial"/>
                <w:color w:val="000000"/>
                <w:sz w:val="17"/>
                <w:szCs w:val="17"/>
              </w:rPr>
              <w:t xml:space="preserve"> </w:t>
            </w:r>
            <w:proofErr w:type="spellStart"/>
            <w:r w:rsidRPr="00F85C49">
              <w:rPr>
                <w:rFonts w:ascii="Arial" w:hAnsi="Arial" w:cs="Arial"/>
                <w:color w:val="000000"/>
                <w:sz w:val="17"/>
                <w:szCs w:val="17"/>
              </w:rPr>
              <w:t>points</w:t>
            </w:r>
            <w:proofErr w:type="spellEnd"/>
            <w:r w:rsidRPr="00F85C49">
              <w:rPr>
                <w:rFonts w:ascii="Arial" w:hAnsi="Arial" w:cs="Arial"/>
                <w:color w:val="000000"/>
                <w:sz w:val="17"/>
                <w:szCs w:val="17"/>
              </w:rPr>
              <w:t>)</w:t>
            </w:r>
          </w:p>
        </w:tc>
        <w:tc>
          <w:tcPr>
            <w:tcW w:w="1918" w:type="dxa"/>
            <w:tcBorders>
              <w:top w:val="single" w:sz="4" w:space="0" w:color="auto"/>
              <w:left w:val="single" w:sz="4" w:space="0" w:color="auto"/>
              <w:bottom w:val="nil"/>
            </w:tcBorders>
            <w:shd w:val="clear" w:color="auto" w:fill="auto"/>
            <w:noWrap/>
          </w:tcPr>
          <w:p w14:paraId="28E3F223" w14:textId="77777777" w:rsidR="000E64D5" w:rsidRDefault="000E64D5" w:rsidP="009E0113">
            <w:pPr>
              <w:rPr>
                <w:rFonts w:ascii="Arial" w:hAnsi="Arial" w:cs="Arial"/>
                <w:color w:val="000000"/>
                <w:sz w:val="17"/>
                <w:szCs w:val="17"/>
              </w:rPr>
            </w:pPr>
            <w:r>
              <w:rPr>
                <w:rFonts w:ascii="Arial" w:hAnsi="Arial" w:cs="Arial"/>
                <w:color w:val="000000"/>
                <w:sz w:val="17"/>
                <w:szCs w:val="17"/>
              </w:rPr>
              <w:t>0.91 (-1.43, 3.24)</w:t>
            </w:r>
          </w:p>
        </w:tc>
        <w:tc>
          <w:tcPr>
            <w:tcW w:w="2242" w:type="dxa"/>
            <w:tcBorders>
              <w:top w:val="single" w:sz="4" w:space="0" w:color="auto"/>
              <w:bottom w:val="nil"/>
            </w:tcBorders>
            <w:shd w:val="clear" w:color="auto" w:fill="auto"/>
            <w:noWrap/>
          </w:tcPr>
          <w:p w14:paraId="4BCCE315"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 xml:space="preserve">0.03 </w:t>
            </w:r>
            <w:r w:rsidRPr="00C954B8">
              <w:rPr>
                <w:rFonts w:ascii="Arial" w:hAnsi="Arial" w:cs="Arial"/>
                <w:color w:val="000000"/>
                <w:sz w:val="17"/>
                <w:szCs w:val="17"/>
              </w:rPr>
              <w:t>(Cohens’ d)</w:t>
            </w:r>
          </w:p>
        </w:tc>
        <w:tc>
          <w:tcPr>
            <w:tcW w:w="1644" w:type="dxa"/>
            <w:tcBorders>
              <w:top w:val="single" w:sz="4" w:space="0" w:color="auto"/>
              <w:bottom w:val="nil"/>
            </w:tcBorders>
            <w:shd w:val="clear" w:color="auto" w:fill="auto"/>
            <w:noWrap/>
          </w:tcPr>
          <w:p w14:paraId="0E308994" w14:textId="77777777" w:rsidR="000E64D5" w:rsidRDefault="000E64D5" w:rsidP="009E0113">
            <w:pPr>
              <w:spacing w:line="276" w:lineRule="auto"/>
              <w:ind w:right="491"/>
              <w:rPr>
                <w:rFonts w:ascii="Arial" w:hAnsi="Arial" w:cs="Arial"/>
                <w:color w:val="000000"/>
                <w:sz w:val="17"/>
                <w:szCs w:val="17"/>
              </w:rPr>
            </w:pPr>
            <w:r>
              <w:rPr>
                <w:rFonts w:ascii="Arial" w:hAnsi="Arial" w:cs="Arial"/>
                <w:color w:val="000000"/>
                <w:sz w:val="17"/>
                <w:szCs w:val="17"/>
              </w:rPr>
              <w:t>0.447</w:t>
            </w:r>
          </w:p>
        </w:tc>
      </w:tr>
      <w:tr w:rsidR="000E64D5" w:rsidRPr="00310C1A" w14:paraId="3ABB6C57" w14:textId="77777777" w:rsidTr="007775D5">
        <w:trPr>
          <w:trHeight w:val="63"/>
        </w:trPr>
        <w:tc>
          <w:tcPr>
            <w:tcW w:w="1938" w:type="dxa"/>
            <w:vMerge/>
            <w:tcBorders>
              <w:right w:val="single" w:sz="4" w:space="0" w:color="auto"/>
            </w:tcBorders>
            <w:shd w:val="clear" w:color="auto" w:fill="auto"/>
            <w:noWrap/>
          </w:tcPr>
          <w:p w14:paraId="5503A336" w14:textId="77777777" w:rsidR="000E64D5" w:rsidRDefault="000E64D5" w:rsidP="009E0113">
            <w:pPr>
              <w:spacing w:line="276" w:lineRule="auto"/>
              <w:ind w:right="491"/>
              <w:rPr>
                <w:rFonts w:ascii="Arial" w:hAnsi="Arial" w:cs="Arial"/>
                <w:color w:val="000000"/>
                <w:sz w:val="17"/>
                <w:szCs w:val="17"/>
              </w:rPr>
            </w:pPr>
          </w:p>
        </w:tc>
        <w:tc>
          <w:tcPr>
            <w:tcW w:w="2101" w:type="dxa"/>
            <w:vMerge/>
            <w:tcBorders>
              <w:right w:val="single" w:sz="4" w:space="0" w:color="auto"/>
            </w:tcBorders>
          </w:tcPr>
          <w:p w14:paraId="07992FA7" w14:textId="77777777" w:rsidR="000E64D5" w:rsidRPr="00F85C49" w:rsidRDefault="000E64D5" w:rsidP="009E0113">
            <w:pPr>
              <w:spacing w:line="276" w:lineRule="auto"/>
              <w:ind w:right="491"/>
              <w:rPr>
                <w:rFonts w:ascii="Arial" w:hAnsi="Arial" w:cs="Arial"/>
                <w:color w:val="000000"/>
                <w:sz w:val="17"/>
                <w:szCs w:val="17"/>
                <w:lang w:val="en-US"/>
              </w:rPr>
            </w:pPr>
          </w:p>
        </w:tc>
        <w:tc>
          <w:tcPr>
            <w:tcW w:w="4603" w:type="dxa"/>
            <w:tcBorders>
              <w:top w:val="nil"/>
              <w:left w:val="single" w:sz="4" w:space="0" w:color="auto"/>
              <w:bottom w:val="single" w:sz="4" w:space="0" w:color="auto"/>
              <w:right w:val="single" w:sz="4" w:space="0" w:color="auto"/>
            </w:tcBorders>
            <w:shd w:val="clear" w:color="auto" w:fill="auto"/>
          </w:tcPr>
          <w:p w14:paraId="1AC5D5C3" w14:textId="77777777" w:rsidR="000E64D5" w:rsidRPr="00F85C49" w:rsidRDefault="000E64D5" w:rsidP="009E0113">
            <w:pPr>
              <w:spacing w:line="276" w:lineRule="auto"/>
              <w:ind w:right="491"/>
              <w:rPr>
                <w:rFonts w:ascii="Arial" w:hAnsi="Arial" w:cs="Arial"/>
                <w:color w:val="000000"/>
                <w:sz w:val="17"/>
                <w:szCs w:val="17"/>
                <w:lang w:val="en-US"/>
              </w:rPr>
            </w:pPr>
            <w:proofErr w:type="spellStart"/>
            <w:r w:rsidRPr="00F85C49">
              <w:rPr>
                <w:rFonts w:ascii="Arial" w:hAnsi="Arial" w:cs="Arial"/>
                <w:color w:val="000000"/>
                <w:sz w:val="17"/>
                <w:szCs w:val="17"/>
                <w:lang w:val="en-US"/>
              </w:rPr>
              <w:t>FFkA</w:t>
            </w:r>
            <w:proofErr w:type="spellEnd"/>
            <w:r w:rsidRPr="00F85C49">
              <w:rPr>
                <w:rFonts w:ascii="Arial" w:hAnsi="Arial" w:cs="Arial"/>
                <w:color w:val="000000"/>
                <w:sz w:val="17"/>
                <w:szCs w:val="17"/>
                <w:lang w:val="en-US"/>
              </w:rPr>
              <w:t xml:space="preserve">: </w:t>
            </w:r>
            <w:r w:rsidRPr="00F85C49">
              <w:rPr>
                <w:rFonts w:ascii="Arial" w:hAnsi="Arial" w:cs="Arial"/>
                <w:color w:val="000000"/>
                <w:sz w:val="17"/>
                <w:szCs w:val="17"/>
                <w:lang w:val="en-US"/>
              </w:rPr>
              <w:tab/>
              <w:t>sport activity (hours/week)</w:t>
            </w:r>
          </w:p>
        </w:tc>
        <w:tc>
          <w:tcPr>
            <w:tcW w:w="1918" w:type="dxa"/>
            <w:tcBorders>
              <w:top w:val="nil"/>
              <w:left w:val="single" w:sz="4" w:space="0" w:color="auto"/>
            </w:tcBorders>
            <w:shd w:val="clear" w:color="auto" w:fill="auto"/>
            <w:noWrap/>
          </w:tcPr>
          <w:p w14:paraId="32A6673E" w14:textId="77777777" w:rsidR="000E64D5" w:rsidRPr="00310C1A" w:rsidRDefault="000E64D5" w:rsidP="009E0113">
            <w:pPr>
              <w:rPr>
                <w:rFonts w:ascii="Arial" w:hAnsi="Arial" w:cs="Arial"/>
                <w:color w:val="000000"/>
                <w:sz w:val="17"/>
                <w:szCs w:val="17"/>
                <w:lang w:val="en-US"/>
              </w:rPr>
            </w:pPr>
            <w:r>
              <w:rPr>
                <w:rFonts w:ascii="Arial" w:hAnsi="Arial" w:cs="Arial"/>
                <w:color w:val="000000"/>
                <w:sz w:val="17"/>
                <w:szCs w:val="17"/>
                <w:lang w:val="en-US"/>
              </w:rPr>
              <w:t>0.63 (0.12, 1.13)</w:t>
            </w:r>
          </w:p>
        </w:tc>
        <w:tc>
          <w:tcPr>
            <w:tcW w:w="2242" w:type="dxa"/>
            <w:tcBorders>
              <w:top w:val="nil"/>
            </w:tcBorders>
            <w:shd w:val="clear" w:color="auto" w:fill="auto"/>
            <w:noWrap/>
          </w:tcPr>
          <w:p w14:paraId="34D3815A" w14:textId="77777777" w:rsidR="000E64D5" w:rsidRPr="00310C1A" w:rsidRDefault="000E64D5" w:rsidP="009E0113">
            <w:pPr>
              <w:spacing w:line="276" w:lineRule="auto"/>
              <w:ind w:right="491"/>
              <w:rPr>
                <w:rFonts w:ascii="Arial" w:hAnsi="Arial" w:cs="Arial"/>
                <w:color w:val="000000"/>
                <w:sz w:val="17"/>
                <w:szCs w:val="17"/>
                <w:lang w:val="en-US"/>
              </w:rPr>
            </w:pPr>
            <w:r>
              <w:rPr>
                <w:rFonts w:ascii="Arial" w:hAnsi="Arial" w:cs="Arial"/>
                <w:color w:val="000000"/>
                <w:sz w:val="17"/>
                <w:szCs w:val="17"/>
                <w:lang w:val="en-US"/>
              </w:rPr>
              <w:t xml:space="preserve">0.106 </w:t>
            </w:r>
            <w:r w:rsidRPr="00C954B8">
              <w:rPr>
                <w:rFonts w:ascii="Arial" w:hAnsi="Arial" w:cs="Arial"/>
                <w:color w:val="000000"/>
                <w:sz w:val="17"/>
                <w:szCs w:val="17"/>
              </w:rPr>
              <w:t>(Cohens’ d)</w:t>
            </w:r>
          </w:p>
        </w:tc>
        <w:tc>
          <w:tcPr>
            <w:tcW w:w="1644" w:type="dxa"/>
            <w:tcBorders>
              <w:top w:val="nil"/>
            </w:tcBorders>
            <w:shd w:val="clear" w:color="auto" w:fill="auto"/>
            <w:noWrap/>
          </w:tcPr>
          <w:p w14:paraId="31162CA4" w14:textId="77777777" w:rsidR="000E64D5" w:rsidRPr="00310C1A" w:rsidRDefault="000E64D5" w:rsidP="009E0113">
            <w:pPr>
              <w:spacing w:line="276" w:lineRule="auto"/>
              <w:ind w:right="491"/>
              <w:rPr>
                <w:rFonts w:ascii="Arial" w:hAnsi="Arial" w:cs="Arial"/>
                <w:color w:val="000000"/>
                <w:sz w:val="17"/>
                <w:szCs w:val="17"/>
                <w:lang w:val="en-US"/>
              </w:rPr>
            </w:pPr>
            <w:r>
              <w:rPr>
                <w:rFonts w:ascii="Arial" w:hAnsi="Arial" w:cs="Arial"/>
                <w:color w:val="000000"/>
                <w:sz w:val="17"/>
                <w:szCs w:val="17"/>
                <w:lang w:val="en-US"/>
              </w:rPr>
              <w:t>0.015</w:t>
            </w:r>
          </w:p>
        </w:tc>
      </w:tr>
    </w:tbl>
    <w:p w14:paraId="43381A80" w14:textId="77777777" w:rsidR="00F510D2" w:rsidRDefault="00F510D2" w:rsidP="00F510D2">
      <w:pPr>
        <w:rPr>
          <w:rFonts w:ascii="Arial" w:hAnsi="Arial" w:cs="Arial"/>
          <w:color w:val="000000"/>
          <w:sz w:val="16"/>
          <w:szCs w:val="16"/>
          <w:lang w:val="en-US"/>
        </w:rPr>
      </w:pPr>
      <w:r>
        <w:rPr>
          <w:rFonts w:ascii="Arial" w:hAnsi="Arial" w:cs="Arial"/>
          <w:color w:val="000000"/>
          <w:sz w:val="16"/>
          <w:szCs w:val="16"/>
          <w:lang w:val="en-US"/>
        </w:rPr>
        <w:t xml:space="preserve">Estimates of adjusted mean differences, standardized effect sizes or p values refer to tests for difference in means between treatment and control groups at the time of follow-up (t1) or to the difference in change scores (t0-t1) between groups. </w:t>
      </w:r>
    </w:p>
    <w:p w14:paraId="5A5D729F" w14:textId="77777777" w:rsidR="001A5D69" w:rsidRDefault="009E1D82" w:rsidP="0012042E">
      <w:pPr>
        <w:jc w:val="both"/>
        <w:outlineLvl w:val="0"/>
        <w:rPr>
          <w:rFonts w:ascii="Arial" w:hAnsi="Arial" w:cs="Arial"/>
          <w:color w:val="000000"/>
          <w:sz w:val="16"/>
          <w:szCs w:val="16"/>
          <w:lang w:val="en-US"/>
        </w:rPr>
      </w:pPr>
      <w:r w:rsidRPr="00C966D6">
        <w:rPr>
          <w:rFonts w:ascii="Arial" w:hAnsi="Arial" w:cs="Arial"/>
          <w:color w:val="000000"/>
          <w:sz w:val="16"/>
          <w:szCs w:val="16"/>
          <w:lang w:val="en-US"/>
        </w:rPr>
        <w:t>. = not reported</w:t>
      </w:r>
      <w:r>
        <w:rPr>
          <w:rFonts w:ascii="Arial" w:hAnsi="Arial" w:cs="Arial"/>
          <w:color w:val="000000"/>
          <w:sz w:val="16"/>
          <w:szCs w:val="16"/>
          <w:lang w:val="en-US"/>
        </w:rPr>
        <w:t>;</w:t>
      </w:r>
      <w:r w:rsidRPr="00C966D6">
        <w:rPr>
          <w:rFonts w:ascii="Arial" w:hAnsi="Arial" w:cs="Arial"/>
          <w:color w:val="000000"/>
          <w:sz w:val="16"/>
          <w:szCs w:val="16"/>
          <w:lang w:val="en-US"/>
        </w:rPr>
        <w:t xml:space="preserve"> </w:t>
      </w:r>
      <w:r>
        <w:rPr>
          <w:rFonts w:ascii="Arial" w:hAnsi="Arial" w:cs="Arial"/>
          <w:color w:val="000000"/>
          <w:sz w:val="16"/>
          <w:szCs w:val="16"/>
          <w:lang w:val="en-US"/>
        </w:rPr>
        <w:t xml:space="preserve">* = unadjusted; </w:t>
      </w:r>
      <w:r w:rsidRPr="00C966D6">
        <w:rPr>
          <w:rFonts w:ascii="Arial" w:hAnsi="Arial" w:cs="Arial"/>
          <w:color w:val="000000"/>
          <w:sz w:val="16"/>
          <w:szCs w:val="16"/>
          <w:vertAlign w:val="superscript"/>
          <w:lang w:val="en-US"/>
        </w:rPr>
        <w:t>‡</w:t>
      </w:r>
      <w:r w:rsidRPr="00C966D6">
        <w:rPr>
          <w:rFonts w:ascii="Arial" w:hAnsi="Arial" w:cs="Arial"/>
          <w:color w:val="000000"/>
          <w:sz w:val="16"/>
          <w:szCs w:val="16"/>
          <w:lang w:val="en-US"/>
        </w:rPr>
        <w:t xml:space="preserve"> inverted scale (lower score indicate greater impact)</w:t>
      </w:r>
      <w:r>
        <w:rPr>
          <w:rFonts w:ascii="Arial" w:hAnsi="Arial" w:cs="Arial"/>
          <w:color w:val="000000"/>
          <w:sz w:val="16"/>
          <w:szCs w:val="16"/>
          <w:lang w:val="en-US"/>
        </w:rPr>
        <w:t xml:space="preserve">; </w:t>
      </w:r>
      <w:proofErr w:type="spellStart"/>
      <w:r w:rsidR="0012042E" w:rsidRPr="00C76EA5">
        <w:rPr>
          <w:rFonts w:ascii="Arial" w:hAnsi="Arial" w:cs="Arial"/>
          <w:sz w:val="16"/>
          <w:szCs w:val="16"/>
          <w:lang w:val="en-US"/>
        </w:rPr>
        <w:t>FFbH</w:t>
      </w:r>
      <w:proofErr w:type="spellEnd"/>
      <w:r w:rsidR="0012042E" w:rsidRPr="00C76EA5">
        <w:rPr>
          <w:rFonts w:ascii="Arial" w:hAnsi="Arial" w:cs="Arial"/>
          <w:sz w:val="16"/>
          <w:szCs w:val="16"/>
          <w:lang w:val="en-US"/>
        </w:rPr>
        <w:t xml:space="preserve">-R = Hannover Functional Ability Questionnaire -back pain; </w:t>
      </w:r>
      <w:proofErr w:type="spellStart"/>
      <w:r w:rsidR="0012042E" w:rsidRPr="00C76EA5">
        <w:rPr>
          <w:rFonts w:ascii="Arial" w:hAnsi="Arial" w:cs="Arial"/>
          <w:sz w:val="16"/>
          <w:szCs w:val="16"/>
          <w:lang w:val="en-US"/>
        </w:rPr>
        <w:t>FFkA</w:t>
      </w:r>
      <w:proofErr w:type="spellEnd"/>
      <w:r w:rsidR="0012042E" w:rsidRPr="00C76EA5">
        <w:rPr>
          <w:rFonts w:ascii="Arial" w:hAnsi="Arial" w:cs="Arial"/>
          <w:sz w:val="16"/>
          <w:szCs w:val="16"/>
          <w:lang w:val="en-US"/>
        </w:rPr>
        <w:t xml:space="preserve"> = Freiburg Questionnaire of physical activity</w:t>
      </w:r>
      <w:r w:rsidR="0012042E">
        <w:rPr>
          <w:rFonts w:ascii="Arial" w:hAnsi="Arial" w:cs="Arial"/>
          <w:color w:val="000000"/>
          <w:sz w:val="16"/>
          <w:szCs w:val="16"/>
          <w:lang w:val="en-US"/>
        </w:rPr>
        <w:t xml:space="preserve">; </w:t>
      </w:r>
      <w:r w:rsidR="009E0113">
        <w:rPr>
          <w:rFonts w:ascii="Arial" w:hAnsi="Arial" w:cs="Arial"/>
          <w:color w:val="000000"/>
          <w:sz w:val="16"/>
          <w:szCs w:val="16"/>
          <w:lang w:val="en-US"/>
        </w:rPr>
        <w:t xml:space="preserve">MDS-UPDRS = </w:t>
      </w:r>
      <w:proofErr w:type="spellStart"/>
      <w:r w:rsidR="00310C1A" w:rsidRPr="00C76EA5">
        <w:rPr>
          <w:rFonts w:ascii="Arial" w:hAnsi="Arial" w:cs="Arial"/>
          <w:sz w:val="16"/>
          <w:szCs w:val="16"/>
          <w:lang w:val="en-US"/>
        </w:rPr>
        <w:t>Italien</w:t>
      </w:r>
      <w:proofErr w:type="spellEnd"/>
      <w:r w:rsidR="00310C1A" w:rsidRPr="00C76EA5">
        <w:rPr>
          <w:rFonts w:ascii="Arial" w:hAnsi="Arial" w:cs="Arial"/>
          <w:sz w:val="16"/>
          <w:szCs w:val="16"/>
          <w:lang w:val="en-US"/>
        </w:rPr>
        <w:t xml:space="preserve"> Movement Disorder Society Unified Parkinson's Disease Rating Scale</w:t>
      </w:r>
      <w:r w:rsidR="009E0113">
        <w:rPr>
          <w:rFonts w:ascii="Arial" w:hAnsi="Arial" w:cs="Arial"/>
          <w:color w:val="000000"/>
          <w:sz w:val="16"/>
          <w:szCs w:val="16"/>
          <w:lang w:val="en-US"/>
        </w:rPr>
        <w:t xml:space="preserve">; </w:t>
      </w:r>
      <w:r>
        <w:rPr>
          <w:rFonts w:ascii="Arial" w:hAnsi="Arial" w:cs="Arial"/>
          <w:color w:val="000000"/>
          <w:sz w:val="16"/>
          <w:szCs w:val="16"/>
          <w:lang w:val="en-US"/>
        </w:rPr>
        <w:t>P-PDI = pediatric Pain-Related Disability Index</w:t>
      </w:r>
      <w:r w:rsidR="009E0113">
        <w:rPr>
          <w:rFonts w:ascii="Arial" w:hAnsi="Arial" w:cs="Arial"/>
          <w:color w:val="000000"/>
          <w:sz w:val="16"/>
          <w:szCs w:val="16"/>
          <w:lang w:val="en-US"/>
        </w:rPr>
        <w:t>; PDI = Pain Disability Index; PSEQ = Pain Self-efficacy Questionnaire; SES = Pain Perception Scale</w:t>
      </w:r>
    </w:p>
    <w:p w14:paraId="4E031A99" w14:textId="77777777" w:rsidR="00AC6B64" w:rsidRDefault="00AC6B64" w:rsidP="0012042E">
      <w:pPr>
        <w:jc w:val="both"/>
        <w:outlineLvl w:val="0"/>
        <w:rPr>
          <w:rFonts w:ascii="Arial" w:hAnsi="Arial" w:cs="Arial"/>
          <w:color w:val="000000"/>
          <w:sz w:val="16"/>
          <w:szCs w:val="16"/>
          <w:lang w:val="en-US"/>
        </w:rPr>
      </w:pPr>
    </w:p>
    <w:p w14:paraId="68203B71" w14:textId="77777777" w:rsidR="00AC6B64" w:rsidRDefault="00AC6B64" w:rsidP="0012042E">
      <w:pPr>
        <w:jc w:val="both"/>
        <w:outlineLvl w:val="0"/>
        <w:rPr>
          <w:rFonts w:ascii="Arial" w:hAnsi="Arial" w:cs="Arial"/>
          <w:color w:val="000000"/>
          <w:sz w:val="16"/>
          <w:szCs w:val="16"/>
          <w:lang w:val="en-US"/>
        </w:rPr>
      </w:pPr>
      <w:r>
        <w:rPr>
          <w:rFonts w:ascii="Arial" w:hAnsi="Arial" w:cs="Arial"/>
          <w:color w:val="000000"/>
          <w:sz w:val="16"/>
          <w:szCs w:val="16"/>
          <w:lang w:val="en-US"/>
        </w:rPr>
        <w:t xml:space="preserve">References: </w:t>
      </w:r>
    </w:p>
    <w:p w14:paraId="2523F8B5" w14:textId="77777777" w:rsidR="00D52504" w:rsidRPr="00D52504" w:rsidRDefault="00813762" w:rsidP="00D52504">
      <w:pPr>
        <w:widowControl w:val="0"/>
        <w:autoSpaceDE w:val="0"/>
        <w:autoSpaceDN w:val="0"/>
        <w:adjustRightInd w:val="0"/>
        <w:rPr>
          <w:rFonts w:ascii="Arial" w:hAnsi="Arial" w:cs="Arial"/>
          <w:sz w:val="16"/>
        </w:rPr>
      </w:pPr>
      <w:r>
        <w:fldChar w:fldCharType="begin"/>
      </w:r>
      <w:r w:rsidRPr="00813762">
        <w:instrText xml:space="preserve"> ADDIN ZOTERO_BIBL {"uncited":[],"omitted":[],"custom":[]} CSL_BIBLIOGRAPHY </w:instrText>
      </w:r>
      <w:r>
        <w:fldChar w:fldCharType="separate"/>
      </w:r>
      <w:r w:rsidR="00D52504" w:rsidRPr="00D52504">
        <w:rPr>
          <w:rFonts w:ascii="Arial" w:hAnsi="Arial" w:cs="Arial"/>
          <w:sz w:val="16"/>
        </w:rPr>
        <w:t>1. Counsell SR, Holder CM, Liebenauer LL, Palmer RM, Fortinsky RH, Kresevic DM, et al. Effects of a Multicomponent Intervention on Functional Outcomes and Process of Care in Hospitalized Older Patients: A Randomized Controlled Trial of Acute Care for Elders (ACE) in a Community Hospital. Journal of the American Geriatrics Society. 2000;48:1572–81.</w:t>
      </w:r>
    </w:p>
    <w:p w14:paraId="7008FAF6" w14:textId="77777777" w:rsidR="00D52504" w:rsidRPr="00D52504" w:rsidRDefault="00D52504" w:rsidP="00D52504">
      <w:pPr>
        <w:widowControl w:val="0"/>
        <w:autoSpaceDE w:val="0"/>
        <w:autoSpaceDN w:val="0"/>
        <w:adjustRightInd w:val="0"/>
        <w:rPr>
          <w:rFonts w:ascii="Arial" w:hAnsi="Arial" w:cs="Arial"/>
          <w:sz w:val="16"/>
          <w:lang w:val="en-US"/>
        </w:rPr>
      </w:pPr>
      <w:r w:rsidRPr="00D52504">
        <w:rPr>
          <w:rFonts w:ascii="Arial" w:hAnsi="Arial" w:cs="Arial"/>
          <w:sz w:val="16"/>
          <w:lang w:val="en-US"/>
        </w:rPr>
        <w:t>2. Goldberg SE, Bradshaw LE, Kearney FC, Russell C, Whittamore KH, Foster PER, et al. Care in specialist medical and mental health unit compared with standard care for older people with cognitive impairment admitted to general hospital: randomised controlled trial (NIHR TEAM trial). BMJ. 2013;347:f4132.</w:t>
      </w:r>
    </w:p>
    <w:p w14:paraId="2390ACF3" w14:textId="77777777" w:rsidR="00D52504" w:rsidRPr="00D52504" w:rsidRDefault="00D52504" w:rsidP="00D52504">
      <w:pPr>
        <w:widowControl w:val="0"/>
        <w:autoSpaceDE w:val="0"/>
        <w:autoSpaceDN w:val="0"/>
        <w:adjustRightInd w:val="0"/>
        <w:rPr>
          <w:rFonts w:ascii="Arial" w:hAnsi="Arial" w:cs="Arial"/>
          <w:sz w:val="16"/>
        </w:rPr>
      </w:pPr>
      <w:r w:rsidRPr="00D52504">
        <w:rPr>
          <w:rFonts w:ascii="Arial" w:hAnsi="Arial" w:cs="Arial"/>
          <w:sz w:val="16"/>
          <w:lang w:val="en-US"/>
        </w:rPr>
        <w:t xml:space="preserve">3. Hamnes B, Mowinckel P, Kjeken I, Hagen KB. Effects of a one week multidisciplinary inpatient self-management programme for patients with fibromyalgia: a randomised controlled trial. </w:t>
      </w:r>
      <w:r w:rsidRPr="00D52504">
        <w:rPr>
          <w:rFonts w:ascii="Arial" w:hAnsi="Arial" w:cs="Arial"/>
          <w:sz w:val="16"/>
        </w:rPr>
        <w:t>BMC MUSCULOSKELETAL DISORDERS. 2012;13.</w:t>
      </w:r>
    </w:p>
    <w:p w14:paraId="0047AA3E" w14:textId="77777777" w:rsidR="00D52504" w:rsidRPr="00D52504" w:rsidRDefault="00D52504" w:rsidP="00D52504">
      <w:pPr>
        <w:widowControl w:val="0"/>
        <w:autoSpaceDE w:val="0"/>
        <w:autoSpaceDN w:val="0"/>
        <w:adjustRightInd w:val="0"/>
        <w:rPr>
          <w:rFonts w:ascii="Arial" w:hAnsi="Arial" w:cs="Arial"/>
          <w:sz w:val="16"/>
          <w:lang w:val="en-US"/>
        </w:rPr>
      </w:pPr>
      <w:r w:rsidRPr="00D52504">
        <w:rPr>
          <w:rFonts w:ascii="Arial" w:hAnsi="Arial" w:cs="Arial"/>
          <w:sz w:val="16"/>
        </w:rPr>
        <w:t xml:space="preserve">4. Hechler T, Ruhe A-K, Schmidt P, Hirsch J, Wager J, Dobe M, et al. </w:t>
      </w:r>
      <w:r w:rsidRPr="00D52504">
        <w:rPr>
          <w:rFonts w:ascii="Arial" w:hAnsi="Arial" w:cs="Arial"/>
          <w:sz w:val="16"/>
          <w:lang w:val="en-US"/>
        </w:rPr>
        <w:t>Inpatient-based intensive interdisciplinary pain treatment for highly impaired children with severe chronic pain: Randomized controlled trial of efficacy and economic effects. PAIN. 2014;155:118–28.</w:t>
      </w:r>
    </w:p>
    <w:p w14:paraId="585AB655" w14:textId="77777777" w:rsidR="00D52504" w:rsidRPr="00D52504" w:rsidRDefault="00D52504" w:rsidP="00D52504">
      <w:pPr>
        <w:widowControl w:val="0"/>
        <w:autoSpaceDE w:val="0"/>
        <w:autoSpaceDN w:val="0"/>
        <w:adjustRightInd w:val="0"/>
        <w:rPr>
          <w:rFonts w:ascii="Arial" w:hAnsi="Arial" w:cs="Arial"/>
          <w:sz w:val="16"/>
          <w:lang w:val="en-US"/>
        </w:rPr>
      </w:pPr>
      <w:r w:rsidRPr="00D52504">
        <w:rPr>
          <w:rFonts w:ascii="Arial" w:hAnsi="Arial" w:cs="Arial"/>
          <w:sz w:val="16"/>
          <w:lang w:val="en-US"/>
        </w:rPr>
        <w:t>5. Mangels M, Schwarz S, Worringen U, Holme M, Rief W. Evaluation of a behavioral-medical inpatient rehabilitation treatment including booster sessions: a randomized controlled study. Clinical Journal of Pain. 2009;25:356–64.</w:t>
      </w:r>
    </w:p>
    <w:p w14:paraId="2B11C25C" w14:textId="77777777" w:rsidR="00D52504" w:rsidRPr="00D52504" w:rsidRDefault="00D52504" w:rsidP="00D52504">
      <w:pPr>
        <w:widowControl w:val="0"/>
        <w:autoSpaceDE w:val="0"/>
        <w:autoSpaceDN w:val="0"/>
        <w:adjustRightInd w:val="0"/>
        <w:rPr>
          <w:rFonts w:ascii="Arial" w:hAnsi="Arial" w:cs="Arial"/>
          <w:sz w:val="16"/>
          <w:lang w:val="en-US"/>
        </w:rPr>
      </w:pPr>
      <w:r w:rsidRPr="00D52504">
        <w:rPr>
          <w:rFonts w:ascii="Arial" w:hAnsi="Arial" w:cs="Arial"/>
          <w:sz w:val="16"/>
          <w:lang w:val="en-US"/>
        </w:rPr>
        <w:t>6. Monticone M, Ambrosini E, Laurini A, Rocca B, Foti C. In-patient multidisciplinary rehabilitation for Parkinson’s disease: A randomized controlled trial. MOVEMENT DISORDERS. 2015;30:1050–8.</w:t>
      </w:r>
    </w:p>
    <w:p w14:paraId="6359FF5D" w14:textId="77777777" w:rsidR="00D52504" w:rsidRPr="00D52504" w:rsidRDefault="00D52504" w:rsidP="00D52504">
      <w:pPr>
        <w:widowControl w:val="0"/>
        <w:autoSpaceDE w:val="0"/>
        <w:autoSpaceDN w:val="0"/>
        <w:adjustRightInd w:val="0"/>
        <w:rPr>
          <w:rFonts w:ascii="Arial" w:hAnsi="Arial" w:cs="Arial"/>
          <w:sz w:val="16"/>
          <w:lang w:val="en-US"/>
        </w:rPr>
      </w:pPr>
      <w:r w:rsidRPr="00D52504">
        <w:rPr>
          <w:rFonts w:ascii="Arial" w:hAnsi="Arial" w:cs="Arial"/>
          <w:sz w:val="16"/>
          <w:lang w:val="en-US"/>
        </w:rPr>
        <w:lastRenderedPageBreak/>
        <w:t>7. Wu J, Vratsistas-Curto A, Shiner CT, Faux SG, Harris I, Poulos CJ. CAN IN-REACH MULTIDISCIPLINARY REHABILITATION IN THE ACUTE WARD IMPROVE OUTCOMES FOR CRITICAL CARE SURVIVORS? A PILOT RANDOMIZED CONTROLLED TRIAL. JOURNAL OF REHABILITATION MEDICINE. 2019;51:598–606.</w:t>
      </w:r>
    </w:p>
    <w:p w14:paraId="0EA6789E" w14:textId="77777777" w:rsidR="00D52504" w:rsidRPr="00D52504" w:rsidRDefault="00D52504" w:rsidP="00D52504">
      <w:pPr>
        <w:widowControl w:val="0"/>
        <w:autoSpaceDE w:val="0"/>
        <w:autoSpaceDN w:val="0"/>
        <w:adjustRightInd w:val="0"/>
        <w:rPr>
          <w:rFonts w:ascii="Arial" w:hAnsi="Arial" w:cs="Arial"/>
          <w:sz w:val="16"/>
        </w:rPr>
      </w:pPr>
      <w:r w:rsidRPr="00D52504">
        <w:rPr>
          <w:rFonts w:ascii="Arial" w:hAnsi="Arial" w:cs="Arial"/>
          <w:sz w:val="16"/>
          <w:lang w:val="en-US"/>
        </w:rPr>
        <w:t xml:space="preserve">8. Semrau J., Hentschke C., Buchmann J., Meng K., Vogel H., Faller H., et al. Long-term effects of interprofessional biopsychosocial rehabilitation for adults with chronic non-specific low Back pain: A multicentre, quasi-experimental study. </w:t>
      </w:r>
      <w:r w:rsidRPr="00D52504">
        <w:rPr>
          <w:rFonts w:ascii="Arial" w:hAnsi="Arial" w:cs="Arial"/>
          <w:sz w:val="16"/>
        </w:rPr>
        <w:t>PLoS ONE. 2015;10. doi:10.1371/journal.pone.0118609.</w:t>
      </w:r>
    </w:p>
    <w:p w14:paraId="3DBB1542" w14:textId="2E6DBC96" w:rsidR="00813762" w:rsidRPr="0012042E" w:rsidRDefault="00813762" w:rsidP="00813762">
      <w:pPr>
        <w:jc w:val="both"/>
        <w:outlineLvl w:val="0"/>
        <w:rPr>
          <w:rFonts w:ascii="Arial" w:hAnsi="Arial" w:cs="Arial"/>
          <w:sz w:val="16"/>
          <w:szCs w:val="16"/>
          <w:lang w:val="en-US"/>
        </w:rPr>
      </w:pPr>
      <w:r>
        <w:rPr>
          <w:rFonts w:ascii="Arial" w:hAnsi="Arial" w:cs="Arial"/>
          <w:sz w:val="16"/>
          <w:szCs w:val="16"/>
          <w:lang w:val="en-US"/>
        </w:rPr>
        <w:fldChar w:fldCharType="end"/>
      </w:r>
    </w:p>
    <w:sectPr w:rsidR="00813762" w:rsidRPr="0012042E" w:rsidSect="00B21DDA">
      <w:pgSz w:w="16840" w:h="11900"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DDA"/>
    <w:rsid w:val="000E64D5"/>
    <w:rsid w:val="0012042E"/>
    <w:rsid w:val="001A5D69"/>
    <w:rsid w:val="001B3ED0"/>
    <w:rsid w:val="00310C1A"/>
    <w:rsid w:val="00310E00"/>
    <w:rsid w:val="0039572F"/>
    <w:rsid w:val="00486507"/>
    <w:rsid w:val="004A00B2"/>
    <w:rsid w:val="007349FE"/>
    <w:rsid w:val="00751EC1"/>
    <w:rsid w:val="007775D5"/>
    <w:rsid w:val="007A78C5"/>
    <w:rsid w:val="00813762"/>
    <w:rsid w:val="00877306"/>
    <w:rsid w:val="008F0B94"/>
    <w:rsid w:val="0098629A"/>
    <w:rsid w:val="00997827"/>
    <w:rsid w:val="009B63EC"/>
    <w:rsid w:val="009E0113"/>
    <w:rsid w:val="009E1D82"/>
    <w:rsid w:val="00A36F79"/>
    <w:rsid w:val="00AC6B64"/>
    <w:rsid w:val="00AE6E8A"/>
    <w:rsid w:val="00B21DDA"/>
    <w:rsid w:val="00B955B6"/>
    <w:rsid w:val="00BF6A2E"/>
    <w:rsid w:val="00D52504"/>
    <w:rsid w:val="00F510D2"/>
    <w:rsid w:val="00F85C49"/>
    <w:rsid w:val="00FA7D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1FB7F75"/>
  <w15:chartTrackingRefBased/>
  <w15:docId w15:val="{1E3CCBC0-6279-CF4F-A2F7-D43E3064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E1D82"/>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uiPriority w:val="99"/>
    <w:semiHidden/>
    <w:unhideWhenUsed/>
    <w:rsid w:val="00B21DDA"/>
    <w:rPr>
      <w:sz w:val="16"/>
      <w:szCs w:val="16"/>
    </w:rPr>
  </w:style>
  <w:style w:type="paragraph" w:styleId="Kommentartext">
    <w:name w:val="annotation text"/>
    <w:basedOn w:val="Standard"/>
    <w:link w:val="KommentartextZchn"/>
    <w:uiPriority w:val="99"/>
    <w:semiHidden/>
    <w:unhideWhenUsed/>
    <w:rsid w:val="00B21DDA"/>
    <w:rPr>
      <w:rFonts w:ascii="Calibri" w:eastAsia="Calibri" w:hAnsi="Calibri"/>
      <w:sz w:val="20"/>
      <w:szCs w:val="20"/>
      <w:lang w:eastAsia="en-US"/>
    </w:rPr>
  </w:style>
  <w:style w:type="character" w:customStyle="1" w:styleId="KommentartextZchn">
    <w:name w:val="Kommentartext Zchn"/>
    <w:link w:val="Kommentartext"/>
    <w:uiPriority w:val="99"/>
    <w:semiHidden/>
    <w:rsid w:val="00B21DDA"/>
    <w:rPr>
      <w:sz w:val="20"/>
      <w:szCs w:val="20"/>
    </w:rPr>
  </w:style>
  <w:style w:type="paragraph" w:styleId="berarbeitung">
    <w:name w:val="Revision"/>
    <w:hidden/>
    <w:uiPriority w:val="99"/>
    <w:semiHidden/>
    <w:rsid w:val="00FA7DBB"/>
    <w:rPr>
      <w:rFonts w:ascii="Times New Roman" w:eastAsia="Times New Roman" w:hAnsi="Times New Roman"/>
      <w:sz w:val="24"/>
      <w:szCs w:val="24"/>
    </w:rPr>
  </w:style>
  <w:style w:type="paragraph" w:styleId="Kommentarthema">
    <w:name w:val="annotation subject"/>
    <w:basedOn w:val="Kommentartext"/>
    <w:next w:val="Kommentartext"/>
    <w:link w:val="KommentarthemaZchn"/>
    <w:uiPriority w:val="99"/>
    <w:semiHidden/>
    <w:unhideWhenUsed/>
    <w:rsid w:val="00FA7DBB"/>
    <w:rPr>
      <w:rFonts w:ascii="Times New Roman" w:eastAsia="Times New Roman" w:hAnsi="Times New Roman"/>
      <w:b/>
      <w:bCs/>
      <w:lang w:eastAsia="de-DE"/>
    </w:rPr>
  </w:style>
  <w:style w:type="character" w:customStyle="1" w:styleId="KommentarthemaZchn">
    <w:name w:val="Kommentarthema Zchn"/>
    <w:link w:val="Kommentarthema"/>
    <w:uiPriority w:val="99"/>
    <w:semiHidden/>
    <w:rsid w:val="00FA7DBB"/>
    <w:rPr>
      <w:rFonts w:ascii="Times New Roman" w:eastAsia="Times New Roman" w:hAnsi="Times New Roman" w:cs="Times New Roman"/>
      <w:b/>
      <w:bCs/>
      <w:sz w:val="20"/>
      <w:szCs w:val="20"/>
      <w:lang w:eastAsia="de-DE"/>
    </w:rPr>
  </w:style>
  <w:style w:type="paragraph" w:styleId="Beschriftung">
    <w:name w:val="caption"/>
    <w:basedOn w:val="Standard"/>
    <w:next w:val="Standard"/>
    <w:uiPriority w:val="35"/>
    <w:unhideWhenUsed/>
    <w:qFormat/>
    <w:rsid w:val="00AC6B64"/>
    <w:rPr>
      <w:b/>
      <w:bCs/>
      <w:sz w:val="20"/>
      <w:szCs w:val="20"/>
    </w:rPr>
  </w:style>
  <w:style w:type="paragraph" w:customStyle="1" w:styleId="Literaturverzeichnis1">
    <w:name w:val="Literaturverzeichnis1"/>
    <w:basedOn w:val="Standard"/>
    <w:link w:val="BibliographyZchn"/>
    <w:rsid w:val="00813762"/>
    <w:pPr>
      <w:spacing w:after="240"/>
      <w:jc w:val="both"/>
      <w:outlineLvl w:val="0"/>
    </w:pPr>
    <w:rPr>
      <w:rFonts w:ascii="Arial" w:hAnsi="Arial" w:cs="Arial"/>
      <w:sz w:val="16"/>
      <w:szCs w:val="16"/>
      <w:lang w:val="en-US"/>
    </w:rPr>
  </w:style>
  <w:style w:type="character" w:customStyle="1" w:styleId="BibliographyZchn">
    <w:name w:val="Bibliography Zchn"/>
    <w:link w:val="Literaturverzeichnis1"/>
    <w:rsid w:val="00813762"/>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88619-2F20-1843-8855-2E2D5E78E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3999</Words>
  <Characters>25198</Characters>
  <Application>Microsoft Office Word</Application>
  <DocSecurity>0</DocSecurity>
  <Lines>209</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Kaiser</dc:creator>
  <cp:keywords/>
  <dc:description/>
  <cp:lastModifiedBy>Laura Kaiser</cp:lastModifiedBy>
  <cp:revision>7</cp:revision>
  <dcterms:created xsi:type="dcterms:W3CDTF">2021-04-19T15:57:00Z</dcterms:created>
  <dcterms:modified xsi:type="dcterms:W3CDTF">2021-09-05T08:39:00Z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id="tJnrEpOK"/&gt;&lt;style id="http://www.zotero.org/styles/bmc-endocrine-disorders" hasBibliography="1" bibliographyStyleHasBeenSet="1"/&gt;&lt;prefs&gt;&lt;pref name="fieldType" value="Field"/&gt;&lt;/prefs&gt;&lt;/data&gt;</vt:lpwstr>
  </property>
</Properties>
</file>