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55927" w14:textId="77777777" w:rsidR="00157AE3" w:rsidRPr="00157AE3" w:rsidRDefault="00157AE3" w:rsidP="00157AE3">
      <w:pPr>
        <w:pStyle w:val="Beschriftung"/>
        <w:keepNext/>
        <w:rPr>
          <w:rFonts w:ascii="Calibri" w:hAnsi="Calibri" w:cs="Calibri"/>
          <w:b w:val="0"/>
          <w:bCs w:val="0"/>
          <w:i/>
          <w:iCs/>
          <w:sz w:val="18"/>
          <w:szCs w:val="18"/>
          <w:lang w:val="en-US"/>
        </w:rPr>
      </w:pPr>
      <w:r w:rsidRPr="00157AE3">
        <w:rPr>
          <w:rFonts w:ascii="Calibri" w:hAnsi="Calibri" w:cs="Calibri"/>
          <w:b w:val="0"/>
          <w:bCs w:val="0"/>
          <w:i/>
          <w:iCs/>
          <w:sz w:val="18"/>
          <w:szCs w:val="18"/>
          <w:lang w:val="en-US"/>
        </w:rPr>
        <w:t>Table: Reported adjusted unstandardized mean differences, standardized effect sizes and p-values</w:t>
      </w:r>
      <w:r w:rsidR="00AD7BFD">
        <w:rPr>
          <w:rFonts w:ascii="Calibri" w:hAnsi="Calibri" w:cs="Calibri"/>
          <w:b w:val="0"/>
          <w:bCs w:val="0"/>
          <w:i/>
          <w:iCs/>
          <w:sz w:val="18"/>
          <w:szCs w:val="18"/>
          <w:lang w:val="en-US"/>
        </w:rPr>
        <w:t xml:space="preserve"> (between groups)</w:t>
      </w:r>
      <w:r w:rsidRPr="00157AE3">
        <w:rPr>
          <w:rFonts w:ascii="Calibri" w:hAnsi="Calibri" w:cs="Calibri"/>
          <w:b w:val="0"/>
          <w:bCs w:val="0"/>
          <w:i/>
          <w:iCs/>
          <w:sz w:val="18"/>
          <w:szCs w:val="18"/>
          <w:lang w:val="en-US"/>
        </w:rPr>
        <w:t xml:space="preserve"> in studies measuring pain</w:t>
      </w:r>
    </w:p>
    <w:tbl>
      <w:tblPr>
        <w:tblW w:w="13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38"/>
        <w:gridCol w:w="1676"/>
        <w:gridCol w:w="3827"/>
        <w:gridCol w:w="2541"/>
        <w:gridCol w:w="2242"/>
        <w:gridCol w:w="1644"/>
      </w:tblGrid>
      <w:tr w:rsidR="00093C49" w:rsidRPr="000C7651" w14:paraId="36828A9F" w14:textId="77777777" w:rsidTr="00093C49">
        <w:trPr>
          <w:trHeight w:val="992"/>
        </w:trPr>
        <w:tc>
          <w:tcPr>
            <w:tcW w:w="1938" w:type="dxa"/>
            <w:shd w:val="clear" w:color="auto" w:fill="auto"/>
            <w:hideMark/>
          </w:tcPr>
          <w:p w14:paraId="4F2A0A9A" w14:textId="77777777" w:rsidR="00093C49" w:rsidRPr="000C7651" w:rsidRDefault="00093C49" w:rsidP="00727064">
            <w:pPr>
              <w:spacing w:line="276" w:lineRule="auto"/>
              <w:ind w:right="491"/>
              <w:rPr>
                <w:rFonts w:ascii="Arial" w:hAnsi="Arial" w:cs="Arial"/>
                <w:b/>
                <w:bCs/>
                <w:color w:val="000000"/>
                <w:sz w:val="17"/>
                <w:szCs w:val="17"/>
              </w:rPr>
            </w:pPr>
            <w:r w:rsidRPr="000C7651">
              <w:rPr>
                <w:rFonts w:ascii="Arial" w:hAnsi="Arial" w:cs="Arial"/>
                <w:b/>
                <w:bCs/>
                <w:color w:val="000000"/>
                <w:sz w:val="17"/>
                <w:szCs w:val="17"/>
              </w:rPr>
              <w:t>Source</w:t>
            </w:r>
            <w:r>
              <w:rPr>
                <w:rFonts w:ascii="Arial" w:hAnsi="Arial" w:cs="Arial"/>
                <w:b/>
                <w:bCs/>
                <w:color w:val="000000"/>
                <w:sz w:val="17"/>
                <w:szCs w:val="17"/>
              </w:rPr>
              <w:t xml:space="preserve"> (Study type)</w:t>
            </w:r>
          </w:p>
        </w:tc>
        <w:tc>
          <w:tcPr>
            <w:tcW w:w="1676" w:type="dxa"/>
          </w:tcPr>
          <w:p w14:paraId="1AE5A331" w14:textId="77777777" w:rsidR="00093C49" w:rsidRPr="000C7651" w:rsidRDefault="00093C49" w:rsidP="00727064">
            <w:pPr>
              <w:spacing w:line="276" w:lineRule="auto"/>
              <w:ind w:right="491"/>
              <w:rPr>
                <w:rFonts w:ascii="Arial" w:hAnsi="Arial" w:cs="Arial"/>
                <w:b/>
                <w:bCs/>
                <w:color w:val="000000"/>
                <w:sz w:val="17"/>
                <w:szCs w:val="17"/>
              </w:rPr>
            </w:pPr>
            <w:r>
              <w:rPr>
                <w:rFonts w:ascii="Arial" w:hAnsi="Arial" w:cs="Arial"/>
                <w:b/>
                <w:bCs/>
                <w:color w:val="000000"/>
                <w:sz w:val="17"/>
                <w:szCs w:val="17"/>
              </w:rPr>
              <w:t>Study population</w:t>
            </w:r>
          </w:p>
        </w:tc>
        <w:tc>
          <w:tcPr>
            <w:tcW w:w="3827" w:type="dxa"/>
            <w:tcBorders>
              <w:bottom w:val="single" w:sz="4" w:space="0" w:color="auto"/>
            </w:tcBorders>
            <w:shd w:val="clear" w:color="auto" w:fill="auto"/>
            <w:hideMark/>
          </w:tcPr>
          <w:p w14:paraId="76B26231" w14:textId="77777777" w:rsidR="00093C49" w:rsidRPr="000C7651" w:rsidRDefault="00093C49" w:rsidP="00727064">
            <w:pPr>
              <w:spacing w:line="276" w:lineRule="auto"/>
              <w:ind w:right="491"/>
              <w:rPr>
                <w:rFonts w:ascii="Arial" w:hAnsi="Arial" w:cs="Arial"/>
                <w:b/>
                <w:bCs/>
                <w:color w:val="000000"/>
                <w:sz w:val="17"/>
                <w:szCs w:val="17"/>
              </w:rPr>
            </w:pPr>
            <w:r w:rsidRPr="000C7651">
              <w:rPr>
                <w:rFonts w:ascii="Arial" w:hAnsi="Arial" w:cs="Arial"/>
                <w:b/>
                <w:bCs/>
                <w:color w:val="000000"/>
                <w:sz w:val="17"/>
                <w:szCs w:val="17"/>
              </w:rPr>
              <w:t xml:space="preserve">Measures </w:t>
            </w:r>
            <w:r>
              <w:rPr>
                <w:rFonts w:ascii="Arial" w:hAnsi="Arial" w:cs="Arial"/>
                <w:b/>
                <w:bCs/>
                <w:color w:val="000000"/>
                <w:sz w:val="17"/>
                <w:szCs w:val="17"/>
              </w:rPr>
              <w:t>Pain</w:t>
            </w:r>
            <w:r w:rsidRPr="000C7651">
              <w:rPr>
                <w:rFonts w:ascii="Arial" w:hAnsi="Arial" w:cs="Arial"/>
                <w:b/>
                <w:bCs/>
                <w:color w:val="000000"/>
                <w:sz w:val="17"/>
                <w:szCs w:val="17"/>
              </w:rPr>
              <w:t xml:space="preserve"> (</w:t>
            </w:r>
            <w:r>
              <w:rPr>
                <w:rFonts w:ascii="Arial" w:hAnsi="Arial" w:cs="Arial"/>
                <w:b/>
                <w:bCs/>
                <w:color w:val="000000"/>
                <w:sz w:val="17"/>
                <w:szCs w:val="17"/>
              </w:rPr>
              <w:t>total score</w:t>
            </w:r>
            <w:r w:rsidRPr="000C7651">
              <w:rPr>
                <w:rFonts w:ascii="Arial" w:hAnsi="Arial" w:cs="Arial"/>
                <w:b/>
                <w:bCs/>
                <w:color w:val="000000"/>
                <w:sz w:val="17"/>
                <w:szCs w:val="17"/>
              </w:rPr>
              <w:t>)</w:t>
            </w:r>
          </w:p>
        </w:tc>
        <w:tc>
          <w:tcPr>
            <w:tcW w:w="2541" w:type="dxa"/>
            <w:tcBorders>
              <w:bottom w:val="single" w:sz="4" w:space="0" w:color="auto"/>
            </w:tcBorders>
            <w:shd w:val="clear" w:color="auto" w:fill="auto"/>
            <w:hideMark/>
          </w:tcPr>
          <w:p w14:paraId="346DF85F" w14:textId="77777777" w:rsidR="00093C49" w:rsidRPr="00ED5ADF" w:rsidRDefault="00093C49" w:rsidP="00727064">
            <w:pPr>
              <w:spacing w:line="276" w:lineRule="auto"/>
              <w:ind w:right="491"/>
              <w:rPr>
                <w:rFonts w:ascii="Arial" w:hAnsi="Arial" w:cs="Arial"/>
                <w:b/>
                <w:bCs/>
                <w:color w:val="000000"/>
                <w:sz w:val="17"/>
                <w:szCs w:val="17"/>
                <w:lang w:val="en-US"/>
              </w:rPr>
            </w:pPr>
            <w:r>
              <w:rPr>
                <w:rFonts w:ascii="Arial" w:hAnsi="Arial" w:cs="Arial"/>
                <w:b/>
                <w:bCs/>
                <w:color w:val="000000"/>
                <w:sz w:val="17"/>
                <w:szCs w:val="17"/>
                <w:lang w:val="en-US"/>
              </w:rPr>
              <w:t>Adjusted m</w:t>
            </w:r>
            <w:r w:rsidRPr="00ED5ADF">
              <w:rPr>
                <w:rFonts w:ascii="Arial" w:hAnsi="Arial" w:cs="Arial"/>
                <w:b/>
                <w:bCs/>
                <w:color w:val="000000"/>
                <w:sz w:val="17"/>
                <w:szCs w:val="17"/>
                <w:lang w:val="en-US"/>
              </w:rPr>
              <w:t xml:space="preserve">ean </w:t>
            </w:r>
            <w:r>
              <w:rPr>
                <w:rFonts w:ascii="Arial" w:hAnsi="Arial" w:cs="Arial"/>
                <w:b/>
                <w:bCs/>
                <w:color w:val="000000"/>
                <w:sz w:val="17"/>
                <w:szCs w:val="17"/>
                <w:lang w:val="en-US"/>
              </w:rPr>
              <w:t xml:space="preserve">differences </w:t>
            </w:r>
          </w:p>
          <w:p w14:paraId="79DE370A" w14:textId="77777777" w:rsidR="00093C49" w:rsidRPr="00ED5ADF" w:rsidRDefault="00093C49" w:rsidP="00727064">
            <w:pPr>
              <w:spacing w:line="276" w:lineRule="auto"/>
              <w:ind w:right="491"/>
              <w:rPr>
                <w:rFonts w:ascii="Arial" w:hAnsi="Arial" w:cs="Arial"/>
                <w:b/>
                <w:bCs/>
                <w:color w:val="000000"/>
                <w:sz w:val="17"/>
                <w:szCs w:val="17"/>
                <w:lang w:val="en-US"/>
              </w:rPr>
            </w:pPr>
            <w:r w:rsidRPr="00ED5ADF">
              <w:rPr>
                <w:rFonts w:ascii="Arial" w:hAnsi="Arial" w:cs="Arial"/>
                <w:b/>
                <w:bCs/>
                <w:color w:val="000000"/>
                <w:sz w:val="17"/>
                <w:szCs w:val="17"/>
                <w:lang w:val="en-US"/>
              </w:rPr>
              <w:t>(95% CI or SE)</w:t>
            </w:r>
          </w:p>
        </w:tc>
        <w:tc>
          <w:tcPr>
            <w:tcW w:w="2242" w:type="dxa"/>
            <w:tcBorders>
              <w:bottom w:val="single" w:sz="4" w:space="0" w:color="auto"/>
            </w:tcBorders>
            <w:shd w:val="clear" w:color="auto" w:fill="auto"/>
            <w:hideMark/>
          </w:tcPr>
          <w:p w14:paraId="5CF2755D" w14:textId="77777777" w:rsidR="00093C49" w:rsidRPr="00ED5ADF" w:rsidRDefault="00093C49" w:rsidP="00727064">
            <w:pPr>
              <w:spacing w:line="276" w:lineRule="auto"/>
              <w:ind w:right="491"/>
              <w:rPr>
                <w:rFonts w:ascii="Arial" w:hAnsi="Arial" w:cs="Arial"/>
                <w:b/>
                <w:bCs/>
                <w:color w:val="000000"/>
                <w:sz w:val="17"/>
                <w:szCs w:val="17"/>
                <w:lang w:val="en-US"/>
              </w:rPr>
            </w:pPr>
            <w:r>
              <w:rPr>
                <w:rFonts w:ascii="Arial" w:hAnsi="Arial" w:cs="Arial"/>
                <w:b/>
                <w:bCs/>
                <w:color w:val="000000"/>
                <w:sz w:val="17"/>
                <w:szCs w:val="17"/>
                <w:lang w:val="en-US"/>
              </w:rPr>
              <w:t>S</w:t>
            </w:r>
            <w:r w:rsidRPr="00ED5ADF">
              <w:rPr>
                <w:rFonts w:ascii="Arial" w:hAnsi="Arial" w:cs="Arial"/>
                <w:b/>
                <w:bCs/>
                <w:color w:val="000000"/>
                <w:sz w:val="17"/>
                <w:szCs w:val="17"/>
                <w:lang w:val="en-US"/>
              </w:rPr>
              <w:t>tandardized effect sizes</w:t>
            </w:r>
          </w:p>
        </w:tc>
        <w:tc>
          <w:tcPr>
            <w:tcW w:w="1644" w:type="dxa"/>
            <w:tcBorders>
              <w:bottom w:val="single" w:sz="4" w:space="0" w:color="auto"/>
            </w:tcBorders>
            <w:shd w:val="clear" w:color="auto" w:fill="auto"/>
            <w:hideMark/>
          </w:tcPr>
          <w:p w14:paraId="5C8D5F01" w14:textId="77777777" w:rsidR="00093C49" w:rsidRPr="000C7651" w:rsidRDefault="00093C49" w:rsidP="00727064">
            <w:pPr>
              <w:spacing w:line="276" w:lineRule="auto"/>
              <w:ind w:right="491"/>
              <w:rPr>
                <w:rFonts w:ascii="Arial" w:hAnsi="Arial" w:cs="Arial"/>
                <w:b/>
                <w:bCs/>
                <w:color w:val="000000"/>
                <w:sz w:val="17"/>
                <w:szCs w:val="17"/>
              </w:rPr>
            </w:pPr>
            <w:r w:rsidRPr="000C7651">
              <w:rPr>
                <w:rFonts w:ascii="Arial" w:hAnsi="Arial" w:cs="Arial"/>
                <w:b/>
                <w:bCs/>
                <w:color w:val="000000"/>
                <w:sz w:val="17"/>
                <w:szCs w:val="17"/>
                <w:lang w:val="en-US"/>
              </w:rPr>
              <w:t>p-value</w:t>
            </w:r>
          </w:p>
        </w:tc>
      </w:tr>
      <w:tr w:rsidR="00093C49" w:rsidRPr="000C7651" w14:paraId="0E31DC10" w14:textId="77777777" w:rsidTr="00093C49">
        <w:trPr>
          <w:trHeight w:val="217"/>
        </w:trPr>
        <w:tc>
          <w:tcPr>
            <w:tcW w:w="1938" w:type="dxa"/>
            <w:tcBorders>
              <w:bottom w:val="single" w:sz="4" w:space="0" w:color="auto"/>
            </w:tcBorders>
            <w:shd w:val="clear" w:color="auto" w:fill="auto"/>
            <w:noWrap/>
          </w:tcPr>
          <w:p w14:paraId="490CC6C2" w14:textId="77777777" w:rsidR="00093C49" w:rsidRDefault="00093C49" w:rsidP="00727064">
            <w:pPr>
              <w:spacing w:line="276" w:lineRule="auto"/>
              <w:ind w:right="491"/>
              <w:rPr>
                <w:rFonts w:ascii="Arial" w:hAnsi="Arial" w:cs="Arial"/>
                <w:color w:val="000000"/>
                <w:sz w:val="17"/>
                <w:szCs w:val="17"/>
              </w:rPr>
            </w:pPr>
            <w:r>
              <w:rPr>
                <w:rFonts w:ascii="Arial" w:hAnsi="Arial" w:cs="Arial"/>
                <w:color w:val="000000"/>
                <w:sz w:val="17"/>
                <w:szCs w:val="17"/>
              </w:rPr>
              <w:t xml:space="preserve">Hechler et al. 2014 </w:t>
            </w:r>
            <w:r>
              <w:rPr>
                <w:rFonts w:ascii="Arial" w:hAnsi="Arial" w:cs="Arial"/>
                <w:color w:val="000000"/>
                <w:sz w:val="17"/>
                <w:szCs w:val="17"/>
              </w:rPr>
              <w:fldChar w:fldCharType="begin"/>
            </w:r>
            <w:r>
              <w:rPr>
                <w:rFonts w:ascii="Arial" w:hAnsi="Arial" w:cs="Arial"/>
                <w:color w:val="000000"/>
                <w:sz w:val="17"/>
                <w:szCs w:val="17"/>
              </w:rPr>
              <w:instrText xml:space="preserve"> ADDIN ZOTERO_ITEM CSL_CITATION {"citationID":"Mi9yeRqL","properties":{"formattedCitation":"[1]","plainCitation":"[1]","noteIndex":0},"citationItems":[{"id":66315,"uris":["http://zotero.org/users/1684662/items/UHM4ABV2"],"uri":["http://zotero.org/users/1684662/items/UHM4ABV2"],"itemData":{"id":66315,"type":"article-journal","abstract":"Pediatric chronic pain, which can result in deleterious effects for the child, bears the risk of aggravation into adulthood. Intensive interdisciplinary pain treatment (IIPT) might be an effective treatment, given the advantage of consulting with multiple professionals on a daily basis. Evidence for the effectiveness of IIPT is scarce. We investigated the efficacy of an IIPT within a randomized controlled trial by comparing an intervention group (IG) (n = 52) to a waiting-list control group (WCG) (n = 52). We made assessments before treatment (PRE), immediately after treatment (POST), as well as at short-term (POST6MONTHS) and long-term (POST12MONTHS) follow-up. We determined a combined endpoint, improvement (pain intensity, disability, school absence), and investigated 3 additional outcome domains (anxiety, depression, catastrophizing). We also investigated changes in economic parameters (health care use, parental work absenteeism, subjective financial burden) and their relationship to the child's improvement. Results at POST showed that significantly more children in the IG than in the WCG were assigned to improvement (55% compared to 14%; Fisher P &lt; .001; 95% confidence interval for incidence difference: 0.21% to 0.60%). Although immediate effects were achieved for disability, school absence, depression, and catastrophizing, pain intensity and anxiety did not change until short-term follow-up. More than 60% of the children in both groups were improved long-term. The parents reported significant reductions in all economic parameters. The results from the present study support the efficacy of the IIPT. Future research is warranted to investigate differences in treatment response and to understand the changes in economic parameters in nonimproved children. (C) 2013 International Association for the Study of Pain. Published by Elsevier B.V. All rights reserved.","container-title":"PAIN","DOI":"10.1016/j.pain.2013.09.015","ISSN":"0304-3959","issue":"1","language":"English","note":"e","page":"118-128","title":"Inpatient-based intensive interdisciplinary pain treatment for highly impaired children with severe chronic pain: Randomized controlled trial of efficacy and economic effects","volume":"155","author":[{"family":"Hechler","given":"Tanja"},{"family":"Ruhe","given":"Ann-Kristin"},{"family":"Schmidt","given":"Pia"},{"family":"Hirsch","given":"Jessica"},{"family":"Wager","given":"Julia"},{"family":"Dobe","given":"Michael"},{"family":"Krummenauer","given":"Frank"},{"family":"Zernikow","given":"Boris"}],"issued":{"date-parts":[["2014",1]]}}}],"schema":"https://github.com/citation-style-language/schema/raw/master/csl-citation.json"} </w:instrText>
            </w:r>
            <w:r>
              <w:rPr>
                <w:rFonts w:ascii="Arial" w:hAnsi="Arial" w:cs="Arial"/>
                <w:color w:val="000000"/>
                <w:sz w:val="17"/>
                <w:szCs w:val="17"/>
              </w:rPr>
              <w:fldChar w:fldCharType="separate"/>
            </w:r>
            <w:r>
              <w:rPr>
                <w:rFonts w:ascii="Arial" w:hAnsi="Arial" w:cs="Arial"/>
                <w:noProof/>
                <w:color w:val="000000"/>
                <w:sz w:val="17"/>
                <w:szCs w:val="17"/>
              </w:rPr>
              <w:t>[1]</w:t>
            </w:r>
            <w:r>
              <w:rPr>
                <w:rFonts w:ascii="Arial" w:hAnsi="Arial" w:cs="Arial"/>
                <w:color w:val="000000"/>
                <w:sz w:val="17"/>
                <w:szCs w:val="17"/>
              </w:rPr>
              <w:fldChar w:fldCharType="end"/>
            </w:r>
            <w:r>
              <w:rPr>
                <w:rFonts w:ascii="Arial" w:hAnsi="Arial" w:cs="Arial"/>
                <w:color w:val="000000"/>
                <w:sz w:val="17"/>
                <w:szCs w:val="17"/>
              </w:rPr>
              <w:t xml:space="preserve"> (RCT)</w:t>
            </w:r>
          </w:p>
        </w:tc>
        <w:tc>
          <w:tcPr>
            <w:tcW w:w="1676" w:type="dxa"/>
            <w:tcBorders>
              <w:bottom w:val="single" w:sz="4" w:space="0" w:color="auto"/>
            </w:tcBorders>
          </w:tcPr>
          <w:p w14:paraId="0A31E7E2" w14:textId="77777777" w:rsidR="00093C49" w:rsidRDefault="00093C49" w:rsidP="00727064">
            <w:pPr>
              <w:spacing w:line="276" w:lineRule="auto"/>
              <w:ind w:right="491"/>
              <w:rPr>
                <w:rFonts w:ascii="Arial" w:hAnsi="Arial" w:cs="Arial"/>
                <w:color w:val="000000"/>
                <w:sz w:val="17"/>
                <w:szCs w:val="17"/>
              </w:rPr>
            </w:pPr>
            <w:r>
              <w:rPr>
                <w:rFonts w:ascii="Arial" w:hAnsi="Arial" w:cs="Arial"/>
                <w:color w:val="000000"/>
                <w:sz w:val="17"/>
                <w:szCs w:val="17"/>
              </w:rPr>
              <w:t>Chronic pain (pediatric)</w:t>
            </w:r>
          </w:p>
        </w:tc>
        <w:tc>
          <w:tcPr>
            <w:tcW w:w="3827" w:type="dxa"/>
            <w:tcBorders>
              <w:top w:val="single" w:sz="4" w:space="0" w:color="auto"/>
              <w:bottom w:val="single" w:sz="4" w:space="0" w:color="auto"/>
            </w:tcBorders>
            <w:shd w:val="clear" w:color="auto" w:fill="auto"/>
          </w:tcPr>
          <w:p w14:paraId="37996FB1" w14:textId="77777777" w:rsidR="00093C49" w:rsidRDefault="00093C49" w:rsidP="00727064">
            <w:pPr>
              <w:spacing w:line="276" w:lineRule="auto"/>
              <w:ind w:right="491"/>
              <w:rPr>
                <w:rFonts w:ascii="Arial" w:hAnsi="Arial" w:cs="Arial"/>
                <w:color w:val="000000"/>
                <w:sz w:val="17"/>
                <w:szCs w:val="17"/>
              </w:rPr>
            </w:pPr>
            <w:r>
              <w:rPr>
                <w:rFonts w:ascii="Arial" w:hAnsi="Arial" w:cs="Arial"/>
                <w:color w:val="000000"/>
                <w:sz w:val="17"/>
                <w:szCs w:val="17"/>
              </w:rPr>
              <w:t>Faces Pain Scale-Revised (0-10)</w:t>
            </w:r>
            <w:r w:rsidRPr="00C966D6">
              <w:rPr>
                <w:rFonts w:ascii="Arial" w:hAnsi="Arial" w:cs="Arial"/>
                <w:color w:val="000000"/>
                <w:sz w:val="16"/>
                <w:szCs w:val="16"/>
                <w:vertAlign w:val="superscript"/>
                <w:lang w:val="en-US"/>
              </w:rPr>
              <w:t xml:space="preserve"> ‡</w:t>
            </w:r>
          </w:p>
        </w:tc>
        <w:tc>
          <w:tcPr>
            <w:tcW w:w="2541" w:type="dxa"/>
            <w:tcBorders>
              <w:top w:val="single" w:sz="4" w:space="0" w:color="auto"/>
              <w:bottom w:val="single" w:sz="4" w:space="0" w:color="auto"/>
            </w:tcBorders>
            <w:shd w:val="clear" w:color="auto" w:fill="auto"/>
            <w:noWrap/>
          </w:tcPr>
          <w:p w14:paraId="145EA1AF" w14:textId="77777777" w:rsidR="00093C49" w:rsidRPr="009E1D82" w:rsidRDefault="00093C49" w:rsidP="009E1D82">
            <w:pPr>
              <w:rPr>
                <w:rFonts w:ascii="Arial" w:hAnsi="Arial" w:cs="Arial"/>
                <w:color w:val="000000"/>
                <w:sz w:val="17"/>
                <w:szCs w:val="17"/>
              </w:rPr>
            </w:pPr>
            <w:r>
              <w:rPr>
                <w:rFonts w:ascii="Arial" w:hAnsi="Arial" w:cs="Arial"/>
                <w:color w:val="000000"/>
                <w:sz w:val="17"/>
                <w:szCs w:val="17"/>
              </w:rPr>
              <w:t>.</w:t>
            </w:r>
          </w:p>
        </w:tc>
        <w:tc>
          <w:tcPr>
            <w:tcW w:w="2242" w:type="dxa"/>
            <w:tcBorders>
              <w:top w:val="single" w:sz="4" w:space="0" w:color="auto"/>
              <w:bottom w:val="single" w:sz="4" w:space="0" w:color="auto"/>
            </w:tcBorders>
            <w:shd w:val="clear" w:color="auto" w:fill="auto"/>
            <w:noWrap/>
          </w:tcPr>
          <w:p w14:paraId="0D6D7BE3" w14:textId="77777777" w:rsidR="00093C49" w:rsidRDefault="00093C49" w:rsidP="00727064">
            <w:pPr>
              <w:spacing w:line="276" w:lineRule="auto"/>
              <w:ind w:right="491"/>
              <w:rPr>
                <w:rFonts w:ascii="Arial" w:hAnsi="Arial" w:cs="Arial"/>
                <w:color w:val="000000"/>
                <w:sz w:val="17"/>
                <w:szCs w:val="17"/>
              </w:rPr>
            </w:pPr>
            <w:r>
              <w:rPr>
                <w:rFonts w:ascii="Arial" w:hAnsi="Arial" w:cs="Arial"/>
                <w:color w:val="000000"/>
                <w:sz w:val="17"/>
                <w:szCs w:val="17"/>
              </w:rPr>
              <w:t>.</w:t>
            </w:r>
          </w:p>
        </w:tc>
        <w:tc>
          <w:tcPr>
            <w:tcW w:w="1644" w:type="dxa"/>
            <w:tcBorders>
              <w:top w:val="single" w:sz="4" w:space="0" w:color="auto"/>
              <w:bottom w:val="single" w:sz="4" w:space="0" w:color="auto"/>
            </w:tcBorders>
            <w:shd w:val="clear" w:color="auto" w:fill="auto"/>
            <w:noWrap/>
          </w:tcPr>
          <w:p w14:paraId="3C36679E" w14:textId="77777777" w:rsidR="00093C49" w:rsidRDefault="00093C49" w:rsidP="00727064">
            <w:pPr>
              <w:spacing w:line="276" w:lineRule="auto"/>
              <w:ind w:right="491"/>
              <w:rPr>
                <w:rFonts w:ascii="Arial" w:hAnsi="Arial" w:cs="Arial"/>
                <w:color w:val="000000"/>
                <w:sz w:val="17"/>
                <w:szCs w:val="17"/>
              </w:rPr>
            </w:pPr>
            <w:r>
              <w:rPr>
                <w:rFonts w:ascii="Arial" w:hAnsi="Arial" w:cs="Arial"/>
                <w:color w:val="000000"/>
                <w:sz w:val="17"/>
                <w:szCs w:val="17"/>
              </w:rPr>
              <w:t>.</w:t>
            </w:r>
          </w:p>
        </w:tc>
      </w:tr>
      <w:tr w:rsidR="00093C49" w:rsidRPr="00310C1A" w14:paraId="0729EE2D" w14:textId="77777777" w:rsidTr="00093C49">
        <w:trPr>
          <w:trHeight w:val="217"/>
        </w:trPr>
        <w:tc>
          <w:tcPr>
            <w:tcW w:w="1938" w:type="dxa"/>
            <w:tcBorders>
              <w:right w:val="single" w:sz="4" w:space="0" w:color="auto"/>
            </w:tcBorders>
            <w:shd w:val="clear" w:color="auto" w:fill="auto"/>
            <w:noWrap/>
          </w:tcPr>
          <w:p w14:paraId="29D4061D" w14:textId="77777777" w:rsidR="00093C49" w:rsidRDefault="00093C49" w:rsidP="009E0113">
            <w:pPr>
              <w:spacing w:line="276" w:lineRule="auto"/>
              <w:ind w:right="491"/>
              <w:rPr>
                <w:rFonts w:ascii="Arial" w:hAnsi="Arial" w:cs="Arial"/>
                <w:color w:val="000000"/>
                <w:sz w:val="17"/>
                <w:szCs w:val="17"/>
              </w:rPr>
            </w:pPr>
            <w:r>
              <w:rPr>
                <w:rFonts w:ascii="Arial" w:hAnsi="Arial" w:cs="Arial"/>
                <w:color w:val="000000"/>
                <w:sz w:val="17"/>
                <w:szCs w:val="17"/>
              </w:rPr>
              <w:t xml:space="preserve">Sidebottom et al. 2015 </w:t>
            </w:r>
            <w:r>
              <w:rPr>
                <w:rFonts w:ascii="Arial" w:hAnsi="Arial" w:cs="Arial"/>
                <w:color w:val="000000"/>
                <w:sz w:val="17"/>
                <w:szCs w:val="17"/>
              </w:rPr>
              <w:fldChar w:fldCharType="begin"/>
            </w:r>
            <w:r>
              <w:rPr>
                <w:rFonts w:ascii="Arial" w:hAnsi="Arial" w:cs="Arial"/>
                <w:color w:val="000000"/>
                <w:sz w:val="17"/>
                <w:szCs w:val="17"/>
              </w:rPr>
              <w:instrText xml:space="preserve"> ADDIN ZOTERO_ITEM CSL_CITATION {"citationID":"YqpMnDV5","properties":{"formattedCitation":"[2]","plainCitation":"[2]","noteIndex":0},"citationItems":[{"id":66295,"uris":["http://zotero.org/users/1684662/items/9NEI7S6W"],"uri":["http://zotero.org/users/1684662/items/9NEI7S6W"],"itemData":{"id":66295,"type":"article-journal","abstract":"BACKGROUND: Heart failure (HF) is associated with a high symptom burden and reduced quality of life (QOL). Models integrating palliative care (PC) into HF care have been proposed, but limited research is available on the outcomes of such models. OBJECTIVE: Our aim was to assess if inpatient PC for HF patients is  associated with improvements in symptom burden, depressive symptoms, QOL, or differential use of services. METHODS: Patients hospitalized with acute HF were randomized to receive a PC consult with follow-up as determined by provider or standard care. Two hundred thirty-two patients (116 intervention/116 control) from a large tertiary-care urban hospital were recruited over a 10-month period.  Primary outcomes were symptom burden, depressive symptoms, and QOL measured at baseline, 1, and 3 months. Secondary outcomes included advance care planning (ACP), inpatient 30-day readmission, hospice use, and death. RESULTS: Improvements were greater at both 1 and 3 months in the intervention group for primary outcome summary measures after adjusting for age, gender, and marital status differences between study groups. QOL scores increased by 12.92 points in  the intervention and 8 points in the control group at 1 month (difference+4.92, p&lt;0.001). Improvement in symptom burden was 8.39 in the intervention group and 4.7 in the control group at 1 month (+3.69, p&lt;0.001). ACP was the only secondary  outcome associated with the intervention (hazard ratio [HR] 2.87, p=0.033). CONCLUSION: An inpatient PC model for patients with acute HF is associated with short-term improvement in symptom burden, QOL, and depressive symptoms.","container-title":"Journal of palliative medicine","DOI":"10.1089/jpm.2014.0192","ISSN":"1557-7740 1557-7740","issue":"2","journalAbbreviation":"J Palliat Med","language":"eng","note":"e","page":"134-142","title":"Inpatient palliative care for patients with acute heart failure: outcomes from a  randomized trial.","volume":"18","author":[{"family":"Sidebottom","given":"Abbey C."},{"family":"Jorgenson","given":"Ann"},{"family":"Richards","given":"Hallie"},{"family":"Kirven","given":"Justin"},{"family":"Sillah","given":"Arthur"}],"issued":{"date-parts":[["2015",2]]}}}],"schema":"https://github.com/citation-style-language/schema/raw/master/csl-citation.json"} </w:instrText>
            </w:r>
            <w:r>
              <w:rPr>
                <w:rFonts w:ascii="Arial" w:hAnsi="Arial" w:cs="Arial"/>
                <w:color w:val="000000"/>
                <w:sz w:val="17"/>
                <w:szCs w:val="17"/>
              </w:rPr>
              <w:fldChar w:fldCharType="separate"/>
            </w:r>
            <w:r>
              <w:rPr>
                <w:rFonts w:ascii="Arial" w:hAnsi="Arial" w:cs="Arial"/>
                <w:noProof/>
                <w:color w:val="000000"/>
                <w:sz w:val="17"/>
                <w:szCs w:val="17"/>
              </w:rPr>
              <w:t>[2]</w:t>
            </w:r>
            <w:r>
              <w:rPr>
                <w:rFonts w:ascii="Arial" w:hAnsi="Arial" w:cs="Arial"/>
                <w:color w:val="000000"/>
                <w:sz w:val="17"/>
                <w:szCs w:val="17"/>
              </w:rPr>
              <w:fldChar w:fldCharType="end"/>
            </w:r>
            <w:r>
              <w:rPr>
                <w:rFonts w:ascii="Arial" w:hAnsi="Arial" w:cs="Arial"/>
                <w:color w:val="000000"/>
                <w:sz w:val="17"/>
                <w:szCs w:val="17"/>
              </w:rPr>
              <w:t xml:space="preserve"> (RCT)</w:t>
            </w:r>
          </w:p>
        </w:tc>
        <w:tc>
          <w:tcPr>
            <w:tcW w:w="1676" w:type="dxa"/>
            <w:tcBorders>
              <w:right w:val="single" w:sz="4" w:space="0" w:color="auto"/>
            </w:tcBorders>
          </w:tcPr>
          <w:p w14:paraId="45FB5822" w14:textId="77777777" w:rsidR="00093C49" w:rsidRPr="00727064" w:rsidRDefault="00093C49" w:rsidP="009E0113">
            <w:pPr>
              <w:spacing w:line="276" w:lineRule="auto"/>
              <w:ind w:right="491"/>
              <w:rPr>
                <w:rFonts w:ascii="Arial" w:hAnsi="Arial" w:cs="Arial"/>
                <w:color w:val="000000"/>
                <w:sz w:val="17"/>
                <w:szCs w:val="17"/>
                <w:lang w:val="en-US"/>
              </w:rPr>
            </w:pPr>
            <w:r>
              <w:rPr>
                <w:rFonts w:ascii="Arial" w:hAnsi="Arial" w:cs="Arial"/>
                <w:color w:val="000000"/>
                <w:sz w:val="17"/>
                <w:szCs w:val="17"/>
                <w:lang w:val="en-US"/>
              </w:rPr>
              <w:t>patients with acute heart failure in palliative care</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670E2C6" w14:textId="77777777" w:rsidR="00093C49" w:rsidRPr="00727064" w:rsidRDefault="00093C49" w:rsidP="009E0113">
            <w:pPr>
              <w:spacing w:line="276" w:lineRule="auto"/>
              <w:ind w:right="491"/>
              <w:rPr>
                <w:rFonts w:ascii="Arial" w:hAnsi="Arial" w:cs="Arial"/>
                <w:color w:val="000000"/>
                <w:sz w:val="17"/>
                <w:szCs w:val="17"/>
                <w:lang w:val="en-US"/>
              </w:rPr>
            </w:pPr>
            <w:r w:rsidRPr="00727064">
              <w:rPr>
                <w:rFonts w:ascii="Arial" w:hAnsi="Arial" w:cs="Arial"/>
                <w:color w:val="000000"/>
                <w:sz w:val="17"/>
                <w:szCs w:val="17"/>
                <w:lang w:val="en-US"/>
              </w:rPr>
              <w:t>ESAS (0-90)</w:t>
            </w:r>
            <w:r w:rsidRPr="00C966D6">
              <w:rPr>
                <w:rFonts w:ascii="Arial" w:hAnsi="Arial" w:cs="Arial"/>
                <w:color w:val="000000"/>
                <w:sz w:val="16"/>
                <w:szCs w:val="16"/>
                <w:vertAlign w:val="superscript"/>
                <w:lang w:val="en-US"/>
              </w:rPr>
              <w:t xml:space="preserve"> ‡</w:t>
            </w:r>
          </w:p>
        </w:tc>
        <w:tc>
          <w:tcPr>
            <w:tcW w:w="2541" w:type="dxa"/>
            <w:tcBorders>
              <w:top w:val="single" w:sz="4" w:space="0" w:color="auto"/>
              <w:left w:val="single" w:sz="4" w:space="0" w:color="auto"/>
              <w:bottom w:val="single" w:sz="4" w:space="0" w:color="auto"/>
            </w:tcBorders>
            <w:shd w:val="clear" w:color="auto" w:fill="auto"/>
            <w:noWrap/>
          </w:tcPr>
          <w:p w14:paraId="43B89847" w14:textId="77777777" w:rsidR="00093C49" w:rsidRDefault="00093C49" w:rsidP="009E0113">
            <w:pPr>
              <w:rPr>
                <w:rFonts w:ascii="Arial" w:hAnsi="Arial" w:cs="Arial"/>
                <w:color w:val="000000"/>
                <w:sz w:val="17"/>
                <w:szCs w:val="17"/>
                <w:lang w:val="en-US"/>
              </w:rPr>
            </w:pPr>
            <w:r>
              <w:rPr>
                <w:rFonts w:ascii="Arial" w:hAnsi="Arial" w:cs="Arial"/>
                <w:color w:val="000000"/>
                <w:sz w:val="17"/>
                <w:szCs w:val="17"/>
                <w:lang w:val="en-US"/>
              </w:rPr>
              <w:t>3.69 (3.39, 3.99)</w:t>
            </w:r>
          </w:p>
        </w:tc>
        <w:tc>
          <w:tcPr>
            <w:tcW w:w="2242" w:type="dxa"/>
            <w:tcBorders>
              <w:top w:val="single" w:sz="4" w:space="0" w:color="auto"/>
              <w:bottom w:val="single" w:sz="4" w:space="0" w:color="auto"/>
            </w:tcBorders>
            <w:shd w:val="clear" w:color="auto" w:fill="auto"/>
            <w:noWrap/>
          </w:tcPr>
          <w:p w14:paraId="1BB6A72C" w14:textId="77777777" w:rsidR="00093C49" w:rsidRDefault="00093C49" w:rsidP="009E0113">
            <w:pPr>
              <w:spacing w:line="276" w:lineRule="auto"/>
              <w:ind w:right="491"/>
              <w:rPr>
                <w:rFonts w:ascii="Arial" w:hAnsi="Arial" w:cs="Arial"/>
                <w:color w:val="000000"/>
                <w:sz w:val="17"/>
                <w:szCs w:val="17"/>
                <w:lang w:val="en-US"/>
              </w:rPr>
            </w:pPr>
            <w:r>
              <w:rPr>
                <w:rFonts w:ascii="Arial" w:hAnsi="Arial" w:cs="Arial"/>
                <w:color w:val="000000"/>
                <w:sz w:val="17"/>
                <w:szCs w:val="17"/>
                <w:lang w:val="en-US"/>
              </w:rPr>
              <w:t>.</w:t>
            </w:r>
          </w:p>
        </w:tc>
        <w:tc>
          <w:tcPr>
            <w:tcW w:w="1644" w:type="dxa"/>
            <w:tcBorders>
              <w:top w:val="single" w:sz="4" w:space="0" w:color="auto"/>
              <w:bottom w:val="single" w:sz="4" w:space="0" w:color="auto"/>
            </w:tcBorders>
            <w:shd w:val="clear" w:color="auto" w:fill="auto"/>
            <w:noWrap/>
          </w:tcPr>
          <w:p w14:paraId="4938127C" w14:textId="77777777" w:rsidR="00093C49" w:rsidRDefault="00093C49" w:rsidP="009E0113">
            <w:pPr>
              <w:spacing w:line="276" w:lineRule="auto"/>
              <w:ind w:right="491"/>
              <w:rPr>
                <w:rFonts w:ascii="Arial" w:hAnsi="Arial" w:cs="Arial"/>
                <w:color w:val="000000"/>
                <w:sz w:val="17"/>
                <w:szCs w:val="17"/>
                <w:lang w:val="en-US"/>
              </w:rPr>
            </w:pPr>
            <w:r>
              <w:rPr>
                <w:rFonts w:ascii="Arial" w:hAnsi="Arial" w:cs="Arial"/>
                <w:color w:val="000000"/>
                <w:sz w:val="17"/>
                <w:szCs w:val="17"/>
                <w:lang w:val="en-US"/>
              </w:rPr>
              <w:t>0.000</w:t>
            </w:r>
          </w:p>
        </w:tc>
      </w:tr>
      <w:tr w:rsidR="00093C49" w:rsidRPr="00310C1A" w14:paraId="5381CBB4" w14:textId="77777777" w:rsidTr="00093C49">
        <w:trPr>
          <w:trHeight w:val="217"/>
        </w:trPr>
        <w:tc>
          <w:tcPr>
            <w:tcW w:w="1938" w:type="dxa"/>
            <w:vMerge w:val="restart"/>
            <w:tcBorders>
              <w:right w:val="single" w:sz="4" w:space="0" w:color="auto"/>
            </w:tcBorders>
            <w:shd w:val="clear" w:color="auto" w:fill="auto"/>
            <w:noWrap/>
          </w:tcPr>
          <w:p w14:paraId="6EA2E0A1" w14:textId="524A67D6" w:rsidR="00093C49" w:rsidRDefault="00093C49" w:rsidP="00583C56">
            <w:pPr>
              <w:spacing w:line="276" w:lineRule="auto"/>
              <w:ind w:right="491"/>
              <w:rPr>
                <w:rFonts w:ascii="Arial" w:hAnsi="Arial" w:cs="Arial"/>
                <w:color w:val="000000"/>
                <w:sz w:val="17"/>
                <w:szCs w:val="17"/>
              </w:rPr>
            </w:pPr>
            <w:r>
              <w:rPr>
                <w:rFonts w:ascii="Arial" w:hAnsi="Arial" w:cs="Arial"/>
                <w:color w:val="000000"/>
                <w:sz w:val="17"/>
                <w:szCs w:val="17"/>
              </w:rPr>
              <w:t xml:space="preserve">Angst et al. 2009 </w:t>
            </w:r>
            <w:r>
              <w:rPr>
                <w:rFonts w:ascii="Arial" w:hAnsi="Arial" w:cs="Arial"/>
                <w:color w:val="000000"/>
                <w:sz w:val="17"/>
                <w:szCs w:val="17"/>
              </w:rPr>
              <w:fldChar w:fldCharType="begin"/>
            </w:r>
            <w:r>
              <w:rPr>
                <w:rFonts w:ascii="Arial" w:hAnsi="Arial" w:cs="Arial"/>
                <w:color w:val="000000"/>
                <w:sz w:val="17"/>
                <w:szCs w:val="17"/>
              </w:rPr>
              <w:instrText xml:space="preserve"> ADDIN ZOTERO_ITEM CSL_CITATION {"citationID":"bR7k3krs","properties":{"formattedCitation":"[3]","plainCitation":"[3]","noteIndex":0},"citationItems":[{"id":66297,"uris":["http://zotero.org/users/1684662/items/88EQ7NKZ"],"uri":["http://zotero.org/users/1684662/items/88EQ7NKZ"],"itemData":{"id":66297,"type":"article-journal","abstract":"OBJECTIVE: To compare the effects of an interdisciplinary pain management programme with those of standard in-patient rehabilitation by comprehensive biopsychosocial self--assessment. METHODS: In this naturalistic prospective controlled cohort study, 164 chronic pain patients who participated in the interdisciplinary pain programme and 143 who underwent standard rehabilitation were assessed using standardized instruments. Effect differences were compared bivariately and analysed by multivariate logistic regression to control for baseline differences in the outcome variables and confounders. RESULTS: On entry  into the clinic, the interdisciplinary pain programme patients were younger and showed significantly worse mental and psychosocial health than the standard rehabilitation patients. At discharge, the interdisciplinary pain programme patients reported greater improvement on pain (multivariate p = 0.034), social functioning (bivariate p = 0.009), and in trend in catastrophizing and ability to decrease pain. At the 6-month follow-up, the effects experienced by the standard  rehabilitation group were higher on physical functioning, social functioning, anxiety, and life control (multivariate p = 0.013-0.050). CONCLUSION: Intensive interdisciplinary rehabilitation with more behavioural therapies was accompanied  by a greater improvement in patients who were severely affected by pain, compared with standard rehabilitation by the end of the stay, but not in the mid-term. Highly resource-consuming patients may benefit from subsequent, individually tailored outpatient care.","container-title":"Journal of rehabilitation medicine","DOI":"10.2340/16501977-0381","ISSN":"1651-2081 1650-1977","issue":"7","journalAbbreviation":"J Rehabil Med","language":"eng","note":"e","page":"569-575","title":"Clinical effectiveness of an interdisciplinary pain management programme compared with standard inpatient rehabilitation in chronic pain: a naturalistic, prospective controlled cohort study.","volume":"41","author":[{"family":"Angst","given":"Felix"},{"family":"Verra","given":"Martin L."},{"family":"Lehmann","given":"Susanne"},{"family":"Brioschi","given":"Roberto"},{"family":"Aeschlimann","given":"Andre"}],"issued":{"date-parts":[["2009",6]]}}}],"schema":"https://github.com/citation-style-language/schema/raw/master/csl-citation.json"} </w:instrText>
            </w:r>
            <w:r>
              <w:rPr>
                <w:rFonts w:ascii="Arial" w:hAnsi="Arial" w:cs="Arial"/>
                <w:color w:val="000000"/>
                <w:sz w:val="17"/>
                <w:szCs w:val="17"/>
              </w:rPr>
              <w:fldChar w:fldCharType="separate"/>
            </w:r>
            <w:r>
              <w:rPr>
                <w:rFonts w:ascii="Arial" w:hAnsi="Arial" w:cs="Arial"/>
                <w:noProof/>
                <w:color w:val="000000"/>
                <w:sz w:val="17"/>
                <w:szCs w:val="17"/>
              </w:rPr>
              <w:t>[3]</w:t>
            </w:r>
            <w:r>
              <w:rPr>
                <w:rFonts w:ascii="Arial" w:hAnsi="Arial" w:cs="Arial"/>
                <w:color w:val="000000"/>
                <w:sz w:val="17"/>
                <w:szCs w:val="17"/>
              </w:rPr>
              <w:fldChar w:fldCharType="end"/>
            </w:r>
            <w:r>
              <w:rPr>
                <w:rFonts w:ascii="Arial" w:hAnsi="Arial" w:cs="Arial"/>
                <w:color w:val="000000"/>
                <w:sz w:val="17"/>
                <w:szCs w:val="17"/>
              </w:rPr>
              <w:t xml:space="preserve"> (</w:t>
            </w:r>
            <w:r w:rsidR="00BF4A82">
              <w:rPr>
                <w:rFonts w:ascii="Arial" w:hAnsi="Arial" w:cs="Arial"/>
                <w:color w:val="000000"/>
                <w:sz w:val="17"/>
                <w:szCs w:val="17"/>
              </w:rPr>
              <w:t>NRS</w:t>
            </w:r>
            <w:r>
              <w:rPr>
                <w:rFonts w:ascii="Arial" w:hAnsi="Arial" w:cs="Arial"/>
                <w:color w:val="000000"/>
                <w:sz w:val="17"/>
                <w:szCs w:val="17"/>
              </w:rPr>
              <w:t>)</w:t>
            </w:r>
          </w:p>
        </w:tc>
        <w:tc>
          <w:tcPr>
            <w:tcW w:w="1676" w:type="dxa"/>
            <w:vMerge w:val="restart"/>
            <w:tcBorders>
              <w:right w:val="single" w:sz="4" w:space="0" w:color="auto"/>
            </w:tcBorders>
          </w:tcPr>
          <w:p w14:paraId="799067BC" w14:textId="77777777" w:rsidR="00093C49" w:rsidRDefault="00093C49" w:rsidP="00583C56">
            <w:pPr>
              <w:spacing w:line="276" w:lineRule="auto"/>
              <w:ind w:right="491"/>
              <w:rPr>
                <w:rFonts w:ascii="Arial" w:hAnsi="Arial" w:cs="Arial"/>
                <w:color w:val="000000"/>
                <w:sz w:val="17"/>
                <w:szCs w:val="17"/>
                <w:lang w:val="en-US"/>
              </w:rPr>
            </w:pPr>
            <w:r>
              <w:rPr>
                <w:rFonts w:ascii="Arial" w:hAnsi="Arial" w:cs="Arial"/>
                <w:color w:val="000000"/>
                <w:sz w:val="17"/>
                <w:szCs w:val="17"/>
                <w:lang w:val="en-US"/>
              </w:rPr>
              <w:t>Chronic pain</w:t>
            </w:r>
          </w:p>
        </w:tc>
        <w:tc>
          <w:tcPr>
            <w:tcW w:w="3827" w:type="dxa"/>
            <w:tcBorders>
              <w:top w:val="single" w:sz="4" w:space="0" w:color="auto"/>
              <w:left w:val="single" w:sz="4" w:space="0" w:color="auto"/>
              <w:bottom w:val="nil"/>
              <w:right w:val="single" w:sz="4" w:space="0" w:color="auto"/>
            </w:tcBorders>
            <w:shd w:val="clear" w:color="auto" w:fill="auto"/>
          </w:tcPr>
          <w:p w14:paraId="33E8A330" w14:textId="77777777" w:rsidR="00093C49" w:rsidRPr="00727064" w:rsidRDefault="00093C49" w:rsidP="00583C56">
            <w:pPr>
              <w:spacing w:line="276" w:lineRule="auto"/>
              <w:ind w:right="491"/>
              <w:rPr>
                <w:rFonts w:ascii="Arial" w:hAnsi="Arial" w:cs="Arial"/>
                <w:color w:val="000000"/>
                <w:sz w:val="17"/>
                <w:szCs w:val="17"/>
                <w:lang w:val="en-US"/>
              </w:rPr>
            </w:pPr>
            <w:r>
              <w:rPr>
                <w:rFonts w:ascii="Arial" w:hAnsi="Arial" w:cs="Arial"/>
                <w:color w:val="000000"/>
                <w:sz w:val="17"/>
                <w:szCs w:val="17"/>
                <w:lang w:val="en-US"/>
              </w:rPr>
              <w:t>WHYMPI:</w:t>
            </w:r>
            <w:r>
              <w:rPr>
                <w:rFonts w:ascii="Arial" w:hAnsi="Arial" w:cs="Arial"/>
                <w:color w:val="000000"/>
                <w:sz w:val="17"/>
                <w:szCs w:val="17"/>
                <w:lang w:val="en-US"/>
              </w:rPr>
              <w:tab/>
              <w:t>pain severity (0-100)</w:t>
            </w:r>
          </w:p>
        </w:tc>
        <w:tc>
          <w:tcPr>
            <w:tcW w:w="2541" w:type="dxa"/>
            <w:tcBorders>
              <w:top w:val="single" w:sz="4" w:space="0" w:color="auto"/>
              <w:left w:val="single" w:sz="4" w:space="0" w:color="auto"/>
              <w:bottom w:val="nil"/>
            </w:tcBorders>
            <w:shd w:val="clear" w:color="auto" w:fill="auto"/>
            <w:noWrap/>
          </w:tcPr>
          <w:p w14:paraId="7EC94712" w14:textId="77777777" w:rsidR="00093C49" w:rsidRDefault="00093C49" w:rsidP="00583C56">
            <w:pPr>
              <w:rPr>
                <w:rFonts w:ascii="Arial" w:hAnsi="Arial" w:cs="Arial"/>
                <w:color w:val="000000"/>
                <w:sz w:val="17"/>
                <w:szCs w:val="17"/>
                <w:lang w:val="en-US"/>
              </w:rPr>
            </w:pPr>
            <w:r>
              <w:rPr>
                <w:rFonts w:ascii="Arial" w:hAnsi="Arial" w:cs="Arial"/>
                <w:color w:val="000000"/>
                <w:sz w:val="17"/>
                <w:szCs w:val="17"/>
              </w:rPr>
              <w:t>.</w:t>
            </w:r>
          </w:p>
        </w:tc>
        <w:tc>
          <w:tcPr>
            <w:tcW w:w="2242" w:type="dxa"/>
            <w:tcBorders>
              <w:top w:val="single" w:sz="4" w:space="0" w:color="auto"/>
              <w:bottom w:val="nil"/>
            </w:tcBorders>
            <w:shd w:val="clear" w:color="auto" w:fill="auto"/>
            <w:noWrap/>
          </w:tcPr>
          <w:p w14:paraId="0AB86731" w14:textId="77777777" w:rsidR="00093C49" w:rsidRDefault="00093C49" w:rsidP="00583C56">
            <w:pPr>
              <w:spacing w:line="276" w:lineRule="auto"/>
              <w:ind w:right="491"/>
              <w:rPr>
                <w:rFonts w:ascii="Arial" w:hAnsi="Arial" w:cs="Arial"/>
                <w:color w:val="000000"/>
                <w:sz w:val="17"/>
                <w:szCs w:val="17"/>
                <w:lang w:val="en-US"/>
              </w:rPr>
            </w:pPr>
            <w:r>
              <w:rPr>
                <w:rFonts w:ascii="Arial" w:hAnsi="Arial" w:cs="Arial"/>
                <w:color w:val="000000"/>
                <w:sz w:val="17"/>
                <w:szCs w:val="17"/>
              </w:rPr>
              <w:t>0.09 (Hedges‘ g)</w:t>
            </w:r>
          </w:p>
        </w:tc>
        <w:tc>
          <w:tcPr>
            <w:tcW w:w="1644" w:type="dxa"/>
            <w:tcBorders>
              <w:top w:val="single" w:sz="4" w:space="0" w:color="auto"/>
              <w:bottom w:val="nil"/>
            </w:tcBorders>
            <w:shd w:val="clear" w:color="auto" w:fill="auto"/>
            <w:noWrap/>
          </w:tcPr>
          <w:p w14:paraId="5F5B7AC5" w14:textId="77777777" w:rsidR="00093C49" w:rsidRDefault="00093C49" w:rsidP="00583C56">
            <w:pPr>
              <w:spacing w:line="276" w:lineRule="auto"/>
              <w:ind w:right="491"/>
              <w:rPr>
                <w:rFonts w:ascii="Arial" w:hAnsi="Arial" w:cs="Arial"/>
                <w:color w:val="000000"/>
                <w:sz w:val="17"/>
                <w:szCs w:val="17"/>
                <w:lang w:val="en-US"/>
              </w:rPr>
            </w:pPr>
            <w:r>
              <w:rPr>
                <w:rFonts w:ascii="Arial" w:hAnsi="Arial" w:cs="Arial"/>
                <w:color w:val="000000"/>
                <w:sz w:val="17"/>
                <w:szCs w:val="17"/>
              </w:rPr>
              <w:t>0.034</w:t>
            </w:r>
          </w:p>
        </w:tc>
      </w:tr>
      <w:tr w:rsidR="00093C49" w:rsidRPr="00310C1A" w14:paraId="7FD0EAF1" w14:textId="77777777" w:rsidTr="00093C49">
        <w:trPr>
          <w:trHeight w:val="217"/>
        </w:trPr>
        <w:tc>
          <w:tcPr>
            <w:tcW w:w="1938" w:type="dxa"/>
            <w:vMerge/>
            <w:tcBorders>
              <w:right w:val="single" w:sz="4" w:space="0" w:color="auto"/>
            </w:tcBorders>
            <w:shd w:val="clear" w:color="auto" w:fill="auto"/>
            <w:noWrap/>
          </w:tcPr>
          <w:p w14:paraId="3570A710" w14:textId="77777777" w:rsidR="00093C49" w:rsidRDefault="00093C49" w:rsidP="00583C56">
            <w:pPr>
              <w:spacing w:line="276" w:lineRule="auto"/>
              <w:ind w:right="491"/>
              <w:rPr>
                <w:rFonts w:ascii="Arial" w:hAnsi="Arial" w:cs="Arial"/>
                <w:color w:val="000000"/>
                <w:sz w:val="17"/>
                <w:szCs w:val="17"/>
              </w:rPr>
            </w:pPr>
          </w:p>
        </w:tc>
        <w:tc>
          <w:tcPr>
            <w:tcW w:w="1676" w:type="dxa"/>
            <w:vMerge/>
            <w:tcBorders>
              <w:right w:val="single" w:sz="4" w:space="0" w:color="auto"/>
            </w:tcBorders>
          </w:tcPr>
          <w:p w14:paraId="3DC5CF27" w14:textId="77777777" w:rsidR="00093C49" w:rsidRDefault="00093C49" w:rsidP="00583C56">
            <w:pPr>
              <w:spacing w:line="276" w:lineRule="auto"/>
              <w:ind w:right="491"/>
              <w:rPr>
                <w:rFonts w:ascii="Arial" w:hAnsi="Arial" w:cs="Arial"/>
                <w:color w:val="000000"/>
                <w:sz w:val="17"/>
                <w:szCs w:val="17"/>
                <w:lang w:val="en-US"/>
              </w:rPr>
            </w:pPr>
          </w:p>
        </w:tc>
        <w:tc>
          <w:tcPr>
            <w:tcW w:w="3827" w:type="dxa"/>
            <w:tcBorders>
              <w:top w:val="nil"/>
              <w:left w:val="single" w:sz="4" w:space="0" w:color="auto"/>
              <w:bottom w:val="single" w:sz="4" w:space="0" w:color="auto"/>
              <w:right w:val="single" w:sz="4" w:space="0" w:color="auto"/>
            </w:tcBorders>
            <w:shd w:val="clear" w:color="auto" w:fill="auto"/>
          </w:tcPr>
          <w:p w14:paraId="68A8E9CD" w14:textId="77777777" w:rsidR="00093C49" w:rsidRPr="00727064" w:rsidRDefault="00093C49" w:rsidP="00583C56">
            <w:pPr>
              <w:spacing w:line="276" w:lineRule="auto"/>
              <w:ind w:right="491"/>
              <w:rPr>
                <w:rFonts w:ascii="Arial" w:hAnsi="Arial" w:cs="Arial"/>
                <w:color w:val="000000"/>
                <w:sz w:val="17"/>
                <w:szCs w:val="17"/>
                <w:lang w:val="en-US"/>
              </w:rPr>
            </w:pPr>
            <w:r>
              <w:rPr>
                <w:rFonts w:ascii="Arial" w:hAnsi="Arial" w:cs="Arial"/>
                <w:color w:val="000000"/>
                <w:sz w:val="17"/>
                <w:szCs w:val="17"/>
                <w:lang w:val="en-US"/>
              </w:rPr>
              <w:tab/>
            </w:r>
            <w:r>
              <w:rPr>
                <w:rFonts w:ascii="Arial" w:hAnsi="Arial" w:cs="Arial"/>
                <w:color w:val="000000"/>
                <w:sz w:val="17"/>
                <w:szCs w:val="17"/>
                <w:lang w:val="en-US"/>
              </w:rPr>
              <w:tab/>
              <w:t>life control (0-100)</w:t>
            </w:r>
          </w:p>
        </w:tc>
        <w:tc>
          <w:tcPr>
            <w:tcW w:w="2541" w:type="dxa"/>
            <w:tcBorders>
              <w:top w:val="nil"/>
              <w:left w:val="single" w:sz="4" w:space="0" w:color="auto"/>
              <w:bottom w:val="single" w:sz="4" w:space="0" w:color="auto"/>
            </w:tcBorders>
            <w:shd w:val="clear" w:color="auto" w:fill="auto"/>
            <w:noWrap/>
          </w:tcPr>
          <w:p w14:paraId="331E471F" w14:textId="77777777" w:rsidR="00093C49" w:rsidRDefault="00093C49" w:rsidP="00583C56">
            <w:pPr>
              <w:rPr>
                <w:rFonts w:ascii="Arial" w:hAnsi="Arial" w:cs="Arial"/>
                <w:color w:val="000000"/>
                <w:sz w:val="17"/>
                <w:szCs w:val="17"/>
                <w:lang w:val="en-US"/>
              </w:rPr>
            </w:pPr>
            <w:r>
              <w:rPr>
                <w:rFonts w:ascii="Arial" w:hAnsi="Arial" w:cs="Arial"/>
                <w:color w:val="000000"/>
                <w:sz w:val="17"/>
                <w:szCs w:val="17"/>
                <w:lang w:val="en-US"/>
              </w:rPr>
              <w:t>.</w:t>
            </w:r>
          </w:p>
        </w:tc>
        <w:tc>
          <w:tcPr>
            <w:tcW w:w="2242" w:type="dxa"/>
            <w:tcBorders>
              <w:top w:val="nil"/>
              <w:bottom w:val="single" w:sz="4" w:space="0" w:color="auto"/>
            </w:tcBorders>
            <w:shd w:val="clear" w:color="auto" w:fill="auto"/>
            <w:noWrap/>
          </w:tcPr>
          <w:p w14:paraId="2B9B4E73" w14:textId="77777777" w:rsidR="00093C49" w:rsidRDefault="00093C49" w:rsidP="00583C56">
            <w:pPr>
              <w:spacing w:line="276" w:lineRule="auto"/>
              <w:ind w:right="491"/>
              <w:rPr>
                <w:rFonts w:ascii="Arial" w:hAnsi="Arial" w:cs="Arial"/>
                <w:color w:val="000000"/>
                <w:sz w:val="17"/>
                <w:szCs w:val="17"/>
                <w:lang w:val="en-US"/>
              </w:rPr>
            </w:pPr>
            <w:r>
              <w:rPr>
                <w:rFonts w:ascii="Arial" w:hAnsi="Arial" w:cs="Arial"/>
                <w:color w:val="000000"/>
                <w:sz w:val="17"/>
                <w:szCs w:val="17"/>
                <w:lang w:val="en-US"/>
              </w:rPr>
              <w:t>0.18 (Hedges’ g)</w:t>
            </w:r>
          </w:p>
        </w:tc>
        <w:tc>
          <w:tcPr>
            <w:tcW w:w="1644" w:type="dxa"/>
            <w:tcBorders>
              <w:top w:val="nil"/>
              <w:bottom w:val="single" w:sz="4" w:space="0" w:color="auto"/>
            </w:tcBorders>
            <w:shd w:val="clear" w:color="auto" w:fill="auto"/>
            <w:noWrap/>
          </w:tcPr>
          <w:p w14:paraId="001D519F" w14:textId="77777777" w:rsidR="00093C49" w:rsidRDefault="00093C49" w:rsidP="00583C56">
            <w:pPr>
              <w:spacing w:line="276" w:lineRule="auto"/>
              <w:ind w:right="491"/>
              <w:rPr>
                <w:rFonts w:ascii="Arial" w:hAnsi="Arial" w:cs="Arial"/>
                <w:color w:val="000000"/>
                <w:sz w:val="17"/>
                <w:szCs w:val="17"/>
                <w:lang w:val="en-US"/>
              </w:rPr>
            </w:pPr>
            <w:r>
              <w:rPr>
                <w:rFonts w:ascii="Arial" w:hAnsi="Arial" w:cs="Arial"/>
                <w:color w:val="000000"/>
                <w:sz w:val="17"/>
                <w:szCs w:val="17"/>
              </w:rPr>
              <w:t>0.559</w:t>
            </w:r>
          </w:p>
        </w:tc>
      </w:tr>
      <w:tr w:rsidR="00093C49" w:rsidRPr="00310C1A" w14:paraId="260D74FC" w14:textId="77777777" w:rsidTr="00093C49">
        <w:trPr>
          <w:trHeight w:val="217"/>
        </w:trPr>
        <w:tc>
          <w:tcPr>
            <w:tcW w:w="1938" w:type="dxa"/>
            <w:tcBorders>
              <w:right w:val="single" w:sz="4" w:space="0" w:color="auto"/>
            </w:tcBorders>
            <w:shd w:val="clear" w:color="auto" w:fill="auto"/>
            <w:noWrap/>
          </w:tcPr>
          <w:p w14:paraId="0CD229E0" w14:textId="75909819" w:rsidR="00093C49" w:rsidRDefault="00093C49" w:rsidP="00583C56">
            <w:pPr>
              <w:spacing w:line="276" w:lineRule="auto"/>
              <w:ind w:right="491"/>
              <w:rPr>
                <w:rFonts w:ascii="Arial" w:hAnsi="Arial" w:cs="Arial"/>
                <w:color w:val="000000"/>
                <w:sz w:val="17"/>
                <w:szCs w:val="17"/>
              </w:rPr>
            </w:pPr>
            <w:r>
              <w:rPr>
                <w:rFonts w:ascii="Arial" w:hAnsi="Arial" w:cs="Arial"/>
                <w:color w:val="000000"/>
                <w:sz w:val="17"/>
                <w:szCs w:val="17"/>
              </w:rPr>
              <w:t xml:space="preserve">Semrau et al. 2015 </w:t>
            </w:r>
            <w:r>
              <w:rPr>
                <w:rFonts w:ascii="Arial" w:hAnsi="Arial" w:cs="Arial"/>
                <w:color w:val="000000"/>
                <w:sz w:val="17"/>
                <w:szCs w:val="17"/>
              </w:rPr>
              <w:fldChar w:fldCharType="begin"/>
            </w:r>
            <w:r>
              <w:rPr>
                <w:rFonts w:ascii="Arial" w:hAnsi="Arial" w:cs="Arial"/>
                <w:color w:val="000000"/>
                <w:sz w:val="17"/>
                <w:szCs w:val="17"/>
              </w:rPr>
              <w:instrText xml:space="preserve"> ADDIN ZOTERO_ITEM CSL_CITATION {"citationID":"BYSxGgjG","properties":{"formattedCitation":"[4]","plainCitation":"[4]","noteIndex":0},"citationItems":[{"id":66301,"uris":["http://zotero.org/users/1684662/items/EDSHWMR2"],"uri":["http://zotero.org/users/1684662/items/EDSHWMR2"],"itemData":{"id":66301,"type":"article-journal","abstract":"Background: Improvement of the long-term effectiveness of multidisciplinary ortho-paedic rehabilitation (MOR) in the management of chronic non-specific low back pain (CLBP) remains a central issue for health care in Germany. We developed an interprofessional and interdisciplinary, biopsychosocial rehabilitation concept named \"PASTOR\" to promote self-management in adults with CLBP and compared its effectiveness with the current model of MOR. Methods: A multicentre quasi-experimental study with three measurement time points was implemented. 680 adults aged 18 to 65 with CLBP were assed for eligibil-ity in three inpatient rehabilitation centres in Germany. At first the effects of the MOR, with a total extent of 48 hours (control group), were assessed. Thereafter, PASTOR was implemented and evaluated in the same centres (intervention group). It consisted of six interprofessional modules, which were provided on 12 days in fixed groups, with a total extent of 48 hours. Participants were assessed with self-report measures at baseline, discharge, and 12 months for functional ability (primary outcome) using the Hannover Functional Ability Questionnaire (FFbH-R) and vari-ous secondary outcomes (e.g. pain, health status, physical activity, pain coping, pain-related cognitions). Results: In total 536 participants were consecutively assigned to PASTOR (n=266) or MOR (n=270). At 12 months, complete data of 368 participants was available. The adjusted betweengroup difference in the FFbH-R at 12 months was 6.58 (95% CI 3.38 to 9.78) using complete data and 3.56 (95% CI 0.45 to 6.67) using available da-ta, corresponding to significant small-to-medium effect sizes of d=0.42 (p&lt;0.001) and d=0.10 (p=0.025) in favour of PASTOR. Further improvements in secondary out-comes were also observed in favour of PASTOR. Conclusion: The interprofessional and interdisciplinary, biopsychosocial rehabilita-tion program PAS-TOR shows some improvements of the long-term effectiveness of inpatient rehabilitation in the management of adults with CLBP. Further insights into mechanisms of action of complex intervention programs are required.","archive":"Embase","container-title":"PLoS ONE","DOI":"10.1371/journal.pone.0118609","ISSN":"1932-6203","issue":"3","journalAbbreviation":"PLoS ONE","note":"e","title":"Long-term effects of interprofessional biopsychosocial rehabilitation for adults with chronic non-specific low Back pain: A multicentre, quasi-experimental study","URL":"http://www.embase.com/search/results?subaction=viewrecord&amp;from=export&amp;id=L604114743","volume":"10","author":[{"literal":"Semrau J."},{"literal":"Hentschke C."},{"literal":"Buchmann J."},{"literal":"Meng K."},{"literal":"Vogel H."},{"literal":"Faller H."},{"literal":"Bork H."},{"literal":"Pfeifer K."}],"issued":{"date-parts":[["2015"]]}}}],"schema":"https://github.com/citation-style-language/schema/raw/master/csl-citation.json"} </w:instrText>
            </w:r>
            <w:r>
              <w:rPr>
                <w:rFonts w:ascii="Arial" w:hAnsi="Arial" w:cs="Arial"/>
                <w:color w:val="000000"/>
                <w:sz w:val="17"/>
                <w:szCs w:val="17"/>
              </w:rPr>
              <w:fldChar w:fldCharType="separate"/>
            </w:r>
            <w:r>
              <w:rPr>
                <w:rFonts w:ascii="Arial" w:hAnsi="Arial" w:cs="Arial"/>
                <w:noProof/>
                <w:color w:val="000000"/>
                <w:sz w:val="17"/>
                <w:szCs w:val="17"/>
              </w:rPr>
              <w:t>[4]</w:t>
            </w:r>
            <w:r>
              <w:rPr>
                <w:rFonts w:ascii="Arial" w:hAnsi="Arial" w:cs="Arial"/>
                <w:color w:val="000000"/>
                <w:sz w:val="17"/>
                <w:szCs w:val="17"/>
              </w:rPr>
              <w:fldChar w:fldCharType="end"/>
            </w:r>
            <w:r>
              <w:rPr>
                <w:rFonts w:ascii="Arial" w:hAnsi="Arial" w:cs="Arial"/>
                <w:color w:val="000000"/>
                <w:sz w:val="17"/>
                <w:szCs w:val="17"/>
              </w:rPr>
              <w:t xml:space="preserve"> (</w:t>
            </w:r>
            <w:r w:rsidR="00BF4A82">
              <w:rPr>
                <w:rFonts w:ascii="Arial" w:hAnsi="Arial" w:cs="Arial"/>
                <w:color w:val="000000"/>
                <w:sz w:val="17"/>
                <w:szCs w:val="17"/>
              </w:rPr>
              <w:t>NRS</w:t>
            </w:r>
            <w:r>
              <w:rPr>
                <w:rFonts w:ascii="Arial" w:hAnsi="Arial" w:cs="Arial"/>
                <w:color w:val="000000"/>
                <w:sz w:val="17"/>
                <w:szCs w:val="17"/>
              </w:rPr>
              <w:t>)</w:t>
            </w:r>
          </w:p>
        </w:tc>
        <w:tc>
          <w:tcPr>
            <w:tcW w:w="1676" w:type="dxa"/>
            <w:tcBorders>
              <w:right w:val="single" w:sz="4" w:space="0" w:color="auto"/>
            </w:tcBorders>
          </w:tcPr>
          <w:p w14:paraId="759D1DB6" w14:textId="77777777" w:rsidR="00093C49" w:rsidRPr="00727064" w:rsidRDefault="00093C49" w:rsidP="00583C56">
            <w:pPr>
              <w:spacing w:line="276" w:lineRule="auto"/>
              <w:ind w:right="491"/>
              <w:rPr>
                <w:rFonts w:ascii="Arial" w:hAnsi="Arial" w:cs="Arial"/>
                <w:color w:val="000000"/>
                <w:sz w:val="17"/>
                <w:szCs w:val="17"/>
              </w:rPr>
            </w:pPr>
            <w:r>
              <w:rPr>
                <w:rFonts w:ascii="Arial" w:hAnsi="Arial" w:cs="Arial"/>
                <w:color w:val="000000"/>
                <w:sz w:val="17"/>
                <w:szCs w:val="17"/>
              </w:rPr>
              <w:t>Chronic low back pain</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789B6D2" w14:textId="77777777" w:rsidR="00093C49" w:rsidRDefault="00093C49" w:rsidP="00583C56">
            <w:pPr>
              <w:spacing w:line="276" w:lineRule="auto"/>
              <w:ind w:right="491"/>
              <w:rPr>
                <w:rFonts w:ascii="Arial" w:hAnsi="Arial" w:cs="Arial"/>
                <w:color w:val="000000"/>
                <w:sz w:val="17"/>
                <w:szCs w:val="17"/>
                <w:lang w:val="en-US"/>
              </w:rPr>
            </w:pPr>
            <w:r w:rsidRPr="00727064">
              <w:rPr>
                <w:rFonts w:ascii="Arial" w:hAnsi="Arial" w:cs="Arial"/>
                <w:color w:val="000000"/>
                <w:sz w:val="17"/>
                <w:szCs w:val="17"/>
              </w:rPr>
              <w:t>German Pain Questionnaire (3-33)</w:t>
            </w:r>
            <w:r w:rsidRPr="00C966D6">
              <w:rPr>
                <w:rFonts w:ascii="Arial" w:hAnsi="Arial" w:cs="Arial"/>
                <w:color w:val="000000"/>
                <w:sz w:val="16"/>
                <w:szCs w:val="16"/>
                <w:vertAlign w:val="superscript"/>
                <w:lang w:val="en-US"/>
              </w:rPr>
              <w:t xml:space="preserve"> ‡</w:t>
            </w:r>
          </w:p>
        </w:tc>
        <w:tc>
          <w:tcPr>
            <w:tcW w:w="2541" w:type="dxa"/>
            <w:tcBorders>
              <w:top w:val="single" w:sz="4" w:space="0" w:color="auto"/>
              <w:left w:val="single" w:sz="4" w:space="0" w:color="auto"/>
            </w:tcBorders>
            <w:shd w:val="clear" w:color="auto" w:fill="auto"/>
            <w:noWrap/>
          </w:tcPr>
          <w:p w14:paraId="693758C0" w14:textId="77777777" w:rsidR="00093C49" w:rsidRDefault="00093C49" w:rsidP="00583C56">
            <w:pPr>
              <w:rPr>
                <w:rFonts w:ascii="Arial" w:hAnsi="Arial" w:cs="Arial"/>
                <w:color w:val="000000"/>
                <w:sz w:val="17"/>
                <w:szCs w:val="17"/>
                <w:lang w:val="en-US"/>
              </w:rPr>
            </w:pPr>
            <w:r>
              <w:rPr>
                <w:rFonts w:ascii="Arial" w:hAnsi="Arial" w:cs="Arial"/>
                <w:color w:val="000000"/>
                <w:sz w:val="17"/>
                <w:szCs w:val="17"/>
              </w:rPr>
              <w:t>-0.05 (-0.34, 0.25)</w:t>
            </w:r>
          </w:p>
        </w:tc>
        <w:tc>
          <w:tcPr>
            <w:tcW w:w="2242" w:type="dxa"/>
            <w:tcBorders>
              <w:top w:val="single" w:sz="4" w:space="0" w:color="auto"/>
            </w:tcBorders>
            <w:shd w:val="clear" w:color="auto" w:fill="auto"/>
            <w:noWrap/>
          </w:tcPr>
          <w:p w14:paraId="0B549C03" w14:textId="77777777" w:rsidR="00093C49" w:rsidRDefault="00093C49" w:rsidP="00583C56">
            <w:pPr>
              <w:spacing w:line="276" w:lineRule="auto"/>
              <w:ind w:right="491"/>
              <w:rPr>
                <w:rFonts w:ascii="Arial" w:hAnsi="Arial" w:cs="Arial"/>
                <w:color w:val="000000"/>
                <w:sz w:val="17"/>
                <w:szCs w:val="17"/>
                <w:lang w:val="en-US"/>
              </w:rPr>
            </w:pPr>
            <w:r>
              <w:rPr>
                <w:rFonts w:ascii="Arial" w:hAnsi="Arial" w:cs="Arial"/>
                <w:color w:val="000000"/>
                <w:sz w:val="17"/>
                <w:szCs w:val="17"/>
              </w:rPr>
              <w:t xml:space="preserve">-0.013 </w:t>
            </w:r>
            <w:r w:rsidRPr="00C954B8">
              <w:rPr>
                <w:rFonts w:ascii="Arial" w:hAnsi="Arial" w:cs="Arial"/>
                <w:color w:val="000000"/>
                <w:sz w:val="17"/>
                <w:szCs w:val="17"/>
              </w:rPr>
              <w:t>(Cohens’ d)</w:t>
            </w:r>
          </w:p>
        </w:tc>
        <w:tc>
          <w:tcPr>
            <w:tcW w:w="1644" w:type="dxa"/>
            <w:tcBorders>
              <w:top w:val="single" w:sz="4" w:space="0" w:color="auto"/>
            </w:tcBorders>
            <w:shd w:val="clear" w:color="auto" w:fill="auto"/>
            <w:noWrap/>
          </w:tcPr>
          <w:p w14:paraId="47F1E5E6" w14:textId="77777777" w:rsidR="00093C49" w:rsidRDefault="00093C49" w:rsidP="00583C56">
            <w:pPr>
              <w:spacing w:line="276" w:lineRule="auto"/>
              <w:ind w:right="491"/>
              <w:rPr>
                <w:rFonts w:ascii="Arial" w:hAnsi="Arial" w:cs="Arial"/>
                <w:color w:val="000000"/>
                <w:sz w:val="17"/>
                <w:szCs w:val="17"/>
              </w:rPr>
            </w:pPr>
            <w:r>
              <w:rPr>
                <w:rFonts w:ascii="Arial" w:hAnsi="Arial" w:cs="Arial"/>
                <w:color w:val="000000"/>
                <w:sz w:val="17"/>
                <w:szCs w:val="17"/>
              </w:rPr>
              <w:t>0.755</w:t>
            </w:r>
          </w:p>
        </w:tc>
      </w:tr>
    </w:tbl>
    <w:p w14:paraId="6D4DA583" w14:textId="77777777" w:rsidR="00AD7BFD" w:rsidRDefault="00AD7BFD" w:rsidP="00AD7BFD">
      <w:pPr>
        <w:rPr>
          <w:rFonts w:ascii="Arial" w:hAnsi="Arial" w:cs="Arial"/>
          <w:color w:val="000000"/>
          <w:sz w:val="16"/>
          <w:szCs w:val="16"/>
          <w:lang w:val="en-US"/>
        </w:rPr>
      </w:pPr>
      <w:r>
        <w:rPr>
          <w:rFonts w:ascii="Arial" w:hAnsi="Arial" w:cs="Arial"/>
          <w:color w:val="000000"/>
          <w:sz w:val="16"/>
          <w:szCs w:val="16"/>
          <w:lang w:val="en-US"/>
        </w:rPr>
        <w:t xml:space="preserve">Estimates of adjusted mean differences, standardized effect sizes or p values refer to tests for difference in means between treatment and control groups at the time of follow-up (t1) or to the difference in change scores (t0-t1) between groups. </w:t>
      </w:r>
    </w:p>
    <w:p w14:paraId="56D374BF" w14:textId="77777777" w:rsidR="001A5D69" w:rsidRDefault="009E1D82" w:rsidP="0012042E">
      <w:pPr>
        <w:jc w:val="both"/>
        <w:outlineLvl w:val="0"/>
        <w:rPr>
          <w:rFonts w:ascii="Arial" w:hAnsi="Arial" w:cs="Arial"/>
          <w:sz w:val="16"/>
          <w:szCs w:val="16"/>
          <w:lang w:val="en-US"/>
        </w:rPr>
      </w:pPr>
      <w:r w:rsidRPr="00C966D6">
        <w:rPr>
          <w:rFonts w:ascii="Arial" w:hAnsi="Arial" w:cs="Arial"/>
          <w:color w:val="000000"/>
          <w:sz w:val="16"/>
          <w:szCs w:val="16"/>
          <w:lang w:val="en-US"/>
        </w:rPr>
        <w:t>. = not reported</w:t>
      </w:r>
      <w:r>
        <w:rPr>
          <w:rFonts w:ascii="Arial" w:hAnsi="Arial" w:cs="Arial"/>
          <w:color w:val="000000"/>
          <w:sz w:val="16"/>
          <w:szCs w:val="16"/>
          <w:lang w:val="en-US"/>
        </w:rPr>
        <w:t>;</w:t>
      </w:r>
      <w:r w:rsidRPr="00C966D6">
        <w:rPr>
          <w:rFonts w:ascii="Arial" w:hAnsi="Arial" w:cs="Arial"/>
          <w:color w:val="000000"/>
          <w:sz w:val="16"/>
          <w:szCs w:val="16"/>
          <w:lang w:val="en-US"/>
        </w:rPr>
        <w:t xml:space="preserve"> </w:t>
      </w:r>
      <w:r w:rsidRPr="00C966D6">
        <w:rPr>
          <w:rFonts w:ascii="Arial" w:hAnsi="Arial" w:cs="Arial"/>
          <w:color w:val="000000"/>
          <w:sz w:val="16"/>
          <w:szCs w:val="16"/>
          <w:vertAlign w:val="superscript"/>
          <w:lang w:val="en-US"/>
        </w:rPr>
        <w:t>‡</w:t>
      </w:r>
      <w:r w:rsidRPr="00C966D6">
        <w:rPr>
          <w:rFonts w:ascii="Arial" w:hAnsi="Arial" w:cs="Arial"/>
          <w:color w:val="000000"/>
          <w:sz w:val="16"/>
          <w:szCs w:val="16"/>
          <w:lang w:val="en-US"/>
        </w:rPr>
        <w:t xml:space="preserve"> inverted scale (lower score indicate greater impact)</w:t>
      </w:r>
      <w:r>
        <w:rPr>
          <w:rFonts w:ascii="Arial" w:hAnsi="Arial" w:cs="Arial"/>
          <w:color w:val="000000"/>
          <w:sz w:val="16"/>
          <w:szCs w:val="16"/>
          <w:lang w:val="en-US"/>
        </w:rPr>
        <w:t xml:space="preserve">; </w:t>
      </w:r>
      <w:r w:rsidR="00570442">
        <w:rPr>
          <w:rFonts w:ascii="Arial" w:hAnsi="Arial" w:cs="Arial"/>
          <w:color w:val="000000"/>
          <w:sz w:val="16"/>
          <w:szCs w:val="16"/>
          <w:lang w:val="en-US"/>
        </w:rPr>
        <w:t xml:space="preserve">ESAS = Edmonton System Assessment Scale; </w:t>
      </w:r>
      <w:r w:rsidR="00570442">
        <w:rPr>
          <w:rFonts w:ascii="Arial" w:hAnsi="Arial" w:cs="Arial"/>
          <w:sz w:val="16"/>
          <w:szCs w:val="16"/>
          <w:lang w:val="en-US"/>
        </w:rPr>
        <w:t>WHYMPI = West Haven-Yale Multidimensional Pain Inventory</w:t>
      </w:r>
    </w:p>
    <w:p w14:paraId="09329B6E" w14:textId="77777777" w:rsidR="00157AE3" w:rsidRDefault="00157AE3" w:rsidP="0012042E">
      <w:pPr>
        <w:jc w:val="both"/>
        <w:outlineLvl w:val="0"/>
        <w:rPr>
          <w:rFonts w:ascii="Arial" w:hAnsi="Arial" w:cs="Arial"/>
          <w:sz w:val="16"/>
          <w:szCs w:val="16"/>
          <w:lang w:val="en-US"/>
        </w:rPr>
      </w:pPr>
    </w:p>
    <w:p w14:paraId="75818ED8" w14:textId="3310B12F" w:rsidR="00157AE3" w:rsidRDefault="00157AE3" w:rsidP="0012042E">
      <w:pPr>
        <w:jc w:val="both"/>
        <w:outlineLvl w:val="0"/>
        <w:rPr>
          <w:rFonts w:ascii="Arial" w:hAnsi="Arial" w:cs="Arial"/>
          <w:sz w:val="16"/>
          <w:szCs w:val="16"/>
          <w:lang w:val="en-US"/>
        </w:rPr>
      </w:pPr>
      <w:r>
        <w:rPr>
          <w:rFonts w:ascii="Arial" w:hAnsi="Arial" w:cs="Arial"/>
          <w:sz w:val="16"/>
          <w:szCs w:val="16"/>
          <w:lang w:val="en-US"/>
        </w:rPr>
        <w:t>References:</w:t>
      </w:r>
    </w:p>
    <w:p w14:paraId="0651E40A" w14:textId="77777777" w:rsidR="00157AE3" w:rsidRPr="00157AE3" w:rsidRDefault="00157AE3" w:rsidP="00157AE3">
      <w:pPr>
        <w:pStyle w:val="Literaturverzeichnis1"/>
        <w:spacing w:after="0"/>
      </w:pPr>
      <w:r>
        <w:fldChar w:fldCharType="begin"/>
      </w:r>
      <w:r w:rsidRPr="00157AE3">
        <w:rPr>
          <w:lang w:val="de-DE"/>
        </w:rPr>
        <w:instrText xml:space="preserve"> ADDIN ZOTERO_BIBL {"uncited":[],"omitted":[],"custom":[]} CSL_BIBLIOGRAPHY </w:instrText>
      </w:r>
      <w:r>
        <w:fldChar w:fldCharType="separate"/>
      </w:r>
      <w:r w:rsidRPr="00157AE3">
        <w:rPr>
          <w:lang w:val="de-DE"/>
        </w:rPr>
        <w:t xml:space="preserve">1. Hechler T, Ruhe A-K, Schmidt P, Hirsch J, Wager J, Dobe M, et al. </w:t>
      </w:r>
      <w:r w:rsidRPr="00157AE3">
        <w:t>Inpatient-based intensive interdisciplinary pain treatment for highly impaired children with severe chronic pain: Randomized controlled trial of efficacy and economic effects. PAIN. 2014;155:118–28.</w:t>
      </w:r>
    </w:p>
    <w:p w14:paraId="0EA618F2" w14:textId="77777777" w:rsidR="00157AE3" w:rsidRPr="00157AE3" w:rsidRDefault="00157AE3" w:rsidP="00157AE3">
      <w:pPr>
        <w:pStyle w:val="Literaturverzeichnis1"/>
        <w:spacing w:after="0"/>
      </w:pPr>
      <w:r w:rsidRPr="00157AE3">
        <w:t>2. Sidebottom AC, Jorgenson A, Richards H, Kirven J, Sillah A. Inpatient palliative care for patients with acute heart failure: outcomes from a  randomized trial. J Palliat Med. 2015;18:134–42.</w:t>
      </w:r>
    </w:p>
    <w:p w14:paraId="1517B011" w14:textId="77777777" w:rsidR="00157AE3" w:rsidRPr="00157AE3" w:rsidRDefault="00157AE3" w:rsidP="00157AE3">
      <w:pPr>
        <w:pStyle w:val="Literaturverzeichnis1"/>
        <w:spacing w:after="0"/>
        <w:rPr>
          <w:lang w:val="de-DE"/>
        </w:rPr>
      </w:pPr>
      <w:r w:rsidRPr="00157AE3">
        <w:t xml:space="preserve">3. Angst F, Verra ML, Lehmann S, Brioschi R, Aeschlimann A. Clinical effectiveness of an interdisciplinary pain management programme compared with standard inpatient rehabilitation in chronic pain: a naturalistic, prospective controlled cohort study. </w:t>
      </w:r>
      <w:r w:rsidRPr="00157AE3">
        <w:rPr>
          <w:lang w:val="de-DE"/>
        </w:rPr>
        <w:t>J Rehabil Med. 2009;41:569–75.</w:t>
      </w:r>
    </w:p>
    <w:p w14:paraId="48CA3FD6" w14:textId="77777777" w:rsidR="00157AE3" w:rsidRPr="00157AE3" w:rsidRDefault="00157AE3" w:rsidP="00157AE3">
      <w:pPr>
        <w:pStyle w:val="Literaturverzeichnis1"/>
        <w:spacing w:after="0"/>
      </w:pPr>
      <w:r w:rsidRPr="001077FA">
        <w:t xml:space="preserve">4. Semrau J., Hentschke C., Buchmann J., Meng K., Vogel H., Faller H., et al. </w:t>
      </w:r>
      <w:r w:rsidRPr="00157AE3">
        <w:t>Long-term effects of interprofessional biopsychosocial rehabilitation for adults with chronic non-specific low Back pain: A multicentre, quasi-experimental study. PLoS ONE. 2015;10. doi:10.1371/journal.pone.0118609.</w:t>
      </w:r>
    </w:p>
    <w:p w14:paraId="11FFCF69" w14:textId="77777777" w:rsidR="00157AE3" w:rsidRPr="0012042E" w:rsidRDefault="00157AE3" w:rsidP="00157AE3">
      <w:pPr>
        <w:jc w:val="both"/>
        <w:outlineLvl w:val="0"/>
        <w:rPr>
          <w:rFonts w:ascii="Arial" w:hAnsi="Arial" w:cs="Arial"/>
          <w:sz w:val="16"/>
          <w:szCs w:val="16"/>
          <w:lang w:val="en-US"/>
        </w:rPr>
      </w:pPr>
      <w:r>
        <w:rPr>
          <w:rFonts w:ascii="Arial" w:hAnsi="Arial" w:cs="Arial"/>
          <w:sz w:val="16"/>
          <w:szCs w:val="16"/>
          <w:lang w:val="en-US"/>
        </w:rPr>
        <w:fldChar w:fldCharType="end"/>
      </w:r>
    </w:p>
    <w:sectPr w:rsidR="00157AE3" w:rsidRPr="0012042E" w:rsidSect="00B21DDA">
      <w:pgSz w:w="16840" w:h="11900"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DDA"/>
    <w:rsid w:val="00084870"/>
    <w:rsid w:val="00093C49"/>
    <w:rsid w:val="001077FA"/>
    <w:rsid w:val="0012042E"/>
    <w:rsid w:val="00157AE3"/>
    <w:rsid w:val="001A5D69"/>
    <w:rsid w:val="002E0B5B"/>
    <w:rsid w:val="00310C1A"/>
    <w:rsid w:val="00310E00"/>
    <w:rsid w:val="00390382"/>
    <w:rsid w:val="0039572F"/>
    <w:rsid w:val="00437D8D"/>
    <w:rsid w:val="00476F51"/>
    <w:rsid w:val="00486507"/>
    <w:rsid w:val="00570442"/>
    <w:rsid w:val="00583C56"/>
    <w:rsid w:val="00617F42"/>
    <w:rsid w:val="007079E2"/>
    <w:rsid w:val="00727064"/>
    <w:rsid w:val="007349FE"/>
    <w:rsid w:val="007A78C5"/>
    <w:rsid w:val="008B6917"/>
    <w:rsid w:val="008E7E97"/>
    <w:rsid w:val="0098629A"/>
    <w:rsid w:val="00997827"/>
    <w:rsid w:val="009E0113"/>
    <w:rsid w:val="009E1D82"/>
    <w:rsid w:val="00A03410"/>
    <w:rsid w:val="00A414E5"/>
    <w:rsid w:val="00AD7BFD"/>
    <w:rsid w:val="00AE6E8A"/>
    <w:rsid w:val="00B21DDA"/>
    <w:rsid w:val="00BF4A82"/>
    <w:rsid w:val="00BF6A2E"/>
    <w:rsid w:val="00F054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A634DA9"/>
  <w15:chartTrackingRefBased/>
  <w15:docId w15:val="{CA1A581A-90D6-9447-9AB6-FD64919EB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E1D82"/>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uiPriority w:val="99"/>
    <w:semiHidden/>
    <w:unhideWhenUsed/>
    <w:rsid w:val="00B21DDA"/>
    <w:rPr>
      <w:sz w:val="16"/>
      <w:szCs w:val="16"/>
    </w:rPr>
  </w:style>
  <w:style w:type="paragraph" w:styleId="Kommentartext">
    <w:name w:val="annotation text"/>
    <w:basedOn w:val="Standard"/>
    <w:link w:val="KommentartextZchn"/>
    <w:uiPriority w:val="99"/>
    <w:semiHidden/>
    <w:unhideWhenUsed/>
    <w:rsid w:val="00B21DDA"/>
    <w:rPr>
      <w:rFonts w:ascii="Calibri" w:eastAsia="Calibri" w:hAnsi="Calibri"/>
      <w:sz w:val="20"/>
      <w:szCs w:val="20"/>
      <w:lang w:eastAsia="en-US"/>
    </w:rPr>
  </w:style>
  <w:style w:type="character" w:customStyle="1" w:styleId="KommentartextZchn">
    <w:name w:val="Kommentartext Zchn"/>
    <w:link w:val="Kommentartext"/>
    <w:uiPriority w:val="99"/>
    <w:semiHidden/>
    <w:rsid w:val="00B21DDA"/>
    <w:rPr>
      <w:sz w:val="20"/>
      <w:szCs w:val="20"/>
    </w:rPr>
  </w:style>
  <w:style w:type="paragraph" w:styleId="Beschriftung">
    <w:name w:val="caption"/>
    <w:basedOn w:val="Standard"/>
    <w:next w:val="Standard"/>
    <w:uiPriority w:val="35"/>
    <w:unhideWhenUsed/>
    <w:qFormat/>
    <w:rsid w:val="00157AE3"/>
    <w:rPr>
      <w:b/>
      <w:bCs/>
      <w:sz w:val="20"/>
      <w:szCs w:val="20"/>
    </w:rPr>
  </w:style>
  <w:style w:type="paragraph" w:customStyle="1" w:styleId="Literaturverzeichnis1">
    <w:name w:val="Literaturverzeichnis1"/>
    <w:basedOn w:val="Standard"/>
    <w:link w:val="BibliographyZchn"/>
    <w:rsid w:val="00157AE3"/>
    <w:pPr>
      <w:spacing w:after="240"/>
      <w:jc w:val="both"/>
      <w:outlineLvl w:val="0"/>
    </w:pPr>
    <w:rPr>
      <w:rFonts w:ascii="Arial" w:hAnsi="Arial" w:cs="Arial"/>
      <w:sz w:val="16"/>
      <w:szCs w:val="16"/>
      <w:lang w:val="en-US"/>
    </w:rPr>
  </w:style>
  <w:style w:type="character" w:customStyle="1" w:styleId="BibliographyZchn">
    <w:name w:val="Bibliography Zchn"/>
    <w:link w:val="Literaturverzeichnis1"/>
    <w:rsid w:val="00157AE3"/>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61D75-61A9-DE4A-B8C4-0FBDE1604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1911</Words>
  <Characters>12042</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Kaiser</dc:creator>
  <cp:keywords/>
  <dc:description/>
  <cp:lastModifiedBy>Laura Kaiser</cp:lastModifiedBy>
  <cp:revision>4</cp:revision>
  <dcterms:created xsi:type="dcterms:W3CDTF">2021-04-19T15:58:00Z</dcterms:created>
  <dcterms:modified xsi:type="dcterms:W3CDTF">2021-09-05T08:39:00Z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zotero-version="5.0.96.1"&gt;&lt;session id="KFBkbnTr"/&gt;&lt;style id="http://www.zotero.org/styles/bmc-endocrine-disorders" hasBibliography="1" bibliographyStyleHasBeenSet="1"/&gt;&lt;prefs&gt;&lt;pref name="fieldType" value="Field"/&gt;&lt;/prefs&gt;&lt;/data&gt;</vt:lpwstr>
  </property>
</Properties>
</file>