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1E588" w14:textId="503FCED9" w:rsidR="006D1DDC" w:rsidRPr="00A06AAC" w:rsidRDefault="00A4612D" w:rsidP="006D1DDC">
      <w:pPr>
        <w:rPr>
          <w:b/>
          <w:bCs/>
          <w:sz w:val="28"/>
          <w:szCs w:val="28"/>
        </w:rPr>
      </w:pPr>
      <w:bookmarkStart w:id="0" w:name="_Toc49881148"/>
      <w:bookmarkStart w:id="1" w:name="_Toc49881149"/>
      <w:r>
        <w:rPr>
          <w:b/>
          <w:bCs/>
          <w:sz w:val="28"/>
          <w:szCs w:val="28"/>
        </w:rPr>
        <w:t>Additional</w:t>
      </w:r>
      <w:r w:rsidR="006D1DDC" w:rsidRPr="00A06AAC">
        <w:rPr>
          <w:b/>
          <w:bCs/>
          <w:sz w:val="28"/>
          <w:szCs w:val="28"/>
        </w:rPr>
        <w:t xml:space="preserve"> File </w:t>
      </w:r>
      <w:r w:rsidR="00F43757">
        <w:rPr>
          <w:b/>
          <w:bCs/>
          <w:sz w:val="28"/>
          <w:szCs w:val="28"/>
        </w:rPr>
        <w:t>4</w:t>
      </w:r>
    </w:p>
    <w:bookmarkEnd w:id="0"/>
    <w:p w14:paraId="2A5739CB" w14:textId="1ACE9728" w:rsidR="006D1DDC" w:rsidRPr="00A06AAC" w:rsidRDefault="006D1DDC" w:rsidP="00A06AAC">
      <w:pPr>
        <w:rPr>
          <w:b/>
          <w:bCs/>
          <w:szCs w:val="22"/>
        </w:rPr>
      </w:pPr>
      <w:r w:rsidRPr="00A06AAC">
        <w:rPr>
          <w:b/>
          <w:bCs/>
          <w:szCs w:val="22"/>
        </w:rPr>
        <w:t>Characteristics of included reviews: additional data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4331"/>
        <w:gridCol w:w="2633"/>
        <w:gridCol w:w="1381"/>
        <w:gridCol w:w="4327"/>
      </w:tblGrid>
      <w:tr w:rsidR="006D1DDC" w:rsidRPr="008E7597" w14:paraId="50B7D1D9" w14:textId="77777777" w:rsidTr="0033158F">
        <w:tc>
          <w:tcPr>
            <w:tcW w:w="0" w:type="auto"/>
          </w:tcPr>
          <w:p w14:paraId="6F50FC4E" w14:textId="77777777" w:rsidR="006D1DDC" w:rsidRPr="0033158F" w:rsidRDefault="006D1DDC" w:rsidP="00F92190">
            <w:pPr>
              <w:pStyle w:val="NoSpacing"/>
              <w:rPr>
                <w:rFonts w:cs="Arial"/>
                <w:b/>
                <w:bCs/>
                <w:sz w:val="18"/>
                <w:szCs w:val="18"/>
              </w:rPr>
            </w:pPr>
            <w:r w:rsidRPr="0033158F">
              <w:rPr>
                <w:rFonts w:cs="Arial"/>
                <w:b/>
                <w:bCs/>
                <w:sz w:val="18"/>
                <w:szCs w:val="18"/>
              </w:rPr>
              <w:t xml:space="preserve">First author (year) </w:t>
            </w:r>
          </w:p>
        </w:tc>
        <w:tc>
          <w:tcPr>
            <w:tcW w:w="0" w:type="auto"/>
          </w:tcPr>
          <w:p w14:paraId="10EC3B31" w14:textId="77777777" w:rsidR="006D1DDC" w:rsidRPr="0033158F" w:rsidRDefault="006D1DDC" w:rsidP="00F92190">
            <w:pPr>
              <w:pStyle w:val="NoSpacing"/>
              <w:rPr>
                <w:rFonts w:cs="Arial"/>
                <w:b/>
                <w:bCs/>
                <w:sz w:val="18"/>
                <w:szCs w:val="18"/>
              </w:rPr>
            </w:pPr>
            <w:r w:rsidRPr="0033158F">
              <w:rPr>
                <w:rFonts w:cs="Arial"/>
                <w:b/>
                <w:bCs/>
                <w:sz w:val="18"/>
                <w:szCs w:val="18"/>
              </w:rPr>
              <w:t>Objective(s)</w:t>
            </w:r>
          </w:p>
          <w:p w14:paraId="51A78E35" w14:textId="77777777" w:rsidR="006D1DDC" w:rsidRPr="0033158F" w:rsidRDefault="006D1DDC" w:rsidP="00F92190">
            <w:pPr>
              <w:pStyle w:val="NoSpacing"/>
              <w:rPr>
                <w:rFonts w:cs="Arial"/>
                <w:b/>
                <w:bCs/>
                <w:sz w:val="18"/>
                <w:szCs w:val="18"/>
              </w:rPr>
            </w:pPr>
          </w:p>
          <w:p w14:paraId="24076511" w14:textId="77777777" w:rsidR="006D1DDC" w:rsidRPr="0033158F" w:rsidRDefault="006D1DDC" w:rsidP="00F92190">
            <w:pPr>
              <w:pStyle w:val="NoSpacing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4ABD0089" w14:textId="77777777" w:rsidR="006D1DDC" w:rsidRPr="0033158F" w:rsidRDefault="006D1DDC" w:rsidP="00F92190">
            <w:pPr>
              <w:pStyle w:val="NoSpacing"/>
              <w:rPr>
                <w:rFonts w:cs="Arial"/>
                <w:b/>
                <w:bCs/>
                <w:sz w:val="18"/>
                <w:szCs w:val="18"/>
              </w:rPr>
            </w:pPr>
            <w:r w:rsidRPr="0033158F">
              <w:rPr>
                <w:rFonts w:cs="Arial"/>
                <w:b/>
                <w:bCs/>
                <w:sz w:val="18"/>
                <w:szCs w:val="18"/>
              </w:rPr>
              <w:t>Sources searched (date limit)</w:t>
            </w:r>
          </w:p>
        </w:tc>
        <w:tc>
          <w:tcPr>
            <w:tcW w:w="0" w:type="auto"/>
          </w:tcPr>
          <w:p w14:paraId="4FCA6CEC" w14:textId="77777777" w:rsidR="006D1DDC" w:rsidRPr="0033158F" w:rsidRDefault="006D1DDC" w:rsidP="00F92190">
            <w:pPr>
              <w:pStyle w:val="NoSpacing"/>
              <w:rPr>
                <w:rFonts w:cs="Arial"/>
                <w:b/>
                <w:bCs/>
                <w:sz w:val="18"/>
                <w:szCs w:val="18"/>
              </w:rPr>
            </w:pPr>
            <w:r w:rsidRPr="0033158F">
              <w:rPr>
                <w:rFonts w:cs="Arial"/>
                <w:b/>
                <w:bCs/>
                <w:sz w:val="18"/>
                <w:szCs w:val="18"/>
              </w:rPr>
              <w:t>Range (years) of included studies</w:t>
            </w:r>
          </w:p>
        </w:tc>
        <w:tc>
          <w:tcPr>
            <w:tcW w:w="0" w:type="auto"/>
          </w:tcPr>
          <w:p w14:paraId="23C17BD1" w14:textId="77777777" w:rsidR="006D1DDC" w:rsidRPr="0033158F" w:rsidRDefault="006D1DDC" w:rsidP="00F92190">
            <w:pPr>
              <w:pStyle w:val="NoSpacing"/>
              <w:rPr>
                <w:rFonts w:cs="Arial"/>
                <w:b/>
                <w:bCs/>
                <w:sz w:val="18"/>
                <w:szCs w:val="18"/>
              </w:rPr>
            </w:pPr>
            <w:r w:rsidRPr="0033158F">
              <w:rPr>
                <w:rFonts w:cs="Arial"/>
                <w:b/>
                <w:bCs/>
                <w:sz w:val="18"/>
                <w:szCs w:val="18"/>
              </w:rPr>
              <w:t>Types of studies (number)</w:t>
            </w:r>
          </w:p>
        </w:tc>
      </w:tr>
      <w:tr w:rsidR="006D1DDC" w:rsidRPr="008E7597" w14:paraId="5AE730EC" w14:textId="77777777" w:rsidTr="0033158F">
        <w:tc>
          <w:tcPr>
            <w:tcW w:w="0" w:type="auto"/>
          </w:tcPr>
          <w:p w14:paraId="36FA5244" w14:textId="7DCBFBF6" w:rsidR="006D1DDC" w:rsidRPr="004D7EF6" w:rsidRDefault="006D1DDC" w:rsidP="00F92190">
            <w:pPr>
              <w:pStyle w:val="NoSpacing"/>
              <w:rPr>
                <w:rFonts w:cs="Arial"/>
                <w:sz w:val="16"/>
                <w:szCs w:val="16"/>
                <w:vertAlign w:val="superscript"/>
              </w:rPr>
            </w:pPr>
            <w:r w:rsidRPr="00D46D25">
              <w:rPr>
                <w:rFonts w:cs="Arial"/>
                <w:sz w:val="16"/>
                <w:szCs w:val="16"/>
              </w:rPr>
              <w:t>Sinnott (2013)</w:t>
            </w:r>
            <w:r w:rsidR="004D7EF6">
              <w:rPr>
                <w:rFonts w:cs="Arial"/>
                <w:sz w:val="16"/>
                <w:szCs w:val="16"/>
                <w:vertAlign w:val="superscript"/>
              </w:rPr>
              <w:t>53</w:t>
            </w:r>
          </w:p>
        </w:tc>
        <w:tc>
          <w:tcPr>
            <w:tcW w:w="0" w:type="auto"/>
          </w:tcPr>
          <w:p w14:paraId="052EA7CF" w14:textId="3E3AFAA5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To synthesise the existing published</w:t>
            </w:r>
            <w:r w:rsidR="00373E67">
              <w:rPr>
                <w:rFonts w:cs="Arial"/>
                <w:sz w:val="16"/>
                <w:szCs w:val="16"/>
              </w:rPr>
              <w:t xml:space="preserve"> </w:t>
            </w:r>
            <w:r w:rsidRPr="00D46D25">
              <w:rPr>
                <w:rFonts w:cs="Arial"/>
                <w:sz w:val="16"/>
                <w:szCs w:val="16"/>
              </w:rPr>
              <w:t>literature on the perceptions of GPs or their equivalent on the clinical management of multimorbidity and determine targets for future research that aims to improve clinical care in multimorbidity.</w:t>
            </w:r>
          </w:p>
        </w:tc>
        <w:tc>
          <w:tcPr>
            <w:tcW w:w="0" w:type="auto"/>
          </w:tcPr>
          <w:p w14:paraId="69E85297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•EMBASE, MEDLINE, CINAHL, PsycInfo,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D46D25">
              <w:rPr>
                <w:rFonts w:cs="Arial"/>
                <w:sz w:val="16"/>
                <w:szCs w:val="16"/>
              </w:rPr>
              <w:t>Academic Search Complete, SocIndex, Social Science</w:t>
            </w:r>
          </w:p>
          <w:p w14:paraId="10B55302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•Full Text and digital theses/online libraries (inception-September 2012)</w:t>
            </w:r>
          </w:p>
        </w:tc>
        <w:tc>
          <w:tcPr>
            <w:tcW w:w="0" w:type="auto"/>
          </w:tcPr>
          <w:p w14:paraId="173E39A3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2009-2012</w:t>
            </w:r>
          </w:p>
        </w:tc>
        <w:tc>
          <w:tcPr>
            <w:tcW w:w="0" w:type="auto"/>
          </w:tcPr>
          <w:p w14:paraId="4935E7C0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10 studies:</w:t>
            </w:r>
          </w:p>
          <w:p w14:paraId="340879CE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Qualitative interviews (5),</w:t>
            </w:r>
          </w:p>
          <w:p w14:paraId="4435B17F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focus groups (5)</w:t>
            </w:r>
          </w:p>
        </w:tc>
      </w:tr>
      <w:tr w:rsidR="006D1DDC" w:rsidRPr="008E7597" w14:paraId="4858BBC8" w14:textId="77777777" w:rsidTr="0033158F">
        <w:tc>
          <w:tcPr>
            <w:tcW w:w="0" w:type="auto"/>
          </w:tcPr>
          <w:p w14:paraId="724CBB20" w14:textId="04659BB9" w:rsidR="006D1DDC" w:rsidRPr="004D7EF6" w:rsidRDefault="006D1DDC" w:rsidP="00F92190">
            <w:pPr>
              <w:pStyle w:val="NoSpacing"/>
              <w:rPr>
                <w:rFonts w:cs="Arial"/>
                <w:sz w:val="16"/>
                <w:szCs w:val="16"/>
                <w:vertAlign w:val="superscript"/>
              </w:rPr>
            </w:pPr>
            <w:r w:rsidRPr="00D46D25">
              <w:rPr>
                <w:rFonts w:cs="Arial"/>
                <w:sz w:val="16"/>
                <w:szCs w:val="16"/>
              </w:rPr>
              <w:t>O’Brien (2016)</w:t>
            </w:r>
            <w:r w:rsidR="004D7EF6">
              <w:rPr>
                <w:rFonts w:cs="Arial"/>
                <w:sz w:val="16"/>
                <w:szCs w:val="16"/>
                <w:vertAlign w:val="superscript"/>
              </w:rPr>
              <w:t>62</w:t>
            </w:r>
          </w:p>
        </w:tc>
        <w:tc>
          <w:tcPr>
            <w:tcW w:w="0" w:type="auto"/>
          </w:tcPr>
          <w:p w14:paraId="7F329BD4" w14:textId="2C8AAFC6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To ascertain PCPs’</w:t>
            </w:r>
            <w:r w:rsidR="00373E67">
              <w:rPr>
                <w:rFonts w:cs="Arial"/>
                <w:sz w:val="16"/>
                <w:szCs w:val="16"/>
              </w:rPr>
              <w:t xml:space="preserve"> </w:t>
            </w:r>
            <w:r w:rsidRPr="00D46D25">
              <w:rPr>
                <w:rFonts w:cs="Arial"/>
                <w:sz w:val="16"/>
                <w:szCs w:val="16"/>
              </w:rPr>
              <w:t>perceptions of the barriers that prevent effective management of child and adolescent mental health problems.</w:t>
            </w:r>
          </w:p>
        </w:tc>
        <w:tc>
          <w:tcPr>
            <w:tcW w:w="0" w:type="auto"/>
          </w:tcPr>
          <w:p w14:paraId="5390FE43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PsycINFO, MEDLINE, Embase, and Web of Science (inception-October 2014)</w:t>
            </w:r>
          </w:p>
        </w:tc>
        <w:tc>
          <w:tcPr>
            <w:tcW w:w="0" w:type="auto"/>
          </w:tcPr>
          <w:p w14:paraId="7C77400E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1984-2014</w:t>
            </w:r>
          </w:p>
        </w:tc>
        <w:tc>
          <w:tcPr>
            <w:tcW w:w="0" w:type="auto"/>
          </w:tcPr>
          <w:p w14:paraId="05E152A0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43 studies:</w:t>
            </w:r>
          </w:p>
          <w:p w14:paraId="302B6937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•Quantitative surveys/questionnaires (30)</w:t>
            </w:r>
          </w:p>
          <w:p w14:paraId="0C703974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•Qualitative interviews/focus groups/open-ended comments (13)</w:t>
            </w:r>
          </w:p>
        </w:tc>
      </w:tr>
      <w:tr w:rsidR="006D1DDC" w:rsidRPr="008E7597" w14:paraId="07E1CB56" w14:textId="77777777" w:rsidTr="0033158F">
        <w:tc>
          <w:tcPr>
            <w:tcW w:w="0" w:type="auto"/>
          </w:tcPr>
          <w:p w14:paraId="0F28BAAE" w14:textId="1492A012" w:rsidR="006D1DDC" w:rsidRPr="004D7EF6" w:rsidRDefault="006D1DDC" w:rsidP="00F92190">
            <w:pPr>
              <w:pStyle w:val="NoSpacing"/>
              <w:rPr>
                <w:rFonts w:cs="Arial"/>
                <w:sz w:val="16"/>
                <w:szCs w:val="16"/>
                <w:vertAlign w:val="superscript"/>
              </w:rPr>
            </w:pPr>
            <w:r w:rsidRPr="00D46D25">
              <w:rPr>
                <w:rFonts w:cs="Arial"/>
                <w:sz w:val="16"/>
                <w:szCs w:val="16"/>
              </w:rPr>
              <w:t>Barley (2011)</w:t>
            </w:r>
            <w:r w:rsidR="004D7EF6">
              <w:rPr>
                <w:rFonts w:cs="Arial"/>
                <w:sz w:val="16"/>
                <w:szCs w:val="16"/>
                <w:vertAlign w:val="superscript"/>
              </w:rPr>
              <w:t>57</w:t>
            </w:r>
          </w:p>
        </w:tc>
        <w:tc>
          <w:tcPr>
            <w:tcW w:w="0" w:type="auto"/>
          </w:tcPr>
          <w:p w14:paraId="79689889" w14:textId="7F671E39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To identify potential</w:t>
            </w:r>
            <w:r w:rsidR="00373E67">
              <w:rPr>
                <w:rFonts w:cs="Arial"/>
                <w:sz w:val="16"/>
                <w:szCs w:val="16"/>
              </w:rPr>
              <w:t xml:space="preserve"> </w:t>
            </w:r>
            <w:r w:rsidRPr="00D46D25">
              <w:rPr>
                <w:rFonts w:cs="Arial"/>
                <w:sz w:val="16"/>
                <w:szCs w:val="16"/>
              </w:rPr>
              <w:t>barriers to and facilitators for good depression management in UK primary care.</w:t>
            </w:r>
          </w:p>
        </w:tc>
        <w:tc>
          <w:tcPr>
            <w:tcW w:w="0" w:type="auto"/>
          </w:tcPr>
          <w:p w14:paraId="3CB0B8A1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Medline, Embase, Psychinfo,</w:t>
            </w:r>
          </w:p>
          <w:p w14:paraId="62A7D1E0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British Nursing Index and Archives (2000-2008)</w:t>
            </w:r>
          </w:p>
        </w:tc>
        <w:tc>
          <w:tcPr>
            <w:tcW w:w="0" w:type="auto"/>
          </w:tcPr>
          <w:p w14:paraId="5B2B72F6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2000-2007</w:t>
            </w:r>
          </w:p>
        </w:tc>
        <w:tc>
          <w:tcPr>
            <w:tcW w:w="0" w:type="auto"/>
          </w:tcPr>
          <w:p w14:paraId="2CE6397C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17 studies:</w:t>
            </w:r>
          </w:p>
          <w:p w14:paraId="17381607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 xml:space="preserve">•Quantitative surveys/questionnaires/ vignettes (10) </w:t>
            </w:r>
          </w:p>
          <w:p w14:paraId="5DB1C50F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 xml:space="preserve">•Qualitative interviews (7) </w:t>
            </w:r>
          </w:p>
        </w:tc>
      </w:tr>
      <w:tr w:rsidR="006D1DDC" w:rsidRPr="008E7597" w14:paraId="32842236" w14:textId="77777777" w:rsidTr="0033158F">
        <w:tc>
          <w:tcPr>
            <w:tcW w:w="0" w:type="auto"/>
          </w:tcPr>
          <w:p w14:paraId="7C425185" w14:textId="7F0384E4" w:rsidR="006D1DDC" w:rsidRPr="004D7EF6" w:rsidRDefault="006D1DDC" w:rsidP="00F92190">
            <w:pPr>
              <w:pStyle w:val="NoSpacing"/>
              <w:rPr>
                <w:rFonts w:cs="Arial"/>
                <w:sz w:val="16"/>
                <w:szCs w:val="16"/>
                <w:vertAlign w:val="superscript"/>
              </w:rPr>
            </w:pPr>
            <w:r w:rsidRPr="00D46D25">
              <w:rPr>
                <w:rFonts w:cs="Arial"/>
                <w:sz w:val="16"/>
                <w:szCs w:val="16"/>
              </w:rPr>
              <w:t>*Lucas (2015)</w:t>
            </w:r>
            <w:r w:rsidR="004D7EF6">
              <w:rPr>
                <w:rFonts w:cs="Arial"/>
                <w:sz w:val="16"/>
                <w:szCs w:val="16"/>
                <w:vertAlign w:val="superscript"/>
              </w:rPr>
              <w:t>51</w:t>
            </w:r>
          </w:p>
        </w:tc>
        <w:tc>
          <w:tcPr>
            <w:tcW w:w="0" w:type="auto"/>
          </w:tcPr>
          <w:p w14:paraId="4C13889D" w14:textId="7A0A69BD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To review the literature on the views, beliefs, and attitudes of parents, children, and</w:t>
            </w:r>
            <w:r w:rsidR="00373E67">
              <w:rPr>
                <w:rFonts w:cs="Arial"/>
                <w:sz w:val="16"/>
                <w:szCs w:val="16"/>
              </w:rPr>
              <w:t xml:space="preserve"> </w:t>
            </w:r>
            <w:r w:rsidRPr="00D46D25">
              <w:rPr>
                <w:rFonts w:cs="Arial"/>
                <w:sz w:val="16"/>
                <w:szCs w:val="16"/>
              </w:rPr>
              <w:t>prescribing clinicians that influenced prescribing decisions for acute childhood infection in primary care.</w:t>
            </w:r>
          </w:p>
        </w:tc>
        <w:tc>
          <w:tcPr>
            <w:tcW w:w="0" w:type="auto"/>
          </w:tcPr>
          <w:p w14:paraId="246CDC95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•MEDLINE, EMBASE, CINAHL, PsycINFO, SSCI, SIGLE,</w:t>
            </w:r>
          </w:p>
          <w:p w14:paraId="7F570908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Dissertation Express, NHS economic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D46D25">
              <w:rPr>
                <w:rFonts w:cs="Arial"/>
                <w:sz w:val="16"/>
                <w:szCs w:val="16"/>
              </w:rPr>
              <w:t xml:space="preserve">Evaluation (inception-October 2012). </w:t>
            </w:r>
          </w:p>
          <w:p w14:paraId="49026DFE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•Hand searching in Social Science and Medicine,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D46D25">
              <w:rPr>
                <w:rFonts w:cs="Arial"/>
                <w:sz w:val="16"/>
                <w:szCs w:val="16"/>
              </w:rPr>
              <w:t>Sociology of Health and Illness, British Journal of</w:t>
            </w:r>
          </w:p>
          <w:p w14:paraId="7D428D4D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General Practice, Journal of Family Practice, Health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D46D25">
              <w:rPr>
                <w:rFonts w:cs="Arial"/>
                <w:sz w:val="16"/>
                <w:szCs w:val="16"/>
              </w:rPr>
              <w:t>Expectations</w:t>
            </w:r>
          </w:p>
        </w:tc>
        <w:tc>
          <w:tcPr>
            <w:tcW w:w="0" w:type="auto"/>
          </w:tcPr>
          <w:p w14:paraId="7D33AF9E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1998-2011</w:t>
            </w:r>
          </w:p>
        </w:tc>
        <w:tc>
          <w:tcPr>
            <w:tcW w:w="0" w:type="auto"/>
          </w:tcPr>
          <w:p w14:paraId="42E528EC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15 studies:</w:t>
            </w:r>
          </w:p>
          <w:p w14:paraId="6C5FCE8F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Qualitative interviews (10), focus groups (4), recorded consultations (1)</w:t>
            </w:r>
          </w:p>
        </w:tc>
      </w:tr>
      <w:tr w:rsidR="006D1DDC" w:rsidRPr="008E7597" w14:paraId="310C0020" w14:textId="77777777" w:rsidTr="0033158F">
        <w:tc>
          <w:tcPr>
            <w:tcW w:w="0" w:type="auto"/>
          </w:tcPr>
          <w:p w14:paraId="12213894" w14:textId="486D7760" w:rsidR="006D1DDC" w:rsidRPr="004D7EF6" w:rsidRDefault="006D1DDC" w:rsidP="00F92190">
            <w:pPr>
              <w:pStyle w:val="NoSpacing"/>
              <w:rPr>
                <w:rFonts w:cs="Arial"/>
                <w:sz w:val="16"/>
                <w:szCs w:val="16"/>
                <w:vertAlign w:val="superscript"/>
              </w:rPr>
            </w:pPr>
            <w:r w:rsidRPr="00D46D25">
              <w:rPr>
                <w:rFonts w:cs="Arial"/>
                <w:sz w:val="16"/>
                <w:szCs w:val="16"/>
              </w:rPr>
              <w:t>Lawrence (2016)</w:t>
            </w:r>
            <w:r w:rsidR="004D7EF6">
              <w:rPr>
                <w:rFonts w:cs="Arial"/>
                <w:sz w:val="16"/>
                <w:szCs w:val="16"/>
                <w:vertAlign w:val="superscript"/>
              </w:rPr>
              <w:t>59</w:t>
            </w:r>
          </w:p>
        </w:tc>
        <w:tc>
          <w:tcPr>
            <w:tcW w:w="0" w:type="auto"/>
          </w:tcPr>
          <w:p w14:paraId="1F8439C5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color w:val="131413"/>
                <w:sz w:val="16"/>
                <w:szCs w:val="16"/>
              </w:rPr>
              <w:t>To summarise the available evidence on PCPs’ perspectives of their role within cancer care.</w:t>
            </w:r>
          </w:p>
        </w:tc>
        <w:tc>
          <w:tcPr>
            <w:tcW w:w="0" w:type="auto"/>
          </w:tcPr>
          <w:p w14:paraId="2EA8F04B" w14:textId="77777777" w:rsidR="006D1DDC" w:rsidRPr="00140F48" w:rsidRDefault="006D1DDC" w:rsidP="00F92190">
            <w:pPr>
              <w:pStyle w:val="NoSpacing"/>
              <w:rPr>
                <w:rFonts w:cs="Arial"/>
                <w:color w:val="131413"/>
                <w:sz w:val="16"/>
                <w:szCs w:val="16"/>
              </w:rPr>
            </w:pPr>
            <w:r w:rsidRPr="00D46D25">
              <w:rPr>
                <w:rFonts w:cs="Arial"/>
                <w:color w:val="131413"/>
                <w:sz w:val="16"/>
                <w:szCs w:val="16"/>
              </w:rPr>
              <w:t>MEDLINE, MEDLINE In-Process, EMBASE, PsycINFO and CINAHL (1993-2015)</w:t>
            </w:r>
          </w:p>
        </w:tc>
        <w:tc>
          <w:tcPr>
            <w:tcW w:w="0" w:type="auto"/>
          </w:tcPr>
          <w:p w14:paraId="221729CA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1994-2014</w:t>
            </w:r>
          </w:p>
        </w:tc>
        <w:tc>
          <w:tcPr>
            <w:tcW w:w="0" w:type="auto"/>
          </w:tcPr>
          <w:p w14:paraId="6DAAFB3A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35 studies:</w:t>
            </w:r>
          </w:p>
          <w:p w14:paraId="5374DFE6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•Cross-sectional surveys/ questionnaires (22)</w:t>
            </w:r>
          </w:p>
          <w:p w14:paraId="45BE4FE6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•Qualitative interviews/focus groups/questionnaires (8), methods unclear (4), qualitative part of RCT (1)</w:t>
            </w:r>
          </w:p>
        </w:tc>
      </w:tr>
      <w:tr w:rsidR="006D1DDC" w:rsidRPr="008E7597" w14:paraId="774625E9" w14:textId="77777777" w:rsidTr="0033158F">
        <w:tc>
          <w:tcPr>
            <w:tcW w:w="0" w:type="auto"/>
          </w:tcPr>
          <w:p w14:paraId="346D8FBC" w14:textId="78C50200" w:rsidR="006D1DDC" w:rsidRPr="004D7EF6" w:rsidRDefault="006D1DDC" w:rsidP="00F92190">
            <w:pPr>
              <w:pStyle w:val="NoSpacing"/>
              <w:rPr>
                <w:rFonts w:cs="Arial"/>
                <w:sz w:val="16"/>
                <w:szCs w:val="16"/>
                <w:vertAlign w:val="superscript"/>
              </w:rPr>
            </w:pPr>
            <w:r w:rsidRPr="00D46D25">
              <w:rPr>
                <w:rFonts w:cs="Arial"/>
                <w:sz w:val="16"/>
                <w:szCs w:val="16"/>
              </w:rPr>
              <w:t>Sirdifield (2013)</w:t>
            </w:r>
            <w:r w:rsidR="004D7EF6">
              <w:rPr>
                <w:rFonts w:cs="Arial"/>
                <w:sz w:val="16"/>
                <w:szCs w:val="16"/>
                <w:vertAlign w:val="superscript"/>
              </w:rPr>
              <w:t>54</w:t>
            </w:r>
          </w:p>
        </w:tc>
        <w:tc>
          <w:tcPr>
            <w:tcW w:w="0" w:type="auto"/>
          </w:tcPr>
          <w:p w14:paraId="4E195E04" w14:textId="7081D3E5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To systematically review and meta-synthesise qualitative studies exploring clinicians’ experiences and perceptions of benzodiazepine</w:t>
            </w:r>
            <w:r w:rsidR="00373E67">
              <w:rPr>
                <w:rFonts w:cs="Arial"/>
                <w:sz w:val="16"/>
                <w:szCs w:val="16"/>
              </w:rPr>
              <w:t xml:space="preserve"> </w:t>
            </w:r>
            <w:r w:rsidRPr="00D46D25">
              <w:rPr>
                <w:rFonts w:cs="Arial"/>
                <w:sz w:val="16"/>
                <w:szCs w:val="16"/>
              </w:rPr>
              <w:t>prescribing to build an explanatory model of processes underlying current prescribing practices.</w:t>
            </w:r>
          </w:p>
        </w:tc>
        <w:tc>
          <w:tcPr>
            <w:tcW w:w="0" w:type="auto"/>
          </w:tcPr>
          <w:p w14:paraId="3E38941F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MEDLINE, CINAHL, Social Science Citation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D46D25">
              <w:rPr>
                <w:rFonts w:cs="Arial"/>
                <w:sz w:val="16"/>
                <w:szCs w:val="16"/>
              </w:rPr>
              <w:t>Index, Science Citation Index, PsycINFO, Sociological</w:t>
            </w:r>
          </w:p>
          <w:p w14:paraId="1B974CD8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Abstracts and AMED (January 1990-August 2011)</w:t>
            </w:r>
          </w:p>
        </w:tc>
        <w:tc>
          <w:tcPr>
            <w:tcW w:w="0" w:type="auto"/>
          </w:tcPr>
          <w:p w14:paraId="166BBD4F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1993-2010</w:t>
            </w:r>
          </w:p>
        </w:tc>
        <w:tc>
          <w:tcPr>
            <w:tcW w:w="0" w:type="auto"/>
          </w:tcPr>
          <w:p w14:paraId="3E4A3413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 xml:space="preserve">8 studies: </w:t>
            </w:r>
          </w:p>
          <w:p w14:paraId="3FBC9578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Qualitative interviews (7),</w:t>
            </w:r>
          </w:p>
          <w:p w14:paraId="40BEEAE5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focus groups (1)</w:t>
            </w:r>
          </w:p>
        </w:tc>
      </w:tr>
      <w:tr w:rsidR="006D1DDC" w:rsidRPr="008E7597" w14:paraId="42C60D1D" w14:textId="77777777" w:rsidTr="0033158F">
        <w:tc>
          <w:tcPr>
            <w:tcW w:w="0" w:type="auto"/>
          </w:tcPr>
          <w:p w14:paraId="592949DD" w14:textId="1E949E79" w:rsidR="006D1DDC" w:rsidRPr="004D7EF6" w:rsidRDefault="006D1DDC" w:rsidP="00F92190">
            <w:pPr>
              <w:pStyle w:val="NoSpacing"/>
              <w:rPr>
                <w:rFonts w:cs="Arial"/>
                <w:sz w:val="16"/>
                <w:szCs w:val="16"/>
                <w:vertAlign w:val="superscript"/>
              </w:rPr>
            </w:pPr>
            <w:r w:rsidRPr="00D46D25">
              <w:rPr>
                <w:rFonts w:cs="Arial"/>
                <w:sz w:val="16"/>
                <w:szCs w:val="16"/>
              </w:rPr>
              <w:lastRenderedPageBreak/>
              <w:t>Tonkin-Crine (2011)</w:t>
            </w:r>
            <w:r w:rsidR="004D7EF6">
              <w:rPr>
                <w:rFonts w:cs="Arial"/>
                <w:sz w:val="16"/>
                <w:szCs w:val="16"/>
                <w:vertAlign w:val="superscript"/>
              </w:rPr>
              <w:t>66</w:t>
            </w:r>
          </w:p>
        </w:tc>
        <w:tc>
          <w:tcPr>
            <w:tcW w:w="0" w:type="auto"/>
          </w:tcPr>
          <w:p w14:paraId="2003849F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color w:val="231F20"/>
                <w:sz w:val="16"/>
                <w:szCs w:val="16"/>
              </w:rPr>
              <w:t>To examine GPs’ attitudes and experiences of antibiotic prescribing and interventions aimed at more prudent prescribing for acute respiratory tract infections.</w:t>
            </w:r>
          </w:p>
        </w:tc>
        <w:tc>
          <w:tcPr>
            <w:tcW w:w="0" w:type="auto"/>
          </w:tcPr>
          <w:p w14:paraId="4203795D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EMBASE, MEDLINE, Web</w:t>
            </w:r>
          </w:p>
          <w:p w14:paraId="1A53C811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of Science, PsychInfo,</w:t>
            </w:r>
          </w:p>
          <w:p w14:paraId="1B2F0181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CINAHL (</w:t>
            </w:r>
            <w:r w:rsidRPr="00D46D25">
              <w:rPr>
                <w:rFonts w:cs="Arial"/>
                <w:color w:val="231F20"/>
                <w:sz w:val="16"/>
                <w:szCs w:val="16"/>
              </w:rPr>
              <w:t>1950-May 2011)</w:t>
            </w:r>
          </w:p>
        </w:tc>
        <w:tc>
          <w:tcPr>
            <w:tcW w:w="0" w:type="auto"/>
          </w:tcPr>
          <w:p w14:paraId="755976B8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1998-2011</w:t>
            </w:r>
          </w:p>
        </w:tc>
        <w:tc>
          <w:tcPr>
            <w:tcW w:w="0" w:type="auto"/>
          </w:tcPr>
          <w:p w14:paraId="042C6E47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 xml:space="preserve">12 studies: </w:t>
            </w:r>
          </w:p>
          <w:p w14:paraId="378F4FF8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Qualitative interviews (10),</w:t>
            </w:r>
          </w:p>
          <w:p w14:paraId="0FFB9D16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focus groups (2)</w:t>
            </w:r>
          </w:p>
        </w:tc>
      </w:tr>
      <w:tr w:rsidR="006D1DDC" w:rsidRPr="008E7597" w14:paraId="7C40FC7C" w14:textId="77777777" w:rsidTr="0033158F">
        <w:tc>
          <w:tcPr>
            <w:tcW w:w="0" w:type="auto"/>
          </w:tcPr>
          <w:p w14:paraId="42F1ED3F" w14:textId="276CF5AD" w:rsidR="006D1DDC" w:rsidRPr="004D7EF6" w:rsidRDefault="006D1DDC" w:rsidP="00F92190">
            <w:pPr>
              <w:pStyle w:val="NoSpacing"/>
              <w:rPr>
                <w:rFonts w:cs="Arial"/>
                <w:sz w:val="16"/>
                <w:szCs w:val="16"/>
                <w:vertAlign w:val="superscript"/>
              </w:rPr>
            </w:pPr>
            <w:r w:rsidRPr="00D46D25">
              <w:rPr>
                <w:rFonts w:cs="Arial"/>
                <w:sz w:val="16"/>
                <w:szCs w:val="16"/>
              </w:rPr>
              <w:t>Schumann (2012)</w:t>
            </w:r>
            <w:r w:rsidR="004D7EF6">
              <w:rPr>
                <w:rFonts w:cs="Arial"/>
                <w:sz w:val="16"/>
                <w:szCs w:val="16"/>
                <w:vertAlign w:val="superscript"/>
              </w:rPr>
              <w:t>52</w:t>
            </w:r>
          </w:p>
        </w:tc>
        <w:tc>
          <w:tcPr>
            <w:tcW w:w="0" w:type="auto"/>
          </w:tcPr>
          <w:p w14:paraId="56277050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To investigate how family physicians diagnose depression</w:t>
            </w:r>
          </w:p>
          <w:p w14:paraId="420C9284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and what their concepts of depression and the perceived barriers are when diagnosing depression.</w:t>
            </w:r>
          </w:p>
        </w:tc>
        <w:tc>
          <w:tcPr>
            <w:tcW w:w="0" w:type="auto"/>
          </w:tcPr>
          <w:p w14:paraId="775DA98B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Pubmed, PsychINFO and Embase</w:t>
            </w:r>
          </w:p>
          <w:p w14:paraId="5F3E204C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(inception-April 2010)</w:t>
            </w:r>
          </w:p>
        </w:tc>
        <w:tc>
          <w:tcPr>
            <w:tcW w:w="0" w:type="auto"/>
          </w:tcPr>
          <w:p w14:paraId="6D69E58A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1995-2009</w:t>
            </w:r>
          </w:p>
        </w:tc>
        <w:tc>
          <w:tcPr>
            <w:tcW w:w="0" w:type="auto"/>
          </w:tcPr>
          <w:p w14:paraId="1297C87C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15 articles reporting 13 studies:</w:t>
            </w:r>
          </w:p>
          <w:p w14:paraId="63F2FF82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Qualitative interviews (11), mixed (2)</w:t>
            </w:r>
          </w:p>
        </w:tc>
      </w:tr>
      <w:tr w:rsidR="006D1DDC" w:rsidRPr="008E7597" w14:paraId="72CB950A" w14:textId="77777777" w:rsidTr="0033158F">
        <w:tc>
          <w:tcPr>
            <w:tcW w:w="0" w:type="auto"/>
          </w:tcPr>
          <w:p w14:paraId="64230E37" w14:textId="699E61A7" w:rsidR="006D1DDC" w:rsidRPr="004D7EF6" w:rsidRDefault="006D1DDC" w:rsidP="00F92190">
            <w:pPr>
              <w:pStyle w:val="NoSpacing"/>
              <w:rPr>
                <w:rFonts w:cs="Arial"/>
                <w:sz w:val="16"/>
                <w:szCs w:val="16"/>
                <w:vertAlign w:val="superscript"/>
              </w:rPr>
            </w:pPr>
            <w:r w:rsidRPr="00D46D25">
              <w:rPr>
                <w:rFonts w:cs="Arial"/>
                <w:sz w:val="16"/>
                <w:szCs w:val="16"/>
              </w:rPr>
              <w:t>McDonagh (2018)</w:t>
            </w:r>
            <w:r w:rsidR="004D7EF6">
              <w:rPr>
                <w:rFonts w:cs="Arial"/>
                <w:sz w:val="16"/>
                <w:szCs w:val="16"/>
                <w:vertAlign w:val="superscript"/>
              </w:rPr>
              <w:t>60</w:t>
            </w:r>
          </w:p>
        </w:tc>
        <w:tc>
          <w:tcPr>
            <w:tcW w:w="0" w:type="auto"/>
          </w:tcPr>
          <w:p w14:paraId="2FE546D9" w14:textId="77777777" w:rsidR="006D1DDC" w:rsidRPr="00D46D25" w:rsidRDefault="006D1DDC" w:rsidP="00F92190">
            <w:pPr>
              <w:pStyle w:val="NoSpacing"/>
              <w:rPr>
                <w:rFonts w:cs="Arial"/>
                <w:color w:val="131413"/>
                <w:sz w:val="16"/>
                <w:szCs w:val="16"/>
              </w:rPr>
            </w:pPr>
            <w:r w:rsidRPr="00D46D25">
              <w:rPr>
                <w:rFonts w:cs="Arial"/>
                <w:color w:val="131413"/>
                <w:sz w:val="16"/>
                <w:szCs w:val="16"/>
              </w:rPr>
              <w:t>To identify barriers and facilitators to chlamydia testing for young people and primary care practitioners in general practice.</w:t>
            </w:r>
          </w:p>
          <w:p w14:paraId="09DBB7C5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4D25B83D" w14:textId="77777777" w:rsidR="006D1DDC" w:rsidRPr="00D46D25" w:rsidRDefault="006D1DDC" w:rsidP="00F92190">
            <w:pPr>
              <w:pStyle w:val="NoSpacing"/>
              <w:rPr>
                <w:rFonts w:cs="Arial"/>
                <w:color w:val="131413"/>
                <w:sz w:val="16"/>
                <w:szCs w:val="16"/>
              </w:rPr>
            </w:pPr>
            <w:r w:rsidRPr="00D46D25">
              <w:rPr>
                <w:rFonts w:cs="Arial"/>
                <w:color w:val="131413"/>
                <w:sz w:val="16"/>
                <w:szCs w:val="16"/>
              </w:rPr>
              <w:t>MEDLINE, PubMed, Embase, Informit,</w:t>
            </w:r>
            <w:r>
              <w:rPr>
                <w:rFonts w:cs="Arial"/>
                <w:color w:val="131413"/>
                <w:sz w:val="16"/>
                <w:szCs w:val="16"/>
              </w:rPr>
              <w:t xml:space="preserve"> </w:t>
            </w:r>
            <w:r w:rsidRPr="00D46D25">
              <w:rPr>
                <w:rFonts w:cs="Arial"/>
                <w:color w:val="131413"/>
                <w:sz w:val="16"/>
                <w:szCs w:val="16"/>
              </w:rPr>
              <w:t>Web of Science, PsycINFO, Scopus</w:t>
            </w:r>
          </w:p>
          <w:p w14:paraId="3B19D46D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color w:val="131413"/>
                <w:sz w:val="16"/>
                <w:szCs w:val="16"/>
              </w:rPr>
              <w:t>(January 2000- April 2018)</w:t>
            </w:r>
          </w:p>
        </w:tc>
        <w:tc>
          <w:tcPr>
            <w:tcW w:w="0" w:type="auto"/>
          </w:tcPr>
          <w:p w14:paraId="68F73263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2003-2017</w:t>
            </w:r>
          </w:p>
        </w:tc>
        <w:tc>
          <w:tcPr>
            <w:tcW w:w="0" w:type="auto"/>
          </w:tcPr>
          <w:p w14:paraId="6E54E32B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25 studies:</w:t>
            </w:r>
          </w:p>
          <w:p w14:paraId="499BD557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•Qualitative interviews/focus groups (12), qualitative evaluation of intervention (1), qualitative feasibility study for RCT (1)</w:t>
            </w:r>
          </w:p>
          <w:p w14:paraId="7A545A05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•Quantitative questionnaires (5), questionnaires following pilot RCT (2), uncontrolled before-and-after trial (1)</w:t>
            </w:r>
          </w:p>
          <w:p w14:paraId="110E75D8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•Mixed methods (3)</w:t>
            </w:r>
          </w:p>
        </w:tc>
      </w:tr>
      <w:tr w:rsidR="006D1DDC" w:rsidRPr="008E7597" w14:paraId="6BCF518B" w14:textId="77777777" w:rsidTr="0033158F">
        <w:tc>
          <w:tcPr>
            <w:tcW w:w="0" w:type="auto"/>
          </w:tcPr>
          <w:p w14:paraId="07219BF8" w14:textId="521F6A21" w:rsidR="006D1DDC" w:rsidRPr="004D7EF6" w:rsidRDefault="006D1DDC" w:rsidP="00F92190">
            <w:pPr>
              <w:pStyle w:val="NoSpacing"/>
              <w:rPr>
                <w:rFonts w:cs="Arial"/>
                <w:sz w:val="16"/>
                <w:szCs w:val="16"/>
                <w:vertAlign w:val="superscript"/>
              </w:rPr>
            </w:pPr>
            <w:r w:rsidRPr="00D46D25">
              <w:rPr>
                <w:rFonts w:cs="Arial"/>
                <w:sz w:val="16"/>
                <w:szCs w:val="16"/>
              </w:rPr>
              <w:t>Ogeil (2020)</w:t>
            </w:r>
            <w:r w:rsidR="004D7EF6">
              <w:rPr>
                <w:rFonts w:cs="Arial"/>
                <w:sz w:val="16"/>
                <w:szCs w:val="16"/>
                <w:vertAlign w:val="superscript"/>
              </w:rPr>
              <w:t>33</w:t>
            </w:r>
          </w:p>
        </w:tc>
        <w:tc>
          <w:tcPr>
            <w:tcW w:w="0" w:type="auto"/>
          </w:tcPr>
          <w:p w14:paraId="2F692BF9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color w:val="131413"/>
                <w:sz w:val="16"/>
                <w:szCs w:val="16"/>
              </w:rPr>
              <w:t>To examine barriers to the assessment and diagnosis of insomnia in family practice from both the clinician and patient perspective.</w:t>
            </w:r>
          </w:p>
        </w:tc>
        <w:tc>
          <w:tcPr>
            <w:tcW w:w="0" w:type="auto"/>
          </w:tcPr>
          <w:p w14:paraId="70C8AFBE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color w:val="131413"/>
                <w:sz w:val="16"/>
                <w:szCs w:val="16"/>
              </w:rPr>
              <w:t>MEDLINE and Google Scholar</w:t>
            </w:r>
          </w:p>
        </w:tc>
        <w:tc>
          <w:tcPr>
            <w:tcW w:w="0" w:type="auto"/>
          </w:tcPr>
          <w:p w14:paraId="5E0B0661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1980-2015</w:t>
            </w:r>
          </w:p>
        </w:tc>
        <w:tc>
          <w:tcPr>
            <w:tcW w:w="0" w:type="auto"/>
          </w:tcPr>
          <w:p w14:paraId="6800A8E7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 xml:space="preserve">10 studies: </w:t>
            </w:r>
          </w:p>
          <w:p w14:paraId="7C5C94CF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•Quantitative surveys/ questionnaires (7)</w:t>
            </w:r>
          </w:p>
          <w:p w14:paraId="06C5C2D0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•Qualitative focus groups/interviews (3)</w:t>
            </w:r>
          </w:p>
        </w:tc>
      </w:tr>
      <w:tr w:rsidR="006D1DDC" w:rsidRPr="008E7597" w14:paraId="51A85FCB" w14:textId="77777777" w:rsidTr="0033158F">
        <w:tc>
          <w:tcPr>
            <w:tcW w:w="0" w:type="auto"/>
          </w:tcPr>
          <w:p w14:paraId="0B78333E" w14:textId="57EDC176" w:rsidR="006D1DDC" w:rsidRPr="004D7EF6" w:rsidRDefault="006D1DDC" w:rsidP="00F92190">
            <w:pPr>
              <w:pStyle w:val="NoSpacing"/>
              <w:rPr>
                <w:rFonts w:cs="Arial"/>
                <w:sz w:val="16"/>
                <w:szCs w:val="16"/>
                <w:vertAlign w:val="superscript"/>
              </w:rPr>
            </w:pPr>
            <w:r w:rsidRPr="00D46D25">
              <w:rPr>
                <w:rFonts w:cs="Arial"/>
                <w:sz w:val="16"/>
                <w:szCs w:val="16"/>
              </w:rPr>
              <w:t>Yeung (2015)</w:t>
            </w:r>
            <w:r w:rsidR="004D7EF6">
              <w:rPr>
                <w:rFonts w:cs="Arial"/>
                <w:sz w:val="16"/>
                <w:szCs w:val="16"/>
                <w:vertAlign w:val="superscript"/>
              </w:rPr>
              <w:t>64</w:t>
            </w:r>
          </w:p>
        </w:tc>
        <w:tc>
          <w:tcPr>
            <w:tcW w:w="0" w:type="auto"/>
          </w:tcPr>
          <w:p w14:paraId="1D527AD0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To identify the barriers and facilitators to chlamydia testing in the primary care setting.</w:t>
            </w:r>
          </w:p>
        </w:tc>
        <w:tc>
          <w:tcPr>
            <w:tcW w:w="0" w:type="auto"/>
          </w:tcPr>
          <w:p w14:paraId="003E3444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Medline, PubMed, Informit Health Collection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D46D25">
              <w:rPr>
                <w:rFonts w:cs="Arial"/>
                <w:sz w:val="16"/>
                <w:szCs w:val="16"/>
              </w:rPr>
              <w:t>(Meditext), PsycInfo, Scopus and Web of Science (1997-November 2013)</w:t>
            </w:r>
          </w:p>
        </w:tc>
        <w:tc>
          <w:tcPr>
            <w:tcW w:w="0" w:type="auto"/>
          </w:tcPr>
          <w:p w14:paraId="6D67B8BE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1998-2012</w:t>
            </w:r>
          </w:p>
        </w:tc>
        <w:tc>
          <w:tcPr>
            <w:tcW w:w="0" w:type="auto"/>
          </w:tcPr>
          <w:p w14:paraId="3F273907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37 studies:</w:t>
            </w:r>
          </w:p>
          <w:p w14:paraId="5EC387E6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•Quantitative surveys/ questionnaires (17), RCTs (5), audits (2), retrospective analysis (1), evaluations (1), observational descriptive (1), screening programme (1), uncontrolled intervention study (1)</w:t>
            </w:r>
          </w:p>
          <w:p w14:paraId="0E4171E7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•Qualitative interviews/ focus groups (4)</w:t>
            </w:r>
          </w:p>
          <w:p w14:paraId="7FBB5B3E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 xml:space="preserve">•Mixed methods (4) </w:t>
            </w:r>
          </w:p>
        </w:tc>
      </w:tr>
      <w:tr w:rsidR="006D1DDC" w:rsidRPr="008E7597" w14:paraId="41AED806" w14:textId="77777777" w:rsidTr="0033158F">
        <w:tc>
          <w:tcPr>
            <w:tcW w:w="0" w:type="auto"/>
          </w:tcPr>
          <w:p w14:paraId="436FDBC4" w14:textId="0E95D70C" w:rsidR="006D1DDC" w:rsidRPr="004D7EF6" w:rsidRDefault="006D1DDC" w:rsidP="00F92190">
            <w:pPr>
              <w:pStyle w:val="NoSpacing"/>
              <w:rPr>
                <w:rFonts w:cs="Arial"/>
                <w:sz w:val="16"/>
                <w:szCs w:val="16"/>
                <w:vertAlign w:val="superscript"/>
              </w:rPr>
            </w:pPr>
            <w:r w:rsidRPr="00D46D25">
              <w:rPr>
                <w:rFonts w:cs="Arial"/>
                <w:sz w:val="16"/>
                <w:szCs w:val="16"/>
              </w:rPr>
              <w:t>De Vleminck (2013)</w:t>
            </w:r>
            <w:r w:rsidR="004D7EF6">
              <w:rPr>
                <w:rFonts w:cs="Arial"/>
                <w:sz w:val="16"/>
                <w:szCs w:val="16"/>
                <w:vertAlign w:val="superscript"/>
              </w:rPr>
              <w:t>58</w:t>
            </w:r>
          </w:p>
        </w:tc>
        <w:tc>
          <w:tcPr>
            <w:tcW w:w="0" w:type="auto"/>
          </w:tcPr>
          <w:p w14:paraId="354ED30F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To identify the perceived factors hindering or facilitating GPs in engaging in advance care planning (ACP) with their patients about care at the end of life</w:t>
            </w:r>
          </w:p>
        </w:tc>
        <w:tc>
          <w:tcPr>
            <w:tcW w:w="0" w:type="auto"/>
          </w:tcPr>
          <w:p w14:paraId="2C03ACA9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PubMed, CINAHL, EMBASE, PsycINFO</w:t>
            </w:r>
          </w:p>
        </w:tc>
        <w:tc>
          <w:tcPr>
            <w:tcW w:w="0" w:type="auto"/>
          </w:tcPr>
          <w:p w14:paraId="24038A71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1990-2011</w:t>
            </w:r>
          </w:p>
        </w:tc>
        <w:tc>
          <w:tcPr>
            <w:tcW w:w="0" w:type="auto"/>
          </w:tcPr>
          <w:p w14:paraId="36E2C99F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 xml:space="preserve">15 studies: </w:t>
            </w:r>
          </w:p>
          <w:p w14:paraId="355DB7EC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•Qualitative interviews/focus groups (8)</w:t>
            </w:r>
          </w:p>
          <w:p w14:paraId="6765A66F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•Cross-sectional questionnaires/analysis of death certificates (7)</w:t>
            </w:r>
          </w:p>
        </w:tc>
      </w:tr>
      <w:tr w:rsidR="006D1DDC" w:rsidRPr="008E7597" w14:paraId="3064C00C" w14:textId="77777777" w:rsidTr="0033158F">
        <w:tc>
          <w:tcPr>
            <w:tcW w:w="0" w:type="auto"/>
          </w:tcPr>
          <w:p w14:paraId="6BA24701" w14:textId="15BF71FB" w:rsidR="006D1DDC" w:rsidRPr="004D7EF6" w:rsidRDefault="006D1DDC" w:rsidP="00F92190">
            <w:pPr>
              <w:pStyle w:val="NoSpacing"/>
              <w:rPr>
                <w:rFonts w:cs="Arial"/>
                <w:sz w:val="16"/>
                <w:szCs w:val="16"/>
                <w:vertAlign w:val="superscript"/>
              </w:rPr>
            </w:pPr>
            <w:r w:rsidRPr="00D46D25">
              <w:rPr>
                <w:rFonts w:cs="Arial"/>
                <w:sz w:val="16"/>
                <w:szCs w:val="16"/>
              </w:rPr>
              <w:t>*Vogt (2005)</w:t>
            </w:r>
            <w:r w:rsidR="004D7EF6">
              <w:rPr>
                <w:rFonts w:cs="Arial"/>
                <w:sz w:val="16"/>
                <w:szCs w:val="16"/>
                <w:vertAlign w:val="superscript"/>
              </w:rPr>
              <w:t>56</w:t>
            </w:r>
          </w:p>
        </w:tc>
        <w:tc>
          <w:tcPr>
            <w:tcW w:w="0" w:type="auto"/>
          </w:tcPr>
          <w:p w14:paraId="274BF415" w14:textId="3A9B4E6D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To estimate the proportion of GPs and family physicians with negative beliefs and attitudes towards discussing smoking</w:t>
            </w:r>
            <w:r w:rsidR="00373E67">
              <w:rPr>
                <w:rFonts w:cs="Arial"/>
                <w:sz w:val="16"/>
                <w:szCs w:val="16"/>
              </w:rPr>
              <w:t xml:space="preserve"> </w:t>
            </w:r>
            <w:r w:rsidRPr="00D46D25">
              <w:rPr>
                <w:rFonts w:cs="Arial"/>
                <w:sz w:val="16"/>
                <w:szCs w:val="16"/>
              </w:rPr>
              <w:t>cessation with patients.</w:t>
            </w:r>
          </w:p>
        </w:tc>
        <w:tc>
          <w:tcPr>
            <w:tcW w:w="0" w:type="auto"/>
          </w:tcPr>
          <w:p w14:paraId="27DFA3FF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AMED, CANCERLIT CINAHL, EMBASE, MEDLINE DAILY</w:t>
            </w:r>
          </w:p>
          <w:p w14:paraId="49A3235C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UPDATE, MEDLINE, PsycLIT HMIC, PreMedline (inception-January 2005)</w:t>
            </w:r>
          </w:p>
        </w:tc>
        <w:tc>
          <w:tcPr>
            <w:tcW w:w="0" w:type="auto"/>
          </w:tcPr>
          <w:p w14:paraId="12906355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1988-2004</w:t>
            </w:r>
          </w:p>
        </w:tc>
        <w:tc>
          <w:tcPr>
            <w:tcW w:w="0" w:type="auto"/>
          </w:tcPr>
          <w:p w14:paraId="483F5E5D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20 studies:</w:t>
            </w:r>
          </w:p>
          <w:p w14:paraId="4213EF40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Surveys (18), surveys part of intervention studies (2)</w:t>
            </w:r>
          </w:p>
          <w:p w14:paraId="11CE3F72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</w:p>
        </w:tc>
      </w:tr>
      <w:tr w:rsidR="006D1DDC" w:rsidRPr="008E7597" w14:paraId="55177EE3" w14:textId="77777777" w:rsidTr="0033158F">
        <w:tc>
          <w:tcPr>
            <w:tcW w:w="0" w:type="auto"/>
          </w:tcPr>
          <w:p w14:paraId="242858B7" w14:textId="303A4957" w:rsidR="006D1DDC" w:rsidRPr="004D7EF6" w:rsidRDefault="006D1DDC" w:rsidP="00F92190">
            <w:pPr>
              <w:pStyle w:val="NoSpacing"/>
              <w:rPr>
                <w:rFonts w:cs="Arial"/>
                <w:sz w:val="16"/>
                <w:szCs w:val="16"/>
                <w:vertAlign w:val="superscript"/>
              </w:rPr>
            </w:pPr>
            <w:r w:rsidRPr="00D46D25">
              <w:rPr>
                <w:rFonts w:cs="Arial"/>
                <w:sz w:val="16"/>
                <w:szCs w:val="16"/>
              </w:rPr>
              <w:t>Zwolsman (2012)</w:t>
            </w:r>
            <w:r w:rsidR="004D7EF6">
              <w:rPr>
                <w:rFonts w:cs="Arial"/>
                <w:sz w:val="16"/>
                <w:szCs w:val="16"/>
                <w:vertAlign w:val="superscript"/>
              </w:rPr>
              <w:t>65</w:t>
            </w:r>
          </w:p>
        </w:tc>
        <w:tc>
          <w:tcPr>
            <w:tcW w:w="0" w:type="auto"/>
          </w:tcPr>
          <w:p w14:paraId="3AE01B7A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 xml:space="preserve">To determine the barriers encountered by GPs in the practice of evidence-based medicine (EBM) and to come up with solutions to the barriers identified. </w:t>
            </w:r>
          </w:p>
        </w:tc>
        <w:tc>
          <w:tcPr>
            <w:tcW w:w="0" w:type="auto"/>
          </w:tcPr>
          <w:p w14:paraId="428AFD99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MEDLINE (PubMed), Embase, CINAHL, ERIC, Cochrane Library (inception-February 2011)</w:t>
            </w:r>
          </w:p>
        </w:tc>
        <w:tc>
          <w:tcPr>
            <w:tcW w:w="0" w:type="auto"/>
          </w:tcPr>
          <w:p w14:paraId="692FAE19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1997-2010</w:t>
            </w:r>
          </w:p>
        </w:tc>
        <w:tc>
          <w:tcPr>
            <w:tcW w:w="0" w:type="auto"/>
          </w:tcPr>
          <w:p w14:paraId="6536D4EA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22 studies:</w:t>
            </w:r>
          </w:p>
          <w:p w14:paraId="0392FB10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•Cross-sectional surveys (11), survey part of RCT (1)</w:t>
            </w:r>
          </w:p>
          <w:p w14:paraId="38B6576D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•Qualitative interviews/focus groups/Balint style groups (9)</w:t>
            </w:r>
          </w:p>
          <w:p w14:paraId="4644B66E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•Mixed methods (1)</w:t>
            </w:r>
          </w:p>
        </w:tc>
      </w:tr>
      <w:tr w:rsidR="006D1DDC" w:rsidRPr="008E7597" w14:paraId="7E472E01" w14:textId="77777777" w:rsidTr="0033158F">
        <w:tc>
          <w:tcPr>
            <w:tcW w:w="0" w:type="auto"/>
          </w:tcPr>
          <w:p w14:paraId="016BBE02" w14:textId="24E8D13B" w:rsidR="006D1DDC" w:rsidRPr="004D7EF6" w:rsidRDefault="006D1DDC" w:rsidP="00F92190">
            <w:pPr>
              <w:pStyle w:val="NoSpacing"/>
              <w:rPr>
                <w:rFonts w:cs="Arial"/>
                <w:sz w:val="16"/>
                <w:szCs w:val="16"/>
                <w:vertAlign w:val="superscript"/>
              </w:rPr>
            </w:pPr>
            <w:r w:rsidRPr="00D46D25">
              <w:rPr>
                <w:rFonts w:cs="Arial"/>
                <w:sz w:val="16"/>
                <w:szCs w:val="16"/>
              </w:rPr>
              <w:t>Carlsen (2007)</w:t>
            </w:r>
            <w:r w:rsidR="004D7EF6">
              <w:rPr>
                <w:rFonts w:cs="Arial"/>
                <w:sz w:val="16"/>
                <w:szCs w:val="16"/>
                <w:vertAlign w:val="superscript"/>
              </w:rPr>
              <w:t>49</w:t>
            </w:r>
          </w:p>
        </w:tc>
        <w:tc>
          <w:tcPr>
            <w:tcW w:w="0" w:type="auto"/>
          </w:tcPr>
          <w:p w14:paraId="1D6509A7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To explore and synthesise qualitative research on GPs’ attitudes to and experiences with clinical practice guidelines.</w:t>
            </w:r>
          </w:p>
        </w:tc>
        <w:tc>
          <w:tcPr>
            <w:tcW w:w="0" w:type="auto"/>
          </w:tcPr>
          <w:p w14:paraId="4830049D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PubMed,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D46D25">
              <w:rPr>
                <w:rFonts w:cs="Arial"/>
                <w:sz w:val="16"/>
                <w:szCs w:val="16"/>
              </w:rPr>
              <w:t>CINAHL, EMBASE, Social Science Citation Index, and</w:t>
            </w:r>
          </w:p>
          <w:p w14:paraId="752DE22C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Science Citation Index (inception-Nov 2006)</w:t>
            </w:r>
          </w:p>
        </w:tc>
        <w:tc>
          <w:tcPr>
            <w:tcW w:w="0" w:type="auto"/>
          </w:tcPr>
          <w:p w14:paraId="7C4AA020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1998-2006</w:t>
            </w:r>
          </w:p>
        </w:tc>
        <w:tc>
          <w:tcPr>
            <w:tcW w:w="0" w:type="auto"/>
          </w:tcPr>
          <w:p w14:paraId="55EDEC6D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12 studies:</w:t>
            </w:r>
          </w:p>
          <w:p w14:paraId="2393F4BB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Qualitative interviews (5), focus groups (7)</w:t>
            </w:r>
          </w:p>
          <w:p w14:paraId="7E206952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</w:p>
          <w:p w14:paraId="3C756241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</w:p>
        </w:tc>
      </w:tr>
      <w:tr w:rsidR="006D1DDC" w:rsidRPr="008E7597" w14:paraId="79709100" w14:textId="77777777" w:rsidTr="0033158F">
        <w:tc>
          <w:tcPr>
            <w:tcW w:w="0" w:type="auto"/>
          </w:tcPr>
          <w:p w14:paraId="0BBCC6C4" w14:textId="7297A04B" w:rsidR="006D1DDC" w:rsidRPr="004D7EF6" w:rsidRDefault="006D1DDC" w:rsidP="00F92190">
            <w:pPr>
              <w:pStyle w:val="NoSpacing"/>
              <w:rPr>
                <w:rFonts w:cs="Arial"/>
                <w:sz w:val="16"/>
                <w:szCs w:val="16"/>
                <w:vertAlign w:val="superscript"/>
              </w:rPr>
            </w:pPr>
            <w:r w:rsidRPr="00D46D25">
              <w:rPr>
                <w:rFonts w:cs="Arial"/>
                <w:sz w:val="16"/>
                <w:szCs w:val="16"/>
              </w:rPr>
              <w:t>Vedel (2011)</w:t>
            </w:r>
            <w:r w:rsidR="004D7EF6">
              <w:rPr>
                <w:rFonts w:cs="Arial"/>
                <w:sz w:val="16"/>
                <w:szCs w:val="16"/>
                <w:vertAlign w:val="superscript"/>
              </w:rPr>
              <w:t>55</w:t>
            </w:r>
          </w:p>
        </w:tc>
        <w:tc>
          <w:tcPr>
            <w:tcW w:w="0" w:type="auto"/>
          </w:tcPr>
          <w:p w14:paraId="6421FDFB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To determine the barriers and facilitators to breast and colorectal cancer screening of older adults, from the perspectives of patients and PCPs.</w:t>
            </w:r>
          </w:p>
        </w:tc>
        <w:tc>
          <w:tcPr>
            <w:tcW w:w="0" w:type="auto"/>
          </w:tcPr>
          <w:p w14:paraId="0719698B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Medline, Web of Science,</w:t>
            </w:r>
          </w:p>
          <w:p w14:paraId="74F2A76D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Cochrane Database of Systematic Reviews, EMBASE, CINAHL, PsychInfo, SocINDEX, Sociofile/</w:t>
            </w:r>
          </w:p>
          <w:p w14:paraId="1C0DE7B4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lastRenderedPageBreak/>
              <w:t>Sociological Abstract (2000-August 2008)</w:t>
            </w:r>
          </w:p>
        </w:tc>
        <w:tc>
          <w:tcPr>
            <w:tcW w:w="0" w:type="auto"/>
          </w:tcPr>
          <w:p w14:paraId="5C7E9578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lastRenderedPageBreak/>
              <w:t>2001-2008</w:t>
            </w:r>
          </w:p>
        </w:tc>
        <w:tc>
          <w:tcPr>
            <w:tcW w:w="0" w:type="auto"/>
          </w:tcPr>
          <w:p w14:paraId="7F38F575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21 studies:</w:t>
            </w:r>
          </w:p>
          <w:p w14:paraId="472D73AD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Cross-sectional surveys (19), surveys part of trial (1), longitudinal observational study (1)</w:t>
            </w:r>
          </w:p>
          <w:p w14:paraId="35BB9C86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</w:p>
        </w:tc>
      </w:tr>
      <w:tr w:rsidR="006D1DDC" w:rsidRPr="008E7597" w14:paraId="432C21A6" w14:textId="77777777" w:rsidTr="0033158F">
        <w:tc>
          <w:tcPr>
            <w:tcW w:w="0" w:type="auto"/>
          </w:tcPr>
          <w:p w14:paraId="6E77A269" w14:textId="55635F51" w:rsidR="006D1DDC" w:rsidRPr="004D7EF6" w:rsidRDefault="006D1DDC" w:rsidP="00F92190">
            <w:pPr>
              <w:pStyle w:val="NoSpacing"/>
              <w:rPr>
                <w:rFonts w:cs="Arial"/>
                <w:sz w:val="16"/>
                <w:szCs w:val="16"/>
                <w:vertAlign w:val="superscript"/>
              </w:rPr>
            </w:pPr>
            <w:r w:rsidRPr="00D46D25">
              <w:rPr>
                <w:rFonts w:cs="Arial"/>
                <w:sz w:val="16"/>
                <w:szCs w:val="16"/>
              </w:rPr>
              <w:t>Ju (2018)</w:t>
            </w:r>
            <w:r w:rsidR="004D7EF6">
              <w:rPr>
                <w:rFonts w:cs="Arial"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0" w:type="auto"/>
          </w:tcPr>
          <w:p w14:paraId="22DE3E65" w14:textId="037AF83B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To describe</w:t>
            </w:r>
            <w:r w:rsidR="00373E67">
              <w:rPr>
                <w:rFonts w:cs="Arial"/>
                <w:sz w:val="16"/>
                <w:szCs w:val="16"/>
              </w:rPr>
              <w:t xml:space="preserve"> </w:t>
            </w:r>
            <w:r w:rsidRPr="00D46D25">
              <w:rPr>
                <w:rFonts w:cs="Arial"/>
                <w:sz w:val="16"/>
                <w:szCs w:val="16"/>
              </w:rPr>
              <w:t>the perspectives of GPs on the</w:t>
            </w:r>
          </w:p>
          <w:p w14:paraId="315F6D15" w14:textId="52E1334B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prevention of cardiovascular disease (CVD) across different contexts, to support</w:t>
            </w:r>
            <w:r w:rsidR="00373E67">
              <w:rPr>
                <w:rFonts w:cs="Arial"/>
                <w:sz w:val="16"/>
                <w:szCs w:val="16"/>
              </w:rPr>
              <w:t xml:space="preserve"> </w:t>
            </w:r>
            <w:r w:rsidRPr="00D46D25">
              <w:rPr>
                <w:rFonts w:cs="Arial"/>
                <w:sz w:val="16"/>
                <w:szCs w:val="16"/>
              </w:rPr>
              <w:t>decisions and implementation of evidence-based strategies for the prevention of CVD and improved healthcare</w:t>
            </w:r>
            <w:r w:rsidR="00373E67">
              <w:rPr>
                <w:rFonts w:cs="Arial"/>
                <w:sz w:val="16"/>
                <w:szCs w:val="16"/>
              </w:rPr>
              <w:t xml:space="preserve"> </w:t>
            </w:r>
            <w:r w:rsidRPr="00D46D25">
              <w:rPr>
                <w:rFonts w:cs="Arial"/>
                <w:sz w:val="16"/>
                <w:szCs w:val="16"/>
              </w:rPr>
              <w:t>outcomes.</w:t>
            </w:r>
          </w:p>
        </w:tc>
        <w:tc>
          <w:tcPr>
            <w:tcW w:w="0" w:type="auto"/>
          </w:tcPr>
          <w:p w14:paraId="34E88690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 xml:space="preserve">•MEDLINE, Embase, PsycINFO and CINAHL (inception to 15 April 2018) </w:t>
            </w:r>
          </w:p>
          <w:p w14:paraId="577F042C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•ProQuest Dissertation and Thesis database, British Library</w:t>
            </w:r>
          </w:p>
          <w:p w14:paraId="3ECFFF39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Electronic Digital Thesis Online Service, Europe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D46D25">
              <w:rPr>
                <w:rFonts w:cs="Arial"/>
                <w:sz w:val="16"/>
                <w:szCs w:val="16"/>
              </w:rPr>
              <w:t>E-theses Portal for doctoral dissertation</w:t>
            </w:r>
          </w:p>
          <w:p w14:paraId="4C7F157B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•Primary care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D46D25">
              <w:rPr>
                <w:rFonts w:cs="Arial"/>
                <w:sz w:val="16"/>
                <w:szCs w:val="16"/>
              </w:rPr>
              <w:t xml:space="preserve">Journals and Google Scholar </w:t>
            </w:r>
          </w:p>
        </w:tc>
        <w:tc>
          <w:tcPr>
            <w:tcW w:w="0" w:type="auto"/>
          </w:tcPr>
          <w:p w14:paraId="4267FF7A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1994-2017</w:t>
            </w:r>
          </w:p>
        </w:tc>
        <w:tc>
          <w:tcPr>
            <w:tcW w:w="0" w:type="auto"/>
          </w:tcPr>
          <w:p w14:paraId="2AC0C576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34 studies:</w:t>
            </w:r>
          </w:p>
          <w:p w14:paraId="4064070D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Qualitative interviews (22), focus groups (5), questionnaires (4), mixed (3)</w:t>
            </w:r>
          </w:p>
          <w:p w14:paraId="586F46A0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</w:p>
          <w:p w14:paraId="3FF55E36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</w:p>
        </w:tc>
      </w:tr>
      <w:tr w:rsidR="006D1DDC" w:rsidRPr="008E7597" w14:paraId="27BC41A9" w14:textId="77777777" w:rsidTr="0033158F">
        <w:tc>
          <w:tcPr>
            <w:tcW w:w="0" w:type="auto"/>
          </w:tcPr>
          <w:p w14:paraId="0F13A397" w14:textId="749C02F2" w:rsidR="006D1DDC" w:rsidRPr="004D7EF6" w:rsidRDefault="006D1DDC" w:rsidP="00F92190">
            <w:pPr>
              <w:pStyle w:val="NoSpacing"/>
              <w:rPr>
                <w:rFonts w:cs="Arial"/>
                <w:sz w:val="16"/>
                <w:szCs w:val="16"/>
                <w:vertAlign w:val="superscript"/>
              </w:rPr>
            </w:pPr>
            <w:r w:rsidRPr="00D46D25">
              <w:rPr>
                <w:rFonts w:cs="Arial"/>
                <w:sz w:val="16"/>
                <w:szCs w:val="16"/>
              </w:rPr>
              <w:t>Mikat-Stevens (2015)</w:t>
            </w:r>
            <w:r w:rsidR="004D7EF6">
              <w:rPr>
                <w:rFonts w:cs="Arial"/>
                <w:sz w:val="16"/>
                <w:szCs w:val="16"/>
                <w:vertAlign w:val="superscript"/>
              </w:rPr>
              <w:t>61</w:t>
            </w:r>
          </w:p>
        </w:tc>
        <w:tc>
          <w:tcPr>
            <w:tcW w:w="0" w:type="auto"/>
          </w:tcPr>
          <w:p w14:paraId="2A56B477" w14:textId="0DB15C46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To systematically review the literature to identify primary care providers’ perceived barriers against provision of</w:t>
            </w:r>
            <w:r w:rsidR="00373E67">
              <w:rPr>
                <w:rFonts w:cs="Arial"/>
                <w:sz w:val="16"/>
                <w:szCs w:val="16"/>
              </w:rPr>
              <w:t xml:space="preserve"> </w:t>
            </w:r>
            <w:r w:rsidRPr="00D46D25">
              <w:rPr>
                <w:rFonts w:cs="Arial"/>
                <w:sz w:val="16"/>
                <w:szCs w:val="16"/>
              </w:rPr>
              <w:t>genetics services.</w:t>
            </w:r>
          </w:p>
        </w:tc>
        <w:tc>
          <w:tcPr>
            <w:tcW w:w="0" w:type="auto"/>
          </w:tcPr>
          <w:p w14:paraId="5B55F266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PubMed and ERIC (200 Australia (4), 2012)</w:t>
            </w:r>
          </w:p>
        </w:tc>
        <w:tc>
          <w:tcPr>
            <w:tcW w:w="0" w:type="auto"/>
          </w:tcPr>
          <w:p w14:paraId="0B41239A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2001-2011</w:t>
            </w:r>
          </w:p>
        </w:tc>
        <w:tc>
          <w:tcPr>
            <w:tcW w:w="0" w:type="auto"/>
          </w:tcPr>
          <w:p w14:paraId="5CFF77AD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38 studies:</w:t>
            </w:r>
          </w:p>
          <w:p w14:paraId="4F9F128B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•Quantitative surveys (22), methods unclear (1), case-control (1)</w:t>
            </w:r>
          </w:p>
          <w:p w14:paraId="24975183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•Qualitative interviews/focus groups (12), methods unclear (1)</w:t>
            </w:r>
          </w:p>
          <w:p w14:paraId="5C1EE176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•Mixed methods (1)</w:t>
            </w:r>
          </w:p>
        </w:tc>
      </w:tr>
      <w:tr w:rsidR="006D1DDC" w:rsidRPr="008E7597" w14:paraId="4326F4D9" w14:textId="77777777" w:rsidTr="0033158F">
        <w:tc>
          <w:tcPr>
            <w:tcW w:w="0" w:type="auto"/>
          </w:tcPr>
          <w:p w14:paraId="7C2FC968" w14:textId="055CFE34" w:rsidR="006D1DDC" w:rsidRPr="004D7EF6" w:rsidRDefault="006D1DDC" w:rsidP="00F92190">
            <w:pPr>
              <w:pStyle w:val="NoSpacing"/>
              <w:rPr>
                <w:rFonts w:cs="Arial"/>
                <w:sz w:val="16"/>
                <w:szCs w:val="16"/>
                <w:vertAlign w:val="superscript"/>
              </w:rPr>
            </w:pPr>
            <w:r w:rsidRPr="00D46D25">
              <w:rPr>
                <w:rFonts w:cs="Arial"/>
                <w:sz w:val="16"/>
                <w:szCs w:val="16"/>
              </w:rPr>
              <w:t>Schadewaldt (2013)</w:t>
            </w:r>
            <w:r w:rsidR="004D7EF6">
              <w:rPr>
                <w:rFonts w:cs="Arial"/>
                <w:sz w:val="16"/>
                <w:szCs w:val="16"/>
                <w:vertAlign w:val="superscript"/>
              </w:rPr>
              <w:t>63</w:t>
            </w:r>
          </w:p>
        </w:tc>
        <w:tc>
          <w:tcPr>
            <w:tcW w:w="0" w:type="auto"/>
          </w:tcPr>
          <w:p w14:paraId="504E92E4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To summarise the existing evidence about the views and experiences of nurse practitioners and medical practitioners with collaborative practice in primary healthcare settings.</w:t>
            </w:r>
          </w:p>
        </w:tc>
        <w:tc>
          <w:tcPr>
            <w:tcW w:w="0" w:type="auto"/>
          </w:tcPr>
          <w:p w14:paraId="71661542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Cochrane Library, the</w:t>
            </w:r>
          </w:p>
          <w:p w14:paraId="744A7C69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Joanna Briggs Institute Library, PubMed, Medline, CINAHL, Informit, ProQuest (January 1990 to September 2012)</w:t>
            </w:r>
          </w:p>
        </w:tc>
        <w:tc>
          <w:tcPr>
            <w:tcW w:w="0" w:type="auto"/>
          </w:tcPr>
          <w:p w14:paraId="6893B6A9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1990-2012</w:t>
            </w:r>
          </w:p>
        </w:tc>
        <w:tc>
          <w:tcPr>
            <w:tcW w:w="0" w:type="auto"/>
          </w:tcPr>
          <w:p w14:paraId="05D36E9B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 xml:space="preserve">30 articles reporting 27 studies: </w:t>
            </w:r>
          </w:p>
          <w:p w14:paraId="1B46D16E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•Qualitative interviews/focus groups (12), qualitative part of mixed methods studies (2)</w:t>
            </w:r>
          </w:p>
          <w:p w14:paraId="06DD2761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•Quantitative surveys (9), survey part of mixed methods study (1), cross-sectional part of mixed methods study (1)</w:t>
            </w:r>
          </w:p>
          <w:p w14:paraId="6D3C737A" w14:textId="77777777" w:rsidR="006D1DDC" w:rsidRPr="00D46D25" w:rsidRDefault="006D1DDC" w:rsidP="00F92190">
            <w:pPr>
              <w:pStyle w:val="NoSpacing"/>
              <w:rPr>
                <w:rFonts w:cs="Arial"/>
                <w:sz w:val="16"/>
                <w:szCs w:val="16"/>
              </w:rPr>
            </w:pPr>
            <w:r w:rsidRPr="00D46D25">
              <w:rPr>
                <w:rFonts w:cs="Arial"/>
                <w:sz w:val="16"/>
                <w:szCs w:val="16"/>
              </w:rPr>
              <w:t>•Mixed methods evaluation of RCT (1), mixed methods quasi-experimental study (1)</w:t>
            </w:r>
          </w:p>
        </w:tc>
      </w:tr>
    </w:tbl>
    <w:p w14:paraId="41043D6A" w14:textId="488C0777" w:rsidR="00744CC6" w:rsidRDefault="006D1DDC">
      <w:r w:rsidRPr="00E65DFF">
        <w:rPr>
          <w:rFonts w:cs="Arial"/>
          <w:i/>
          <w:iCs/>
          <w:sz w:val="20"/>
          <w:szCs w:val="20"/>
        </w:rPr>
        <w:t>*Clarification obtained from authors on search strategy.</w:t>
      </w:r>
    </w:p>
    <w:sectPr w:rsidR="00744CC6" w:rsidSect="006D1DD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DDC"/>
    <w:rsid w:val="000C6A97"/>
    <w:rsid w:val="0033158F"/>
    <w:rsid w:val="00373E67"/>
    <w:rsid w:val="004D7EF6"/>
    <w:rsid w:val="006D1DDC"/>
    <w:rsid w:val="00870967"/>
    <w:rsid w:val="008F41BD"/>
    <w:rsid w:val="009C2631"/>
    <w:rsid w:val="00A06AAC"/>
    <w:rsid w:val="00A4612D"/>
    <w:rsid w:val="00AB75F4"/>
    <w:rsid w:val="00B501AE"/>
    <w:rsid w:val="00BF78F7"/>
    <w:rsid w:val="00C43417"/>
    <w:rsid w:val="00F4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09E61"/>
  <w15:chartTrackingRefBased/>
  <w15:docId w15:val="{485FB6C4-44E6-46B9-B1EF-D7A92E4F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DDC"/>
    <w:pPr>
      <w:spacing w:after="240" w:line="360" w:lineRule="auto"/>
    </w:pPr>
    <w:rPr>
      <w:rFonts w:ascii="Arial" w:hAnsi="Arial" w:cstheme="minorHAnsi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6D1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D1D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dTable4-Accent1">
    <w:name w:val="Grid Table 4 Accent 1"/>
    <w:basedOn w:val="TableNormal"/>
    <w:uiPriority w:val="49"/>
    <w:rsid w:val="006D1DDC"/>
    <w:pPr>
      <w:spacing w:after="0" w:line="240" w:lineRule="auto"/>
    </w:pPr>
    <w:rPr>
      <w:rFonts w:ascii="Arial" w:hAnsi="Arial" w:cstheme="minorHAnsi"/>
      <w:sz w:val="24"/>
      <w:szCs w:val="24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oSpacing">
    <w:name w:val="No Spacing"/>
    <w:uiPriority w:val="1"/>
    <w:qFormat/>
    <w:rsid w:val="006D1DDC"/>
    <w:pPr>
      <w:spacing w:after="0" w:line="240" w:lineRule="auto"/>
    </w:pPr>
    <w:rPr>
      <w:rFonts w:ascii="Arial" w:hAnsi="Arial" w:cstheme="minorHAnsi"/>
      <w:szCs w:val="24"/>
    </w:rPr>
  </w:style>
  <w:style w:type="table" w:styleId="TableGrid">
    <w:name w:val="Table Grid"/>
    <w:basedOn w:val="TableNormal"/>
    <w:uiPriority w:val="39"/>
    <w:rsid w:val="00331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1228</Words>
  <Characters>7001</Characters>
  <Application>Microsoft Office Word</Application>
  <DocSecurity>0</DocSecurity>
  <Lines>58</Lines>
  <Paragraphs>16</Paragraphs>
  <ScaleCrop>false</ScaleCrop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 Gollaglee</dc:creator>
  <cp:keywords/>
  <dc:description/>
  <cp:lastModifiedBy>Aidan Gollaglee</cp:lastModifiedBy>
  <cp:revision>8</cp:revision>
  <dcterms:created xsi:type="dcterms:W3CDTF">2021-07-27T18:13:00Z</dcterms:created>
  <dcterms:modified xsi:type="dcterms:W3CDTF">2022-06-29T14:43:00Z</dcterms:modified>
</cp:coreProperties>
</file>