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6AAE4" w14:textId="75B9CC42" w:rsidR="007D3560" w:rsidRPr="00AA1179" w:rsidRDefault="007D3560" w:rsidP="008F0484">
      <w:pPr>
        <w:jc w:val="center"/>
        <w:rPr>
          <w:b/>
          <w:bCs/>
          <w:sz w:val="24"/>
          <w:szCs w:val="24"/>
          <w:lang w:val="en-US"/>
        </w:rPr>
      </w:pPr>
      <w:r w:rsidRPr="00AA1179">
        <w:rPr>
          <w:b/>
          <w:bCs/>
          <w:sz w:val="24"/>
          <w:szCs w:val="24"/>
          <w:lang w:val="en-US"/>
        </w:rPr>
        <w:t xml:space="preserve">Critical appraisal of included articles as assessed by </w:t>
      </w:r>
      <w:r>
        <w:rPr>
          <w:b/>
          <w:bCs/>
          <w:sz w:val="24"/>
          <w:szCs w:val="24"/>
          <w:lang w:val="en-US"/>
        </w:rPr>
        <w:t>QI-</w:t>
      </w:r>
      <w:proofErr w:type="gramStart"/>
      <w:r>
        <w:rPr>
          <w:b/>
          <w:bCs/>
          <w:sz w:val="24"/>
          <w:szCs w:val="24"/>
          <w:lang w:val="en-US"/>
        </w:rPr>
        <w:t>MCQS</w:t>
      </w:r>
      <w:r w:rsidRPr="00E44666">
        <w:rPr>
          <w:b/>
          <w:bCs/>
          <w:sz w:val="24"/>
          <w:szCs w:val="24"/>
          <w:vertAlign w:val="superscript"/>
          <w:lang w:val="en-US"/>
        </w:rPr>
        <w:t>1</w:t>
      </w:r>
      <w:proofErr w:type="gramEnd"/>
    </w:p>
    <w:tbl>
      <w:tblPr>
        <w:tblStyle w:val="TableGrid"/>
        <w:tblW w:w="0" w:type="auto"/>
        <w:tblInd w:w="-5" w:type="dxa"/>
        <w:tblLook w:val="04A0" w:firstRow="1" w:lastRow="0" w:firstColumn="1" w:lastColumn="0" w:noHBand="0" w:noVBand="1"/>
      </w:tblPr>
      <w:tblGrid>
        <w:gridCol w:w="7230"/>
        <w:gridCol w:w="1665"/>
        <w:gridCol w:w="1666"/>
        <w:gridCol w:w="1665"/>
        <w:gridCol w:w="1666"/>
      </w:tblGrid>
      <w:tr w:rsidR="009E1B86" w14:paraId="77C6F2D4" w14:textId="77777777" w:rsidTr="00C033C6">
        <w:tc>
          <w:tcPr>
            <w:tcW w:w="7230" w:type="dxa"/>
          </w:tcPr>
          <w:p w14:paraId="5CD4E658" w14:textId="08A76EDF" w:rsidR="009E1B86" w:rsidRPr="00C033C6" w:rsidRDefault="009E1B86" w:rsidP="0092150F">
            <w:pPr>
              <w:rPr>
                <w:b/>
                <w:bCs/>
                <w:sz w:val="20"/>
                <w:szCs w:val="20"/>
              </w:rPr>
            </w:pPr>
            <w:r w:rsidRPr="00C033C6">
              <w:rPr>
                <w:b/>
                <w:bCs/>
                <w:sz w:val="20"/>
                <w:szCs w:val="20"/>
              </w:rPr>
              <w:t>Question</w:t>
            </w:r>
            <w:r w:rsidR="00C033C6">
              <w:rPr>
                <w:b/>
                <w:bCs/>
                <w:sz w:val="20"/>
                <w:szCs w:val="20"/>
              </w:rPr>
              <w:t>s</w:t>
            </w:r>
          </w:p>
        </w:tc>
        <w:tc>
          <w:tcPr>
            <w:tcW w:w="1665" w:type="dxa"/>
            <w:vAlign w:val="center"/>
          </w:tcPr>
          <w:p w14:paraId="6E95A30B" w14:textId="467BE33E" w:rsidR="009E1B86" w:rsidRPr="00C033C6" w:rsidRDefault="009E1B86" w:rsidP="00C033C6">
            <w:pPr>
              <w:jc w:val="center"/>
              <w:rPr>
                <w:b/>
                <w:bCs/>
                <w:sz w:val="20"/>
                <w:szCs w:val="20"/>
              </w:rPr>
            </w:pPr>
            <w:r w:rsidRPr="00C033C6">
              <w:rPr>
                <w:b/>
                <w:bCs/>
                <w:sz w:val="20"/>
                <w:szCs w:val="20"/>
              </w:rPr>
              <w:t>Ahern 2020</w:t>
            </w:r>
          </w:p>
        </w:tc>
        <w:tc>
          <w:tcPr>
            <w:tcW w:w="1666" w:type="dxa"/>
            <w:vAlign w:val="center"/>
          </w:tcPr>
          <w:p w14:paraId="7D9CDE78" w14:textId="25C28403" w:rsidR="009E1B86" w:rsidRPr="00C033C6" w:rsidRDefault="009E1B86" w:rsidP="00C033C6">
            <w:pPr>
              <w:jc w:val="center"/>
              <w:rPr>
                <w:b/>
                <w:bCs/>
                <w:sz w:val="20"/>
                <w:szCs w:val="20"/>
              </w:rPr>
            </w:pPr>
            <w:proofErr w:type="spellStart"/>
            <w:r w:rsidRPr="00C033C6">
              <w:rPr>
                <w:b/>
                <w:bCs/>
                <w:sz w:val="20"/>
                <w:szCs w:val="20"/>
              </w:rPr>
              <w:t>Cadilhac</w:t>
            </w:r>
            <w:proofErr w:type="spellEnd"/>
            <w:r w:rsidRPr="00C033C6">
              <w:rPr>
                <w:b/>
                <w:bCs/>
                <w:sz w:val="20"/>
                <w:szCs w:val="20"/>
              </w:rPr>
              <w:t xml:space="preserve"> 2019</w:t>
            </w:r>
          </w:p>
        </w:tc>
        <w:tc>
          <w:tcPr>
            <w:tcW w:w="1665" w:type="dxa"/>
            <w:vAlign w:val="center"/>
          </w:tcPr>
          <w:p w14:paraId="060F9D01" w14:textId="5159B9E8" w:rsidR="009E1B86" w:rsidRPr="00C033C6" w:rsidRDefault="009E1B86" w:rsidP="00C033C6">
            <w:pPr>
              <w:jc w:val="center"/>
              <w:rPr>
                <w:b/>
                <w:bCs/>
                <w:sz w:val="20"/>
                <w:szCs w:val="20"/>
              </w:rPr>
            </w:pPr>
            <w:proofErr w:type="spellStart"/>
            <w:r w:rsidRPr="00C033C6">
              <w:rPr>
                <w:rFonts w:ascii="Calibri" w:hAnsi="Calibri" w:cs="Calibri"/>
                <w:b/>
                <w:bCs/>
                <w:color w:val="000000"/>
                <w:sz w:val="20"/>
                <w:szCs w:val="20"/>
              </w:rPr>
              <w:t>D</w:t>
            </w:r>
            <w:r w:rsidR="00C033C6">
              <w:rPr>
                <w:rFonts w:ascii="Calibri" w:hAnsi="Calibri" w:cs="Calibri"/>
                <w:b/>
                <w:bCs/>
                <w:color w:val="000000"/>
                <w:sz w:val="20"/>
                <w:szCs w:val="20"/>
              </w:rPr>
              <w:t>yr</w:t>
            </w:r>
            <w:r w:rsidRPr="00C033C6">
              <w:rPr>
                <w:rFonts w:ascii="Calibri" w:hAnsi="Calibri" w:cs="Calibri"/>
                <w:b/>
                <w:bCs/>
                <w:color w:val="000000"/>
                <w:sz w:val="20"/>
                <w:szCs w:val="20"/>
              </w:rPr>
              <w:t>korn</w:t>
            </w:r>
            <w:proofErr w:type="spellEnd"/>
            <w:r w:rsidRPr="00C033C6">
              <w:rPr>
                <w:rFonts w:ascii="Calibri" w:hAnsi="Calibri" w:cs="Calibri"/>
                <w:b/>
                <w:bCs/>
                <w:color w:val="000000"/>
                <w:sz w:val="20"/>
                <w:szCs w:val="20"/>
              </w:rPr>
              <w:t xml:space="preserve"> 2012</w:t>
            </w:r>
          </w:p>
        </w:tc>
        <w:tc>
          <w:tcPr>
            <w:tcW w:w="1666" w:type="dxa"/>
            <w:vAlign w:val="center"/>
          </w:tcPr>
          <w:p w14:paraId="2006E923" w14:textId="42F0B0CD" w:rsidR="009E1B86" w:rsidRPr="00C033C6" w:rsidRDefault="009E1B86" w:rsidP="00C033C6">
            <w:pPr>
              <w:jc w:val="center"/>
              <w:rPr>
                <w:b/>
                <w:bCs/>
                <w:sz w:val="20"/>
                <w:szCs w:val="20"/>
              </w:rPr>
            </w:pPr>
            <w:r w:rsidRPr="00C033C6">
              <w:rPr>
                <w:b/>
                <w:bCs/>
                <w:sz w:val="20"/>
                <w:szCs w:val="20"/>
              </w:rPr>
              <w:t>O’Grady 2007</w:t>
            </w:r>
          </w:p>
        </w:tc>
      </w:tr>
      <w:tr w:rsidR="00C033C6" w14:paraId="0FB4E083" w14:textId="77777777" w:rsidTr="00C033C6">
        <w:tc>
          <w:tcPr>
            <w:tcW w:w="7230" w:type="dxa"/>
          </w:tcPr>
          <w:p w14:paraId="265EAC39" w14:textId="565621C1" w:rsidR="00C033C6" w:rsidRPr="009E1B86" w:rsidRDefault="00C033C6" w:rsidP="00C033C6">
            <w:pPr>
              <w:rPr>
                <w:sz w:val="16"/>
                <w:szCs w:val="16"/>
              </w:rPr>
            </w:pPr>
            <w:r>
              <w:rPr>
                <w:rFonts w:ascii="Calibri" w:hAnsi="Calibri" w:cs="Calibri"/>
                <w:color w:val="000000"/>
                <w:sz w:val="16"/>
                <w:szCs w:val="16"/>
              </w:rPr>
              <w:t xml:space="preserve">1. </w:t>
            </w:r>
            <w:r w:rsidRPr="009E1B86">
              <w:rPr>
                <w:rFonts w:ascii="Calibri" w:hAnsi="Calibri" w:cs="Calibri"/>
                <w:color w:val="000000"/>
                <w:sz w:val="16"/>
                <w:szCs w:val="16"/>
              </w:rPr>
              <w:t xml:space="preserve">Organisational motivation: </w:t>
            </w:r>
            <w:r>
              <w:rPr>
                <w:rFonts w:ascii="Calibri" w:hAnsi="Calibri" w:cs="Calibri"/>
                <w:color w:val="000000"/>
                <w:sz w:val="16"/>
                <w:szCs w:val="16"/>
              </w:rPr>
              <w:t xml:space="preserve">Consider </w:t>
            </w:r>
            <w:r w:rsidRPr="009E1B86">
              <w:rPr>
                <w:rFonts w:ascii="Calibri" w:hAnsi="Calibri" w:cs="Calibri"/>
                <w:color w:val="000000"/>
                <w:sz w:val="16"/>
                <w:szCs w:val="16"/>
              </w:rPr>
              <w:t>quality of care problems</w:t>
            </w:r>
            <w:r>
              <w:rPr>
                <w:rFonts w:ascii="Calibri" w:hAnsi="Calibri" w:cs="Calibri"/>
                <w:color w:val="000000"/>
                <w:sz w:val="16"/>
                <w:szCs w:val="16"/>
              </w:rPr>
              <w:t xml:space="preserve">, </w:t>
            </w:r>
            <w:r w:rsidRPr="009E1B86">
              <w:rPr>
                <w:rFonts w:ascii="Calibri" w:hAnsi="Calibri" w:cs="Calibri"/>
                <w:color w:val="000000"/>
                <w:sz w:val="16"/>
                <w:szCs w:val="16"/>
              </w:rPr>
              <w:t>organi</w:t>
            </w:r>
            <w:r>
              <w:rPr>
                <w:rFonts w:ascii="Calibri" w:hAnsi="Calibri" w:cs="Calibri"/>
                <w:color w:val="000000"/>
                <w:sz w:val="16"/>
                <w:szCs w:val="16"/>
              </w:rPr>
              <w:t>s</w:t>
            </w:r>
            <w:r w:rsidRPr="009E1B86">
              <w:rPr>
                <w:rFonts w:ascii="Calibri" w:hAnsi="Calibri" w:cs="Calibri"/>
                <w:color w:val="000000"/>
                <w:sz w:val="16"/>
                <w:szCs w:val="16"/>
              </w:rPr>
              <w:t>ational problems</w:t>
            </w:r>
            <w:r>
              <w:rPr>
                <w:rFonts w:ascii="Calibri" w:hAnsi="Calibri" w:cs="Calibri"/>
                <w:color w:val="000000"/>
                <w:sz w:val="16"/>
                <w:szCs w:val="16"/>
              </w:rPr>
              <w:t>,</w:t>
            </w:r>
            <w:r w:rsidRPr="009E1B86">
              <w:rPr>
                <w:rFonts w:ascii="Calibri" w:hAnsi="Calibri" w:cs="Calibri"/>
                <w:color w:val="000000"/>
                <w:sz w:val="16"/>
                <w:szCs w:val="16"/>
              </w:rPr>
              <w:t xml:space="preserve"> regulations, legal </w:t>
            </w:r>
            <w:proofErr w:type="gramStart"/>
            <w:r w:rsidRPr="009E1B86">
              <w:rPr>
                <w:rFonts w:ascii="Calibri" w:hAnsi="Calibri" w:cs="Calibri"/>
                <w:color w:val="000000"/>
                <w:sz w:val="16"/>
                <w:szCs w:val="16"/>
              </w:rPr>
              <w:t>constraints</w:t>
            </w:r>
            <w:proofErr w:type="gramEnd"/>
            <w:r w:rsidRPr="009E1B86">
              <w:rPr>
                <w:rFonts w:ascii="Calibri" w:hAnsi="Calibri" w:cs="Calibri"/>
                <w:color w:val="000000"/>
                <w:sz w:val="16"/>
                <w:szCs w:val="16"/>
              </w:rPr>
              <w:t xml:space="preserve"> and external financial incentives at the target organi</w:t>
            </w:r>
            <w:r>
              <w:rPr>
                <w:rFonts w:ascii="Calibri" w:hAnsi="Calibri" w:cs="Calibri"/>
                <w:color w:val="000000"/>
                <w:sz w:val="16"/>
                <w:szCs w:val="16"/>
              </w:rPr>
              <w:t>s</w:t>
            </w:r>
            <w:r w:rsidRPr="009E1B86">
              <w:rPr>
                <w:rFonts w:ascii="Calibri" w:hAnsi="Calibri" w:cs="Calibri"/>
                <w:color w:val="000000"/>
                <w:sz w:val="16"/>
                <w:szCs w:val="16"/>
              </w:rPr>
              <w:t>ation.</w:t>
            </w:r>
          </w:p>
        </w:tc>
        <w:tc>
          <w:tcPr>
            <w:tcW w:w="1665" w:type="dxa"/>
            <w:vAlign w:val="center"/>
          </w:tcPr>
          <w:p w14:paraId="1901CE44" w14:textId="0258587A" w:rsidR="00C033C6" w:rsidRPr="00C033C6" w:rsidRDefault="00C033C6" w:rsidP="00C033C6">
            <w:pPr>
              <w:jc w:val="center"/>
              <w:rPr>
                <w:rFonts w:cstheme="minorHAnsi"/>
                <w:b/>
                <w:bCs/>
                <w:sz w:val="16"/>
                <w:szCs w:val="16"/>
              </w:rPr>
            </w:pPr>
            <w:r w:rsidRPr="00C033C6">
              <w:rPr>
                <w:rFonts w:cstheme="minorHAnsi"/>
                <w:color w:val="000000"/>
                <w:sz w:val="16"/>
                <w:szCs w:val="16"/>
              </w:rPr>
              <w:t>Met</w:t>
            </w:r>
          </w:p>
        </w:tc>
        <w:tc>
          <w:tcPr>
            <w:tcW w:w="1666" w:type="dxa"/>
            <w:vAlign w:val="center"/>
          </w:tcPr>
          <w:p w14:paraId="7552CC15" w14:textId="693936BA" w:rsidR="00C033C6" w:rsidRPr="00C033C6" w:rsidRDefault="00C033C6" w:rsidP="00C033C6">
            <w:pPr>
              <w:jc w:val="center"/>
              <w:rPr>
                <w:rFonts w:cstheme="minorHAnsi"/>
                <w:b/>
                <w:bCs/>
                <w:sz w:val="16"/>
                <w:szCs w:val="16"/>
              </w:rPr>
            </w:pPr>
            <w:r w:rsidRPr="00C033C6">
              <w:rPr>
                <w:rFonts w:cstheme="minorHAnsi"/>
                <w:color w:val="000000"/>
                <w:sz w:val="16"/>
                <w:szCs w:val="16"/>
              </w:rPr>
              <w:t>Met</w:t>
            </w:r>
          </w:p>
        </w:tc>
        <w:tc>
          <w:tcPr>
            <w:tcW w:w="1665" w:type="dxa"/>
            <w:vAlign w:val="center"/>
          </w:tcPr>
          <w:p w14:paraId="046C497A" w14:textId="715A9BF4" w:rsidR="00C033C6" w:rsidRPr="00C033C6" w:rsidRDefault="00C033C6" w:rsidP="00C033C6">
            <w:pPr>
              <w:jc w:val="center"/>
              <w:rPr>
                <w:rFonts w:cstheme="minorHAnsi"/>
                <w:b/>
                <w:bCs/>
                <w:sz w:val="16"/>
                <w:szCs w:val="16"/>
              </w:rPr>
            </w:pPr>
            <w:r w:rsidRPr="00C033C6">
              <w:rPr>
                <w:rFonts w:cstheme="minorHAnsi"/>
                <w:color w:val="000000"/>
                <w:sz w:val="16"/>
                <w:szCs w:val="16"/>
              </w:rPr>
              <w:t>Met</w:t>
            </w:r>
          </w:p>
        </w:tc>
        <w:tc>
          <w:tcPr>
            <w:tcW w:w="1666" w:type="dxa"/>
            <w:vAlign w:val="center"/>
          </w:tcPr>
          <w:p w14:paraId="494B8CEF" w14:textId="38DB1388" w:rsidR="00C033C6" w:rsidRPr="00C033C6" w:rsidRDefault="00C033C6" w:rsidP="00C033C6">
            <w:pPr>
              <w:jc w:val="center"/>
              <w:rPr>
                <w:rFonts w:cstheme="minorHAnsi"/>
                <w:b/>
                <w:bCs/>
                <w:sz w:val="16"/>
                <w:szCs w:val="16"/>
              </w:rPr>
            </w:pPr>
            <w:r w:rsidRPr="00C033C6">
              <w:rPr>
                <w:rFonts w:cstheme="minorHAnsi"/>
                <w:color w:val="000000"/>
                <w:sz w:val="16"/>
                <w:szCs w:val="16"/>
              </w:rPr>
              <w:t>Met</w:t>
            </w:r>
          </w:p>
        </w:tc>
      </w:tr>
      <w:tr w:rsidR="00C033C6" w:rsidRPr="009E1B86" w14:paraId="77671CB1" w14:textId="77777777" w:rsidTr="00C033C6">
        <w:tc>
          <w:tcPr>
            <w:tcW w:w="7230" w:type="dxa"/>
          </w:tcPr>
          <w:p w14:paraId="2915B2F8" w14:textId="39B8A101"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2. </w:t>
            </w:r>
            <w:r w:rsidRPr="009E1B86">
              <w:rPr>
                <w:rFonts w:ascii="Calibri" w:hAnsi="Calibri" w:cs="Calibri"/>
                <w:color w:val="000000"/>
                <w:sz w:val="16"/>
                <w:szCs w:val="16"/>
              </w:rPr>
              <w:t xml:space="preserve">Intervention rationale: </w:t>
            </w:r>
            <w:r>
              <w:rPr>
                <w:rFonts w:ascii="Calibri" w:hAnsi="Calibri" w:cs="Calibri"/>
                <w:color w:val="000000"/>
                <w:sz w:val="16"/>
                <w:szCs w:val="16"/>
              </w:rPr>
              <w:t xml:space="preserve">Consider </w:t>
            </w:r>
            <w:r w:rsidRPr="009E1B86">
              <w:rPr>
                <w:rFonts w:ascii="Calibri" w:hAnsi="Calibri" w:cs="Calibri"/>
                <w:color w:val="000000"/>
                <w:sz w:val="16"/>
                <w:szCs w:val="16"/>
              </w:rPr>
              <w:t>citations of theories, logic models, or existing empirical evidence that links the intervention to its expected effects.</w:t>
            </w:r>
          </w:p>
        </w:tc>
        <w:tc>
          <w:tcPr>
            <w:tcW w:w="1665" w:type="dxa"/>
            <w:vAlign w:val="center"/>
          </w:tcPr>
          <w:p w14:paraId="407FA278" w14:textId="1246E650"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7B88AF48" w14:textId="52F57262"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45B94741" w14:textId="3C1DC1A6"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6FEF6A3E" w14:textId="4789191B"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C033C6" w:rsidRPr="009E1B86" w14:paraId="3AD23191" w14:textId="77777777" w:rsidTr="00C033C6">
        <w:tc>
          <w:tcPr>
            <w:tcW w:w="7230" w:type="dxa"/>
          </w:tcPr>
          <w:p w14:paraId="49C4ADB5" w14:textId="618F6A2C"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3. Intervention </w:t>
            </w:r>
            <w:r w:rsidRPr="009E1B86">
              <w:rPr>
                <w:rFonts w:ascii="Calibri" w:hAnsi="Calibri" w:cs="Calibri"/>
                <w:color w:val="000000"/>
                <w:sz w:val="16"/>
                <w:szCs w:val="16"/>
              </w:rPr>
              <w:t xml:space="preserve">description: </w:t>
            </w:r>
            <w:r>
              <w:rPr>
                <w:rFonts w:ascii="Calibri" w:hAnsi="Calibri" w:cs="Calibri"/>
                <w:color w:val="000000"/>
                <w:sz w:val="16"/>
                <w:szCs w:val="16"/>
              </w:rPr>
              <w:t xml:space="preserve">Consider </w:t>
            </w:r>
            <w:r w:rsidRPr="009E1B86">
              <w:rPr>
                <w:rFonts w:ascii="Calibri" w:hAnsi="Calibri" w:cs="Calibri"/>
                <w:color w:val="000000"/>
                <w:sz w:val="16"/>
                <w:szCs w:val="16"/>
              </w:rPr>
              <w:t xml:space="preserve">details </w:t>
            </w:r>
            <w:r>
              <w:rPr>
                <w:rFonts w:ascii="Calibri" w:hAnsi="Calibri" w:cs="Calibri"/>
                <w:color w:val="000000"/>
                <w:sz w:val="16"/>
                <w:szCs w:val="16"/>
              </w:rPr>
              <w:t xml:space="preserve">describing </w:t>
            </w:r>
            <w:r w:rsidRPr="009E1B86">
              <w:rPr>
                <w:rFonts w:ascii="Calibri" w:hAnsi="Calibri" w:cs="Calibri"/>
                <w:color w:val="000000"/>
                <w:sz w:val="16"/>
                <w:szCs w:val="16"/>
              </w:rPr>
              <w:t>change in delivery of care, provider behavio</w:t>
            </w:r>
            <w:r>
              <w:rPr>
                <w:rFonts w:ascii="Calibri" w:hAnsi="Calibri" w:cs="Calibri"/>
                <w:color w:val="000000"/>
                <w:sz w:val="16"/>
                <w:szCs w:val="16"/>
              </w:rPr>
              <w:t>u</w:t>
            </w:r>
            <w:r w:rsidRPr="009E1B86">
              <w:rPr>
                <w:rFonts w:ascii="Calibri" w:hAnsi="Calibri" w:cs="Calibri"/>
                <w:color w:val="000000"/>
                <w:sz w:val="16"/>
                <w:szCs w:val="16"/>
              </w:rPr>
              <w:t>r or</w:t>
            </w:r>
            <w:r>
              <w:rPr>
                <w:rFonts w:ascii="Calibri" w:hAnsi="Calibri" w:cs="Calibri"/>
                <w:color w:val="000000"/>
                <w:sz w:val="16"/>
                <w:szCs w:val="16"/>
              </w:rPr>
              <w:t xml:space="preserve"> </w:t>
            </w:r>
            <w:r w:rsidRPr="009E1B86">
              <w:rPr>
                <w:rFonts w:ascii="Calibri" w:hAnsi="Calibri" w:cs="Calibri"/>
                <w:color w:val="000000"/>
                <w:sz w:val="16"/>
                <w:szCs w:val="16"/>
              </w:rPr>
              <w:t>organi</w:t>
            </w:r>
            <w:r>
              <w:rPr>
                <w:rFonts w:ascii="Calibri" w:hAnsi="Calibri" w:cs="Calibri"/>
                <w:color w:val="000000"/>
                <w:sz w:val="16"/>
                <w:szCs w:val="16"/>
              </w:rPr>
              <w:t>sational structure</w:t>
            </w:r>
            <w:r w:rsidRPr="009E1B86">
              <w:rPr>
                <w:rFonts w:ascii="Calibri" w:hAnsi="Calibri" w:cs="Calibri"/>
                <w:color w:val="000000"/>
                <w:sz w:val="16"/>
                <w:szCs w:val="16"/>
              </w:rPr>
              <w:t xml:space="preserve"> needed to replicate the intervention including the involved key personnel.</w:t>
            </w:r>
          </w:p>
        </w:tc>
        <w:tc>
          <w:tcPr>
            <w:tcW w:w="1665" w:type="dxa"/>
            <w:vAlign w:val="center"/>
          </w:tcPr>
          <w:p w14:paraId="1948D8E4" w14:textId="44FE4210"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1AB55808" w14:textId="2D31FA43"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39FEDD09" w14:textId="5C9AC742"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0172699B" w14:textId="7194EC55"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C033C6" w:rsidRPr="009E1B86" w14:paraId="5BEBB0B5" w14:textId="77777777" w:rsidTr="00C033C6">
        <w:tc>
          <w:tcPr>
            <w:tcW w:w="7230" w:type="dxa"/>
          </w:tcPr>
          <w:p w14:paraId="2CC4559A" w14:textId="66C919EC"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4. </w:t>
            </w:r>
            <w:r w:rsidRPr="009E1B86">
              <w:rPr>
                <w:rFonts w:ascii="Calibri" w:hAnsi="Calibri" w:cs="Calibri"/>
                <w:color w:val="000000"/>
                <w:sz w:val="16"/>
                <w:szCs w:val="16"/>
              </w:rPr>
              <w:t xml:space="preserve">Organisational characteristics: </w:t>
            </w:r>
            <w:r>
              <w:rPr>
                <w:rFonts w:ascii="Calibri" w:hAnsi="Calibri" w:cs="Calibri"/>
                <w:color w:val="000000"/>
                <w:sz w:val="16"/>
                <w:szCs w:val="16"/>
              </w:rPr>
              <w:t>Consider</w:t>
            </w:r>
            <w:r w:rsidRPr="009E1B86">
              <w:rPr>
                <w:rFonts w:ascii="Calibri" w:hAnsi="Calibri" w:cs="Calibri"/>
                <w:color w:val="000000"/>
                <w:sz w:val="16"/>
                <w:szCs w:val="16"/>
              </w:rPr>
              <w:t xml:space="preserve"> environment (urban/rural, academic/non-academic), type of care (e.g., primary care), size of the organi</w:t>
            </w:r>
            <w:r>
              <w:rPr>
                <w:rFonts w:ascii="Calibri" w:hAnsi="Calibri" w:cs="Calibri"/>
                <w:color w:val="000000"/>
                <w:sz w:val="16"/>
                <w:szCs w:val="16"/>
              </w:rPr>
              <w:t>s</w:t>
            </w:r>
            <w:r w:rsidRPr="009E1B86">
              <w:rPr>
                <w:rFonts w:ascii="Calibri" w:hAnsi="Calibri" w:cs="Calibri"/>
                <w:color w:val="000000"/>
                <w:sz w:val="16"/>
                <w:szCs w:val="16"/>
              </w:rPr>
              <w:t>ation, patient mix, staff mix</w:t>
            </w:r>
            <w:r>
              <w:rPr>
                <w:rFonts w:ascii="Calibri" w:hAnsi="Calibri" w:cs="Calibri"/>
                <w:color w:val="000000"/>
                <w:sz w:val="16"/>
                <w:szCs w:val="16"/>
              </w:rPr>
              <w:t xml:space="preserve"> </w:t>
            </w:r>
            <w:r w:rsidRPr="009E1B86">
              <w:rPr>
                <w:rFonts w:ascii="Calibri" w:hAnsi="Calibri" w:cs="Calibri"/>
                <w:color w:val="000000"/>
                <w:sz w:val="16"/>
                <w:szCs w:val="16"/>
              </w:rPr>
              <w:t>or reimbursement type.</w:t>
            </w:r>
          </w:p>
        </w:tc>
        <w:tc>
          <w:tcPr>
            <w:tcW w:w="1665" w:type="dxa"/>
            <w:vAlign w:val="center"/>
          </w:tcPr>
          <w:p w14:paraId="0314CB31" w14:textId="1734D888"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4FC3CCE6" w14:textId="616385FD"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259872F1" w14:textId="421817AC"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647E5ACB" w14:textId="0985F26C" w:rsidR="00C033C6" w:rsidRPr="00C033C6" w:rsidRDefault="00C033C6" w:rsidP="00C033C6">
            <w:pPr>
              <w:jc w:val="center"/>
              <w:rPr>
                <w:rFonts w:cstheme="minorHAnsi"/>
                <w:color w:val="000000"/>
                <w:sz w:val="16"/>
                <w:szCs w:val="16"/>
              </w:rPr>
            </w:pPr>
            <w:r w:rsidRPr="00C033C6">
              <w:rPr>
                <w:rFonts w:cstheme="minorHAnsi"/>
                <w:color w:val="000000"/>
                <w:sz w:val="16"/>
                <w:szCs w:val="16"/>
              </w:rPr>
              <w:t>Not met</w:t>
            </w:r>
          </w:p>
        </w:tc>
      </w:tr>
      <w:tr w:rsidR="00C033C6" w:rsidRPr="009E1B86" w14:paraId="36C570E9" w14:textId="77777777" w:rsidTr="00C033C6">
        <w:tc>
          <w:tcPr>
            <w:tcW w:w="7230" w:type="dxa"/>
          </w:tcPr>
          <w:p w14:paraId="7BE704DD" w14:textId="5EC20D87"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5. </w:t>
            </w:r>
            <w:r w:rsidRPr="009E1B86">
              <w:rPr>
                <w:rFonts w:ascii="Calibri" w:hAnsi="Calibri" w:cs="Calibri"/>
                <w:color w:val="000000"/>
                <w:sz w:val="16"/>
                <w:szCs w:val="16"/>
              </w:rPr>
              <w:t>Implementation</w:t>
            </w:r>
            <w:r>
              <w:rPr>
                <w:rFonts w:ascii="Calibri" w:hAnsi="Calibri" w:cs="Calibri"/>
                <w:color w:val="000000"/>
                <w:sz w:val="16"/>
                <w:szCs w:val="16"/>
              </w:rPr>
              <w:t xml:space="preserve">: Consider </w:t>
            </w:r>
            <w:r w:rsidRPr="009E1B86">
              <w:rPr>
                <w:rFonts w:ascii="Calibri" w:hAnsi="Calibri" w:cs="Calibri"/>
                <w:color w:val="000000"/>
                <w:sz w:val="16"/>
                <w:szCs w:val="16"/>
              </w:rPr>
              <w:t>types of staff involved, activities or methods used such as pilot testing or Plan-Do-Study-Act cycles, staff education, and involvement of stakeholders in introducing the intervention.</w:t>
            </w:r>
          </w:p>
        </w:tc>
        <w:tc>
          <w:tcPr>
            <w:tcW w:w="1665" w:type="dxa"/>
            <w:vAlign w:val="center"/>
          </w:tcPr>
          <w:p w14:paraId="68B28ED0" w14:textId="6878166B"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251DBD92" w14:textId="6200F22B"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00FE551F" w14:textId="595739A8"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381439E3" w14:textId="024BBA4D"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C033C6" w:rsidRPr="009E1B86" w14:paraId="3DAC26B4" w14:textId="77777777" w:rsidTr="00C033C6">
        <w:tc>
          <w:tcPr>
            <w:tcW w:w="7230" w:type="dxa"/>
          </w:tcPr>
          <w:p w14:paraId="4F897515" w14:textId="3648F131"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6. </w:t>
            </w:r>
            <w:r w:rsidRPr="009E1B86">
              <w:rPr>
                <w:rFonts w:ascii="Calibri" w:hAnsi="Calibri" w:cs="Calibri"/>
                <w:color w:val="000000"/>
                <w:sz w:val="16"/>
                <w:szCs w:val="16"/>
              </w:rPr>
              <w:t>Study design: Co</w:t>
            </w:r>
            <w:r>
              <w:rPr>
                <w:rFonts w:ascii="Calibri" w:hAnsi="Calibri" w:cs="Calibri"/>
                <w:color w:val="000000"/>
                <w:sz w:val="16"/>
                <w:szCs w:val="16"/>
              </w:rPr>
              <w:t xml:space="preserve">nsider </w:t>
            </w:r>
            <w:r w:rsidRPr="009E1B86">
              <w:rPr>
                <w:rFonts w:ascii="Calibri" w:hAnsi="Calibri" w:cs="Calibri"/>
                <w:color w:val="000000"/>
                <w:sz w:val="16"/>
                <w:szCs w:val="16"/>
              </w:rPr>
              <w:t xml:space="preserve">type of evaluation </w:t>
            </w:r>
            <w:r>
              <w:rPr>
                <w:rFonts w:ascii="Calibri" w:hAnsi="Calibri" w:cs="Calibri"/>
                <w:color w:val="000000"/>
                <w:sz w:val="16"/>
                <w:szCs w:val="16"/>
              </w:rPr>
              <w:t xml:space="preserve">and </w:t>
            </w:r>
            <w:r w:rsidRPr="009E1B86">
              <w:rPr>
                <w:rFonts w:ascii="Calibri" w:hAnsi="Calibri" w:cs="Calibri"/>
                <w:color w:val="000000"/>
                <w:sz w:val="16"/>
                <w:szCs w:val="16"/>
              </w:rPr>
              <w:t>how the authors evaluated whether the intervention worked</w:t>
            </w:r>
            <w:r>
              <w:rPr>
                <w:rFonts w:ascii="Calibri" w:hAnsi="Calibri" w:cs="Calibri"/>
                <w:color w:val="000000"/>
                <w:sz w:val="16"/>
                <w:szCs w:val="16"/>
              </w:rPr>
              <w:t>.</w:t>
            </w:r>
          </w:p>
        </w:tc>
        <w:tc>
          <w:tcPr>
            <w:tcW w:w="1665" w:type="dxa"/>
            <w:vAlign w:val="center"/>
          </w:tcPr>
          <w:p w14:paraId="675D89AF" w14:textId="2E36CE67"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0A77DD5D" w14:textId="07990244"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3373E3A5" w14:textId="13F8A1B4"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7FF106E1" w14:textId="4460364E"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C033C6" w:rsidRPr="009E1B86" w14:paraId="587E3899" w14:textId="77777777" w:rsidTr="00C033C6">
        <w:tc>
          <w:tcPr>
            <w:tcW w:w="7230" w:type="dxa"/>
          </w:tcPr>
          <w:p w14:paraId="1055A893" w14:textId="1D3E5928"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7. </w:t>
            </w:r>
            <w:r w:rsidRPr="009E1B86">
              <w:rPr>
                <w:rFonts w:ascii="Calibri" w:hAnsi="Calibri" w:cs="Calibri"/>
                <w:color w:val="000000"/>
                <w:sz w:val="16"/>
                <w:szCs w:val="16"/>
              </w:rPr>
              <w:t xml:space="preserve">Comparator: Consider details about the control group or </w:t>
            </w:r>
            <w:r>
              <w:rPr>
                <w:rFonts w:ascii="Calibri" w:hAnsi="Calibri" w:cs="Calibri"/>
                <w:color w:val="000000"/>
                <w:sz w:val="16"/>
                <w:szCs w:val="16"/>
              </w:rPr>
              <w:t>pre-intervention</w:t>
            </w:r>
            <w:r w:rsidRPr="009E1B86">
              <w:rPr>
                <w:rFonts w:ascii="Calibri" w:hAnsi="Calibri" w:cs="Calibri"/>
                <w:color w:val="000000"/>
                <w:sz w:val="16"/>
                <w:szCs w:val="16"/>
              </w:rPr>
              <w:t xml:space="preserve"> status quo e.g., existing standard of care</w:t>
            </w:r>
            <w:r>
              <w:rPr>
                <w:rFonts w:ascii="Calibri" w:hAnsi="Calibri" w:cs="Calibri"/>
                <w:color w:val="000000"/>
                <w:sz w:val="16"/>
                <w:szCs w:val="16"/>
              </w:rPr>
              <w:t xml:space="preserve">, </w:t>
            </w:r>
            <w:r w:rsidRPr="009E1B86">
              <w:rPr>
                <w:rFonts w:ascii="Calibri" w:hAnsi="Calibri" w:cs="Calibri"/>
                <w:color w:val="000000"/>
                <w:sz w:val="16"/>
                <w:szCs w:val="16"/>
              </w:rPr>
              <w:t>routine care or care processes used in the control group.</w:t>
            </w:r>
          </w:p>
        </w:tc>
        <w:tc>
          <w:tcPr>
            <w:tcW w:w="1665" w:type="dxa"/>
            <w:vAlign w:val="center"/>
          </w:tcPr>
          <w:p w14:paraId="4130D96F" w14:textId="3A1025DA"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0A123C7D" w14:textId="1888FC08"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78A72D9F" w14:textId="5A397E98"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408E1F07" w14:textId="6ABA7631"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C033C6" w:rsidRPr="009E1B86" w14:paraId="265CB740" w14:textId="77777777" w:rsidTr="00C033C6">
        <w:tc>
          <w:tcPr>
            <w:tcW w:w="7230" w:type="dxa"/>
          </w:tcPr>
          <w:p w14:paraId="7D4E3AEB" w14:textId="64766B0D"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8. </w:t>
            </w:r>
            <w:r w:rsidRPr="009E1B86">
              <w:rPr>
                <w:rFonts w:ascii="Calibri" w:hAnsi="Calibri" w:cs="Calibri"/>
                <w:color w:val="000000"/>
                <w:sz w:val="16"/>
                <w:szCs w:val="16"/>
              </w:rPr>
              <w:t>Data source: Consider data sources (e.g., routine hospital data, data collected by the study investigator), data collection method and</w:t>
            </w:r>
            <w:r>
              <w:rPr>
                <w:rFonts w:ascii="Calibri" w:hAnsi="Calibri" w:cs="Calibri"/>
                <w:color w:val="000000"/>
                <w:sz w:val="16"/>
                <w:szCs w:val="16"/>
              </w:rPr>
              <w:t xml:space="preserve"> how</w:t>
            </w:r>
            <w:r w:rsidRPr="009E1B86">
              <w:rPr>
                <w:rFonts w:ascii="Calibri" w:hAnsi="Calibri" w:cs="Calibri"/>
                <w:color w:val="000000"/>
                <w:sz w:val="16"/>
                <w:szCs w:val="16"/>
              </w:rPr>
              <w:t xml:space="preserve"> outcome of interest is defined.</w:t>
            </w:r>
          </w:p>
        </w:tc>
        <w:tc>
          <w:tcPr>
            <w:tcW w:w="1665" w:type="dxa"/>
            <w:vAlign w:val="center"/>
          </w:tcPr>
          <w:p w14:paraId="3D373472" w14:textId="0E552200"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09E3C29F" w14:textId="73061890"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01AE1300" w14:textId="4BE93FDA"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0E1B942F" w14:textId="4E436BA1"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C033C6" w:rsidRPr="009E1B86" w14:paraId="458AF011" w14:textId="77777777" w:rsidTr="00C033C6">
        <w:tc>
          <w:tcPr>
            <w:tcW w:w="7230" w:type="dxa"/>
          </w:tcPr>
          <w:p w14:paraId="4DEED3BD" w14:textId="1FCC0C30"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9. </w:t>
            </w:r>
            <w:r w:rsidRPr="009E1B86">
              <w:rPr>
                <w:rFonts w:ascii="Calibri" w:hAnsi="Calibri" w:cs="Calibri"/>
                <w:color w:val="000000"/>
                <w:sz w:val="16"/>
                <w:szCs w:val="16"/>
              </w:rPr>
              <w:t>Timing: Consider clarity of the timeline of the intervention</w:t>
            </w:r>
            <w:r>
              <w:rPr>
                <w:rFonts w:ascii="Calibri" w:hAnsi="Calibri" w:cs="Calibri"/>
                <w:color w:val="000000"/>
                <w:sz w:val="16"/>
                <w:szCs w:val="16"/>
              </w:rPr>
              <w:t xml:space="preserve"> </w:t>
            </w:r>
            <w:r w:rsidRPr="009E1B86">
              <w:rPr>
                <w:rFonts w:ascii="Calibri" w:hAnsi="Calibri" w:cs="Calibri"/>
                <w:color w:val="000000"/>
                <w:sz w:val="16"/>
                <w:szCs w:val="16"/>
              </w:rPr>
              <w:t>and a clear indication of whether baseline data was present.</w:t>
            </w:r>
          </w:p>
        </w:tc>
        <w:tc>
          <w:tcPr>
            <w:tcW w:w="1665" w:type="dxa"/>
            <w:vAlign w:val="center"/>
          </w:tcPr>
          <w:p w14:paraId="5E3DCA0F" w14:textId="6F3E36E1" w:rsidR="00C033C6" w:rsidRPr="00C033C6" w:rsidRDefault="00C033C6" w:rsidP="00C033C6">
            <w:pPr>
              <w:jc w:val="center"/>
              <w:rPr>
                <w:rFonts w:cstheme="minorHAnsi"/>
                <w:color w:val="000000"/>
                <w:sz w:val="16"/>
                <w:szCs w:val="16"/>
              </w:rPr>
            </w:pPr>
            <w:r w:rsidRPr="00C033C6">
              <w:rPr>
                <w:rFonts w:cstheme="minorHAnsi"/>
                <w:color w:val="000000"/>
                <w:sz w:val="16"/>
                <w:szCs w:val="16"/>
              </w:rPr>
              <w:t>Not met</w:t>
            </w:r>
          </w:p>
        </w:tc>
        <w:tc>
          <w:tcPr>
            <w:tcW w:w="1666" w:type="dxa"/>
            <w:vAlign w:val="center"/>
          </w:tcPr>
          <w:p w14:paraId="037D7779" w14:textId="23232A3A"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7F5CFE26" w14:textId="1717C57F"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2D8EE38E" w14:textId="06004520"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9E1B86" w:rsidRPr="009E1B86" w14:paraId="71235A18" w14:textId="77777777" w:rsidTr="00C033C6">
        <w:tc>
          <w:tcPr>
            <w:tcW w:w="7230" w:type="dxa"/>
          </w:tcPr>
          <w:p w14:paraId="7E288AFF" w14:textId="3BC05E5D" w:rsidR="009E1B86" w:rsidRPr="009E1B86" w:rsidRDefault="007D3560" w:rsidP="009E1B86">
            <w:pPr>
              <w:rPr>
                <w:rFonts w:ascii="Calibri" w:hAnsi="Calibri" w:cs="Calibri"/>
                <w:color w:val="000000"/>
                <w:sz w:val="16"/>
                <w:szCs w:val="16"/>
              </w:rPr>
            </w:pPr>
            <w:r>
              <w:rPr>
                <w:rFonts w:ascii="Calibri" w:hAnsi="Calibri" w:cs="Calibri"/>
                <w:color w:val="000000"/>
                <w:sz w:val="16"/>
                <w:szCs w:val="16"/>
              </w:rPr>
              <w:t xml:space="preserve">10. </w:t>
            </w:r>
            <w:r w:rsidR="009E1B86" w:rsidRPr="009E1B86">
              <w:rPr>
                <w:rFonts w:ascii="Calibri" w:hAnsi="Calibri" w:cs="Calibri"/>
                <w:color w:val="000000"/>
                <w:sz w:val="16"/>
                <w:szCs w:val="16"/>
              </w:rPr>
              <w:t>Adherence: Consider reporting of compliance with intervention for the duration of the study, fidelity data on intervention use, or described mechanisms that ensures complianc</w:t>
            </w:r>
            <w:r>
              <w:rPr>
                <w:rFonts w:ascii="Calibri" w:hAnsi="Calibri" w:cs="Calibri"/>
                <w:color w:val="000000"/>
                <w:sz w:val="16"/>
                <w:szCs w:val="16"/>
              </w:rPr>
              <w:t>e</w:t>
            </w:r>
            <w:r w:rsidR="009E1B86" w:rsidRPr="009E1B86">
              <w:rPr>
                <w:rFonts w:ascii="Calibri" w:hAnsi="Calibri" w:cs="Calibri"/>
                <w:color w:val="000000"/>
                <w:sz w:val="16"/>
                <w:szCs w:val="16"/>
              </w:rPr>
              <w:t>.</w:t>
            </w:r>
          </w:p>
        </w:tc>
        <w:tc>
          <w:tcPr>
            <w:tcW w:w="1665" w:type="dxa"/>
            <w:vAlign w:val="center"/>
          </w:tcPr>
          <w:p w14:paraId="74695C22" w14:textId="10FB5CFA" w:rsidR="009E1B86" w:rsidRPr="00C033C6" w:rsidRDefault="00C033C6" w:rsidP="00C033C6">
            <w:pPr>
              <w:jc w:val="center"/>
              <w:rPr>
                <w:rFonts w:cstheme="minorHAnsi"/>
                <w:color w:val="000000"/>
                <w:sz w:val="16"/>
                <w:szCs w:val="16"/>
              </w:rPr>
            </w:pPr>
            <w:r w:rsidRPr="00C033C6">
              <w:rPr>
                <w:rFonts w:cstheme="minorHAnsi"/>
                <w:color w:val="000000"/>
                <w:sz w:val="16"/>
                <w:szCs w:val="16"/>
              </w:rPr>
              <w:t>Not met</w:t>
            </w:r>
          </w:p>
        </w:tc>
        <w:tc>
          <w:tcPr>
            <w:tcW w:w="1666" w:type="dxa"/>
            <w:vAlign w:val="center"/>
          </w:tcPr>
          <w:p w14:paraId="09007C2A" w14:textId="1C4109CE" w:rsidR="009E1B8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72A81BD0" w14:textId="375CE916" w:rsidR="009E1B86" w:rsidRPr="00C033C6" w:rsidRDefault="00C033C6" w:rsidP="00C033C6">
            <w:pPr>
              <w:jc w:val="center"/>
              <w:rPr>
                <w:rFonts w:cstheme="minorHAnsi"/>
                <w:color w:val="000000"/>
                <w:sz w:val="16"/>
                <w:szCs w:val="16"/>
              </w:rPr>
            </w:pPr>
            <w:r w:rsidRPr="00C033C6">
              <w:rPr>
                <w:rFonts w:cstheme="minorHAnsi"/>
                <w:color w:val="000000"/>
                <w:sz w:val="16"/>
                <w:szCs w:val="16"/>
              </w:rPr>
              <w:t>Not met</w:t>
            </w:r>
          </w:p>
        </w:tc>
        <w:tc>
          <w:tcPr>
            <w:tcW w:w="1666" w:type="dxa"/>
            <w:vAlign w:val="center"/>
          </w:tcPr>
          <w:p w14:paraId="3640027C" w14:textId="0621DCEF" w:rsidR="009E1B8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C033C6" w:rsidRPr="009E1B86" w14:paraId="3D3CC8D1" w14:textId="77777777" w:rsidTr="00C033C6">
        <w:tc>
          <w:tcPr>
            <w:tcW w:w="7230" w:type="dxa"/>
          </w:tcPr>
          <w:p w14:paraId="74442C33" w14:textId="1F4C50E4"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11. </w:t>
            </w:r>
            <w:r w:rsidRPr="009E1B86">
              <w:rPr>
                <w:rFonts w:ascii="Calibri" w:hAnsi="Calibri" w:cs="Calibri"/>
                <w:color w:val="000000"/>
                <w:sz w:val="16"/>
                <w:szCs w:val="16"/>
              </w:rPr>
              <w:t>Health outcomes: Consider patient and non-professional care-giver health-related outcomes (including quality of life), but exclude satisfaction, provider-behavio</w:t>
            </w:r>
            <w:r>
              <w:rPr>
                <w:rFonts w:ascii="Calibri" w:hAnsi="Calibri" w:cs="Calibri"/>
                <w:color w:val="000000"/>
                <w:sz w:val="16"/>
                <w:szCs w:val="16"/>
              </w:rPr>
              <w:t>u</w:t>
            </w:r>
            <w:r w:rsidRPr="009E1B86">
              <w:rPr>
                <w:rFonts w:ascii="Calibri" w:hAnsi="Calibri" w:cs="Calibri"/>
                <w:color w:val="000000"/>
                <w:sz w:val="16"/>
                <w:szCs w:val="16"/>
              </w:rPr>
              <w:t>r (e.g., number of diagnostic tests ordered, knowledge) and process improvements.</w:t>
            </w:r>
          </w:p>
        </w:tc>
        <w:tc>
          <w:tcPr>
            <w:tcW w:w="1665" w:type="dxa"/>
            <w:vAlign w:val="center"/>
          </w:tcPr>
          <w:p w14:paraId="76608680" w14:textId="70C666A0" w:rsidR="00C033C6" w:rsidRPr="00C033C6" w:rsidRDefault="00C033C6" w:rsidP="00C033C6">
            <w:pPr>
              <w:jc w:val="center"/>
              <w:rPr>
                <w:rFonts w:cstheme="minorHAnsi"/>
                <w:color w:val="000000"/>
                <w:sz w:val="16"/>
                <w:szCs w:val="16"/>
              </w:rPr>
            </w:pPr>
            <w:r w:rsidRPr="00C033C6">
              <w:rPr>
                <w:rFonts w:cstheme="minorHAnsi"/>
                <w:color w:val="000000"/>
                <w:sz w:val="16"/>
                <w:szCs w:val="16"/>
              </w:rPr>
              <w:t>Not met</w:t>
            </w:r>
          </w:p>
        </w:tc>
        <w:tc>
          <w:tcPr>
            <w:tcW w:w="1666" w:type="dxa"/>
            <w:vAlign w:val="center"/>
          </w:tcPr>
          <w:p w14:paraId="7014E4F1" w14:textId="065BF4DA" w:rsidR="00C033C6" w:rsidRPr="00C033C6" w:rsidRDefault="00C033C6" w:rsidP="00C033C6">
            <w:pPr>
              <w:jc w:val="center"/>
              <w:rPr>
                <w:rFonts w:cstheme="minorHAnsi"/>
                <w:color w:val="000000"/>
                <w:sz w:val="16"/>
                <w:szCs w:val="16"/>
              </w:rPr>
            </w:pPr>
            <w:r w:rsidRPr="00C033C6">
              <w:rPr>
                <w:rFonts w:cstheme="minorHAnsi"/>
                <w:color w:val="000000"/>
                <w:sz w:val="16"/>
                <w:szCs w:val="16"/>
              </w:rPr>
              <w:t>Not met</w:t>
            </w:r>
          </w:p>
        </w:tc>
        <w:tc>
          <w:tcPr>
            <w:tcW w:w="1665" w:type="dxa"/>
            <w:vAlign w:val="center"/>
          </w:tcPr>
          <w:p w14:paraId="6C9FE8E9" w14:textId="0FCFB146" w:rsidR="00C033C6" w:rsidRPr="00C033C6" w:rsidRDefault="00C033C6" w:rsidP="00C033C6">
            <w:pPr>
              <w:jc w:val="center"/>
              <w:rPr>
                <w:rFonts w:cstheme="minorHAnsi"/>
                <w:color w:val="000000"/>
                <w:sz w:val="16"/>
                <w:szCs w:val="16"/>
              </w:rPr>
            </w:pPr>
            <w:r w:rsidRPr="005842B4">
              <w:rPr>
                <w:rFonts w:cstheme="minorHAnsi"/>
                <w:color w:val="000000"/>
                <w:sz w:val="16"/>
                <w:szCs w:val="16"/>
              </w:rPr>
              <w:t>Met</w:t>
            </w:r>
          </w:p>
        </w:tc>
        <w:tc>
          <w:tcPr>
            <w:tcW w:w="1666" w:type="dxa"/>
            <w:vAlign w:val="center"/>
          </w:tcPr>
          <w:p w14:paraId="4DB71A1F" w14:textId="2DD07FC8" w:rsidR="00C033C6" w:rsidRPr="00C033C6" w:rsidRDefault="00C033C6" w:rsidP="00C033C6">
            <w:pPr>
              <w:jc w:val="center"/>
              <w:rPr>
                <w:rFonts w:cstheme="minorHAnsi"/>
                <w:color w:val="000000"/>
                <w:sz w:val="16"/>
                <w:szCs w:val="16"/>
              </w:rPr>
            </w:pPr>
            <w:r w:rsidRPr="005842B4">
              <w:rPr>
                <w:rFonts w:cstheme="minorHAnsi"/>
                <w:color w:val="000000"/>
                <w:sz w:val="16"/>
                <w:szCs w:val="16"/>
              </w:rPr>
              <w:t>Met</w:t>
            </w:r>
          </w:p>
        </w:tc>
      </w:tr>
      <w:tr w:rsidR="00C033C6" w:rsidRPr="009E1B86" w14:paraId="2305BE06" w14:textId="77777777" w:rsidTr="00C033C6">
        <w:tc>
          <w:tcPr>
            <w:tcW w:w="7230" w:type="dxa"/>
          </w:tcPr>
          <w:p w14:paraId="5FF0D14A" w14:textId="0FF8409A"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12. </w:t>
            </w:r>
            <w:r w:rsidRPr="009E1B86">
              <w:rPr>
                <w:rFonts w:ascii="Calibri" w:hAnsi="Calibri" w:cs="Calibri"/>
                <w:color w:val="000000"/>
                <w:sz w:val="16"/>
                <w:szCs w:val="16"/>
              </w:rPr>
              <w:t>Organisational readiness: Consider reported QI resources and culture (e.g., existing QI committee, leadership commitment, prior QI experience, staff attitudes, and education and decision support resources) and results of barriers and facilitator assessments.</w:t>
            </w:r>
          </w:p>
        </w:tc>
        <w:tc>
          <w:tcPr>
            <w:tcW w:w="1665" w:type="dxa"/>
            <w:vAlign w:val="center"/>
          </w:tcPr>
          <w:p w14:paraId="3499FC25" w14:textId="502C5D6C"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126ADF60" w14:textId="3E7BFA6A" w:rsidR="00C033C6" w:rsidRPr="00C033C6" w:rsidRDefault="00C033C6" w:rsidP="00C033C6">
            <w:pPr>
              <w:jc w:val="center"/>
              <w:rPr>
                <w:rFonts w:cstheme="minorHAnsi"/>
                <w:color w:val="000000"/>
                <w:sz w:val="16"/>
                <w:szCs w:val="16"/>
              </w:rPr>
            </w:pPr>
            <w:r w:rsidRPr="00C033C6">
              <w:rPr>
                <w:rFonts w:cstheme="minorHAnsi"/>
                <w:color w:val="000000"/>
                <w:sz w:val="16"/>
                <w:szCs w:val="16"/>
              </w:rPr>
              <w:t>Not met</w:t>
            </w:r>
          </w:p>
        </w:tc>
        <w:tc>
          <w:tcPr>
            <w:tcW w:w="1665" w:type="dxa"/>
            <w:vAlign w:val="center"/>
          </w:tcPr>
          <w:p w14:paraId="290827BD" w14:textId="566C50F3" w:rsidR="00C033C6" w:rsidRPr="00C033C6" w:rsidRDefault="00C033C6" w:rsidP="00C033C6">
            <w:pPr>
              <w:jc w:val="center"/>
              <w:rPr>
                <w:rFonts w:cstheme="minorHAnsi"/>
                <w:color w:val="000000"/>
                <w:sz w:val="16"/>
                <w:szCs w:val="16"/>
              </w:rPr>
            </w:pPr>
            <w:r w:rsidRPr="004800E8">
              <w:rPr>
                <w:rFonts w:cstheme="minorHAnsi"/>
                <w:color w:val="000000"/>
                <w:sz w:val="16"/>
                <w:szCs w:val="16"/>
              </w:rPr>
              <w:t>Met</w:t>
            </w:r>
          </w:p>
        </w:tc>
        <w:tc>
          <w:tcPr>
            <w:tcW w:w="1666" w:type="dxa"/>
            <w:vAlign w:val="center"/>
          </w:tcPr>
          <w:p w14:paraId="38E94A8A" w14:textId="146A6188" w:rsidR="00C033C6" w:rsidRPr="00C033C6" w:rsidRDefault="00C033C6" w:rsidP="00C033C6">
            <w:pPr>
              <w:jc w:val="center"/>
              <w:rPr>
                <w:rFonts w:cstheme="minorHAnsi"/>
                <w:color w:val="000000"/>
                <w:sz w:val="16"/>
                <w:szCs w:val="16"/>
              </w:rPr>
            </w:pPr>
            <w:r w:rsidRPr="004800E8">
              <w:rPr>
                <w:rFonts w:cstheme="minorHAnsi"/>
                <w:color w:val="000000"/>
                <w:sz w:val="16"/>
                <w:szCs w:val="16"/>
              </w:rPr>
              <w:t>Met</w:t>
            </w:r>
          </w:p>
        </w:tc>
      </w:tr>
      <w:tr w:rsidR="00C033C6" w:rsidRPr="009E1B86" w14:paraId="0A7FC4F8" w14:textId="77777777" w:rsidTr="00C033C6">
        <w:tc>
          <w:tcPr>
            <w:tcW w:w="7230" w:type="dxa"/>
          </w:tcPr>
          <w:p w14:paraId="2E57B35D" w14:textId="14818E0B"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13. </w:t>
            </w:r>
            <w:r w:rsidRPr="009E1B86">
              <w:rPr>
                <w:rFonts w:ascii="Calibri" w:hAnsi="Calibri" w:cs="Calibri"/>
                <w:color w:val="000000"/>
                <w:sz w:val="16"/>
                <w:szCs w:val="16"/>
              </w:rPr>
              <w:t>Reach: Consider number of units or sites participating in intervention compared to the available / eligible units (e.g., the number of participating sites without knowing how many sites were initially approached / were eligible is not sufficient).</w:t>
            </w:r>
          </w:p>
        </w:tc>
        <w:tc>
          <w:tcPr>
            <w:tcW w:w="1665" w:type="dxa"/>
            <w:vAlign w:val="center"/>
          </w:tcPr>
          <w:p w14:paraId="7588BFB0" w14:textId="5C6BD673"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1A2EB907" w14:textId="300EDDF5"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0D7CFF36" w14:textId="4565D439"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0F5780E7" w14:textId="6E8B6ED6"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C033C6" w:rsidRPr="009E1B86" w14:paraId="67557F74" w14:textId="77777777" w:rsidTr="00C033C6">
        <w:tc>
          <w:tcPr>
            <w:tcW w:w="7230" w:type="dxa"/>
          </w:tcPr>
          <w:p w14:paraId="62B401E8" w14:textId="35BBDABF"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14. </w:t>
            </w:r>
            <w:r w:rsidRPr="009E1B86">
              <w:rPr>
                <w:rFonts w:ascii="Calibri" w:hAnsi="Calibri" w:cs="Calibri"/>
                <w:color w:val="000000"/>
                <w:sz w:val="16"/>
                <w:szCs w:val="16"/>
              </w:rPr>
              <w:t>Sustainability: Consider discussions of sustainability, reference to organi</w:t>
            </w:r>
            <w:r>
              <w:rPr>
                <w:rFonts w:ascii="Calibri" w:hAnsi="Calibri" w:cs="Calibri"/>
                <w:color w:val="000000"/>
                <w:sz w:val="16"/>
                <w:szCs w:val="16"/>
              </w:rPr>
              <w:t>s</w:t>
            </w:r>
            <w:r w:rsidRPr="009E1B86">
              <w:rPr>
                <w:rFonts w:ascii="Calibri" w:hAnsi="Calibri" w:cs="Calibri"/>
                <w:color w:val="000000"/>
                <w:sz w:val="16"/>
                <w:szCs w:val="16"/>
              </w:rPr>
              <w:t>ational resources (e.g., costs and necessary commitments) and policy changes needed to sustain the intervention after withdrawal of study personnel and research resources, evidence of enduring changes (e.g. automated electronic reminders), or an extended duration of the intervention period as evidence of sustainability.</w:t>
            </w:r>
          </w:p>
        </w:tc>
        <w:tc>
          <w:tcPr>
            <w:tcW w:w="1665" w:type="dxa"/>
            <w:vAlign w:val="center"/>
          </w:tcPr>
          <w:p w14:paraId="2EBA1ABE" w14:textId="762809AA"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34A0AF5C" w14:textId="7907BDC2"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13742914" w14:textId="3907B72F"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6A5890C5" w14:textId="780B5BB7"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C033C6" w:rsidRPr="009E1B86" w14:paraId="3E3DE4F5" w14:textId="77777777" w:rsidTr="00C033C6">
        <w:tc>
          <w:tcPr>
            <w:tcW w:w="7230" w:type="dxa"/>
          </w:tcPr>
          <w:p w14:paraId="5607657F" w14:textId="651CE090"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15. </w:t>
            </w:r>
            <w:r w:rsidRPr="009E1B86">
              <w:rPr>
                <w:rFonts w:ascii="Calibri" w:hAnsi="Calibri" w:cs="Calibri"/>
                <w:color w:val="000000"/>
                <w:sz w:val="16"/>
                <w:szCs w:val="16"/>
              </w:rPr>
              <w:t>Spread: Consider evidence of spread or failure to spread and large rollouts; available resources such as toolkits, how-to manuals, protocols, or booklets that describe the intervention in detail and could facilitate spread and replication; or discussions of spread potential.</w:t>
            </w:r>
          </w:p>
        </w:tc>
        <w:tc>
          <w:tcPr>
            <w:tcW w:w="1665" w:type="dxa"/>
            <w:vAlign w:val="center"/>
          </w:tcPr>
          <w:p w14:paraId="74CDA99A" w14:textId="66CA6CEB"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10F06B70" w14:textId="7EC173DF"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5" w:type="dxa"/>
            <w:vAlign w:val="center"/>
          </w:tcPr>
          <w:p w14:paraId="72567024" w14:textId="5E871F8E"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c>
          <w:tcPr>
            <w:tcW w:w="1666" w:type="dxa"/>
            <w:vAlign w:val="center"/>
          </w:tcPr>
          <w:p w14:paraId="791907B7" w14:textId="00D27A02"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r w:rsidR="00C033C6" w:rsidRPr="009E1B86" w14:paraId="11057ED2" w14:textId="77777777" w:rsidTr="00C033C6">
        <w:tc>
          <w:tcPr>
            <w:tcW w:w="7230" w:type="dxa"/>
          </w:tcPr>
          <w:p w14:paraId="67856AFC" w14:textId="743DE076" w:rsidR="00C033C6" w:rsidRPr="009E1B86" w:rsidRDefault="00C033C6" w:rsidP="00C033C6">
            <w:pPr>
              <w:rPr>
                <w:rFonts w:ascii="Calibri" w:hAnsi="Calibri" w:cs="Calibri"/>
                <w:color w:val="000000"/>
                <w:sz w:val="16"/>
                <w:szCs w:val="16"/>
              </w:rPr>
            </w:pPr>
            <w:r>
              <w:rPr>
                <w:rFonts w:ascii="Calibri" w:hAnsi="Calibri" w:cs="Calibri"/>
                <w:color w:val="000000"/>
                <w:sz w:val="16"/>
                <w:szCs w:val="16"/>
              </w:rPr>
              <w:t xml:space="preserve">16. </w:t>
            </w:r>
            <w:r w:rsidRPr="009E1B86">
              <w:rPr>
                <w:rFonts w:ascii="Calibri" w:hAnsi="Calibri" w:cs="Calibri"/>
                <w:color w:val="000000"/>
                <w:sz w:val="16"/>
                <w:szCs w:val="16"/>
              </w:rPr>
              <w:t>Limitations: Consider whether the interpretation of the reported findings takes the study design (e.g., the lack of comparator) or other evaluation limitations into account; refers to the presented data (not future research / developments or intervention limitations)</w:t>
            </w:r>
          </w:p>
        </w:tc>
        <w:tc>
          <w:tcPr>
            <w:tcW w:w="1665" w:type="dxa"/>
            <w:vAlign w:val="center"/>
          </w:tcPr>
          <w:p w14:paraId="0466398A" w14:textId="01AD26FC" w:rsidR="00C033C6" w:rsidRPr="00C033C6" w:rsidRDefault="00C033C6" w:rsidP="00C033C6">
            <w:pPr>
              <w:jc w:val="center"/>
              <w:rPr>
                <w:rFonts w:cstheme="minorHAnsi"/>
                <w:color w:val="000000"/>
                <w:sz w:val="16"/>
                <w:szCs w:val="16"/>
              </w:rPr>
            </w:pPr>
            <w:r w:rsidRPr="00314376">
              <w:rPr>
                <w:rFonts w:cstheme="minorHAnsi"/>
                <w:color w:val="000000"/>
                <w:sz w:val="16"/>
                <w:szCs w:val="16"/>
              </w:rPr>
              <w:t>Met</w:t>
            </w:r>
          </w:p>
        </w:tc>
        <w:tc>
          <w:tcPr>
            <w:tcW w:w="1666" w:type="dxa"/>
            <w:vAlign w:val="center"/>
          </w:tcPr>
          <w:p w14:paraId="60BA1D80" w14:textId="6ABD385C" w:rsidR="00C033C6" w:rsidRPr="00C033C6" w:rsidRDefault="00C033C6" w:rsidP="00C033C6">
            <w:pPr>
              <w:jc w:val="center"/>
              <w:rPr>
                <w:rFonts w:cstheme="minorHAnsi"/>
                <w:color w:val="000000"/>
                <w:sz w:val="16"/>
                <w:szCs w:val="16"/>
              </w:rPr>
            </w:pPr>
            <w:r w:rsidRPr="00314376">
              <w:rPr>
                <w:rFonts w:cstheme="minorHAnsi"/>
                <w:color w:val="000000"/>
                <w:sz w:val="16"/>
                <w:szCs w:val="16"/>
              </w:rPr>
              <w:t>Met</w:t>
            </w:r>
          </w:p>
        </w:tc>
        <w:tc>
          <w:tcPr>
            <w:tcW w:w="1665" w:type="dxa"/>
            <w:vAlign w:val="center"/>
          </w:tcPr>
          <w:p w14:paraId="5F0AA472" w14:textId="3069E272" w:rsidR="00C033C6" w:rsidRPr="00C033C6" w:rsidRDefault="00C033C6" w:rsidP="00C033C6">
            <w:pPr>
              <w:jc w:val="center"/>
              <w:rPr>
                <w:rFonts w:cstheme="minorHAnsi"/>
                <w:color w:val="000000"/>
                <w:sz w:val="16"/>
                <w:szCs w:val="16"/>
              </w:rPr>
            </w:pPr>
            <w:r w:rsidRPr="00C033C6">
              <w:rPr>
                <w:rFonts w:cstheme="minorHAnsi"/>
                <w:color w:val="000000"/>
                <w:sz w:val="16"/>
                <w:szCs w:val="16"/>
              </w:rPr>
              <w:t>Not met</w:t>
            </w:r>
          </w:p>
        </w:tc>
        <w:tc>
          <w:tcPr>
            <w:tcW w:w="1666" w:type="dxa"/>
            <w:vAlign w:val="center"/>
          </w:tcPr>
          <w:p w14:paraId="3653874D" w14:textId="7827FEB5" w:rsidR="00C033C6" w:rsidRPr="00C033C6" w:rsidRDefault="00C033C6" w:rsidP="00C033C6">
            <w:pPr>
              <w:jc w:val="center"/>
              <w:rPr>
                <w:rFonts w:cstheme="minorHAnsi"/>
                <w:color w:val="000000"/>
                <w:sz w:val="16"/>
                <w:szCs w:val="16"/>
              </w:rPr>
            </w:pPr>
            <w:r w:rsidRPr="00C033C6">
              <w:rPr>
                <w:rFonts w:cstheme="minorHAnsi"/>
                <w:color w:val="000000"/>
                <w:sz w:val="16"/>
                <w:szCs w:val="16"/>
              </w:rPr>
              <w:t>Met</w:t>
            </w:r>
          </w:p>
        </w:tc>
      </w:tr>
    </w:tbl>
    <w:p w14:paraId="0B0F163D" w14:textId="45363C7F" w:rsidR="009E1B86" w:rsidRPr="009E1B86" w:rsidRDefault="007D3560" w:rsidP="009E1B86">
      <w:pPr>
        <w:rPr>
          <w:rFonts w:ascii="Calibri" w:hAnsi="Calibri" w:cs="Calibri"/>
          <w:color w:val="000000"/>
          <w:sz w:val="16"/>
          <w:szCs w:val="16"/>
        </w:rPr>
      </w:pPr>
      <w:r>
        <w:rPr>
          <w:rFonts w:ascii="Calibri" w:hAnsi="Calibri" w:cs="Calibri"/>
          <w:color w:val="000000"/>
          <w:sz w:val="16"/>
          <w:szCs w:val="16"/>
        </w:rPr>
        <w:t xml:space="preserve">1. </w:t>
      </w:r>
      <w:r w:rsidRPr="007D3560">
        <w:rPr>
          <w:rFonts w:ascii="Calibri" w:hAnsi="Calibri" w:cs="Calibri"/>
          <w:color w:val="000000"/>
          <w:sz w:val="16"/>
          <w:szCs w:val="16"/>
        </w:rPr>
        <w:t>Quality Improvement Minimum Quality Criteria Set (QI-MQCS) – Version 1.0</w:t>
      </w:r>
    </w:p>
    <w:sectPr w:rsidR="009E1B86" w:rsidRPr="009E1B86" w:rsidSect="009E1B8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B86"/>
    <w:rsid w:val="0005785B"/>
    <w:rsid w:val="00190D81"/>
    <w:rsid w:val="001E7A93"/>
    <w:rsid w:val="002229B8"/>
    <w:rsid w:val="0061707A"/>
    <w:rsid w:val="006A23F4"/>
    <w:rsid w:val="007D3560"/>
    <w:rsid w:val="008F0484"/>
    <w:rsid w:val="009E1B86"/>
    <w:rsid w:val="009E2589"/>
    <w:rsid w:val="00C033C6"/>
    <w:rsid w:val="00D32A6E"/>
    <w:rsid w:val="00E143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DA8B2"/>
  <w15:chartTrackingRefBased/>
  <w15:docId w15:val="{DC5CA8F8-03F7-4468-8AF1-CD93F8146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1B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21609">
      <w:bodyDiv w:val="1"/>
      <w:marLeft w:val="0"/>
      <w:marRight w:val="0"/>
      <w:marTop w:val="0"/>
      <w:marBottom w:val="0"/>
      <w:divBdr>
        <w:top w:val="none" w:sz="0" w:space="0" w:color="auto"/>
        <w:left w:val="none" w:sz="0" w:space="0" w:color="auto"/>
        <w:bottom w:val="none" w:sz="0" w:space="0" w:color="auto"/>
        <w:right w:val="none" w:sz="0" w:space="0" w:color="auto"/>
      </w:divBdr>
    </w:div>
    <w:div w:id="362479969">
      <w:bodyDiv w:val="1"/>
      <w:marLeft w:val="0"/>
      <w:marRight w:val="0"/>
      <w:marTop w:val="0"/>
      <w:marBottom w:val="0"/>
      <w:divBdr>
        <w:top w:val="none" w:sz="0" w:space="0" w:color="auto"/>
        <w:left w:val="none" w:sz="0" w:space="0" w:color="auto"/>
        <w:bottom w:val="none" w:sz="0" w:space="0" w:color="auto"/>
        <w:right w:val="none" w:sz="0" w:space="0" w:color="auto"/>
      </w:divBdr>
    </w:div>
    <w:div w:id="407338845">
      <w:bodyDiv w:val="1"/>
      <w:marLeft w:val="0"/>
      <w:marRight w:val="0"/>
      <w:marTop w:val="0"/>
      <w:marBottom w:val="0"/>
      <w:divBdr>
        <w:top w:val="none" w:sz="0" w:space="0" w:color="auto"/>
        <w:left w:val="none" w:sz="0" w:space="0" w:color="auto"/>
        <w:bottom w:val="none" w:sz="0" w:space="0" w:color="auto"/>
        <w:right w:val="none" w:sz="0" w:space="0" w:color="auto"/>
      </w:divBdr>
    </w:div>
    <w:div w:id="454714967">
      <w:bodyDiv w:val="1"/>
      <w:marLeft w:val="0"/>
      <w:marRight w:val="0"/>
      <w:marTop w:val="0"/>
      <w:marBottom w:val="0"/>
      <w:divBdr>
        <w:top w:val="none" w:sz="0" w:space="0" w:color="auto"/>
        <w:left w:val="none" w:sz="0" w:space="0" w:color="auto"/>
        <w:bottom w:val="none" w:sz="0" w:space="0" w:color="auto"/>
        <w:right w:val="none" w:sz="0" w:space="0" w:color="auto"/>
      </w:divBdr>
    </w:div>
    <w:div w:id="641808804">
      <w:bodyDiv w:val="1"/>
      <w:marLeft w:val="0"/>
      <w:marRight w:val="0"/>
      <w:marTop w:val="0"/>
      <w:marBottom w:val="0"/>
      <w:divBdr>
        <w:top w:val="none" w:sz="0" w:space="0" w:color="auto"/>
        <w:left w:val="none" w:sz="0" w:space="0" w:color="auto"/>
        <w:bottom w:val="none" w:sz="0" w:space="0" w:color="auto"/>
        <w:right w:val="none" w:sz="0" w:space="0" w:color="auto"/>
      </w:divBdr>
    </w:div>
    <w:div w:id="737750969">
      <w:bodyDiv w:val="1"/>
      <w:marLeft w:val="0"/>
      <w:marRight w:val="0"/>
      <w:marTop w:val="0"/>
      <w:marBottom w:val="0"/>
      <w:divBdr>
        <w:top w:val="none" w:sz="0" w:space="0" w:color="auto"/>
        <w:left w:val="none" w:sz="0" w:space="0" w:color="auto"/>
        <w:bottom w:val="none" w:sz="0" w:space="0" w:color="auto"/>
        <w:right w:val="none" w:sz="0" w:space="0" w:color="auto"/>
      </w:divBdr>
    </w:div>
    <w:div w:id="786971200">
      <w:bodyDiv w:val="1"/>
      <w:marLeft w:val="0"/>
      <w:marRight w:val="0"/>
      <w:marTop w:val="0"/>
      <w:marBottom w:val="0"/>
      <w:divBdr>
        <w:top w:val="none" w:sz="0" w:space="0" w:color="auto"/>
        <w:left w:val="none" w:sz="0" w:space="0" w:color="auto"/>
        <w:bottom w:val="none" w:sz="0" w:space="0" w:color="auto"/>
        <w:right w:val="none" w:sz="0" w:space="0" w:color="auto"/>
      </w:divBdr>
    </w:div>
    <w:div w:id="857502697">
      <w:bodyDiv w:val="1"/>
      <w:marLeft w:val="0"/>
      <w:marRight w:val="0"/>
      <w:marTop w:val="0"/>
      <w:marBottom w:val="0"/>
      <w:divBdr>
        <w:top w:val="none" w:sz="0" w:space="0" w:color="auto"/>
        <w:left w:val="none" w:sz="0" w:space="0" w:color="auto"/>
        <w:bottom w:val="none" w:sz="0" w:space="0" w:color="auto"/>
        <w:right w:val="none" w:sz="0" w:space="0" w:color="auto"/>
      </w:divBdr>
    </w:div>
    <w:div w:id="940071100">
      <w:bodyDiv w:val="1"/>
      <w:marLeft w:val="0"/>
      <w:marRight w:val="0"/>
      <w:marTop w:val="0"/>
      <w:marBottom w:val="0"/>
      <w:divBdr>
        <w:top w:val="none" w:sz="0" w:space="0" w:color="auto"/>
        <w:left w:val="none" w:sz="0" w:space="0" w:color="auto"/>
        <w:bottom w:val="none" w:sz="0" w:space="0" w:color="auto"/>
        <w:right w:val="none" w:sz="0" w:space="0" w:color="auto"/>
      </w:divBdr>
    </w:div>
    <w:div w:id="1044987986">
      <w:bodyDiv w:val="1"/>
      <w:marLeft w:val="0"/>
      <w:marRight w:val="0"/>
      <w:marTop w:val="0"/>
      <w:marBottom w:val="0"/>
      <w:divBdr>
        <w:top w:val="none" w:sz="0" w:space="0" w:color="auto"/>
        <w:left w:val="none" w:sz="0" w:space="0" w:color="auto"/>
        <w:bottom w:val="none" w:sz="0" w:space="0" w:color="auto"/>
        <w:right w:val="none" w:sz="0" w:space="0" w:color="auto"/>
      </w:divBdr>
    </w:div>
    <w:div w:id="1105463391">
      <w:bodyDiv w:val="1"/>
      <w:marLeft w:val="0"/>
      <w:marRight w:val="0"/>
      <w:marTop w:val="0"/>
      <w:marBottom w:val="0"/>
      <w:divBdr>
        <w:top w:val="none" w:sz="0" w:space="0" w:color="auto"/>
        <w:left w:val="none" w:sz="0" w:space="0" w:color="auto"/>
        <w:bottom w:val="none" w:sz="0" w:space="0" w:color="auto"/>
        <w:right w:val="none" w:sz="0" w:space="0" w:color="auto"/>
      </w:divBdr>
    </w:div>
    <w:div w:id="1143040610">
      <w:bodyDiv w:val="1"/>
      <w:marLeft w:val="0"/>
      <w:marRight w:val="0"/>
      <w:marTop w:val="0"/>
      <w:marBottom w:val="0"/>
      <w:divBdr>
        <w:top w:val="none" w:sz="0" w:space="0" w:color="auto"/>
        <w:left w:val="none" w:sz="0" w:space="0" w:color="auto"/>
        <w:bottom w:val="none" w:sz="0" w:space="0" w:color="auto"/>
        <w:right w:val="none" w:sz="0" w:space="0" w:color="auto"/>
      </w:divBdr>
    </w:div>
    <w:div w:id="1379403090">
      <w:bodyDiv w:val="1"/>
      <w:marLeft w:val="0"/>
      <w:marRight w:val="0"/>
      <w:marTop w:val="0"/>
      <w:marBottom w:val="0"/>
      <w:divBdr>
        <w:top w:val="none" w:sz="0" w:space="0" w:color="auto"/>
        <w:left w:val="none" w:sz="0" w:space="0" w:color="auto"/>
        <w:bottom w:val="none" w:sz="0" w:space="0" w:color="auto"/>
        <w:right w:val="none" w:sz="0" w:space="0" w:color="auto"/>
      </w:divBdr>
    </w:div>
    <w:div w:id="1551724755">
      <w:bodyDiv w:val="1"/>
      <w:marLeft w:val="0"/>
      <w:marRight w:val="0"/>
      <w:marTop w:val="0"/>
      <w:marBottom w:val="0"/>
      <w:divBdr>
        <w:top w:val="none" w:sz="0" w:space="0" w:color="auto"/>
        <w:left w:val="none" w:sz="0" w:space="0" w:color="auto"/>
        <w:bottom w:val="none" w:sz="0" w:space="0" w:color="auto"/>
        <w:right w:val="none" w:sz="0" w:space="0" w:color="auto"/>
      </w:divBdr>
    </w:div>
    <w:div w:id="1676951859">
      <w:bodyDiv w:val="1"/>
      <w:marLeft w:val="0"/>
      <w:marRight w:val="0"/>
      <w:marTop w:val="0"/>
      <w:marBottom w:val="0"/>
      <w:divBdr>
        <w:top w:val="none" w:sz="0" w:space="0" w:color="auto"/>
        <w:left w:val="none" w:sz="0" w:space="0" w:color="auto"/>
        <w:bottom w:val="none" w:sz="0" w:space="0" w:color="auto"/>
        <w:right w:val="none" w:sz="0" w:space="0" w:color="auto"/>
      </w:divBdr>
    </w:div>
    <w:div w:id="1735933257">
      <w:bodyDiv w:val="1"/>
      <w:marLeft w:val="0"/>
      <w:marRight w:val="0"/>
      <w:marTop w:val="0"/>
      <w:marBottom w:val="0"/>
      <w:divBdr>
        <w:top w:val="none" w:sz="0" w:space="0" w:color="auto"/>
        <w:left w:val="none" w:sz="0" w:space="0" w:color="auto"/>
        <w:bottom w:val="none" w:sz="0" w:space="0" w:color="auto"/>
        <w:right w:val="none" w:sz="0" w:space="0" w:color="auto"/>
      </w:divBdr>
    </w:div>
    <w:div w:id="17426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Dempsey</dc:creator>
  <cp:keywords/>
  <dc:description/>
  <cp:lastModifiedBy>Kathy Dempsey</cp:lastModifiedBy>
  <cp:revision>3</cp:revision>
  <dcterms:created xsi:type="dcterms:W3CDTF">2021-03-05T05:25:00Z</dcterms:created>
  <dcterms:modified xsi:type="dcterms:W3CDTF">2021-07-01T05:45:00Z</dcterms:modified>
</cp:coreProperties>
</file>