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A2E" w:rsidRPr="009A33B2" w:rsidRDefault="00337A2E" w:rsidP="00337A2E">
      <w:pPr>
        <w:rPr>
          <w:rFonts w:cstheme="minorHAnsi"/>
          <w:b/>
          <w:bCs/>
        </w:rPr>
      </w:pPr>
      <w:r>
        <w:rPr>
          <w:rFonts w:cstheme="minorHAnsi"/>
          <w:b/>
          <w:bCs/>
          <w:sz w:val="28"/>
          <w:szCs w:val="28"/>
        </w:rPr>
        <w:t>Additional file 3</w:t>
      </w:r>
      <w:r w:rsidRPr="009A33B2">
        <w:rPr>
          <w:rFonts w:cstheme="minorHAnsi"/>
          <w:b/>
          <w:bCs/>
          <w:sz w:val="28"/>
          <w:szCs w:val="28"/>
        </w:rPr>
        <w:t xml:space="preserve"> </w:t>
      </w:r>
      <w:r w:rsidRPr="00DC5F1F">
        <w:t xml:space="preserve">Guidance of </w:t>
      </w:r>
      <w:r>
        <w:t>r</w:t>
      </w:r>
      <w:r w:rsidRPr="009A33B2">
        <w:t xml:space="preserve">ating the results of single studies </w:t>
      </w:r>
      <w:r>
        <w:t>based on</w:t>
      </w:r>
      <w:r w:rsidRPr="009A33B2">
        <w:t xml:space="preserve"> COSMIN methodology </w:t>
      </w:r>
    </w:p>
    <w:p w:rsidR="00337A2E" w:rsidRPr="005271F0" w:rsidRDefault="00337A2E" w:rsidP="00337A2E">
      <w:pPr>
        <w:rPr>
          <w:rFonts w:cstheme="minorHAnsi"/>
        </w:rPr>
      </w:pPr>
    </w:p>
    <w:tbl>
      <w:tblPr>
        <w:tblStyle w:val="GridTable1LightAccent3"/>
        <w:tblW w:w="0" w:type="auto"/>
        <w:tblInd w:w="5" w:type="dxa"/>
        <w:tblLook w:val="04A0" w:firstRow="1" w:lastRow="0" w:firstColumn="1" w:lastColumn="0" w:noHBand="0" w:noVBand="1"/>
      </w:tblPr>
      <w:tblGrid>
        <w:gridCol w:w="440"/>
        <w:gridCol w:w="2538"/>
        <w:gridCol w:w="2528"/>
        <w:gridCol w:w="1823"/>
        <w:gridCol w:w="2242"/>
      </w:tblGrid>
      <w:tr w:rsidR="00337A2E" w:rsidRPr="005271F0" w:rsidTr="00E1668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FFFFFF" w:themeColor="background1"/>
              <w:left w:val="nil"/>
              <w:bottom w:val="single" w:sz="4" w:space="0" w:color="auto"/>
              <w:right w:val="nil"/>
            </w:tcBorders>
          </w:tcPr>
          <w:p w:rsidR="00337A2E" w:rsidRPr="005271F0" w:rsidRDefault="00337A2E" w:rsidP="00E1668C">
            <w:pPr>
              <w:rPr>
                <w:rFonts w:cstheme="minorHAnsi"/>
                <w:b w:val="0"/>
                <w:bCs w:val="0"/>
              </w:rPr>
            </w:pPr>
            <w:r>
              <w:rPr>
                <w:rFonts w:cstheme="minorHAnsi"/>
                <w:sz w:val="24"/>
                <w:szCs w:val="24"/>
              </w:rPr>
              <w:t>Additional file 3-1</w:t>
            </w:r>
            <w:r w:rsidRPr="005271F0">
              <w:rPr>
                <w:rFonts w:cstheme="minorHAnsi"/>
                <w:b w:val="0"/>
                <w:bCs w:val="0"/>
                <w:sz w:val="24"/>
                <w:szCs w:val="24"/>
              </w:rPr>
              <w:t xml:space="preserve"> Guidance for giving a sufficient (+) rating for the 10 criteria for good content validity of </w:t>
            </w:r>
            <w:r>
              <w:rPr>
                <w:rFonts w:cstheme="minorHAnsi"/>
                <w:b w:val="0"/>
                <w:bCs w:val="0"/>
                <w:sz w:val="24"/>
                <w:szCs w:val="24"/>
              </w:rPr>
              <w:t>instrument</w:t>
            </w:r>
          </w:p>
        </w:tc>
      </w:tr>
      <w:tr w:rsidR="00337A2E" w:rsidRPr="005271F0" w:rsidTr="00E1668C">
        <w:trPr>
          <w:trHeight w:val="315"/>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nil"/>
              <w:bottom w:val="single" w:sz="4" w:space="0" w:color="auto"/>
              <w:right w:val="nil"/>
            </w:tcBorders>
            <w:hideMark/>
          </w:tcPr>
          <w:p w:rsidR="00337A2E" w:rsidRPr="005271F0" w:rsidRDefault="00337A2E" w:rsidP="00E1668C">
            <w:pPr>
              <w:rPr>
                <w:rFonts w:eastAsia="Times New Roman" w:cstheme="minorHAnsi"/>
                <w:color w:val="000000"/>
              </w:rPr>
            </w:pPr>
            <w:r w:rsidRPr="005271F0">
              <w:rPr>
                <w:rFonts w:eastAsia="Times New Roman" w:cstheme="minorHAnsi"/>
                <w:color w:val="000000"/>
              </w:rPr>
              <w:t> </w:t>
            </w:r>
          </w:p>
        </w:tc>
        <w:tc>
          <w:tcPr>
            <w:tcW w:w="0" w:type="auto"/>
            <w:tcBorders>
              <w:top w:val="single" w:sz="4" w:space="0" w:color="auto"/>
              <w:left w:val="nil"/>
              <w:bottom w:val="single" w:sz="4" w:space="0" w:color="auto"/>
              <w:right w:val="nil"/>
            </w:tcBorders>
            <w:hideMark/>
          </w:tcPr>
          <w:p w:rsidR="00337A2E" w:rsidRPr="005271F0" w:rsidRDefault="00337A2E" w:rsidP="00E1668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PROM development study</w:t>
            </w:r>
          </w:p>
        </w:tc>
        <w:tc>
          <w:tcPr>
            <w:tcW w:w="0" w:type="auto"/>
            <w:tcBorders>
              <w:top w:val="single" w:sz="4" w:space="0" w:color="auto"/>
              <w:left w:val="nil"/>
              <w:bottom w:val="single" w:sz="4" w:space="0" w:color="auto"/>
              <w:right w:val="nil"/>
            </w:tcBorders>
            <w:hideMark/>
          </w:tcPr>
          <w:p w:rsidR="00337A2E" w:rsidRPr="005271F0" w:rsidRDefault="00337A2E" w:rsidP="00E1668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Content validity study</w:t>
            </w:r>
          </w:p>
        </w:tc>
        <w:tc>
          <w:tcPr>
            <w:tcW w:w="0" w:type="auto"/>
            <w:tcBorders>
              <w:top w:val="single" w:sz="4" w:space="0" w:color="auto"/>
              <w:left w:val="nil"/>
              <w:bottom w:val="single" w:sz="4" w:space="0" w:color="auto"/>
              <w:right w:val="nil"/>
            </w:tcBorders>
            <w:hideMark/>
          </w:tcPr>
          <w:p w:rsidR="00337A2E" w:rsidRPr="005271F0" w:rsidRDefault="00337A2E" w:rsidP="00E1668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Reviewers’ rating</w:t>
            </w:r>
          </w:p>
        </w:tc>
        <w:tc>
          <w:tcPr>
            <w:tcW w:w="0" w:type="auto"/>
            <w:tcBorders>
              <w:top w:val="single" w:sz="4" w:space="0" w:color="auto"/>
              <w:left w:val="nil"/>
              <w:bottom w:val="single" w:sz="4" w:space="0" w:color="auto"/>
              <w:right w:val="nil"/>
            </w:tcBorders>
            <w:hideMark/>
          </w:tcPr>
          <w:p w:rsidR="00337A2E" w:rsidRPr="005271F0" w:rsidRDefault="00337A2E" w:rsidP="00E1668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Remarks</w:t>
            </w:r>
          </w:p>
        </w:tc>
      </w:tr>
      <w:tr w:rsidR="00337A2E" w:rsidRPr="005271F0" w:rsidTr="00E1668C">
        <w:trPr>
          <w:trHeight w:val="1125"/>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nil"/>
              <w:bottom w:val="nil"/>
              <w:right w:val="nil"/>
            </w:tcBorders>
            <w:noWrap/>
            <w:hideMark/>
          </w:tcPr>
          <w:p w:rsidR="00337A2E" w:rsidRPr="005271F0" w:rsidRDefault="00337A2E" w:rsidP="00E1668C">
            <w:pPr>
              <w:rPr>
                <w:rFonts w:eastAsia="Times New Roman" w:cstheme="minorHAnsi"/>
                <w:color w:val="000000"/>
              </w:rPr>
            </w:pPr>
            <w:r w:rsidRPr="005271F0">
              <w:rPr>
                <w:rFonts w:eastAsia="Times New Roman" w:cstheme="minorHAnsi"/>
                <w:color w:val="000000"/>
              </w:rPr>
              <w:t>1</w:t>
            </w:r>
          </w:p>
        </w:tc>
        <w:tc>
          <w:tcPr>
            <w:tcW w:w="0" w:type="auto"/>
            <w:tcBorders>
              <w:top w:val="single" w:sz="4" w:space="0" w:color="auto"/>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The construct of interest is clearly described (i.e. ‘very good’ rating of box 1 standard 1), the origin of construct is clear (i.e. ‘very good’ rating of box 1 standard 2) and there is evidence from concept elicitation, literature, or professionals that at least 85% of the items refer to the construct of interest.</w:t>
            </w:r>
          </w:p>
        </w:tc>
        <w:tc>
          <w:tcPr>
            <w:tcW w:w="0" w:type="auto"/>
            <w:tcBorders>
              <w:top w:val="single" w:sz="4" w:space="0" w:color="auto"/>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Professionals rated the relevance of the items for the construct of interest in a content validity study that was not inadequate (i.e. ‘very good’, ‘adequate’ or ‘doubtful’ rating for quality of relevance study in box 2d, standards 22‐26) and found at least 85% of the items relevant for the construct.</w:t>
            </w:r>
          </w:p>
        </w:tc>
        <w:tc>
          <w:tcPr>
            <w:tcW w:w="0" w:type="auto"/>
            <w:tcBorders>
              <w:top w:val="single" w:sz="4" w:space="0" w:color="auto"/>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Reviewers consider at least 85% of the items relevant for the construct of interest.</w:t>
            </w:r>
          </w:p>
        </w:tc>
        <w:tc>
          <w:tcPr>
            <w:tcW w:w="0" w:type="auto"/>
            <w:tcBorders>
              <w:top w:val="single" w:sz="4" w:space="0" w:color="auto"/>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271F0">
              <w:rPr>
                <w:rFonts w:eastAsia="Times New Roman" w:cstheme="minorHAnsi"/>
              </w:rPr>
              <w:t>Every PROM item should measure a defined facet of the construct of interest, within the conceptual framework.</w:t>
            </w:r>
            <w:r w:rsidRPr="005271F0">
              <w:rPr>
                <w:rFonts w:eastAsia="Times New Roman" w:cstheme="minorHAnsi"/>
              </w:rPr>
              <w:br/>
              <w:t>PROM items should also be specific for the construct of interest, i.e. they should not measure a co‐ existing, but separate construct.</w:t>
            </w:r>
            <w:r w:rsidRPr="005271F0">
              <w:rPr>
                <w:rFonts w:eastAsia="Times New Roman" w:cstheme="minorHAnsi"/>
              </w:rPr>
              <w:br/>
              <w:t>For example, an item in a fatigue questionnaire such as “my muscles are weak” is relevant to fatigue but not specific for fatigue. Someone with MS may answer this question in the affirmative but not experiencing fatigue.</w:t>
            </w:r>
            <w:r w:rsidRPr="005271F0">
              <w:rPr>
                <w:rFonts w:eastAsia="Times New Roman" w:cstheme="minorHAnsi"/>
              </w:rPr>
              <w:br/>
              <w:t>There should also be no unnecessary items (too many items, except for a large scale item bank that will be used for computer adaptive testing).</w:t>
            </w:r>
            <w:r w:rsidRPr="005271F0">
              <w:rPr>
                <w:rFonts w:eastAsia="Times New Roman" w:cstheme="minorHAnsi"/>
              </w:rPr>
              <w:br/>
              <w:t xml:space="preserve">When a total PROM score is evaluated, each subscale (domain) should be relevant for the construct that the </w:t>
            </w:r>
            <w:r w:rsidRPr="005271F0">
              <w:rPr>
                <w:rFonts w:eastAsia="Times New Roman" w:cstheme="minorHAnsi"/>
              </w:rPr>
              <w:lastRenderedPageBreak/>
              <w:t>total PROM intends to measure.</w:t>
            </w:r>
            <w:r w:rsidRPr="005271F0">
              <w:rPr>
                <w:rFonts w:eastAsia="Times New Roman" w:cstheme="minorHAnsi"/>
              </w:rPr>
              <w:br/>
              <w:t>Professionals can best ensure that items are consistent with the theory, conceptual framework or disease model that was used to</w:t>
            </w:r>
            <w:r w:rsidRPr="005271F0">
              <w:rPr>
                <w:rFonts w:eastAsia="Times New Roman" w:cstheme="minorHAnsi"/>
              </w:rPr>
              <w:br/>
              <w:t>define the construct of interest.</w:t>
            </w:r>
          </w:p>
        </w:tc>
      </w:tr>
      <w:tr w:rsidR="00337A2E" w:rsidRPr="005271F0" w:rsidTr="00E1668C">
        <w:trPr>
          <w:trHeight w:val="315"/>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noWrap/>
            <w:hideMark/>
          </w:tcPr>
          <w:p w:rsidR="00337A2E" w:rsidRPr="005271F0" w:rsidRDefault="00337A2E" w:rsidP="00E1668C">
            <w:pPr>
              <w:rPr>
                <w:rFonts w:eastAsia="Times New Roman" w:cstheme="minorHAnsi"/>
                <w:color w:val="000000"/>
              </w:rPr>
            </w:pPr>
            <w:r w:rsidRPr="005271F0">
              <w:rPr>
                <w:rFonts w:eastAsia="Times New Roman" w:cstheme="minorHAnsi"/>
                <w:color w:val="000000"/>
              </w:rPr>
              <w:lastRenderedPageBreak/>
              <w:t>2</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The target population of interest is</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Patients rated the relevance of the</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Reviewers consider at least 85% of</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The relevance of the items for the</w:t>
            </w:r>
          </w:p>
        </w:tc>
      </w:tr>
      <w:tr w:rsidR="00337A2E" w:rsidRPr="005271F0" w:rsidTr="00E1668C">
        <w:trPr>
          <w:trHeight w:val="3261"/>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rsidR="00337A2E" w:rsidRPr="005271F0" w:rsidRDefault="00337A2E" w:rsidP="00E1668C">
            <w:pPr>
              <w:rPr>
                <w:rFonts w:eastAsia="Times New Roman" w:cstheme="minorHAnsi"/>
                <w:color w:val="000000"/>
              </w:rPr>
            </w:pPr>
            <w:r w:rsidRPr="005271F0">
              <w:rPr>
                <w:rFonts w:eastAsia="Times New Roman" w:cstheme="minorHAnsi"/>
                <w:color w:val="000000"/>
              </w:rPr>
              <w:t> </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271F0">
              <w:rPr>
                <w:rFonts w:eastAsia="Times New Roman" w:cstheme="minorHAnsi"/>
              </w:rPr>
              <w:t>clearly described (i.e. ‘very good’ rating box 1 standard 3) and representative patients were involved in the elicitation of relevant items (i.e. ‘very good’ or ‘adequate’ rating box 1 standard 5) and concept elicitation (‘worst score counts’ box 1a standards 6‐</w:t>
            </w:r>
            <w:r w:rsidRPr="005271F0">
              <w:rPr>
                <w:rFonts w:eastAsia="Times New Roman" w:cstheme="minorHAnsi"/>
              </w:rPr>
              <w:br/>
              <w:t>13) was not inadequate.</w:t>
            </w:r>
            <w:r w:rsidRPr="005271F0">
              <w:rPr>
                <w:rFonts w:eastAsia="Times New Roman" w:cstheme="minorHAnsi"/>
              </w:rPr>
              <w:br/>
              <w:t>If it is doubtful whether the study was performed in a sample representing the target population, we recommend to give an indeterminate (?) rating.</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items for them in a content validity study that was not inadequate (rating for quality of relevance study, box 2a standards 1‐7) and found at least 85% of the items relevant for them.</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the items relevant for the population of interest.</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target population can best be judged by patients. Some items may be relevant to only a small number of patients but they are necessary to capture the full range of patient experiences.</w:t>
            </w:r>
          </w:p>
        </w:tc>
      </w:tr>
      <w:tr w:rsidR="00337A2E" w:rsidRPr="005271F0" w:rsidTr="00E1668C">
        <w:trPr>
          <w:trHeight w:val="2427"/>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noWrap/>
            <w:hideMark/>
          </w:tcPr>
          <w:p w:rsidR="00337A2E" w:rsidRPr="005271F0" w:rsidRDefault="00337A2E" w:rsidP="00E1668C">
            <w:pPr>
              <w:rPr>
                <w:rFonts w:eastAsia="Times New Roman" w:cstheme="minorHAnsi"/>
                <w:color w:val="000000"/>
              </w:rPr>
            </w:pPr>
            <w:r w:rsidRPr="005271F0">
              <w:rPr>
                <w:rFonts w:eastAsia="Times New Roman" w:cstheme="minorHAnsi"/>
                <w:color w:val="000000"/>
              </w:rPr>
              <w:t>3</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The context of use of interest is clearly described (i.e. ‘very good’ rating box 1 standard 4).</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Professionals rated the relevance of the items for the context of use of interest in a content validity study that was not inadequate (rating for quality of relevance study, i.e. box 2d, standards 22‐26) and found at least 85% of the items relevant for the context of use.</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Reviewers consider at least 85% of the items relevant for the context of use of interest.</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271F0">
              <w:rPr>
                <w:rFonts w:eastAsia="Times New Roman" w:cstheme="minorHAnsi"/>
              </w:rPr>
              <w:t>It should especially be clear whether the PROM is suitable for use in research and/or clinical practice.</w:t>
            </w:r>
            <w:r w:rsidRPr="005271F0">
              <w:rPr>
                <w:rFonts w:eastAsia="Times New Roman" w:cstheme="minorHAnsi"/>
              </w:rPr>
              <w:br/>
              <w:t>Professionals are considered to be more knowledgeable about the context of use of the PROM than patients.</w:t>
            </w:r>
          </w:p>
        </w:tc>
      </w:tr>
      <w:tr w:rsidR="00337A2E" w:rsidRPr="005271F0" w:rsidTr="00E1668C">
        <w:trPr>
          <w:trHeight w:val="2160"/>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noWrap/>
            <w:hideMark/>
          </w:tcPr>
          <w:p w:rsidR="00337A2E" w:rsidRPr="005271F0" w:rsidRDefault="00337A2E" w:rsidP="00E1668C">
            <w:pPr>
              <w:rPr>
                <w:rFonts w:eastAsia="Times New Roman" w:cstheme="minorHAnsi"/>
                <w:color w:val="000000"/>
              </w:rPr>
            </w:pPr>
            <w:r w:rsidRPr="005271F0">
              <w:rPr>
                <w:rFonts w:eastAsia="Times New Roman" w:cstheme="minorHAnsi"/>
                <w:color w:val="000000"/>
              </w:rPr>
              <w:lastRenderedPageBreak/>
              <w:t>4</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A justification is provided for the response options.</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271F0">
              <w:rPr>
                <w:rFonts w:eastAsia="Times New Roman" w:cstheme="minorHAnsi"/>
              </w:rPr>
              <w:t>Patients or professionals rated the appropriateness of the response options in a content validity study that was not inadequate (rating for quality of relevance study, i.e. box 2a standards 1‐7 or box 2d standards 22‐26) and found at least</w:t>
            </w:r>
            <w:r w:rsidRPr="005271F0">
              <w:rPr>
                <w:rFonts w:eastAsia="Times New Roman" w:cstheme="minorHAnsi"/>
              </w:rPr>
              <w:br/>
              <w:t>85% of the response options</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Reviewers consider the at least 85% of the response options appropriate for the construct, population, and context of use of interest.</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271F0">
              <w:rPr>
                <w:rFonts w:eastAsia="Times New Roman" w:cstheme="minorHAnsi"/>
              </w:rPr>
              <w:t>The response options should be appropriate for the construct, population, and context of use of interest. For example, if the construct is pain intensity, the response options should measure intensity, not frequency. Also, a</w:t>
            </w:r>
            <w:r w:rsidRPr="005271F0">
              <w:rPr>
                <w:rFonts w:eastAsia="Times New Roman" w:cstheme="minorHAnsi"/>
              </w:rPr>
              <w:br/>
              <w:t>reasonable range of responses</w:t>
            </w:r>
          </w:p>
        </w:tc>
      </w:tr>
      <w:tr w:rsidR="00337A2E" w:rsidRPr="005271F0" w:rsidTr="00E1668C">
        <w:trPr>
          <w:trHeight w:val="630"/>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rsidR="00337A2E" w:rsidRPr="005271F0" w:rsidRDefault="00337A2E" w:rsidP="00E1668C">
            <w:pPr>
              <w:rPr>
                <w:rFonts w:eastAsia="Times New Roman" w:cstheme="minorHAnsi"/>
                <w:color w:val="000000"/>
              </w:rPr>
            </w:pPr>
            <w:r w:rsidRPr="005271F0">
              <w:rPr>
                <w:rFonts w:eastAsia="Times New Roman" w:cstheme="minorHAnsi"/>
                <w:color w:val="000000"/>
              </w:rPr>
              <w:t> </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271F0">
              <w:rPr>
                <w:rFonts w:eastAsia="Times New Roman" w:cstheme="minorHAnsi"/>
                <w:color w:val="000000"/>
              </w:rPr>
              <w:t> </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relevant.</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271F0">
              <w:rPr>
                <w:rFonts w:eastAsia="Times New Roman" w:cstheme="minorHAnsi"/>
                <w:color w:val="000000"/>
              </w:rPr>
              <w:t> </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271F0">
              <w:rPr>
                <w:rFonts w:eastAsia="Times New Roman" w:cstheme="minorHAnsi"/>
              </w:rPr>
              <w:t>should be provided for measuring</w:t>
            </w:r>
            <w:r w:rsidRPr="005271F0">
              <w:rPr>
                <w:rFonts w:eastAsia="Times New Roman" w:cstheme="minorHAnsi"/>
              </w:rPr>
              <w:br/>
              <w:t>the construct of interest.</w:t>
            </w:r>
          </w:p>
        </w:tc>
      </w:tr>
      <w:tr w:rsidR="00337A2E" w:rsidRPr="005271F0" w:rsidTr="00E1668C">
        <w:trPr>
          <w:trHeight w:val="2490"/>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noWrap/>
            <w:hideMark/>
          </w:tcPr>
          <w:p w:rsidR="00337A2E" w:rsidRPr="005271F0" w:rsidRDefault="00337A2E" w:rsidP="00E1668C">
            <w:pPr>
              <w:rPr>
                <w:rFonts w:eastAsia="Times New Roman" w:cstheme="minorHAnsi"/>
                <w:color w:val="000000"/>
              </w:rPr>
            </w:pPr>
            <w:r w:rsidRPr="005271F0">
              <w:rPr>
                <w:rFonts w:eastAsia="Times New Roman" w:cstheme="minorHAnsi"/>
                <w:color w:val="000000"/>
              </w:rPr>
              <w:t>5</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A justification is provided for the recall period.</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Patients or professionals rated the appropriateness of the recall period in a content validity study that was not inadequate (rating for quality of relevance study, i.e. box 2a standards 1‐7 or box 2d standards 22‐26) and found the recall period appropriate.</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Reviewers consider the recall period appropriate for the construct, population, and context of use of interest.</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The recall period can be important for measuring the construct, for example, whether there is no recall period (do you feel depressed now?) or whether the recall period is 1 week (did you feel depressed last week?). Different recall periods may be important, depending on the context. However, sometimes is does not matter whether the recall period is e.g. 1 or 2 weeks.</w:t>
            </w:r>
          </w:p>
        </w:tc>
      </w:tr>
      <w:tr w:rsidR="00337A2E" w:rsidRPr="005271F0" w:rsidTr="00E1668C">
        <w:trPr>
          <w:trHeight w:val="2663"/>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noWrap/>
            <w:hideMark/>
          </w:tcPr>
          <w:p w:rsidR="00337A2E" w:rsidRPr="005271F0" w:rsidRDefault="00337A2E" w:rsidP="00E1668C">
            <w:pPr>
              <w:rPr>
                <w:rFonts w:eastAsia="Times New Roman" w:cstheme="minorHAnsi"/>
                <w:color w:val="000000"/>
              </w:rPr>
            </w:pPr>
            <w:r w:rsidRPr="005271F0">
              <w:rPr>
                <w:rFonts w:eastAsia="Times New Roman" w:cstheme="minorHAnsi"/>
                <w:color w:val="000000"/>
              </w:rPr>
              <w:t>6</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 xml:space="preserve">Patients were asked about the comprehensiveness of the PROM in the concept elicitation phase or in  a cognitive interview study that was not inadequate (rating for quality of comprehensiveness study, i.e. box 1a </w:t>
            </w:r>
            <w:r w:rsidRPr="005271F0">
              <w:rPr>
                <w:rFonts w:eastAsia="Times New Roman" w:cstheme="minorHAnsi"/>
              </w:rPr>
              <w:lastRenderedPageBreak/>
              <w:t>standards 6‐13,  or box 1b standards 26‐35) and no key concepts were missing.</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lastRenderedPageBreak/>
              <w:t xml:space="preserve">Patients or professionals were asked about the comprehensiveness of the PROM in a content validity study that was not inadequate (rating for quality of comprehensiveness study, i.e. box 2b standards 8‐14, or box 2e </w:t>
            </w:r>
            <w:r w:rsidRPr="005271F0">
              <w:rPr>
                <w:rFonts w:eastAsia="Times New Roman" w:cstheme="minorHAnsi"/>
              </w:rPr>
              <w:lastRenderedPageBreak/>
              <w:t>standards 27‐31) and no key concepts were missing.</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lastRenderedPageBreak/>
              <w:t>Reviewers consider the PROM comprehensive for the construct, population and context of use of interest.</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 xml:space="preserve">The items should cover the full breadth of the construct of interest. However, there are often good reasons for not including all content suggested by patients in a PROM, for example because an </w:t>
            </w:r>
            <w:r w:rsidRPr="005271F0">
              <w:rPr>
                <w:rFonts w:eastAsia="Times New Roman" w:cstheme="minorHAnsi"/>
              </w:rPr>
              <w:lastRenderedPageBreak/>
              <w:t>item (or domain) is considered to be outside the scope of the PROM. When a total PROM score is evaluated, the subscales (domain) together should cover the full breath of the construct that the total PROM intends to measure.</w:t>
            </w:r>
          </w:p>
        </w:tc>
      </w:tr>
      <w:tr w:rsidR="00337A2E" w:rsidRPr="005271F0" w:rsidTr="00E1668C">
        <w:trPr>
          <w:trHeight w:val="1354"/>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noWrap/>
            <w:hideMark/>
          </w:tcPr>
          <w:p w:rsidR="00337A2E" w:rsidRPr="005271F0" w:rsidRDefault="00337A2E" w:rsidP="00E1668C">
            <w:pPr>
              <w:rPr>
                <w:rFonts w:eastAsia="Times New Roman" w:cstheme="minorHAnsi"/>
                <w:color w:val="000000"/>
              </w:rPr>
            </w:pPr>
            <w:r w:rsidRPr="005271F0">
              <w:rPr>
                <w:rFonts w:eastAsia="Times New Roman" w:cstheme="minorHAnsi"/>
                <w:color w:val="000000"/>
              </w:rPr>
              <w:lastRenderedPageBreak/>
              <w:t>7</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271F0">
              <w:rPr>
                <w:rFonts w:eastAsia="Times New Roman" w:cstheme="minorHAnsi"/>
              </w:rPr>
              <w:t>Patients were asked about the comprehensibility of the instructions (including recall period) in a cognitive interview</w:t>
            </w:r>
            <w:r w:rsidRPr="005271F0">
              <w:rPr>
                <w:rFonts w:eastAsia="Times New Roman" w:cstheme="minorHAnsi"/>
              </w:rPr>
              <w:br/>
              <w:t>study that was not inadequate</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271F0">
              <w:rPr>
                <w:rFonts w:eastAsia="Times New Roman" w:cstheme="minorHAnsi"/>
              </w:rPr>
              <w:t>Patients were asked about the comprehensibility of the instructions (including recall period) in a content validity study</w:t>
            </w:r>
            <w:r w:rsidRPr="005271F0">
              <w:rPr>
                <w:rFonts w:eastAsia="Times New Roman" w:cstheme="minorHAnsi"/>
              </w:rPr>
              <w:br/>
              <w:t>that was not inadequate (rating for</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271F0">
              <w:rPr>
                <w:rFonts w:eastAsia="Times New Roman" w:cstheme="minorHAnsi"/>
                <w:color w:val="000000"/>
              </w:rPr>
              <w:t> </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271F0">
              <w:rPr>
                <w:rFonts w:eastAsia="Times New Roman" w:cstheme="minorHAnsi"/>
                <w:color w:val="000000"/>
              </w:rPr>
              <w:t> </w:t>
            </w:r>
          </w:p>
        </w:tc>
      </w:tr>
      <w:tr w:rsidR="00337A2E" w:rsidRPr="005271F0" w:rsidTr="00E1668C">
        <w:trPr>
          <w:trHeight w:val="1084"/>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rsidR="00337A2E" w:rsidRPr="005271F0" w:rsidRDefault="00337A2E" w:rsidP="00E1668C">
            <w:pPr>
              <w:rPr>
                <w:rFonts w:eastAsia="Times New Roman" w:cstheme="minorHAnsi"/>
                <w:color w:val="000000"/>
              </w:rPr>
            </w:pPr>
            <w:r w:rsidRPr="005271F0">
              <w:rPr>
                <w:rFonts w:eastAsia="Times New Roman" w:cstheme="minorHAnsi"/>
                <w:color w:val="000000"/>
              </w:rPr>
              <w:t> </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(rating for quality of comprehensibility study, i.e. box 1b standards 16‐25) and problems</w:t>
            </w:r>
            <w:r w:rsidRPr="005271F0">
              <w:rPr>
                <w:rFonts w:eastAsia="Times New Roman" w:cstheme="minorHAnsi"/>
              </w:rPr>
              <w:br/>
              <w:t>were adequately addressed.</w:t>
            </w:r>
          </w:p>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quality of comprehensibility study, box 2c standards 15‐21) and no important problems were found.</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271F0">
              <w:rPr>
                <w:rFonts w:eastAsia="Times New Roman" w:cstheme="minorHAnsi"/>
                <w:color w:val="000000"/>
              </w:rPr>
              <w:t> </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271F0">
              <w:rPr>
                <w:rFonts w:eastAsia="Times New Roman" w:cstheme="minorHAnsi"/>
                <w:color w:val="000000"/>
              </w:rPr>
              <w:t> </w:t>
            </w:r>
          </w:p>
        </w:tc>
      </w:tr>
      <w:tr w:rsidR="00337A2E" w:rsidRPr="005271F0" w:rsidTr="00E1668C">
        <w:trPr>
          <w:trHeight w:val="2697"/>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noWrap/>
            <w:hideMark/>
          </w:tcPr>
          <w:p w:rsidR="00337A2E" w:rsidRPr="005271F0" w:rsidRDefault="00337A2E" w:rsidP="00E1668C">
            <w:pPr>
              <w:jc w:val="center"/>
              <w:rPr>
                <w:rFonts w:eastAsia="Times New Roman" w:cstheme="minorHAnsi"/>
                <w:color w:val="000000"/>
              </w:rPr>
            </w:pPr>
            <w:r w:rsidRPr="005271F0">
              <w:rPr>
                <w:rFonts w:eastAsia="Times New Roman" w:cstheme="minorHAnsi"/>
                <w:color w:val="000000"/>
              </w:rPr>
              <w:t>8</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271F0">
              <w:rPr>
                <w:rFonts w:eastAsia="Times New Roman" w:cstheme="minorHAnsi"/>
              </w:rPr>
              <w:t>Patients were asked about the comprehensibility of the items and response options (including wording of the items and response options) in a cognitive interview study that was not inadequate (rating for quality of comprehensibility study, box 1b standards 16‐25) and problems</w:t>
            </w:r>
            <w:r w:rsidRPr="005271F0">
              <w:rPr>
                <w:rFonts w:eastAsia="Times New Roman" w:cstheme="minorHAnsi"/>
              </w:rPr>
              <w:br/>
              <w:t>were adequately addressed.</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271F0">
              <w:rPr>
                <w:rFonts w:eastAsia="Times New Roman" w:cstheme="minorHAnsi"/>
              </w:rPr>
              <w:t>Patients were asked about the comprehensibility of the items and response options in a content validity study that was not inadequate (rating for quality of comprehensibility study, box 2c standards 15‐21) and no important problems were found for at least 85% of the items and response</w:t>
            </w:r>
            <w:r w:rsidRPr="005271F0">
              <w:rPr>
                <w:rFonts w:eastAsia="Times New Roman" w:cstheme="minorHAnsi"/>
              </w:rPr>
              <w:br/>
              <w:t>options.</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271F0">
              <w:rPr>
                <w:rFonts w:eastAsia="Times New Roman" w:cstheme="minorHAnsi"/>
                <w:color w:val="000000"/>
              </w:rPr>
              <w:t> </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271F0">
              <w:rPr>
                <w:rFonts w:eastAsia="Times New Roman" w:cstheme="minorHAnsi"/>
                <w:color w:val="000000"/>
              </w:rPr>
              <w:t> </w:t>
            </w:r>
          </w:p>
        </w:tc>
      </w:tr>
      <w:tr w:rsidR="00337A2E" w:rsidRPr="005271F0" w:rsidTr="00E1668C">
        <w:trPr>
          <w:trHeight w:val="1890"/>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noWrap/>
            <w:hideMark/>
          </w:tcPr>
          <w:p w:rsidR="00337A2E" w:rsidRPr="005271F0" w:rsidRDefault="00337A2E" w:rsidP="00E1668C">
            <w:pPr>
              <w:jc w:val="center"/>
              <w:rPr>
                <w:rFonts w:eastAsia="Times New Roman" w:cstheme="minorHAnsi"/>
                <w:color w:val="000000"/>
              </w:rPr>
            </w:pPr>
            <w:r w:rsidRPr="005271F0">
              <w:rPr>
                <w:rFonts w:eastAsia="Times New Roman" w:cstheme="minorHAnsi"/>
                <w:color w:val="000000"/>
              </w:rPr>
              <w:lastRenderedPageBreak/>
              <w:t>9</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271F0">
              <w:rPr>
                <w:rFonts w:eastAsia="Times New Roman" w:cstheme="minorHAnsi"/>
                <w:color w:val="000000"/>
              </w:rPr>
              <w:t> </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271F0">
              <w:rPr>
                <w:rFonts w:eastAsia="Times New Roman" w:cstheme="minorHAnsi"/>
                <w:color w:val="000000"/>
              </w:rPr>
              <w:t> </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Reviewers consider at least 85% of the items and response options appropriately worded.</w:t>
            </w:r>
          </w:p>
        </w:tc>
        <w:tc>
          <w:tcPr>
            <w:tcW w:w="0" w:type="auto"/>
            <w:tcBorders>
              <w:top w:val="nil"/>
              <w:left w:val="nil"/>
              <w:bottom w:val="nil"/>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271F0">
              <w:rPr>
                <w:rFonts w:eastAsia="Times New Roman" w:cstheme="minorHAnsi"/>
              </w:rPr>
              <w:t>Consider aspects such as reading level (a scale should not require reading skills beyond that of a 12‐ year old), ambiguous items, double‐barrelled questions, jargon, value‐laden words, and length or</w:t>
            </w:r>
            <w:r w:rsidRPr="005271F0">
              <w:rPr>
                <w:rFonts w:eastAsia="Times New Roman" w:cstheme="minorHAnsi"/>
              </w:rPr>
              <w:br/>
              <w:t>items [97].</w:t>
            </w:r>
          </w:p>
        </w:tc>
      </w:tr>
      <w:tr w:rsidR="00337A2E" w:rsidRPr="005271F0" w:rsidTr="00E1668C">
        <w:trPr>
          <w:trHeight w:val="1084"/>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single" w:sz="4" w:space="0" w:color="auto"/>
              <w:right w:val="nil"/>
            </w:tcBorders>
            <w:noWrap/>
            <w:hideMark/>
          </w:tcPr>
          <w:p w:rsidR="00337A2E" w:rsidRPr="005271F0" w:rsidRDefault="00337A2E" w:rsidP="00E1668C">
            <w:pPr>
              <w:jc w:val="center"/>
              <w:rPr>
                <w:rFonts w:eastAsia="Times New Roman" w:cstheme="minorHAnsi"/>
                <w:color w:val="000000"/>
              </w:rPr>
            </w:pPr>
            <w:r w:rsidRPr="005271F0">
              <w:rPr>
                <w:rFonts w:eastAsia="Times New Roman" w:cstheme="minorHAnsi"/>
                <w:color w:val="000000"/>
              </w:rPr>
              <w:t>10</w:t>
            </w:r>
          </w:p>
        </w:tc>
        <w:tc>
          <w:tcPr>
            <w:tcW w:w="0" w:type="auto"/>
            <w:tcBorders>
              <w:top w:val="nil"/>
              <w:left w:val="nil"/>
              <w:bottom w:val="single" w:sz="4" w:space="0" w:color="auto"/>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271F0">
              <w:rPr>
                <w:rFonts w:eastAsia="Times New Roman" w:cstheme="minorHAnsi"/>
                <w:color w:val="000000"/>
              </w:rPr>
              <w:t> </w:t>
            </w:r>
          </w:p>
        </w:tc>
        <w:tc>
          <w:tcPr>
            <w:tcW w:w="0" w:type="auto"/>
            <w:tcBorders>
              <w:top w:val="nil"/>
              <w:left w:val="nil"/>
              <w:bottom w:val="single" w:sz="4" w:space="0" w:color="auto"/>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271F0">
              <w:rPr>
                <w:rFonts w:eastAsia="Times New Roman" w:cstheme="minorHAnsi"/>
                <w:color w:val="000000"/>
              </w:rPr>
              <w:t> </w:t>
            </w:r>
          </w:p>
        </w:tc>
        <w:tc>
          <w:tcPr>
            <w:tcW w:w="0" w:type="auto"/>
            <w:tcBorders>
              <w:top w:val="nil"/>
              <w:left w:val="nil"/>
              <w:bottom w:val="single" w:sz="4" w:space="0" w:color="auto"/>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Reviewers consider at least 85% of the response options matching the questions.</w:t>
            </w:r>
          </w:p>
        </w:tc>
        <w:tc>
          <w:tcPr>
            <w:tcW w:w="0" w:type="auto"/>
            <w:tcBorders>
              <w:top w:val="nil"/>
              <w:left w:val="nil"/>
              <w:bottom w:val="single" w:sz="4" w:space="0" w:color="auto"/>
              <w:right w:val="nil"/>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271F0">
              <w:rPr>
                <w:rFonts w:eastAsia="Times New Roman" w:cstheme="minorHAnsi"/>
              </w:rPr>
              <w:t>The response options should be appropriate to the question asked and should be linguistically linked</w:t>
            </w:r>
            <w:r w:rsidRPr="005271F0">
              <w:rPr>
                <w:rFonts w:eastAsia="Times New Roman" w:cstheme="minorHAnsi"/>
              </w:rPr>
              <w:br/>
              <w:t>to the item content.</w:t>
            </w:r>
          </w:p>
        </w:tc>
      </w:tr>
    </w:tbl>
    <w:p w:rsidR="00337A2E" w:rsidRPr="005271F0" w:rsidRDefault="00337A2E" w:rsidP="00337A2E">
      <w:pPr>
        <w:rPr>
          <w:rFonts w:cstheme="minorHAnsi"/>
        </w:rPr>
      </w:pPr>
    </w:p>
    <w:p w:rsidR="00337A2E" w:rsidRPr="005271F0" w:rsidRDefault="00337A2E" w:rsidP="00337A2E">
      <w:pPr>
        <w:rPr>
          <w:rFonts w:cstheme="minorHAnsi"/>
        </w:rPr>
      </w:pPr>
    </w:p>
    <w:p w:rsidR="00337A2E" w:rsidRPr="005271F0" w:rsidRDefault="00337A2E" w:rsidP="00337A2E">
      <w:pPr>
        <w:rPr>
          <w:rFonts w:cstheme="minorHAnsi"/>
        </w:rPr>
      </w:pPr>
    </w:p>
    <w:p w:rsidR="00337A2E" w:rsidRPr="005271F0" w:rsidRDefault="00337A2E" w:rsidP="00337A2E">
      <w:pPr>
        <w:rPr>
          <w:rFonts w:cstheme="minorHAnsi"/>
        </w:rPr>
      </w:pPr>
    </w:p>
    <w:p w:rsidR="00337A2E" w:rsidRPr="005271F0" w:rsidRDefault="00337A2E" w:rsidP="00337A2E">
      <w:pPr>
        <w:rPr>
          <w:rFonts w:cstheme="minorHAnsi"/>
        </w:rPr>
      </w:pPr>
    </w:p>
    <w:p w:rsidR="00337A2E" w:rsidRPr="005271F0" w:rsidRDefault="00337A2E" w:rsidP="00337A2E">
      <w:pPr>
        <w:rPr>
          <w:rFonts w:cstheme="minorHAnsi"/>
        </w:rPr>
      </w:pPr>
    </w:p>
    <w:p w:rsidR="00337A2E" w:rsidRPr="005271F0" w:rsidRDefault="00337A2E" w:rsidP="00337A2E">
      <w:pPr>
        <w:rPr>
          <w:rFonts w:cstheme="minorHAnsi"/>
        </w:rPr>
      </w:pPr>
    </w:p>
    <w:p w:rsidR="00337A2E" w:rsidRPr="005271F0" w:rsidRDefault="00337A2E" w:rsidP="00337A2E">
      <w:pPr>
        <w:rPr>
          <w:rFonts w:cstheme="minorHAnsi"/>
        </w:rPr>
      </w:pPr>
    </w:p>
    <w:p w:rsidR="00337A2E" w:rsidRPr="005271F0" w:rsidRDefault="00337A2E" w:rsidP="00337A2E">
      <w:pPr>
        <w:rPr>
          <w:rFonts w:cstheme="minorHAnsi"/>
        </w:rPr>
      </w:pPr>
    </w:p>
    <w:p w:rsidR="00337A2E" w:rsidRPr="005271F0" w:rsidRDefault="00337A2E" w:rsidP="00337A2E">
      <w:pPr>
        <w:rPr>
          <w:rFonts w:cstheme="minorHAnsi"/>
        </w:rPr>
      </w:pPr>
    </w:p>
    <w:p w:rsidR="00337A2E" w:rsidRPr="005271F0" w:rsidRDefault="00337A2E" w:rsidP="00337A2E">
      <w:pPr>
        <w:rPr>
          <w:rFonts w:cstheme="minorHAnsi"/>
        </w:rPr>
      </w:pPr>
    </w:p>
    <w:p w:rsidR="00337A2E" w:rsidRPr="005271F0" w:rsidRDefault="00337A2E" w:rsidP="00337A2E">
      <w:pPr>
        <w:rPr>
          <w:rFonts w:cstheme="minorHAnsi"/>
        </w:rPr>
      </w:pPr>
    </w:p>
    <w:tbl>
      <w:tblPr>
        <w:tblStyle w:val="GridTable1LightAccent3"/>
        <w:tblW w:w="0" w:type="auto"/>
        <w:tblInd w:w="5" w:type="dxa"/>
        <w:tblBorders>
          <w:top w:val="single" w:sz="4" w:space="0" w:color="000000"/>
          <w:left w:val="none" w:sz="0" w:space="0" w:color="auto"/>
          <w:bottom w:val="single" w:sz="4" w:space="0" w:color="000000"/>
          <w:right w:val="none" w:sz="0" w:space="0" w:color="auto"/>
          <w:insideH w:val="none" w:sz="0" w:space="0" w:color="auto"/>
          <w:insideV w:val="none" w:sz="0" w:space="0" w:color="auto"/>
        </w:tblBorders>
        <w:tblLook w:val="04A0" w:firstRow="1" w:lastRow="0" w:firstColumn="1" w:lastColumn="0" w:noHBand="0" w:noVBand="1"/>
      </w:tblPr>
      <w:tblGrid>
        <w:gridCol w:w="326"/>
        <w:gridCol w:w="2803"/>
        <w:gridCol w:w="2235"/>
        <w:gridCol w:w="2763"/>
        <w:gridCol w:w="1444"/>
      </w:tblGrid>
      <w:tr w:rsidR="00337A2E" w:rsidRPr="005271F0" w:rsidTr="00E1668C">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FFFFFF" w:themeColor="background1"/>
              <w:bottom w:val="single" w:sz="4" w:space="0" w:color="000000"/>
            </w:tcBorders>
            <w:hideMark/>
          </w:tcPr>
          <w:p w:rsidR="00337A2E" w:rsidRPr="005271F0" w:rsidRDefault="00337A2E" w:rsidP="00E1668C">
            <w:pPr>
              <w:jc w:val="both"/>
              <w:rPr>
                <w:rFonts w:eastAsia="Times New Roman" w:cstheme="minorHAnsi"/>
                <w:b w:val="0"/>
                <w:bCs w:val="0"/>
                <w:sz w:val="24"/>
                <w:szCs w:val="24"/>
              </w:rPr>
            </w:pPr>
            <w:r>
              <w:rPr>
                <w:rFonts w:eastAsia="Times New Roman" w:cstheme="minorHAnsi"/>
                <w:sz w:val="24"/>
                <w:szCs w:val="24"/>
              </w:rPr>
              <w:t>Additional file 3-2</w:t>
            </w:r>
            <w:r w:rsidRPr="005271F0">
              <w:rPr>
                <w:rFonts w:eastAsia="Times New Roman" w:cstheme="minorHAnsi"/>
                <w:b w:val="0"/>
                <w:bCs w:val="0"/>
                <w:sz w:val="24"/>
                <w:szCs w:val="24"/>
              </w:rPr>
              <w:t xml:space="preserve"> Guidance for determining the RELEVANCE RATING, COMPREHENSIVENESS RATING, and COMPREHENSIBILITY RATING per study</w:t>
            </w:r>
          </w:p>
        </w:tc>
      </w:tr>
      <w:tr w:rsidR="00337A2E" w:rsidRPr="005271F0" w:rsidTr="00E1668C">
        <w:trPr>
          <w:trHeight w:val="315"/>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bottom w:val="nil"/>
            </w:tcBorders>
            <w:hideMark/>
          </w:tcPr>
          <w:p w:rsidR="00337A2E" w:rsidRPr="005271F0" w:rsidRDefault="00337A2E" w:rsidP="00E1668C">
            <w:pPr>
              <w:rPr>
                <w:rFonts w:eastAsia="Times New Roman" w:cstheme="minorHAnsi"/>
                <w:color w:val="000000"/>
              </w:rPr>
            </w:pPr>
            <w:r w:rsidRPr="005271F0">
              <w:rPr>
                <w:rFonts w:eastAsia="Times New Roman" w:cstheme="minorHAnsi"/>
                <w:color w:val="000000"/>
              </w:rPr>
              <w:t> </w:t>
            </w:r>
          </w:p>
        </w:tc>
        <w:tc>
          <w:tcPr>
            <w:tcW w:w="0" w:type="auto"/>
            <w:vMerge w:val="restart"/>
            <w:tcBorders>
              <w:top w:val="single" w:sz="4" w:space="0" w:color="000000"/>
              <w:bottom w:val="nil"/>
            </w:tcBorders>
            <w:vAlign w:val="center"/>
            <w:hideMark/>
          </w:tcPr>
          <w:p w:rsidR="00337A2E" w:rsidRPr="005271F0" w:rsidRDefault="00337A2E" w:rsidP="00E1668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RELEVANCE</w:t>
            </w:r>
          </w:p>
          <w:p w:rsidR="00337A2E" w:rsidRPr="005271F0" w:rsidRDefault="00337A2E" w:rsidP="00E1668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rPr>
            </w:pPr>
          </w:p>
        </w:tc>
        <w:tc>
          <w:tcPr>
            <w:tcW w:w="0" w:type="auto"/>
            <w:vMerge w:val="restart"/>
            <w:tcBorders>
              <w:top w:val="single" w:sz="4" w:space="0" w:color="000000"/>
              <w:bottom w:val="nil"/>
            </w:tcBorders>
            <w:vAlign w:val="center"/>
            <w:hideMark/>
          </w:tcPr>
          <w:p w:rsidR="00337A2E" w:rsidRPr="005271F0" w:rsidRDefault="00337A2E" w:rsidP="00E1668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COMPREHENSIVENESS</w:t>
            </w:r>
          </w:p>
          <w:p w:rsidR="00337A2E" w:rsidRPr="005271F0" w:rsidRDefault="00337A2E" w:rsidP="00E1668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rPr>
            </w:pPr>
          </w:p>
        </w:tc>
        <w:tc>
          <w:tcPr>
            <w:tcW w:w="0" w:type="auto"/>
            <w:gridSpan w:val="2"/>
            <w:tcBorders>
              <w:top w:val="single" w:sz="4" w:space="0" w:color="000000"/>
              <w:bottom w:val="single" w:sz="4" w:space="0" w:color="000000"/>
            </w:tcBorders>
            <w:vAlign w:val="center"/>
            <w:hideMark/>
          </w:tcPr>
          <w:p w:rsidR="00337A2E" w:rsidRPr="005271F0" w:rsidRDefault="00337A2E" w:rsidP="00337A2E">
            <w:pPr>
              <w:ind w:firstLineChars="800" w:firstLine="17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COMPREHENSIBILITY</w:t>
            </w:r>
          </w:p>
        </w:tc>
      </w:tr>
      <w:tr w:rsidR="00337A2E" w:rsidRPr="005271F0" w:rsidTr="00E1668C">
        <w:trPr>
          <w:trHeight w:val="814"/>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000000"/>
            </w:tcBorders>
            <w:hideMark/>
          </w:tcPr>
          <w:p w:rsidR="00337A2E" w:rsidRPr="005271F0" w:rsidRDefault="00337A2E" w:rsidP="00E1668C">
            <w:pPr>
              <w:rPr>
                <w:rFonts w:eastAsia="Times New Roman" w:cstheme="minorHAnsi"/>
                <w:color w:val="000000"/>
              </w:rPr>
            </w:pPr>
            <w:r w:rsidRPr="005271F0">
              <w:rPr>
                <w:rFonts w:eastAsia="Times New Roman" w:cstheme="minorHAnsi"/>
                <w:color w:val="000000"/>
              </w:rPr>
              <w:t> </w:t>
            </w:r>
          </w:p>
        </w:tc>
        <w:tc>
          <w:tcPr>
            <w:tcW w:w="0" w:type="auto"/>
            <w:vMerge/>
            <w:tcBorders>
              <w:top w:val="nil"/>
              <w:bottom w:val="single" w:sz="4" w:space="0" w:color="000000"/>
            </w:tcBorders>
            <w:vAlign w:val="center"/>
            <w:hideMark/>
          </w:tcPr>
          <w:p w:rsidR="00337A2E" w:rsidRPr="005271F0" w:rsidRDefault="00337A2E" w:rsidP="00E1668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0" w:type="auto"/>
            <w:vMerge/>
            <w:tcBorders>
              <w:top w:val="nil"/>
              <w:bottom w:val="single" w:sz="4" w:space="0" w:color="000000"/>
            </w:tcBorders>
            <w:vAlign w:val="center"/>
            <w:hideMark/>
          </w:tcPr>
          <w:p w:rsidR="00337A2E" w:rsidRPr="005271F0" w:rsidRDefault="00337A2E" w:rsidP="00E1668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0" w:type="auto"/>
            <w:tcBorders>
              <w:top w:val="single" w:sz="4" w:space="0" w:color="000000"/>
              <w:bottom w:val="single" w:sz="4" w:space="0" w:color="000000"/>
            </w:tcBorders>
            <w:vAlign w:val="center"/>
            <w:hideMark/>
          </w:tcPr>
          <w:p w:rsidR="00337A2E" w:rsidRPr="005271F0" w:rsidRDefault="00337A2E" w:rsidP="00E1668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271F0">
              <w:rPr>
                <w:rFonts w:eastAsia="Times New Roman" w:cstheme="minorHAnsi"/>
              </w:rPr>
              <w:t>PROM development</w:t>
            </w:r>
            <w:r w:rsidRPr="005271F0">
              <w:rPr>
                <w:rFonts w:eastAsia="Times New Roman" w:cstheme="minorHAnsi"/>
              </w:rPr>
              <w:br/>
              <w:t>study AND content validity studies</w:t>
            </w:r>
          </w:p>
        </w:tc>
        <w:tc>
          <w:tcPr>
            <w:tcW w:w="0" w:type="auto"/>
            <w:tcBorders>
              <w:top w:val="single" w:sz="4" w:space="0" w:color="000000"/>
              <w:bottom w:val="single" w:sz="4" w:space="0" w:color="000000"/>
            </w:tcBorders>
            <w:vAlign w:val="center"/>
            <w:hideMark/>
          </w:tcPr>
          <w:p w:rsidR="00337A2E" w:rsidRPr="005271F0" w:rsidRDefault="00337A2E" w:rsidP="00E1668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Reviewers rating</w:t>
            </w:r>
          </w:p>
        </w:tc>
      </w:tr>
      <w:tr w:rsidR="00337A2E" w:rsidRPr="005271F0" w:rsidTr="00E1668C">
        <w:trPr>
          <w:trHeight w:val="316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tcBorders>
            <w:hideMark/>
          </w:tcPr>
          <w:p w:rsidR="00337A2E" w:rsidRPr="005271F0" w:rsidRDefault="00337A2E" w:rsidP="00E1668C">
            <w:pPr>
              <w:rPr>
                <w:rFonts w:eastAsia="Times New Roman" w:cstheme="minorHAnsi"/>
              </w:rPr>
            </w:pPr>
            <w:r w:rsidRPr="005271F0">
              <w:rPr>
                <w:rFonts w:eastAsia="Times New Roman" w:cstheme="minorHAnsi"/>
              </w:rPr>
              <w:lastRenderedPageBreak/>
              <w:t>+</w:t>
            </w:r>
          </w:p>
        </w:tc>
        <w:tc>
          <w:tcPr>
            <w:tcW w:w="0" w:type="auto"/>
            <w:tcBorders>
              <w:top w:val="single" w:sz="4" w:space="0" w:color="000000"/>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 xml:space="preserve">At least criteria 1 and 2 are rated + AND at least two of the other three criteria on relevance are rated + </w:t>
            </w:r>
          </w:p>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271F0">
              <w:rPr>
                <w:rFonts w:eastAsia="Times New Roman" w:cstheme="minorHAnsi"/>
              </w:rPr>
              <w:t>Criteria 1 and 2 (relevance for construct and population) are considered the most important criteria and therefore they need to be rated +.</w:t>
            </w:r>
            <w:r w:rsidRPr="005271F0">
              <w:rPr>
                <w:rFonts w:eastAsia="Times New Roman" w:cstheme="minorHAnsi"/>
              </w:rPr>
              <w:br/>
              <w:t>A maximum of 1 criterion rated – is allowed, but reviewers can also rate ± in that</w:t>
            </w:r>
            <w:r w:rsidRPr="005271F0">
              <w:rPr>
                <w:rFonts w:eastAsia="Times New Roman" w:cstheme="minorHAnsi"/>
              </w:rPr>
              <w:br/>
              <w:t>case.</w:t>
            </w:r>
          </w:p>
        </w:tc>
        <w:tc>
          <w:tcPr>
            <w:tcW w:w="0" w:type="auto"/>
            <w:tcBorders>
              <w:top w:val="single" w:sz="4" w:space="0" w:color="000000"/>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Rating of criterion 6</w:t>
            </w:r>
          </w:p>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p>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p>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p>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p>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p>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p>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p>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p>
        </w:tc>
        <w:tc>
          <w:tcPr>
            <w:tcW w:w="0" w:type="auto"/>
            <w:tcBorders>
              <w:top w:val="single" w:sz="4" w:space="0" w:color="000000"/>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271F0">
              <w:rPr>
                <w:rFonts w:eastAsia="Times New Roman" w:cstheme="minorHAnsi"/>
              </w:rPr>
              <w:t>At least criterion 8 is rated + and criterion 7 is NOT rated ‐</w:t>
            </w:r>
            <w:r w:rsidRPr="005271F0">
              <w:rPr>
                <w:rFonts w:eastAsia="Times New Roman" w:cstheme="minorHAnsi"/>
              </w:rPr>
              <w:br/>
              <w:t>Criterion 8 is considered the most important, but for a sufficient rating criterion 7 should NOT be rated ‐ (it may be rated ?).</w:t>
            </w:r>
          </w:p>
        </w:tc>
        <w:tc>
          <w:tcPr>
            <w:tcW w:w="0" w:type="auto"/>
            <w:tcBorders>
              <w:top w:val="single" w:sz="4" w:space="0" w:color="000000"/>
            </w:tcBorders>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Both criteria 9 and 10 are rated +</w:t>
            </w:r>
          </w:p>
        </w:tc>
      </w:tr>
      <w:tr w:rsidR="00337A2E" w:rsidRPr="005271F0" w:rsidTr="00E1668C">
        <w:trPr>
          <w:trHeight w:val="1003"/>
        </w:trPr>
        <w:tc>
          <w:tcPr>
            <w:cnfStyle w:val="001000000000" w:firstRow="0" w:lastRow="0" w:firstColumn="1" w:lastColumn="0" w:oddVBand="0" w:evenVBand="0" w:oddHBand="0" w:evenHBand="0" w:firstRowFirstColumn="0" w:firstRowLastColumn="0" w:lastRowFirstColumn="0" w:lastRowLastColumn="0"/>
            <w:tcW w:w="0" w:type="auto"/>
            <w:hideMark/>
          </w:tcPr>
          <w:p w:rsidR="00337A2E" w:rsidRPr="005271F0" w:rsidRDefault="00337A2E" w:rsidP="00E1668C">
            <w:pPr>
              <w:rPr>
                <w:rFonts w:eastAsia="Times New Roman" w:cstheme="minorHAnsi"/>
              </w:rPr>
            </w:pPr>
            <w:r w:rsidRPr="005271F0">
              <w:rPr>
                <w:rFonts w:eastAsia="Times New Roman" w:cstheme="minorHAnsi"/>
              </w:rPr>
              <w:t>‐</w:t>
            </w:r>
          </w:p>
        </w:tc>
        <w:tc>
          <w:tcPr>
            <w:tcW w:w="0" w:type="auto"/>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271F0">
              <w:rPr>
                <w:rFonts w:eastAsia="Times New Roman" w:cstheme="minorHAnsi"/>
              </w:rPr>
              <w:t>at least criteria 1 and 2 are rated ‐ AND at least two of the other three criteria on relevance are rated ‐</w:t>
            </w:r>
          </w:p>
        </w:tc>
        <w:tc>
          <w:tcPr>
            <w:tcW w:w="0" w:type="auto"/>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Rating of criterion 6</w:t>
            </w:r>
          </w:p>
        </w:tc>
        <w:tc>
          <w:tcPr>
            <w:tcW w:w="0" w:type="auto"/>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Criterion 8 is rated – (independent of the rating for criterion 7)</w:t>
            </w:r>
          </w:p>
        </w:tc>
        <w:tc>
          <w:tcPr>
            <w:tcW w:w="0" w:type="auto"/>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Both criteria 9 and 10 are rated ‐</w:t>
            </w:r>
          </w:p>
        </w:tc>
      </w:tr>
      <w:tr w:rsidR="00337A2E" w:rsidRPr="005271F0" w:rsidTr="00E1668C">
        <w:trPr>
          <w:trHeight w:val="814"/>
        </w:trPr>
        <w:tc>
          <w:tcPr>
            <w:cnfStyle w:val="001000000000" w:firstRow="0" w:lastRow="0" w:firstColumn="1" w:lastColumn="0" w:oddVBand="0" w:evenVBand="0" w:oddHBand="0" w:evenHBand="0" w:firstRowFirstColumn="0" w:firstRowLastColumn="0" w:lastRowFirstColumn="0" w:lastRowLastColumn="0"/>
            <w:tcW w:w="0" w:type="auto"/>
            <w:hideMark/>
          </w:tcPr>
          <w:p w:rsidR="00337A2E" w:rsidRPr="005271F0" w:rsidRDefault="00337A2E" w:rsidP="00E1668C">
            <w:pPr>
              <w:rPr>
                <w:rFonts w:eastAsia="Times New Roman" w:cstheme="minorHAnsi"/>
              </w:rPr>
            </w:pPr>
            <w:r w:rsidRPr="005271F0">
              <w:rPr>
                <w:rFonts w:eastAsia="Times New Roman" w:cstheme="minorHAnsi"/>
              </w:rPr>
              <w:t>?</w:t>
            </w:r>
          </w:p>
        </w:tc>
        <w:tc>
          <w:tcPr>
            <w:tcW w:w="0" w:type="auto"/>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At least two of the criteria are rated ?</w:t>
            </w:r>
          </w:p>
        </w:tc>
        <w:tc>
          <w:tcPr>
            <w:tcW w:w="0" w:type="auto"/>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Rating of criterion 6</w:t>
            </w:r>
          </w:p>
        </w:tc>
        <w:tc>
          <w:tcPr>
            <w:tcW w:w="0" w:type="auto"/>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271F0">
              <w:rPr>
                <w:rFonts w:eastAsia="Times New Roman" w:cstheme="minorHAnsi"/>
              </w:rPr>
              <w:t>Criterion 8 is rated ? (independent of the</w:t>
            </w:r>
            <w:r w:rsidRPr="005271F0">
              <w:rPr>
                <w:rFonts w:eastAsia="Times New Roman" w:cstheme="minorHAnsi"/>
              </w:rPr>
              <w:br/>
              <w:t>rating for criterion 7)</w:t>
            </w:r>
          </w:p>
        </w:tc>
        <w:tc>
          <w:tcPr>
            <w:tcW w:w="0" w:type="auto"/>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At least one of the criteria is rated ?</w:t>
            </w:r>
          </w:p>
        </w:tc>
      </w:tr>
      <w:tr w:rsidR="00337A2E" w:rsidRPr="005271F0" w:rsidTr="00E1668C">
        <w:trPr>
          <w:trHeight w:val="814"/>
        </w:trPr>
        <w:tc>
          <w:tcPr>
            <w:cnfStyle w:val="001000000000" w:firstRow="0" w:lastRow="0" w:firstColumn="1" w:lastColumn="0" w:oddVBand="0" w:evenVBand="0" w:oddHBand="0" w:evenHBand="0" w:firstRowFirstColumn="0" w:firstRowLastColumn="0" w:lastRowFirstColumn="0" w:lastRowLastColumn="0"/>
            <w:tcW w:w="0" w:type="auto"/>
            <w:hideMark/>
          </w:tcPr>
          <w:p w:rsidR="00337A2E" w:rsidRPr="005271F0" w:rsidRDefault="00337A2E" w:rsidP="00E1668C">
            <w:pPr>
              <w:rPr>
                <w:rFonts w:eastAsia="Times New Roman" w:cstheme="minorHAnsi"/>
              </w:rPr>
            </w:pPr>
            <w:r w:rsidRPr="005271F0">
              <w:rPr>
                <w:rFonts w:eastAsia="Times New Roman" w:cstheme="minorHAnsi"/>
              </w:rPr>
              <w:t>±</w:t>
            </w:r>
          </w:p>
        </w:tc>
        <w:tc>
          <w:tcPr>
            <w:tcW w:w="0" w:type="auto"/>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All other situations</w:t>
            </w:r>
          </w:p>
        </w:tc>
        <w:tc>
          <w:tcPr>
            <w:tcW w:w="0" w:type="auto"/>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Rating of criterion 6</w:t>
            </w:r>
          </w:p>
        </w:tc>
        <w:tc>
          <w:tcPr>
            <w:tcW w:w="0" w:type="auto"/>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271F0">
              <w:rPr>
                <w:rFonts w:eastAsia="Times New Roman" w:cstheme="minorHAnsi"/>
              </w:rPr>
              <w:t>Criterion 8 is rated + and criterion 7 is rated</w:t>
            </w:r>
            <w:r w:rsidRPr="005271F0">
              <w:rPr>
                <w:rFonts w:eastAsia="Times New Roman" w:cstheme="minorHAnsi"/>
              </w:rPr>
              <w:br/>
              <w:t>‐</w:t>
            </w:r>
          </w:p>
        </w:tc>
        <w:tc>
          <w:tcPr>
            <w:tcW w:w="0" w:type="auto"/>
            <w:hideMark/>
          </w:tcPr>
          <w:p w:rsidR="00337A2E" w:rsidRPr="005271F0" w:rsidRDefault="00337A2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271F0">
              <w:rPr>
                <w:rFonts w:eastAsia="Times New Roman" w:cstheme="minorHAnsi"/>
              </w:rPr>
              <w:t>One criterion is rated</w:t>
            </w:r>
            <w:r w:rsidRPr="005271F0">
              <w:rPr>
                <w:rFonts w:eastAsia="Times New Roman" w:cstheme="minorHAnsi"/>
              </w:rPr>
              <w:br/>
              <w:t>+ and one is rated ‐</w:t>
            </w:r>
          </w:p>
        </w:tc>
      </w:tr>
    </w:tbl>
    <w:p w:rsidR="00337A2E" w:rsidRPr="005271F0" w:rsidRDefault="00337A2E" w:rsidP="00337A2E">
      <w:pPr>
        <w:rPr>
          <w:rFonts w:cstheme="minorHAnsi"/>
        </w:rPr>
      </w:pPr>
    </w:p>
    <w:p w:rsidR="00337A2E" w:rsidRPr="005271F0" w:rsidRDefault="00337A2E" w:rsidP="00337A2E">
      <w:pPr>
        <w:rPr>
          <w:rFonts w:cstheme="minorHAnsi"/>
        </w:rPr>
      </w:pPr>
    </w:p>
    <w:tbl>
      <w:tblPr>
        <w:tblpPr w:leftFromText="180" w:rightFromText="180" w:vertAnchor="text" w:tblpX="8" w:tblpY="1"/>
        <w:tblOverlap w:val="never"/>
        <w:tblW w:w="4997" w:type="pct"/>
        <w:tblBorders>
          <w:top w:val="single" w:sz="12" w:space="0" w:color="D5D5D5"/>
          <w:left w:val="single" w:sz="12" w:space="0" w:color="D5D5D5"/>
          <w:bottom w:val="single" w:sz="12" w:space="0" w:color="D5D5D5"/>
          <w:right w:val="single" w:sz="12" w:space="0" w:color="D5D5D5"/>
        </w:tblBorders>
        <w:tblCellMar>
          <w:top w:w="15" w:type="dxa"/>
          <w:left w:w="15" w:type="dxa"/>
          <w:bottom w:w="15" w:type="dxa"/>
          <w:right w:w="15" w:type="dxa"/>
        </w:tblCellMar>
        <w:tblLook w:val="04A0" w:firstRow="1" w:lastRow="0" w:firstColumn="1" w:lastColumn="0" w:noHBand="0" w:noVBand="1"/>
      </w:tblPr>
      <w:tblGrid>
        <w:gridCol w:w="2163"/>
        <w:gridCol w:w="749"/>
        <w:gridCol w:w="6622"/>
      </w:tblGrid>
      <w:tr w:rsidR="00337A2E" w:rsidRPr="005271F0" w:rsidTr="00E1668C">
        <w:trPr>
          <w:tblHeader/>
        </w:trPr>
        <w:tc>
          <w:tcPr>
            <w:tcW w:w="5000" w:type="pct"/>
            <w:gridSpan w:val="3"/>
            <w:tcBorders>
              <w:top w:val="single" w:sz="4" w:space="0" w:color="FFFFFF" w:themeColor="background1"/>
              <w:left w:val="nil"/>
              <w:bottom w:val="single" w:sz="4" w:space="0" w:color="auto"/>
              <w:right w:val="nil"/>
            </w:tcBorders>
            <w:shd w:val="clear" w:color="auto" w:fill="auto"/>
            <w:tcMar>
              <w:top w:w="90" w:type="dxa"/>
              <w:left w:w="90" w:type="dxa"/>
              <w:bottom w:w="90" w:type="dxa"/>
              <w:right w:w="90" w:type="dxa"/>
            </w:tcMar>
          </w:tcPr>
          <w:p w:rsidR="00337A2E" w:rsidRPr="005271F0" w:rsidRDefault="00337A2E" w:rsidP="00E1668C">
            <w:pPr>
              <w:rPr>
                <w:rFonts w:eastAsia="Times New Roman" w:cstheme="minorHAnsi"/>
                <w:b/>
                <w:bCs/>
              </w:rPr>
            </w:pPr>
            <w:r>
              <w:rPr>
                <w:rFonts w:cstheme="minorHAnsi"/>
                <w:b/>
                <w:bCs/>
                <w:sz w:val="24"/>
                <w:szCs w:val="24"/>
              </w:rPr>
              <w:t>Additional file 3-3</w:t>
            </w:r>
            <w:r w:rsidRPr="005271F0">
              <w:rPr>
                <w:rFonts w:cstheme="minorHAnsi"/>
                <w:b/>
                <w:bCs/>
                <w:sz w:val="24"/>
                <w:szCs w:val="24"/>
              </w:rPr>
              <w:t xml:space="preserve"> </w:t>
            </w:r>
            <w:r w:rsidRPr="005271F0">
              <w:rPr>
                <w:rFonts w:cstheme="minorHAnsi"/>
                <w:sz w:val="24"/>
                <w:szCs w:val="24"/>
              </w:rPr>
              <w:t>Updated criteria for good measurement properties</w:t>
            </w:r>
          </w:p>
        </w:tc>
      </w:tr>
      <w:tr w:rsidR="00337A2E" w:rsidRPr="005271F0" w:rsidTr="00E1668C">
        <w:trPr>
          <w:tblHeader/>
        </w:trPr>
        <w:tc>
          <w:tcPr>
            <w:tcW w:w="955" w:type="pct"/>
            <w:tcBorders>
              <w:top w:val="single" w:sz="4" w:space="0" w:color="auto"/>
              <w:left w:val="nil"/>
              <w:bottom w:val="single" w:sz="4" w:space="0" w:color="auto"/>
              <w:right w:val="nil"/>
            </w:tcBorders>
            <w:shd w:val="clear" w:color="auto" w:fill="auto"/>
            <w:tcMar>
              <w:top w:w="90" w:type="dxa"/>
              <w:left w:w="90" w:type="dxa"/>
              <w:bottom w:w="90" w:type="dxa"/>
              <w:right w:w="90" w:type="dxa"/>
            </w:tcMar>
            <w:hideMark/>
          </w:tcPr>
          <w:p w:rsidR="00337A2E" w:rsidRPr="005271F0" w:rsidRDefault="00337A2E" w:rsidP="00E1668C">
            <w:pPr>
              <w:jc w:val="center"/>
              <w:rPr>
                <w:rFonts w:eastAsia="Times New Roman" w:cstheme="minorHAnsi"/>
              </w:rPr>
            </w:pPr>
            <w:r w:rsidRPr="005271F0">
              <w:rPr>
                <w:rFonts w:cstheme="minorHAnsi"/>
              </w:rPr>
              <w:t>Measurement Properties</w:t>
            </w:r>
          </w:p>
        </w:tc>
        <w:tc>
          <w:tcPr>
            <w:tcW w:w="356" w:type="pct"/>
            <w:tcBorders>
              <w:top w:val="single" w:sz="4" w:space="0" w:color="auto"/>
              <w:left w:val="nil"/>
              <w:bottom w:val="single" w:sz="4" w:space="0" w:color="auto"/>
              <w:right w:val="nil"/>
            </w:tcBorders>
            <w:shd w:val="clear" w:color="auto" w:fill="auto"/>
            <w:tcMar>
              <w:top w:w="90" w:type="dxa"/>
              <w:left w:w="90" w:type="dxa"/>
              <w:bottom w:w="90" w:type="dxa"/>
              <w:right w:w="90" w:type="dxa"/>
            </w:tcMar>
            <w:hideMark/>
          </w:tcPr>
          <w:p w:rsidR="00337A2E" w:rsidRPr="005271F0" w:rsidRDefault="00337A2E" w:rsidP="00E1668C">
            <w:pPr>
              <w:jc w:val="center"/>
              <w:rPr>
                <w:rFonts w:eastAsia="Times New Roman" w:cstheme="minorHAnsi"/>
              </w:rPr>
            </w:pPr>
            <w:r w:rsidRPr="005271F0">
              <w:rPr>
                <w:rFonts w:eastAsia="Times New Roman" w:cstheme="minorHAnsi"/>
              </w:rPr>
              <w:t>Rating</w:t>
            </w:r>
          </w:p>
        </w:tc>
        <w:tc>
          <w:tcPr>
            <w:tcW w:w="3689" w:type="pct"/>
            <w:tcBorders>
              <w:top w:val="single" w:sz="4" w:space="0" w:color="auto"/>
              <w:left w:val="nil"/>
              <w:bottom w:val="single" w:sz="4" w:space="0" w:color="auto"/>
              <w:right w:val="nil"/>
            </w:tcBorders>
            <w:shd w:val="clear" w:color="auto" w:fill="auto"/>
            <w:tcMar>
              <w:top w:w="90" w:type="dxa"/>
              <w:left w:w="90" w:type="dxa"/>
              <w:bottom w:w="90" w:type="dxa"/>
              <w:right w:w="90" w:type="dxa"/>
            </w:tcMar>
            <w:hideMark/>
          </w:tcPr>
          <w:p w:rsidR="00337A2E" w:rsidRPr="005271F0" w:rsidRDefault="00337A2E" w:rsidP="00E1668C">
            <w:pPr>
              <w:jc w:val="center"/>
              <w:rPr>
                <w:rFonts w:eastAsia="Times New Roman" w:cstheme="minorHAnsi"/>
              </w:rPr>
            </w:pPr>
            <w:r w:rsidRPr="005271F0">
              <w:rPr>
                <w:rFonts w:eastAsia="Times New Roman" w:cstheme="minorHAnsi"/>
              </w:rPr>
              <w:t>Criteria</w:t>
            </w:r>
          </w:p>
        </w:tc>
      </w:tr>
      <w:tr w:rsidR="00337A2E" w:rsidRPr="005271F0" w:rsidTr="00E1668C">
        <w:tc>
          <w:tcPr>
            <w:tcW w:w="955" w:type="pct"/>
            <w:vMerge w:val="restart"/>
            <w:tcBorders>
              <w:top w:val="single" w:sz="4" w:space="0" w:color="auto"/>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rPr>
                <w:rFonts w:eastAsia="Times New Roman" w:cstheme="minorHAnsi"/>
              </w:rPr>
            </w:pPr>
            <w:r w:rsidRPr="005271F0">
              <w:rPr>
                <w:rFonts w:eastAsia="Times New Roman" w:cstheme="minorHAnsi"/>
              </w:rPr>
              <w:t>Structural validity</w:t>
            </w:r>
          </w:p>
        </w:tc>
        <w:tc>
          <w:tcPr>
            <w:tcW w:w="356" w:type="pct"/>
            <w:vMerge w:val="restart"/>
            <w:tcBorders>
              <w:top w:val="single" w:sz="4" w:space="0" w:color="auto"/>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jc w:val="center"/>
              <w:rPr>
                <w:rFonts w:eastAsia="Times New Roman" w:cstheme="minorHAnsi"/>
              </w:rPr>
            </w:pPr>
            <w:r w:rsidRPr="005271F0">
              <w:rPr>
                <w:rFonts w:eastAsia="Times New Roman" w:cstheme="minorHAnsi"/>
              </w:rPr>
              <w:t>+</w:t>
            </w:r>
          </w:p>
        </w:tc>
        <w:tc>
          <w:tcPr>
            <w:tcW w:w="3689" w:type="pct"/>
            <w:tcBorders>
              <w:top w:val="single" w:sz="4" w:space="0" w:color="auto"/>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rPr>
                <w:rFonts w:eastAsia="Times New Roman" w:cstheme="minorHAnsi"/>
              </w:rPr>
            </w:pPr>
            <w:r w:rsidRPr="005271F0">
              <w:rPr>
                <w:rFonts w:eastAsia="Times New Roman" w:cstheme="minorHAnsi"/>
                <w:b/>
                <w:bCs/>
              </w:rPr>
              <w:t>CTT</w:t>
            </w:r>
            <w:r w:rsidRPr="005271F0">
              <w:rPr>
                <w:rFonts w:eastAsia="Times New Roman" w:cstheme="minorHAnsi"/>
              </w:rPr>
              <w:br/>
              <w:t>CFA: CFI or TLI or comparable measure &gt; 0.95 OR RMSEA &lt; 0.06 OR SRMR &lt; 0.08</w:t>
            </w:r>
            <w:r w:rsidRPr="005271F0">
              <w:rPr>
                <w:rFonts w:eastAsia="Times New Roman" w:cstheme="minorHAnsi"/>
                <w:vertAlign w:val="superscript"/>
              </w:rPr>
              <w:t>a</w:t>
            </w:r>
          </w:p>
        </w:tc>
      </w:tr>
      <w:tr w:rsidR="00337A2E" w:rsidRPr="005271F0" w:rsidTr="00E1668C">
        <w:tc>
          <w:tcPr>
            <w:tcW w:w="955" w:type="pct"/>
            <w:vMerge/>
            <w:tcBorders>
              <w:top w:val="nil"/>
              <w:left w:val="nil"/>
              <w:bottom w:val="nil"/>
              <w:right w:val="nil"/>
            </w:tcBorders>
            <w:shd w:val="clear" w:color="auto" w:fill="auto"/>
            <w:vAlign w:val="center"/>
            <w:hideMark/>
          </w:tcPr>
          <w:p w:rsidR="00337A2E" w:rsidRPr="005271F0" w:rsidRDefault="00337A2E" w:rsidP="00E1668C">
            <w:pPr>
              <w:rPr>
                <w:rFonts w:eastAsia="Times New Roman" w:cstheme="minorHAnsi"/>
              </w:rPr>
            </w:pPr>
          </w:p>
        </w:tc>
        <w:tc>
          <w:tcPr>
            <w:tcW w:w="356" w:type="pct"/>
            <w:vMerge/>
            <w:tcBorders>
              <w:top w:val="nil"/>
              <w:left w:val="nil"/>
              <w:bottom w:val="nil"/>
              <w:right w:val="nil"/>
            </w:tcBorders>
            <w:shd w:val="clear" w:color="auto" w:fill="auto"/>
            <w:vAlign w:val="center"/>
            <w:hideMark/>
          </w:tcPr>
          <w:p w:rsidR="00337A2E" w:rsidRPr="005271F0" w:rsidRDefault="00337A2E" w:rsidP="00E1668C">
            <w:pPr>
              <w:jc w:val="center"/>
              <w:rPr>
                <w:rFonts w:eastAsia="Times New Roman" w:cstheme="minorHAnsi"/>
              </w:rPr>
            </w:pPr>
          </w:p>
        </w:tc>
        <w:tc>
          <w:tcPr>
            <w:tcW w:w="3689"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rPr>
                <w:rFonts w:eastAsia="Times New Roman" w:cstheme="minorHAnsi"/>
              </w:rPr>
            </w:pPr>
            <w:r w:rsidRPr="005271F0">
              <w:rPr>
                <w:rFonts w:eastAsia="Times New Roman" w:cstheme="minorHAnsi"/>
                <w:b/>
                <w:bCs/>
              </w:rPr>
              <w:t>IRT/Rasch</w:t>
            </w:r>
            <w:r w:rsidRPr="005271F0">
              <w:rPr>
                <w:rFonts w:eastAsia="Times New Roman" w:cstheme="minorHAnsi"/>
              </w:rPr>
              <w:br/>
              <w:t>No violation of </w:t>
            </w:r>
            <w:r w:rsidRPr="005271F0">
              <w:rPr>
                <w:rFonts w:eastAsia="Times New Roman" w:cstheme="minorHAnsi"/>
                <w:u w:val="single"/>
              </w:rPr>
              <w:t>unidimensionality</w:t>
            </w:r>
            <w:r w:rsidRPr="005271F0">
              <w:rPr>
                <w:rFonts w:eastAsia="Times New Roman" w:cstheme="minorHAnsi"/>
                <w:vertAlign w:val="superscript"/>
              </w:rPr>
              <w:t>b</w:t>
            </w:r>
            <w:r w:rsidRPr="005271F0">
              <w:rPr>
                <w:rFonts w:eastAsia="Times New Roman" w:cstheme="minorHAnsi"/>
              </w:rPr>
              <w:t>: CFI or TLI or comparable measure &gt; 0.95 OR RMSEA &lt; 0.06 OR SRMR &lt; 0.08</w:t>
            </w:r>
            <w:r w:rsidRPr="005271F0">
              <w:rPr>
                <w:rFonts w:eastAsia="Times New Roman" w:cstheme="minorHAnsi"/>
              </w:rPr>
              <w:br/>
            </w:r>
            <w:r w:rsidRPr="005271F0">
              <w:rPr>
                <w:rFonts w:eastAsia="Times New Roman" w:cstheme="minorHAnsi"/>
                <w:i/>
                <w:iCs/>
              </w:rPr>
              <w:t>AND</w:t>
            </w:r>
            <w:r w:rsidRPr="005271F0">
              <w:rPr>
                <w:rFonts w:eastAsia="Times New Roman" w:cstheme="minorHAnsi"/>
              </w:rPr>
              <w:br/>
              <w:t>no violation of </w:t>
            </w:r>
            <w:r w:rsidRPr="005271F0">
              <w:rPr>
                <w:rFonts w:eastAsia="Times New Roman" w:cstheme="minorHAnsi"/>
                <w:u w:val="single"/>
              </w:rPr>
              <w:t>local independence</w:t>
            </w:r>
            <w:r w:rsidRPr="005271F0">
              <w:rPr>
                <w:rFonts w:eastAsia="Times New Roman" w:cstheme="minorHAnsi"/>
              </w:rPr>
              <w:t xml:space="preserve">: residual correlations among the </w:t>
            </w:r>
            <w:r w:rsidRPr="005271F0">
              <w:rPr>
                <w:rFonts w:eastAsia="Times New Roman" w:cstheme="minorHAnsi"/>
              </w:rPr>
              <w:lastRenderedPageBreak/>
              <w:t>items after controlling for the dominant factor &lt; 0.20 OR Q3’s &lt; 0.37</w:t>
            </w:r>
            <w:r w:rsidRPr="005271F0">
              <w:rPr>
                <w:rFonts w:eastAsia="Times New Roman" w:cstheme="minorHAnsi"/>
              </w:rPr>
              <w:br/>
            </w:r>
            <w:r w:rsidRPr="005271F0">
              <w:rPr>
                <w:rFonts w:eastAsia="Times New Roman" w:cstheme="minorHAnsi"/>
                <w:i/>
                <w:iCs/>
              </w:rPr>
              <w:t>AND</w:t>
            </w:r>
            <w:r w:rsidRPr="005271F0">
              <w:rPr>
                <w:rFonts w:eastAsia="Times New Roman" w:cstheme="minorHAnsi"/>
              </w:rPr>
              <w:br/>
              <w:t>no violation of </w:t>
            </w:r>
            <w:r w:rsidRPr="005271F0">
              <w:rPr>
                <w:rFonts w:eastAsia="Times New Roman" w:cstheme="minorHAnsi"/>
                <w:u w:val="single"/>
              </w:rPr>
              <w:t>monotonicity</w:t>
            </w:r>
            <w:r w:rsidRPr="005271F0">
              <w:rPr>
                <w:rFonts w:eastAsia="Times New Roman" w:cstheme="minorHAnsi"/>
              </w:rPr>
              <w:t>: adequate looking graphs OR item scalability &gt; 0.30</w:t>
            </w:r>
            <w:r w:rsidRPr="005271F0">
              <w:rPr>
                <w:rFonts w:eastAsia="Times New Roman" w:cstheme="minorHAnsi"/>
              </w:rPr>
              <w:br/>
            </w:r>
            <w:r w:rsidRPr="005271F0">
              <w:rPr>
                <w:rFonts w:eastAsia="Times New Roman" w:cstheme="minorHAnsi"/>
                <w:i/>
                <w:iCs/>
              </w:rPr>
              <w:t>AND</w:t>
            </w:r>
            <w:r w:rsidRPr="005271F0">
              <w:rPr>
                <w:rFonts w:eastAsia="Times New Roman" w:cstheme="minorHAnsi"/>
              </w:rPr>
              <w:br/>
              <w:t>adequate </w:t>
            </w:r>
            <w:r w:rsidRPr="005271F0">
              <w:rPr>
                <w:rFonts w:eastAsia="Times New Roman" w:cstheme="minorHAnsi"/>
                <w:u w:val="single"/>
              </w:rPr>
              <w:t>model fit</w:t>
            </w:r>
            <w:r w:rsidRPr="005271F0">
              <w:rPr>
                <w:rFonts w:eastAsia="Times New Roman" w:cstheme="minorHAnsi"/>
              </w:rPr>
              <w:br/>
              <w:t>IRT: χ</w:t>
            </w:r>
            <w:r w:rsidRPr="005271F0">
              <w:rPr>
                <w:rFonts w:eastAsia="Times New Roman" w:cstheme="minorHAnsi"/>
                <w:vertAlign w:val="superscript"/>
              </w:rPr>
              <w:t>2</w:t>
            </w:r>
            <w:r w:rsidRPr="005271F0">
              <w:rPr>
                <w:rFonts w:eastAsia="Times New Roman" w:cstheme="minorHAnsi"/>
              </w:rPr>
              <w:t> &gt; 0.001</w:t>
            </w:r>
            <w:r w:rsidRPr="005271F0">
              <w:rPr>
                <w:rFonts w:eastAsia="Times New Roman" w:cstheme="minorHAnsi"/>
              </w:rPr>
              <w:br/>
              <w:t>Rasch: infit and outfit mean squares ≥ 0.5 and ≤ 1.5 OR Z-standardized values &gt; −2 and &lt; 2</w:t>
            </w:r>
          </w:p>
        </w:tc>
      </w:tr>
      <w:tr w:rsidR="00337A2E" w:rsidRPr="005271F0" w:rsidTr="00E1668C">
        <w:tc>
          <w:tcPr>
            <w:tcW w:w="955" w:type="pct"/>
            <w:vMerge/>
            <w:tcBorders>
              <w:top w:val="nil"/>
              <w:left w:val="nil"/>
              <w:bottom w:val="nil"/>
              <w:right w:val="nil"/>
            </w:tcBorders>
            <w:shd w:val="clear" w:color="auto" w:fill="auto"/>
            <w:vAlign w:val="center"/>
            <w:hideMark/>
          </w:tcPr>
          <w:p w:rsidR="00337A2E" w:rsidRPr="005271F0" w:rsidRDefault="00337A2E" w:rsidP="00E1668C">
            <w:pPr>
              <w:rPr>
                <w:rFonts w:eastAsia="Times New Roman" w:cstheme="minorHAnsi"/>
              </w:rPr>
            </w:pPr>
          </w:p>
        </w:tc>
        <w:tc>
          <w:tcPr>
            <w:tcW w:w="356"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jc w:val="center"/>
              <w:rPr>
                <w:rFonts w:eastAsia="Times New Roman" w:cstheme="minorHAnsi"/>
              </w:rPr>
            </w:pPr>
            <w:r w:rsidRPr="005271F0">
              <w:rPr>
                <w:rFonts w:eastAsia="Times New Roman" w:cstheme="minorHAnsi"/>
              </w:rPr>
              <w:t>?</w:t>
            </w:r>
          </w:p>
        </w:tc>
        <w:tc>
          <w:tcPr>
            <w:tcW w:w="3689"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rPr>
                <w:rFonts w:eastAsia="Times New Roman" w:cstheme="minorHAnsi"/>
              </w:rPr>
            </w:pPr>
            <w:r w:rsidRPr="005271F0">
              <w:rPr>
                <w:rFonts w:eastAsia="Times New Roman" w:cstheme="minorHAnsi"/>
              </w:rPr>
              <w:t>CTT: not all information for ‘+’ reported</w:t>
            </w:r>
            <w:r w:rsidRPr="005271F0">
              <w:rPr>
                <w:rFonts w:eastAsia="Times New Roman" w:cstheme="minorHAnsi"/>
              </w:rPr>
              <w:br/>
              <w:t>IRT/Rasch: model fit not reported</w:t>
            </w:r>
          </w:p>
        </w:tc>
      </w:tr>
      <w:tr w:rsidR="00337A2E" w:rsidRPr="005271F0" w:rsidTr="00E1668C">
        <w:tc>
          <w:tcPr>
            <w:tcW w:w="955" w:type="pct"/>
            <w:vMerge/>
            <w:tcBorders>
              <w:top w:val="nil"/>
              <w:left w:val="nil"/>
              <w:bottom w:val="nil"/>
              <w:right w:val="nil"/>
            </w:tcBorders>
            <w:shd w:val="clear" w:color="auto" w:fill="auto"/>
            <w:vAlign w:val="center"/>
            <w:hideMark/>
          </w:tcPr>
          <w:p w:rsidR="00337A2E" w:rsidRPr="005271F0" w:rsidRDefault="00337A2E" w:rsidP="00E1668C">
            <w:pPr>
              <w:rPr>
                <w:rFonts w:eastAsia="Times New Roman" w:cstheme="minorHAnsi"/>
              </w:rPr>
            </w:pPr>
          </w:p>
        </w:tc>
        <w:tc>
          <w:tcPr>
            <w:tcW w:w="356"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jc w:val="center"/>
              <w:rPr>
                <w:rFonts w:eastAsia="Times New Roman" w:cstheme="minorHAnsi"/>
              </w:rPr>
            </w:pPr>
            <w:r w:rsidRPr="005271F0">
              <w:rPr>
                <w:rFonts w:eastAsia="Times New Roman" w:cstheme="minorHAnsi"/>
              </w:rPr>
              <w:t>−</w:t>
            </w:r>
          </w:p>
        </w:tc>
        <w:tc>
          <w:tcPr>
            <w:tcW w:w="3689"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rPr>
                <w:rFonts w:eastAsia="Times New Roman" w:cstheme="minorHAnsi"/>
              </w:rPr>
            </w:pPr>
            <w:r w:rsidRPr="005271F0">
              <w:rPr>
                <w:rFonts w:eastAsia="Times New Roman" w:cstheme="minorHAnsi"/>
              </w:rPr>
              <w:t>Criteria for ‘+’ not met</w:t>
            </w:r>
          </w:p>
        </w:tc>
      </w:tr>
      <w:tr w:rsidR="00337A2E" w:rsidRPr="005271F0" w:rsidTr="00E1668C">
        <w:tc>
          <w:tcPr>
            <w:tcW w:w="955" w:type="pct"/>
            <w:vMerge w:val="restar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rPr>
                <w:rFonts w:eastAsia="Times New Roman" w:cstheme="minorHAnsi"/>
              </w:rPr>
            </w:pPr>
            <w:r w:rsidRPr="005271F0">
              <w:rPr>
                <w:rFonts w:eastAsia="Times New Roman" w:cstheme="minorHAnsi"/>
              </w:rPr>
              <w:t>Internal consistency</w:t>
            </w:r>
          </w:p>
        </w:tc>
        <w:tc>
          <w:tcPr>
            <w:tcW w:w="356"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jc w:val="center"/>
              <w:rPr>
                <w:rFonts w:eastAsia="Times New Roman" w:cstheme="minorHAnsi"/>
              </w:rPr>
            </w:pPr>
            <w:r w:rsidRPr="005271F0">
              <w:rPr>
                <w:rFonts w:eastAsia="Times New Roman" w:cstheme="minorHAnsi"/>
              </w:rPr>
              <w:t>+</w:t>
            </w:r>
          </w:p>
        </w:tc>
        <w:tc>
          <w:tcPr>
            <w:tcW w:w="3689"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rPr>
                <w:rFonts w:eastAsia="Times New Roman" w:cstheme="minorHAnsi"/>
              </w:rPr>
            </w:pPr>
            <w:r w:rsidRPr="005271F0">
              <w:rPr>
                <w:rFonts w:eastAsia="Times New Roman" w:cstheme="minorHAnsi"/>
              </w:rPr>
              <w:t>At least low evidence</w:t>
            </w:r>
            <w:r w:rsidRPr="005271F0">
              <w:rPr>
                <w:rFonts w:eastAsia="Times New Roman" w:cstheme="minorHAnsi"/>
                <w:vertAlign w:val="superscript"/>
              </w:rPr>
              <w:t>c</w:t>
            </w:r>
            <w:r w:rsidRPr="005271F0">
              <w:rPr>
                <w:rFonts w:eastAsia="Times New Roman" w:cstheme="minorHAnsi"/>
              </w:rPr>
              <w:t> for sufficient structural validity</w:t>
            </w:r>
            <w:r w:rsidRPr="005271F0">
              <w:rPr>
                <w:rFonts w:eastAsia="Times New Roman" w:cstheme="minorHAnsi"/>
                <w:vertAlign w:val="superscript"/>
              </w:rPr>
              <w:t>d</w:t>
            </w:r>
            <w:r w:rsidRPr="005271F0">
              <w:rPr>
                <w:rFonts w:eastAsia="Times New Roman" w:cstheme="minorHAnsi"/>
              </w:rPr>
              <w:t> AND Cronbach’s alpha(s) ≥ 0.70 for each unidimensional scale or subscale</w:t>
            </w:r>
            <w:r w:rsidRPr="005271F0">
              <w:rPr>
                <w:rFonts w:eastAsia="Times New Roman" w:cstheme="minorHAnsi"/>
                <w:vertAlign w:val="superscript"/>
              </w:rPr>
              <w:t>e</w:t>
            </w:r>
          </w:p>
        </w:tc>
      </w:tr>
      <w:tr w:rsidR="00337A2E" w:rsidRPr="005271F0" w:rsidTr="00E1668C">
        <w:tc>
          <w:tcPr>
            <w:tcW w:w="955" w:type="pct"/>
            <w:vMerge/>
            <w:tcBorders>
              <w:top w:val="nil"/>
              <w:left w:val="nil"/>
              <w:bottom w:val="nil"/>
              <w:right w:val="nil"/>
            </w:tcBorders>
            <w:shd w:val="clear" w:color="auto" w:fill="auto"/>
            <w:vAlign w:val="center"/>
            <w:hideMark/>
          </w:tcPr>
          <w:p w:rsidR="00337A2E" w:rsidRPr="005271F0" w:rsidRDefault="00337A2E" w:rsidP="00E1668C">
            <w:pPr>
              <w:rPr>
                <w:rFonts w:eastAsia="Times New Roman" w:cstheme="minorHAnsi"/>
              </w:rPr>
            </w:pPr>
          </w:p>
        </w:tc>
        <w:tc>
          <w:tcPr>
            <w:tcW w:w="356"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jc w:val="center"/>
              <w:rPr>
                <w:rFonts w:eastAsia="Times New Roman" w:cstheme="minorHAnsi"/>
              </w:rPr>
            </w:pPr>
            <w:r w:rsidRPr="005271F0">
              <w:rPr>
                <w:rFonts w:eastAsia="Times New Roman" w:cstheme="minorHAnsi"/>
              </w:rPr>
              <w:t>?</w:t>
            </w:r>
          </w:p>
        </w:tc>
        <w:tc>
          <w:tcPr>
            <w:tcW w:w="3689"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rPr>
                <w:rFonts w:eastAsia="Times New Roman" w:cstheme="minorHAnsi"/>
              </w:rPr>
            </w:pPr>
            <w:r w:rsidRPr="005271F0">
              <w:rPr>
                <w:rFonts w:eastAsia="Times New Roman" w:cstheme="minorHAnsi"/>
              </w:rPr>
              <w:t>Criteria for “At least low evidence</w:t>
            </w:r>
            <w:r w:rsidRPr="005271F0">
              <w:rPr>
                <w:rFonts w:eastAsia="Times New Roman" w:cstheme="minorHAnsi"/>
                <w:vertAlign w:val="superscript"/>
              </w:rPr>
              <w:t>c</w:t>
            </w:r>
            <w:r w:rsidRPr="005271F0">
              <w:rPr>
                <w:rFonts w:eastAsia="Times New Roman" w:cstheme="minorHAnsi"/>
              </w:rPr>
              <w:t> for sufficient structural validity</w:t>
            </w:r>
            <w:r w:rsidRPr="005271F0">
              <w:rPr>
                <w:rFonts w:eastAsia="Times New Roman" w:cstheme="minorHAnsi"/>
                <w:vertAlign w:val="superscript"/>
              </w:rPr>
              <w:t>d</w:t>
            </w:r>
            <w:r w:rsidRPr="005271F0">
              <w:rPr>
                <w:rFonts w:eastAsia="Times New Roman" w:cstheme="minorHAnsi"/>
              </w:rPr>
              <w:t>” not met</w:t>
            </w:r>
          </w:p>
        </w:tc>
      </w:tr>
      <w:tr w:rsidR="00337A2E" w:rsidRPr="005271F0" w:rsidTr="00E1668C">
        <w:tc>
          <w:tcPr>
            <w:tcW w:w="955" w:type="pct"/>
            <w:vMerge/>
            <w:tcBorders>
              <w:top w:val="nil"/>
              <w:left w:val="nil"/>
              <w:bottom w:val="nil"/>
              <w:right w:val="nil"/>
            </w:tcBorders>
            <w:shd w:val="clear" w:color="auto" w:fill="auto"/>
            <w:vAlign w:val="center"/>
            <w:hideMark/>
          </w:tcPr>
          <w:p w:rsidR="00337A2E" w:rsidRPr="005271F0" w:rsidRDefault="00337A2E" w:rsidP="00E1668C">
            <w:pPr>
              <w:rPr>
                <w:rFonts w:eastAsia="Times New Roman" w:cstheme="minorHAnsi"/>
              </w:rPr>
            </w:pPr>
          </w:p>
        </w:tc>
        <w:tc>
          <w:tcPr>
            <w:tcW w:w="356"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jc w:val="center"/>
              <w:rPr>
                <w:rFonts w:eastAsia="Times New Roman" w:cstheme="minorHAnsi"/>
              </w:rPr>
            </w:pPr>
            <w:r w:rsidRPr="005271F0">
              <w:rPr>
                <w:rFonts w:eastAsia="Times New Roman" w:cstheme="minorHAnsi"/>
              </w:rPr>
              <w:t>−</w:t>
            </w:r>
          </w:p>
        </w:tc>
        <w:tc>
          <w:tcPr>
            <w:tcW w:w="3689"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rPr>
                <w:rFonts w:eastAsia="Times New Roman" w:cstheme="minorHAnsi"/>
              </w:rPr>
            </w:pPr>
            <w:r w:rsidRPr="005271F0">
              <w:rPr>
                <w:rFonts w:eastAsia="Times New Roman" w:cstheme="minorHAnsi"/>
              </w:rPr>
              <w:t>At least low evidence</w:t>
            </w:r>
            <w:r w:rsidRPr="005271F0">
              <w:rPr>
                <w:rFonts w:eastAsia="Times New Roman" w:cstheme="minorHAnsi"/>
                <w:vertAlign w:val="superscript"/>
              </w:rPr>
              <w:t>c</w:t>
            </w:r>
            <w:r w:rsidRPr="005271F0">
              <w:rPr>
                <w:rFonts w:eastAsia="Times New Roman" w:cstheme="minorHAnsi"/>
              </w:rPr>
              <w:t> for sufficient structural validity</w:t>
            </w:r>
            <w:r w:rsidRPr="005271F0">
              <w:rPr>
                <w:rFonts w:eastAsia="Times New Roman" w:cstheme="minorHAnsi"/>
                <w:vertAlign w:val="superscript"/>
              </w:rPr>
              <w:t>d</w:t>
            </w:r>
            <w:r w:rsidRPr="005271F0">
              <w:rPr>
                <w:rFonts w:eastAsia="Times New Roman" w:cstheme="minorHAnsi"/>
              </w:rPr>
              <w:t> AND Cronbach’s alpha(s) &lt; 0.70 for each unidimensional scale or subscale</w:t>
            </w:r>
            <w:r w:rsidRPr="005271F0">
              <w:rPr>
                <w:rFonts w:eastAsia="Times New Roman" w:cstheme="minorHAnsi"/>
                <w:vertAlign w:val="superscript"/>
              </w:rPr>
              <w:t>e</w:t>
            </w:r>
          </w:p>
        </w:tc>
      </w:tr>
      <w:tr w:rsidR="00337A2E" w:rsidRPr="005271F0" w:rsidTr="00E1668C">
        <w:tc>
          <w:tcPr>
            <w:tcW w:w="955" w:type="pct"/>
            <w:vMerge w:val="restar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rPr>
                <w:rFonts w:eastAsia="Times New Roman" w:cstheme="minorHAnsi"/>
              </w:rPr>
            </w:pPr>
            <w:r w:rsidRPr="005271F0">
              <w:rPr>
                <w:rFonts w:eastAsia="Times New Roman" w:cstheme="minorHAnsi"/>
              </w:rPr>
              <w:t>Reliability</w:t>
            </w:r>
          </w:p>
        </w:tc>
        <w:tc>
          <w:tcPr>
            <w:tcW w:w="356"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jc w:val="center"/>
              <w:rPr>
                <w:rFonts w:eastAsia="Times New Roman" w:cstheme="minorHAnsi"/>
              </w:rPr>
            </w:pPr>
            <w:r w:rsidRPr="005271F0">
              <w:rPr>
                <w:rFonts w:eastAsia="Times New Roman" w:cstheme="minorHAnsi"/>
              </w:rPr>
              <w:t>+</w:t>
            </w:r>
          </w:p>
        </w:tc>
        <w:tc>
          <w:tcPr>
            <w:tcW w:w="3689"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rPr>
                <w:rFonts w:eastAsia="Times New Roman" w:cstheme="minorHAnsi"/>
              </w:rPr>
            </w:pPr>
            <w:r w:rsidRPr="005271F0">
              <w:rPr>
                <w:rFonts w:eastAsia="Times New Roman" w:cstheme="minorHAnsi"/>
              </w:rPr>
              <w:t>ICC or weighted Kappa ≥ 0.70</w:t>
            </w:r>
          </w:p>
        </w:tc>
      </w:tr>
      <w:tr w:rsidR="00337A2E" w:rsidRPr="005271F0" w:rsidTr="00E1668C">
        <w:tc>
          <w:tcPr>
            <w:tcW w:w="955" w:type="pct"/>
            <w:vMerge/>
            <w:tcBorders>
              <w:top w:val="nil"/>
              <w:left w:val="nil"/>
              <w:bottom w:val="nil"/>
              <w:right w:val="nil"/>
            </w:tcBorders>
            <w:shd w:val="clear" w:color="auto" w:fill="auto"/>
            <w:vAlign w:val="center"/>
            <w:hideMark/>
          </w:tcPr>
          <w:p w:rsidR="00337A2E" w:rsidRPr="005271F0" w:rsidRDefault="00337A2E" w:rsidP="00E1668C">
            <w:pPr>
              <w:rPr>
                <w:rFonts w:eastAsia="Times New Roman" w:cstheme="minorHAnsi"/>
              </w:rPr>
            </w:pPr>
          </w:p>
        </w:tc>
        <w:tc>
          <w:tcPr>
            <w:tcW w:w="356"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jc w:val="center"/>
              <w:rPr>
                <w:rFonts w:eastAsia="Times New Roman" w:cstheme="minorHAnsi"/>
              </w:rPr>
            </w:pPr>
            <w:r w:rsidRPr="005271F0">
              <w:rPr>
                <w:rFonts w:eastAsia="Times New Roman" w:cstheme="minorHAnsi"/>
              </w:rPr>
              <w:t>?</w:t>
            </w:r>
          </w:p>
        </w:tc>
        <w:tc>
          <w:tcPr>
            <w:tcW w:w="3689"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rPr>
                <w:rFonts w:eastAsia="Times New Roman" w:cstheme="minorHAnsi"/>
              </w:rPr>
            </w:pPr>
            <w:r w:rsidRPr="005271F0">
              <w:rPr>
                <w:rFonts w:eastAsia="Times New Roman" w:cstheme="minorHAnsi"/>
              </w:rPr>
              <w:t>ICC or weighted Kappa not reported</w:t>
            </w:r>
          </w:p>
        </w:tc>
      </w:tr>
      <w:tr w:rsidR="00337A2E" w:rsidRPr="005271F0" w:rsidTr="00E1668C">
        <w:tc>
          <w:tcPr>
            <w:tcW w:w="955" w:type="pct"/>
            <w:vMerge/>
            <w:tcBorders>
              <w:top w:val="nil"/>
              <w:left w:val="nil"/>
              <w:bottom w:val="nil"/>
              <w:right w:val="nil"/>
            </w:tcBorders>
            <w:shd w:val="clear" w:color="auto" w:fill="auto"/>
            <w:vAlign w:val="center"/>
            <w:hideMark/>
          </w:tcPr>
          <w:p w:rsidR="00337A2E" w:rsidRPr="005271F0" w:rsidRDefault="00337A2E" w:rsidP="00E1668C">
            <w:pPr>
              <w:rPr>
                <w:rFonts w:eastAsia="Times New Roman" w:cstheme="minorHAnsi"/>
              </w:rPr>
            </w:pPr>
          </w:p>
        </w:tc>
        <w:tc>
          <w:tcPr>
            <w:tcW w:w="356"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jc w:val="center"/>
              <w:rPr>
                <w:rFonts w:eastAsia="Times New Roman" w:cstheme="minorHAnsi"/>
              </w:rPr>
            </w:pPr>
            <w:r w:rsidRPr="005271F0">
              <w:rPr>
                <w:rFonts w:eastAsia="Times New Roman" w:cstheme="minorHAnsi"/>
              </w:rPr>
              <w:t>−</w:t>
            </w:r>
          </w:p>
        </w:tc>
        <w:tc>
          <w:tcPr>
            <w:tcW w:w="3689"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rPr>
                <w:rFonts w:eastAsia="Times New Roman" w:cstheme="minorHAnsi"/>
              </w:rPr>
            </w:pPr>
            <w:r w:rsidRPr="005271F0">
              <w:rPr>
                <w:rFonts w:eastAsia="Times New Roman" w:cstheme="minorHAnsi"/>
              </w:rPr>
              <w:t>ICC or weighted Kappa &lt; 0.70</w:t>
            </w:r>
          </w:p>
        </w:tc>
      </w:tr>
      <w:tr w:rsidR="00337A2E" w:rsidRPr="005271F0" w:rsidTr="00E1668C">
        <w:tc>
          <w:tcPr>
            <w:tcW w:w="955" w:type="pct"/>
            <w:vMerge w:val="restar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rPr>
                <w:rFonts w:eastAsia="Times New Roman" w:cstheme="minorHAnsi"/>
              </w:rPr>
            </w:pPr>
            <w:r w:rsidRPr="005271F0">
              <w:rPr>
                <w:rFonts w:eastAsia="Times New Roman" w:cstheme="minorHAnsi"/>
              </w:rPr>
              <w:t>Measurement error</w:t>
            </w:r>
          </w:p>
        </w:tc>
        <w:tc>
          <w:tcPr>
            <w:tcW w:w="356"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jc w:val="center"/>
              <w:rPr>
                <w:rFonts w:eastAsia="Times New Roman" w:cstheme="minorHAnsi"/>
              </w:rPr>
            </w:pPr>
            <w:r w:rsidRPr="005271F0">
              <w:rPr>
                <w:rFonts w:eastAsia="Times New Roman" w:cstheme="minorHAnsi"/>
              </w:rPr>
              <w:t>+</w:t>
            </w:r>
          </w:p>
        </w:tc>
        <w:tc>
          <w:tcPr>
            <w:tcW w:w="3689"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rPr>
                <w:rFonts w:eastAsia="Times New Roman" w:cstheme="minorHAnsi"/>
              </w:rPr>
            </w:pPr>
            <w:r w:rsidRPr="005271F0">
              <w:rPr>
                <w:rFonts w:eastAsia="Times New Roman" w:cstheme="minorHAnsi"/>
              </w:rPr>
              <w:t>SDC or LoA &lt; MIC</w:t>
            </w:r>
            <w:r w:rsidRPr="005271F0">
              <w:rPr>
                <w:rFonts w:eastAsia="Times New Roman" w:cstheme="minorHAnsi"/>
                <w:vertAlign w:val="superscript"/>
              </w:rPr>
              <w:t>d</w:t>
            </w:r>
          </w:p>
        </w:tc>
      </w:tr>
      <w:tr w:rsidR="00337A2E" w:rsidRPr="005271F0" w:rsidTr="00E1668C">
        <w:tc>
          <w:tcPr>
            <w:tcW w:w="955" w:type="pct"/>
            <w:vMerge/>
            <w:tcBorders>
              <w:top w:val="nil"/>
              <w:left w:val="nil"/>
              <w:bottom w:val="nil"/>
              <w:right w:val="nil"/>
            </w:tcBorders>
            <w:shd w:val="clear" w:color="auto" w:fill="auto"/>
            <w:vAlign w:val="center"/>
            <w:hideMark/>
          </w:tcPr>
          <w:p w:rsidR="00337A2E" w:rsidRPr="005271F0" w:rsidRDefault="00337A2E" w:rsidP="00E1668C">
            <w:pPr>
              <w:rPr>
                <w:rFonts w:eastAsia="Times New Roman" w:cstheme="minorHAnsi"/>
              </w:rPr>
            </w:pPr>
          </w:p>
        </w:tc>
        <w:tc>
          <w:tcPr>
            <w:tcW w:w="356"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jc w:val="center"/>
              <w:rPr>
                <w:rFonts w:eastAsia="Times New Roman" w:cstheme="minorHAnsi"/>
              </w:rPr>
            </w:pPr>
            <w:r w:rsidRPr="005271F0">
              <w:rPr>
                <w:rFonts w:eastAsia="Times New Roman" w:cstheme="minorHAnsi"/>
              </w:rPr>
              <w:t>?</w:t>
            </w:r>
          </w:p>
        </w:tc>
        <w:tc>
          <w:tcPr>
            <w:tcW w:w="3689"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rPr>
                <w:rFonts w:eastAsia="Times New Roman" w:cstheme="minorHAnsi"/>
              </w:rPr>
            </w:pPr>
            <w:r w:rsidRPr="005271F0">
              <w:rPr>
                <w:rFonts w:eastAsia="Times New Roman" w:cstheme="minorHAnsi"/>
              </w:rPr>
              <w:t>MIC not defined</w:t>
            </w:r>
          </w:p>
        </w:tc>
      </w:tr>
      <w:tr w:rsidR="00337A2E" w:rsidRPr="005271F0" w:rsidTr="00E1668C">
        <w:tc>
          <w:tcPr>
            <w:tcW w:w="955" w:type="pct"/>
            <w:vMerge/>
            <w:tcBorders>
              <w:top w:val="nil"/>
              <w:left w:val="nil"/>
              <w:bottom w:val="nil"/>
              <w:right w:val="nil"/>
            </w:tcBorders>
            <w:shd w:val="clear" w:color="auto" w:fill="auto"/>
            <w:vAlign w:val="center"/>
            <w:hideMark/>
          </w:tcPr>
          <w:p w:rsidR="00337A2E" w:rsidRPr="005271F0" w:rsidRDefault="00337A2E" w:rsidP="00E1668C">
            <w:pPr>
              <w:rPr>
                <w:rFonts w:eastAsia="Times New Roman" w:cstheme="minorHAnsi"/>
              </w:rPr>
            </w:pPr>
          </w:p>
        </w:tc>
        <w:tc>
          <w:tcPr>
            <w:tcW w:w="356"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jc w:val="center"/>
              <w:rPr>
                <w:rFonts w:eastAsia="Times New Roman" w:cstheme="minorHAnsi"/>
              </w:rPr>
            </w:pPr>
            <w:r w:rsidRPr="005271F0">
              <w:rPr>
                <w:rFonts w:eastAsia="Times New Roman" w:cstheme="minorHAnsi"/>
              </w:rPr>
              <w:t>−</w:t>
            </w:r>
          </w:p>
        </w:tc>
        <w:tc>
          <w:tcPr>
            <w:tcW w:w="3689"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rPr>
                <w:rFonts w:eastAsia="Times New Roman" w:cstheme="minorHAnsi"/>
              </w:rPr>
            </w:pPr>
            <w:r w:rsidRPr="005271F0">
              <w:rPr>
                <w:rFonts w:eastAsia="Times New Roman" w:cstheme="minorHAnsi"/>
              </w:rPr>
              <w:t>SDC or LoA &gt; MIC</w:t>
            </w:r>
            <w:r w:rsidRPr="005271F0">
              <w:rPr>
                <w:rFonts w:eastAsia="Times New Roman" w:cstheme="minorHAnsi"/>
                <w:vertAlign w:val="superscript"/>
              </w:rPr>
              <w:t>d</w:t>
            </w:r>
          </w:p>
        </w:tc>
      </w:tr>
      <w:tr w:rsidR="00337A2E" w:rsidRPr="005271F0" w:rsidTr="00E1668C">
        <w:tc>
          <w:tcPr>
            <w:tcW w:w="955" w:type="pct"/>
            <w:vMerge w:val="restar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rPr>
                <w:rFonts w:eastAsia="Times New Roman" w:cstheme="minorHAnsi"/>
              </w:rPr>
            </w:pPr>
            <w:r w:rsidRPr="005271F0">
              <w:rPr>
                <w:rFonts w:eastAsia="Times New Roman" w:cstheme="minorHAnsi"/>
              </w:rPr>
              <w:t xml:space="preserve">Hypotheses testing </w:t>
            </w:r>
            <w:r w:rsidRPr="005271F0">
              <w:rPr>
                <w:rFonts w:eastAsia="Times New Roman" w:cstheme="minorHAnsi"/>
              </w:rPr>
              <w:lastRenderedPageBreak/>
              <w:t>for construct validity</w:t>
            </w:r>
          </w:p>
        </w:tc>
        <w:tc>
          <w:tcPr>
            <w:tcW w:w="356"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jc w:val="center"/>
              <w:rPr>
                <w:rFonts w:eastAsia="Times New Roman" w:cstheme="minorHAnsi"/>
              </w:rPr>
            </w:pPr>
            <w:r w:rsidRPr="005271F0">
              <w:rPr>
                <w:rFonts w:eastAsia="Times New Roman" w:cstheme="minorHAnsi"/>
              </w:rPr>
              <w:lastRenderedPageBreak/>
              <w:t>+</w:t>
            </w:r>
          </w:p>
        </w:tc>
        <w:tc>
          <w:tcPr>
            <w:tcW w:w="3689"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rPr>
                <w:rFonts w:eastAsia="Times New Roman" w:cstheme="minorHAnsi"/>
              </w:rPr>
            </w:pPr>
            <w:r w:rsidRPr="005271F0">
              <w:rPr>
                <w:rFonts w:eastAsia="Times New Roman" w:cstheme="minorHAnsi"/>
              </w:rPr>
              <w:t>The result is in accordance with the hypothesis</w:t>
            </w:r>
            <w:r w:rsidRPr="005271F0">
              <w:rPr>
                <w:rFonts w:eastAsia="Times New Roman" w:cstheme="minorHAnsi"/>
                <w:vertAlign w:val="superscript"/>
              </w:rPr>
              <w:t>f</w:t>
            </w:r>
          </w:p>
        </w:tc>
      </w:tr>
      <w:tr w:rsidR="00337A2E" w:rsidRPr="005271F0" w:rsidTr="00E1668C">
        <w:tc>
          <w:tcPr>
            <w:tcW w:w="955" w:type="pct"/>
            <w:vMerge/>
            <w:tcBorders>
              <w:top w:val="nil"/>
              <w:left w:val="nil"/>
              <w:bottom w:val="nil"/>
              <w:right w:val="nil"/>
            </w:tcBorders>
            <w:shd w:val="clear" w:color="auto" w:fill="auto"/>
            <w:vAlign w:val="center"/>
            <w:hideMark/>
          </w:tcPr>
          <w:p w:rsidR="00337A2E" w:rsidRPr="005271F0" w:rsidRDefault="00337A2E" w:rsidP="00E1668C">
            <w:pPr>
              <w:rPr>
                <w:rFonts w:eastAsia="Times New Roman" w:cstheme="minorHAnsi"/>
              </w:rPr>
            </w:pPr>
          </w:p>
        </w:tc>
        <w:tc>
          <w:tcPr>
            <w:tcW w:w="356"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jc w:val="center"/>
              <w:rPr>
                <w:rFonts w:eastAsia="Times New Roman" w:cstheme="minorHAnsi"/>
              </w:rPr>
            </w:pPr>
            <w:r w:rsidRPr="005271F0">
              <w:rPr>
                <w:rFonts w:eastAsia="Times New Roman" w:cstheme="minorHAnsi"/>
              </w:rPr>
              <w:t>?</w:t>
            </w:r>
          </w:p>
        </w:tc>
        <w:tc>
          <w:tcPr>
            <w:tcW w:w="3689"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rPr>
                <w:rFonts w:eastAsia="Times New Roman" w:cstheme="minorHAnsi"/>
              </w:rPr>
            </w:pPr>
            <w:r w:rsidRPr="005271F0">
              <w:rPr>
                <w:rFonts w:eastAsia="Times New Roman" w:cstheme="minorHAnsi"/>
              </w:rPr>
              <w:t>No hypothesis defined (by the review team)</w:t>
            </w:r>
          </w:p>
        </w:tc>
      </w:tr>
      <w:tr w:rsidR="00337A2E" w:rsidRPr="005271F0" w:rsidTr="00E1668C">
        <w:tc>
          <w:tcPr>
            <w:tcW w:w="955" w:type="pct"/>
            <w:vMerge/>
            <w:tcBorders>
              <w:top w:val="nil"/>
              <w:left w:val="nil"/>
              <w:bottom w:val="nil"/>
              <w:right w:val="nil"/>
            </w:tcBorders>
            <w:shd w:val="clear" w:color="auto" w:fill="auto"/>
            <w:vAlign w:val="center"/>
            <w:hideMark/>
          </w:tcPr>
          <w:p w:rsidR="00337A2E" w:rsidRPr="005271F0" w:rsidRDefault="00337A2E" w:rsidP="00E1668C">
            <w:pPr>
              <w:rPr>
                <w:rFonts w:eastAsia="Times New Roman" w:cstheme="minorHAnsi"/>
              </w:rPr>
            </w:pPr>
          </w:p>
        </w:tc>
        <w:tc>
          <w:tcPr>
            <w:tcW w:w="356"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jc w:val="center"/>
              <w:rPr>
                <w:rFonts w:eastAsia="Times New Roman" w:cstheme="minorHAnsi"/>
              </w:rPr>
            </w:pPr>
            <w:r w:rsidRPr="005271F0">
              <w:rPr>
                <w:rFonts w:eastAsia="Times New Roman" w:cstheme="minorHAnsi"/>
              </w:rPr>
              <w:t>−</w:t>
            </w:r>
          </w:p>
        </w:tc>
        <w:tc>
          <w:tcPr>
            <w:tcW w:w="3689"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rPr>
                <w:rFonts w:eastAsia="Times New Roman" w:cstheme="minorHAnsi"/>
              </w:rPr>
            </w:pPr>
            <w:r w:rsidRPr="005271F0">
              <w:rPr>
                <w:rFonts w:eastAsia="Times New Roman" w:cstheme="minorHAnsi"/>
              </w:rPr>
              <w:t>The result is not in accordance with the hypothesis</w:t>
            </w:r>
            <w:r w:rsidRPr="005271F0">
              <w:rPr>
                <w:rFonts w:eastAsia="Times New Roman" w:cstheme="minorHAnsi"/>
                <w:vertAlign w:val="superscript"/>
              </w:rPr>
              <w:t>f</w:t>
            </w:r>
          </w:p>
        </w:tc>
      </w:tr>
      <w:tr w:rsidR="00337A2E" w:rsidRPr="005271F0" w:rsidTr="00E1668C">
        <w:tc>
          <w:tcPr>
            <w:tcW w:w="955" w:type="pct"/>
            <w:vMerge w:val="restar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rPr>
                <w:rFonts w:eastAsia="Times New Roman" w:cstheme="minorHAnsi"/>
              </w:rPr>
            </w:pPr>
            <w:r w:rsidRPr="005271F0">
              <w:rPr>
                <w:rFonts w:eastAsia="Times New Roman" w:cstheme="minorHAnsi"/>
              </w:rPr>
              <w:t>Cross-cultural validity\measurement invariance</w:t>
            </w:r>
          </w:p>
        </w:tc>
        <w:tc>
          <w:tcPr>
            <w:tcW w:w="356"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jc w:val="center"/>
              <w:rPr>
                <w:rFonts w:eastAsia="Times New Roman" w:cstheme="minorHAnsi"/>
              </w:rPr>
            </w:pPr>
            <w:r w:rsidRPr="005271F0">
              <w:rPr>
                <w:rFonts w:eastAsia="Times New Roman" w:cstheme="minorHAnsi"/>
              </w:rPr>
              <w:t>+</w:t>
            </w:r>
          </w:p>
        </w:tc>
        <w:tc>
          <w:tcPr>
            <w:tcW w:w="3689"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rPr>
                <w:rFonts w:eastAsia="Times New Roman" w:cstheme="minorHAnsi"/>
              </w:rPr>
            </w:pPr>
            <w:r w:rsidRPr="005271F0">
              <w:rPr>
                <w:rFonts w:eastAsia="Times New Roman" w:cstheme="minorHAnsi"/>
              </w:rPr>
              <w:t>No important differences found between group factors (such as age, gender, language) in multiple group factor analysis OR no important DIF for group factors (McFadden’s R</w:t>
            </w:r>
            <w:r w:rsidRPr="005271F0">
              <w:rPr>
                <w:rFonts w:eastAsia="Times New Roman" w:cstheme="minorHAnsi"/>
                <w:vertAlign w:val="superscript"/>
              </w:rPr>
              <w:t>2</w:t>
            </w:r>
            <w:r w:rsidRPr="005271F0">
              <w:rPr>
                <w:rFonts w:eastAsia="Times New Roman" w:cstheme="minorHAnsi"/>
              </w:rPr>
              <w:t> &lt; 0.02)</w:t>
            </w:r>
          </w:p>
        </w:tc>
      </w:tr>
      <w:tr w:rsidR="00337A2E" w:rsidRPr="005271F0" w:rsidTr="00E1668C">
        <w:tc>
          <w:tcPr>
            <w:tcW w:w="955" w:type="pct"/>
            <w:vMerge/>
            <w:tcBorders>
              <w:top w:val="nil"/>
              <w:left w:val="nil"/>
              <w:bottom w:val="nil"/>
              <w:right w:val="nil"/>
            </w:tcBorders>
            <w:shd w:val="clear" w:color="auto" w:fill="auto"/>
            <w:vAlign w:val="center"/>
            <w:hideMark/>
          </w:tcPr>
          <w:p w:rsidR="00337A2E" w:rsidRPr="005271F0" w:rsidRDefault="00337A2E" w:rsidP="00E1668C">
            <w:pPr>
              <w:rPr>
                <w:rFonts w:eastAsia="Times New Roman" w:cstheme="minorHAnsi"/>
              </w:rPr>
            </w:pPr>
          </w:p>
        </w:tc>
        <w:tc>
          <w:tcPr>
            <w:tcW w:w="356"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jc w:val="center"/>
              <w:rPr>
                <w:rFonts w:eastAsia="Times New Roman" w:cstheme="minorHAnsi"/>
              </w:rPr>
            </w:pPr>
            <w:r w:rsidRPr="005271F0">
              <w:rPr>
                <w:rFonts w:eastAsia="Times New Roman" w:cstheme="minorHAnsi"/>
              </w:rPr>
              <w:t>?</w:t>
            </w:r>
          </w:p>
        </w:tc>
        <w:tc>
          <w:tcPr>
            <w:tcW w:w="3689"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rPr>
                <w:rFonts w:eastAsia="Times New Roman" w:cstheme="minorHAnsi"/>
              </w:rPr>
            </w:pPr>
            <w:r w:rsidRPr="005271F0">
              <w:rPr>
                <w:rFonts w:eastAsia="Times New Roman" w:cstheme="minorHAnsi"/>
              </w:rPr>
              <w:t>No multiple group factor analysis OR DIF analysis performed</w:t>
            </w:r>
          </w:p>
        </w:tc>
      </w:tr>
      <w:tr w:rsidR="00337A2E" w:rsidRPr="005271F0" w:rsidTr="00E1668C">
        <w:tc>
          <w:tcPr>
            <w:tcW w:w="955" w:type="pct"/>
            <w:vMerge/>
            <w:tcBorders>
              <w:top w:val="nil"/>
              <w:left w:val="nil"/>
              <w:bottom w:val="nil"/>
              <w:right w:val="nil"/>
            </w:tcBorders>
            <w:shd w:val="clear" w:color="auto" w:fill="auto"/>
            <w:vAlign w:val="center"/>
            <w:hideMark/>
          </w:tcPr>
          <w:p w:rsidR="00337A2E" w:rsidRPr="005271F0" w:rsidRDefault="00337A2E" w:rsidP="00E1668C">
            <w:pPr>
              <w:rPr>
                <w:rFonts w:eastAsia="Times New Roman" w:cstheme="minorHAnsi"/>
              </w:rPr>
            </w:pPr>
          </w:p>
        </w:tc>
        <w:tc>
          <w:tcPr>
            <w:tcW w:w="356"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jc w:val="center"/>
              <w:rPr>
                <w:rFonts w:eastAsia="Times New Roman" w:cstheme="minorHAnsi"/>
              </w:rPr>
            </w:pPr>
            <w:r w:rsidRPr="005271F0">
              <w:rPr>
                <w:rFonts w:eastAsia="Times New Roman" w:cstheme="minorHAnsi"/>
              </w:rPr>
              <w:t>−</w:t>
            </w:r>
          </w:p>
        </w:tc>
        <w:tc>
          <w:tcPr>
            <w:tcW w:w="3689"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rPr>
                <w:rFonts w:eastAsia="Times New Roman" w:cstheme="minorHAnsi"/>
              </w:rPr>
            </w:pPr>
            <w:r w:rsidRPr="005271F0">
              <w:rPr>
                <w:rFonts w:eastAsia="Times New Roman" w:cstheme="minorHAnsi"/>
              </w:rPr>
              <w:t>Important differences between group factors OR DIF was found</w:t>
            </w:r>
          </w:p>
        </w:tc>
      </w:tr>
      <w:tr w:rsidR="00337A2E" w:rsidRPr="005271F0" w:rsidTr="00E1668C">
        <w:tc>
          <w:tcPr>
            <w:tcW w:w="955" w:type="pct"/>
            <w:vMerge w:val="restar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rPr>
                <w:rFonts w:eastAsia="Times New Roman" w:cstheme="minorHAnsi"/>
              </w:rPr>
            </w:pPr>
            <w:r w:rsidRPr="005271F0">
              <w:rPr>
                <w:rFonts w:eastAsia="Times New Roman" w:cstheme="minorHAnsi"/>
              </w:rPr>
              <w:t>Criterion validity</w:t>
            </w:r>
          </w:p>
        </w:tc>
        <w:tc>
          <w:tcPr>
            <w:tcW w:w="356"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jc w:val="center"/>
              <w:rPr>
                <w:rFonts w:eastAsia="Times New Roman" w:cstheme="minorHAnsi"/>
              </w:rPr>
            </w:pPr>
            <w:r w:rsidRPr="005271F0">
              <w:rPr>
                <w:rFonts w:eastAsia="Times New Roman" w:cstheme="minorHAnsi"/>
              </w:rPr>
              <w:t>+</w:t>
            </w:r>
          </w:p>
        </w:tc>
        <w:tc>
          <w:tcPr>
            <w:tcW w:w="3689"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rPr>
                <w:rFonts w:eastAsia="Times New Roman" w:cstheme="minorHAnsi"/>
              </w:rPr>
            </w:pPr>
            <w:r w:rsidRPr="005271F0">
              <w:rPr>
                <w:rFonts w:eastAsia="Times New Roman" w:cstheme="minorHAnsi"/>
              </w:rPr>
              <w:t>Correlation with gold standard ≥ 0.70 OR AUC ≥ 0.70</w:t>
            </w:r>
          </w:p>
        </w:tc>
      </w:tr>
      <w:tr w:rsidR="00337A2E" w:rsidRPr="005271F0" w:rsidTr="00E1668C">
        <w:tc>
          <w:tcPr>
            <w:tcW w:w="955" w:type="pct"/>
            <w:vMerge/>
            <w:tcBorders>
              <w:top w:val="nil"/>
              <w:left w:val="nil"/>
              <w:bottom w:val="nil"/>
              <w:right w:val="nil"/>
            </w:tcBorders>
            <w:shd w:val="clear" w:color="auto" w:fill="auto"/>
            <w:vAlign w:val="center"/>
            <w:hideMark/>
          </w:tcPr>
          <w:p w:rsidR="00337A2E" w:rsidRPr="005271F0" w:rsidRDefault="00337A2E" w:rsidP="00E1668C">
            <w:pPr>
              <w:rPr>
                <w:rFonts w:eastAsia="Times New Roman" w:cstheme="minorHAnsi"/>
              </w:rPr>
            </w:pPr>
          </w:p>
        </w:tc>
        <w:tc>
          <w:tcPr>
            <w:tcW w:w="356"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jc w:val="center"/>
              <w:rPr>
                <w:rFonts w:eastAsia="Times New Roman" w:cstheme="minorHAnsi"/>
              </w:rPr>
            </w:pPr>
            <w:r w:rsidRPr="005271F0">
              <w:rPr>
                <w:rFonts w:eastAsia="Times New Roman" w:cstheme="minorHAnsi"/>
              </w:rPr>
              <w:t>?</w:t>
            </w:r>
          </w:p>
        </w:tc>
        <w:tc>
          <w:tcPr>
            <w:tcW w:w="3689"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rPr>
                <w:rFonts w:eastAsia="Times New Roman" w:cstheme="minorHAnsi"/>
              </w:rPr>
            </w:pPr>
            <w:r w:rsidRPr="005271F0">
              <w:rPr>
                <w:rFonts w:eastAsia="Times New Roman" w:cstheme="minorHAnsi"/>
              </w:rPr>
              <w:t>Not all information for ‘+’ reported</w:t>
            </w:r>
          </w:p>
        </w:tc>
      </w:tr>
      <w:tr w:rsidR="00337A2E" w:rsidRPr="005271F0" w:rsidTr="00E1668C">
        <w:tc>
          <w:tcPr>
            <w:tcW w:w="955" w:type="pct"/>
            <w:vMerge/>
            <w:tcBorders>
              <w:top w:val="nil"/>
              <w:left w:val="nil"/>
              <w:bottom w:val="nil"/>
              <w:right w:val="nil"/>
            </w:tcBorders>
            <w:shd w:val="clear" w:color="auto" w:fill="auto"/>
            <w:vAlign w:val="center"/>
            <w:hideMark/>
          </w:tcPr>
          <w:p w:rsidR="00337A2E" w:rsidRPr="005271F0" w:rsidRDefault="00337A2E" w:rsidP="00E1668C">
            <w:pPr>
              <w:rPr>
                <w:rFonts w:eastAsia="Times New Roman" w:cstheme="minorHAnsi"/>
              </w:rPr>
            </w:pPr>
          </w:p>
        </w:tc>
        <w:tc>
          <w:tcPr>
            <w:tcW w:w="356"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jc w:val="center"/>
              <w:rPr>
                <w:rFonts w:eastAsia="Times New Roman" w:cstheme="minorHAnsi"/>
              </w:rPr>
            </w:pPr>
            <w:r w:rsidRPr="005271F0">
              <w:rPr>
                <w:rFonts w:eastAsia="Times New Roman" w:cstheme="minorHAnsi"/>
              </w:rPr>
              <w:t>−</w:t>
            </w:r>
          </w:p>
        </w:tc>
        <w:tc>
          <w:tcPr>
            <w:tcW w:w="3689"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rPr>
                <w:rFonts w:eastAsia="Times New Roman" w:cstheme="minorHAnsi"/>
              </w:rPr>
            </w:pPr>
            <w:r w:rsidRPr="005271F0">
              <w:rPr>
                <w:rFonts w:eastAsia="Times New Roman" w:cstheme="minorHAnsi"/>
              </w:rPr>
              <w:t>Correlation with gold standard &lt; 0.70 OR AUC &lt; 0.70</w:t>
            </w:r>
          </w:p>
        </w:tc>
      </w:tr>
      <w:tr w:rsidR="00337A2E" w:rsidRPr="005271F0" w:rsidTr="00E1668C">
        <w:tc>
          <w:tcPr>
            <w:tcW w:w="955" w:type="pct"/>
            <w:vMerge w:val="restar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rPr>
                <w:rFonts w:eastAsia="Times New Roman" w:cstheme="minorHAnsi"/>
              </w:rPr>
            </w:pPr>
            <w:r w:rsidRPr="005271F0">
              <w:rPr>
                <w:rFonts w:eastAsia="Times New Roman" w:cstheme="minorHAnsi"/>
              </w:rPr>
              <w:t>Responsiveness</w:t>
            </w:r>
          </w:p>
        </w:tc>
        <w:tc>
          <w:tcPr>
            <w:tcW w:w="356"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jc w:val="center"/>
              <w:rPr>
                <w:rFonts w:eastAsia="Times New Roman" w:cstheme="minorHAnsi"/>
              </w:rPr>
            </w:pPr>
            <w:r w:rsidRPr="005271F0">
              <w:rPr>
                <w:rFonts w:eastAsia="Times New Roman" w:cstheme="minorHAnsi"/>
              </w:rPr>
              <w:t>+</w:t>
            </w:r>
          </w:p>
        </w:tc>
        <w:tc>
          <w:tcPr>
            <w:tcW w:w="3689"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rPr>
                <w:rFonts w:eastAsia="Times New Roman" w:cstheme="minorHAnsi"/>
              </w:rPr>
            </w:pPr>
            <w:r w:rsidRPr="005271F0">
              <w:rPr>
                <w:rFonts w:eastAsia="Times New Roman" w:cstheme="minorHAnsi"/>
              </w:rPr>
              <w:t>The result is in accordance with the hypothesis</w:t>
            </w:r>
            <w:r w:rsidRPr="005271F0">
              <w:rPr>
                <w:rFonts w:eastAsia="Times New Roman" w:cstheme="minorHAnsi"/>
                <w:vertAlign w:val="superscript"/>
              </w:rPr>
              <w:t>f</w:t>
            </w:r>
            <w:r w:rsidRPr="005271F0">
              <w:rPr>
                <w:rFonts w:eastAsia="Times New Roman" w:cstheme="minorHAnsi"/>
              </w:rPr>
              <w:t> OR AUC ≥ 0.70</w:t>
            </w:r>
          </w:p>
        </w:tc>
      </w:tr>
      <w:tr w:rsidR="00337A2E" w:rsidRPr="005271F0" w:rsidTr="00E1668C">
        <w:tc>
          <w:tcPr>
            <w:tcW w:w="955" w:type="pct"/>
            <w:vMerge/>
            <w:tcBorders>
              <w:top w:val="nil"/>
              <w:left w:val="nil"/>
              <w:bottom w:val="nil"/>
              <w:right w:val="nil"/>
            </w:tcBorders>
            <w:shd w:val="clear" w:color="auto" w:fill="auto"/>
            <w:vAlign w:val="center"/>
            <w:hideMark/>
          </w:tcPr>
          <w:p w:rsidR="00337A2E" w:rsidRPr="005271F0" w:rsidRDefault="00337A2E" w:rsidP="00E1668C">
            <w:pPr>
              <w:rPr>
                <w:rFonts w:eastAsia="Times New Roman" w:cstheme="minorHAnsi"/>
              </w:rPr>
            </w:pPr>
          </w:p>
        </w:tc>
        <w:tc>
          <w:tcPr>
            <w:tcW w:w="356"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jc w:val="center"/>
              <w:rPr>
                <w:rFonts w:eastAsia="Times New Roman" w:cstheme="minorHAnsi"/>
              </w:rPr>
            </w:pPr>
            <w:r w:rsidRPr="005271F0">
              <w:rPr>
                <w:rFonts w:eastAsia="Times New Roman" w:cstheme="minorHAnsi"/>
              </w:rPr>
              <w:t>?</w:t>
            </w:r>
          </w:p>
        </w:tc>
        <w:tc>
          <w:tcPr>
            <w:tcW w:w="3689" w:type="pct"/>
            <w:tcBorders>
              <w:top w:val="nil"/>
              <w:left w:val="nil"/>
              <w:bottom w:val="nil"/>
              <w:right w:val="nil"/>
            </w:tcBorders>
            <w:shd w:val="clear" w:color="auto" w:fill="auto"/>
            <w:tcMar>
              <w:top w:w="90" w:type="dxa"/>
              <w:left w:w="90" w:type="dxa"/>
              <w:bottom w:w="90" w:type="dxa"/>
              <w:right w:w="90" w:type="dxa"/>
            </w:tcMar>
            <w:hideMark/>
          </w:tcPr>
          <w:p w:rsidR="00337A2E" w:rsidRPr="005271F0" w:rsidRDefault="00337A2E" w:rsidP="00E1668C">
            <w:pPr>
              <w:rPr>
                <w:rFonts w:eastAsia="Times New Roman" w:cstheme="minorHAnsi"/>
              </w:rPr>
            </w:pPr>
            <w:r w:rsidRPr="005271F0">
              <w:rPr>
                <w:rFonts w:eastAsia="Times New Roman" w:cstheme="minorHAnsi"/>
              </w:rPr>
              <w:t>No hypothesis defined (by the review team)</w:t>
            </w:r>
          </w:p>
        </w:tc>
      </w:tr>
      <w:tr w:rsidR="00337A2E" w:rsidRPr="005271F0" w:rsidTr="00E1668C">
        <w:tc>
          <w:tcPr>
            <w:tcW w:w="955" w:type="pct"/>
            <w:vMerge/>
            <w:tcBorders>
              <w:top w:val="nil"/>
              <w:left w:val="nil"/>
              <w:bottom w:val="single" w:sz="4" w:space="0" w:color="auto"/>
              <w:right w:val="nil"/>
            </w:tcBorders>
            <w:shd w:val="clear" w:color="auto" w:fill="auto"/>
            <w:vAlign w:val="center"/>
            <w:hideMark/>
          </w:tcPr>
          <w:p w:rsidR="00337A2E" w:rsidRPr="005271F0" w:rsidRDefault="00337A2E" w:rsidP="00E1668C">
            <w:pPr>
              <w:rPr>
                <w:rFonts w:eastAsia="Times New Roman" w:cstheme="minorHAnsi"/>
              </w:rPr>
            </w:pPr>
          </w:p>
        </w:tc>
        <w:tc>
          <w:tcPr>
            <w:tcW w:w="356" w:type="pct"/>
            <w:tcBorders>
              <w:top w:val="nil"/>
              <w:left w:val="nil"/>
              <w:bottom w:val="single" w:sz="4" w:space="0" w:color="auto"/>
              <w:right w:val="nil"/>
            </w:tcBorders>
            <w:shd w:val="clear" w:color="auto" w:fill="auto"/>
            <w:tcMar>
              <w:top w:w="90" w:type="dxa"/>
              <w:left w:w="90" w:type="dxa"/>
              <w:bottom w:w="90" w:type="dxa"/>
              <w:right w:w="90" w:type="dxa"/>
            </w:tcMar>
            <w:hideMark/>
          </w:tcPr>
          <w:p w:rsidR="00337A2E" w:rsidRPr="005271F0" w:rsidRDefault="00337A2E" w:rsidP="00E1668C">
            <w:pPr>
              <w:jc w:val="center"/>
              <w:rPr>
                <w:rFonts w:eastAsia="Times New Roman" w:cstheme="minorHAnsi"/>
              </w:rPr>
            </w:pPr>
            <w:r w:rsidRPr="005271F0">
              <w:rPr>
                <w:rFonts w:eastAsia="Times New Roman" w:cstheme="minorHAnsi"/>
              </w:rPr>
              <w:t>−</w:t>
            </w:r>
          </w:p>
        </w:tc>
        <w:tc>
          <w:tcPr>
            <w:tcW w:w="3689" w:type="pct"/>
            <w:tcBorders>
              <w:top w:val="nil"/>
              <w:left w:val="nil"/>
              <w:bottom w:val="single" w:sz="4" w:space="0" w:color="auto"/>
              <w:right w:val="nil"/>
            </w:tcBorders>
            <w:shd w:val="clear" w:color="auto" w:fill="auto"/>
            <w:tcMar>
              <w:top w:w="90" w:type="dxa"/>
              <w:left w:w="90" w:type="dxa"/>
              <w:bottom w:w="90" w:type="dxa"/>
              <w:right w:w="90" w:type="dxa"/>
            </w:tcMar>
            <w:hideMark/>
          </w:tcPr>
          <w:p w:rsidR="00337A2E" w:rsidRPr="005271F0" w:rsidRDefault="00337A2E" w:rsidP="00E1668C">
            <w:pPr>
              <w:rPr>
                <w:rFonts w:eastAsia="Times New Roman" w:cstheme="minorHAnsi"/>
              </w:rPr>
            </w:pPr>
            <w:r w:rsidRPr="005271F0">
              <w:rPr>
                <w:rFonts w:eastAsia="Times New Roman" w:cstheme="minorHAnsi"/>
              </w:rPr>
              <w:t>The result is not in accordance with the hypothesis</w:t>
            </w:r>
            <w:r w:rsidRPr="005271F0">
              <w:rPr>
                <w:rFonts w:eastAsia="Times New Roman" w:cstheme="minorHAnsi"/>
                <w:vertAlign w:val="superscript"/>
              </w:rPr>
              <w:t>f</w:t>
            </w:r>
            <w:r w:rsidRPr="005271F0">
              <w:rPr>
                <w:rFonts w:eastAsia="Times New Roman" w:cstheme="minorHAnsi"/>
              </w:rPr>
              <w:t> OR AUC &lt; 0.70</w:t>
            </w:r>
          </w:p>
        </w:tc>
      </w:tr>
    </w:tbl>
    <w:p w:rsidR="00337A2E" w:rsidRPr="005271F0" w:rsidRDefault="00337A2E" w:rsidP="00337A2E">
      <w:pPr>
        <w:numPr>
          <w:ilvl w:val="0"/>
          <w:numId w:val="1"/>
        </w:numPr>
        <w:shd w:val="clear" w:color="auto" w:fill="FCFCFC"/>
        <w:spacing w:before="100" w:beforeAutospacing="1" w:after="100" w:afterAutospacing="1" w:line="240" w:lineRule="auto"/>
        <w:ind w:left="0"/>
        <w:jc w:val="both"/>
        <w:rPr>
          <w:rFonts w:eastAsia="Times New Roman" w:cstheme="minorHAnsi"/>
        </w:rPr>
      </w:pPr>
      <w:r w:rsidRPr="005271F0">
        <w:rPr>
          <w:rFonts w:eastAsia="Times New Roman" w:cstheme="minorHAnsi"/>
        </w:rPr>
        <w:t xml:space="preserve">The criteria are based on, e.g., Terwee et al. and Prinsen et al. </w:t>
      </w:r>
    </w:p>
    <w:p w:rsidR="00337A2E" w:rsidRPr="005271F0" w:rsidRDefault="00337A2E" w:rsidP="00337A2E">
      <w:pPr>
        <w:numPr>
          <w:ilvl w:val="0"/>
          <w:numId w:val="1"/>
        </w:numPr>
        <w:shd w:val="clear" w:color="auto" w:fill="FCFCFC"/>
        <w:spacing w:before="100" w:beforeAutospacing="1" w:after="100" w:afterAutospacing="1" w:line="240" w:lineRule="auto"/>
        <w:ind w:left="0"/>
        <w:jc w:val="both"/>
        <w:rPr>
          <w:rFonts w:eastAsia="Times New Roman" w:cstheme="minorHAnsi"/>
        </w:rPr>
      </w:pPr>
      <w:r w:rsidRPr="005271F0">
        <w:rPr>
          <w:rFonts w:eastAsia="Times New Roman" w:cstheme="minorHAnsi"/>
        </w:rPr>
        <w:t>AUC area under the curve, CFA confirmatory factor analysis, CFI comparative fit index, CTT classical test theory, DIF differential item functioning, ICC intraclass correlation coefficient, IRT item response theory, LoA limits of agreement, MIC minimal important change, RMSEA root mean square error of approximation, SEM standard error of measurement, SDC smallest detectable change, SRMR standardized root mean residuals, TLI Tucker–Lewis index</w:t>
      </w:r>
    </w:p>
    <w:p w:rsidR="00337A2E" w:rsidRPr="005271F0" w:rsidRDefault="00337A2E" w:rsidP="00337A2E">
      <w:pPr>
        <w:numPr>
          <w:ilvl w:val="0"/>
          <w:numId w:val="1"/>
        </w:numPr>
        <w:shd w:val="clear" w:color="auto" w:fill="FCFCFC"/>
        <w:spacing w:before="100" w:beforeAutospacing="1" w:after="100" w:afterAutospacing="1" w:line="240" w:lineRule="auto"/>
        <w:ind w:left="0"/>
        <w:jc w:val="both"/>
        <w:rPr>
          <w:rFonts w:eastAsia="Times New Roman" w:cstheme="minorHAnsi"/>
        </w:rPr>
      </w:pPr>
      <w:r w:rsidRPr="005271F0">
        <w:rPr>
          <w:rFonts w:eastAsia="Times New Roman" w:cstheme="minorHAnsi"/>
        </w:rPr>
        <w:t>“+” = sufficient, “−” = insufficient, “?” = indeterminate</w:t>
      </w:r>
    </w:p>
    <w:p w:rsidR="00337A2E" w:rsidRPr="005271F0" w:rsidRDefault="00337A2E" w:rsidP="00337A2E">
      <w:pPr>
        <w:numPr>
          <w:ilvl w:val="0"/>
          <w:numId w:val="1"/>
        </w:numPr>
        <w:shd w:val="clear" w:color="auto" w:fill="FCFCFC"/>
        <w:spacing w:before="100" w:beforeAutospacing="1" w:after="100" w:afterAutospacing="1" w:line="240" w:lineRule="auto"/>
        <w:ind w:left="0"/>
        <w:jc w:val="both"/>
        <w:rPr>
          <w:rFonts w:eastAsia="Times New Roman" w:cstheme="minorHAnsi"/>
        </w:rPr>
      </w:pPr>
      <w:r w:rsidRPr="005271F0">
        <w:rPr>
          <w:rFonts w:eastAsia="Times New Roman" w:cstheme="minorHAnsi"/>
        </w:rPr>
        <w:t>aTo rate the quality of the summary score, the factor structures should be equal across studies</w:t>
      </w:r>
    </w:p>
    <w:p w:rsidR="00337A2E" w:rsidRPr="005271F0" w:rsidRDefault="00337A2E" w:rsidP="00337A2E">
      <w:pPr>
        <w:numPr>
          <w:ilvl w:val="0"/>
          <w:numId w:val="1"/>
        </w:numPr>
        <w:shd w:val="clear" w:color="auto" w:fill="FCFCFC"/>
        <w:spacing w:before="100" w:beforeAutospacing="1" w:after="100" w:afterAutospacing="1" w:line="240" w:lineRule="auto"/>
        <w:ind w:left="0"/>
        <w:jc w:val="both"/>
        <w:rPr>
          <w:rFonts w:eastAsia="Times New Roman" w:cstheme="minorHAnsi"/>
          <w:color w:val="333333"/>
        </w:rPr>
      </w:pPr>
      <w:r w:rsidRPr="005271F0">
        <w:rPr>
          <w:rFonts w:eastAsia="Times New Roman" w:cstheme="minorHAnsi"/>
          <w:color w:val="333333"/>
          <w:vertAlign w:val="superscript"/>
        </w:rPr>
        <w:t>b</w:t>
      </w:r>
      <w:r w:rsidRPr="005271F0">
        <w:rPr>
          <w:rFonts w:eastAsia="Times New Roman" w:cstheme="minorHAnsi"/>
          <w:color w:val="333333"/>
        </w:rPr>
        <w:t>Unidimensionality refers to a factor analysis per subscale, while structural validity refers to a factor analysis of a (multidimensional) patient-reported outcome measure</w:t>
      </w:r>
    </w:p>
    <w:p w:rsidR="00337A2E" w:rsidRPr="005271F0" w:rsidRDefault="00337A2E" w:rsidP="00337A2E">
      <w:pPr>
        <w:numPr>
          <w:ilvl w:val="0"/>
          <w:numId w:val="1"/>
        </w:numPr>
        <w:shd w:val="clear" w:color="auto" w:fill="FCFCFC"/>
        <w:spacing w:before="100" w:beforeAutospacing="1" w:after="100" w:afterAutospacing="1" w:line="240" w:lineRule="auto"/>
        <w:ind w:left="0"/>
        <w:jc w:val="both"/>
        <w:rPr>
          <w:rFonts w:eastAsia="Times New Roman" w:cstheme="minorHAnsi"/>
          <w:color w:val="333333"/>
        </w:rPr>
      </w:pPr>
      <w:r w:rsidRPr="005271F0">
        <w:rPr>
          <w:rFonts w:eastAsia="Times New Roman" w:cstheme="minorHAnsi"/>
          <w:color w:val="333333"/>
          <w:vertAlign w:val="superscript"/>
        </w:rPr>
        <w:t>c</w:t>
      </w:r>
      <w:r w:rsidRPr="005271F0">
        <w:rPr>
          <w:rFonts w:eastAsia="Times New Roman" w:cstheme="minorHAnsi"/>
          <w:color w:val="333333"/>
        </w:rPr>
        <w:t>As defined by grading the evidence according to the GRADE approach</w:t>
      </w:r>
    </w:p>
    <w:p w:rsidR="00337A2E" w:rsidRPr="005271F0" w:rsidRDefault="00337A2E" w:rsidP="00337A2E">
      <w:pPr>
        <w:numPr>
          <w:ilvl w:val="0"/>
          <w:numId w:val="1"/>
        </w:numPr>
        <w:shd w:val="clear" w:color="auto" w:fill="FCFCFC"/>
        <w:spacing w:before="100" w:beforeAutospacing="1" w:after="100" w:afterAutospacing="1" w:line="240" w:lineRule="auto"/>
        <w:ind w:left="0"/>
        <w:jc w:val="both"/>
        <w:rPr>
          <w:rFonts w:eastAsia="Times New Roman" w:cstheme="minorHAnsi"/>
          <w:color w:val="333333"/>
        </w:rPr>
      </w:pPr>
      <w:r w:rsidRPr="005271F0">
        <w:rPr>
          <w:rFonts w:eastAsia="Times New Roman" w:cstheme="minorHAnsi"/>
          <w:color w:val="333333"/>
          <w:vertAlign w:val="superscript"/>
        </w:rPr>
        <w:t>d</w:t>
      </w:r>
      <w:r w:rsidRPr="005271F0">
        <w:rPr>
          <w:rFonts w:eastAsia="Times New Roman" w:cstheme="minorHAnsi"/>
          <w:color w:val="333333"/>
        </w:rPr>
        <w:t>This evidence may come from different studies</w:t>
      </w:r>
    </w:p>
    <w:p w:rsidR="00337A2E" w:rsidRPr="005271F0" w:rsidRDefault="00337A2E" w:rsidP="00337A2E">
      <w:pPr>
        <w:numPr>
          <w:ilvl w:val="0"/>
          <w:numId w:val="1"/>
        </w:numPr>
        <w:shd w:val="clear" w:color="auto" w:fill="FCFCFC"/>
        <w:spacing w:before="100" w:beforeAutospacing="1" w:after="100" w:afterAutospacing="1" w:line="240" w:lineRule="auto"/>
        <w:ind w:left="0"/>
        <w:jc w:val="both"/>
        <w:rPr>
          <w:rFonts w:eastAsia="Times New Roman" w:cstheme="minorHAnsi"/>
          <w:color w:val="333333"/>
        </w:rPr>
      </w:pPr>
      <w:r w:rsidRPr="005271F0">
        <w:rPr>
          <w:rFonts w:eastAsia="Times New Roman" w:cstheme="minorHAnsi"/>
          <w:color w:val="333333"/>
          <w:vertAlign w:val="superscript"/>
        </w:rPr>
        <w:t>e</w:t>
      </w:r>
      <w:r w:rsidRPr="005271F0">
        <w:rPr>
          <w:rFonts w:eastAsia="Times New Roman" w:cstheme="minorHAnsi"/>
          <w:color w:val="333333"/>
        </w:rPr>
        <w:t>The criteria ‘Cronbach alpha &lt; 0.95’ was deleted, as this is relevant in the development phase of a PROM and not when evaluating an existing PROM</w:t>
      </w:r>
    </w:p>
    <w:p w:rsidR="00337A2E" w:rsidRPr="005271F0" w:rsidRDefault="00337A2E" w:rsidP="00337A2E">
      <w:pPr>
        <w:numPr>
          <w:ilvl w:val="0"/>
          <w:numId w:val="1"/>
        </w:numPr>
        <w:shd w:val="clear" w:color="auto" w:fill="FCFCFC"/>
        <w:spacing w:before="100" w:beforeAutospacing="1" w:after="100" w:afterAutospacing="1" w:line="240" w:lineRule="auto"/>
        <w:ind w:left="0"/>
        <w:jc w:val="both"/>
        <w:rPr>
          <w:rFonts w:eastAsia="Times New Roman" w:cstheme="minorHAnsi"/>
          <w:color w:val="333333"/>
        </w:rPr>
      </w:pPr>
      <w:r w:rsidRPr="005271F0">
        <w:rPr>
          <w:rFonts w:eastAsia="Times New Roman" w:cstheme="minorHAnsi"/>
          <w:color w:val="333333"/>
          <w:vertAlign w:val="superscript"/>
        </w:rPr>
        <w:t>f</w:t>
      </w:r>
      <w:r w:rsidRPr="005271F0">
        <w:rPr>
          <w:rFonts w:eastAsia="Times New Roman" w:cstheme="minorHAnsi"/>
          <w:color w:val="333333"/>
        </w:rPr>
        <w:t>The results of all studies should be taken together and it should then be decided if 75% of the results are in accordance with the hypotheses</w:t>
      </w:r>
    </w:p>
    <w:p w:rsidR="00D64DF8" w:rsidRDefault="00D64DF8">
      <w:bookmarkStart w:id="0" w:name="_GoBack"/>
      <w:bookmarkEnd w:id="0"/>
    </w:p>
    <w:sectPr w:rsidR="00D64D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9A313D"/>
    <w:multiLevelType w:val="multilevel"/>
    <w:tmpl w:val="67965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A2E"/>
    <w:rsid w:val="00006C82"/>
    <w:rsid w:val="00014A8F"/>
    <w:rsid w:val="00033244"/>
    <w:rsid w:val="0005149C"/>
    <w:rsid w:val="00071C69"/>
    <w:rsid w:val="00075EE1"/>
    <w:rsid w:val="00082227"/>
    <w:rsid w:val="0009049E"/>
    <w:rsid w:val="0009457E"/>
    <w:rsid w:val="000B1A9C"/>
    <w:rsid w:val="000B67F6"/>
    <w:rsid w:val="000C1056"/>
    <w:rsid w:val="000D5574"/>
    <w:rsid w:val="000E0E3D"/>
    <w:rsid w:val="000E586E"/>
    <w:rsid w:val="000F558A"/>
    <w:rsid w:val="0012135B"/>
    <w:rsid w:val="00127566"/>
    <w:rsid w:val="00130CD7"/>
    <w:rsid w:val="00132E65"/>
    <w:rsid w:val="001352CE"/>
    <w:rsid w:val="00151B24"/>
    <w:rsid w:val="00153727"/>
    <w:rsid w:val="001578C8"/>
    <w:rsid w:val="00160FEF"/>
    <w:rsid w:val="001664E8"/>
    <w:rsid w:val="001763A6"/>
    <w:rsid w:val="0017759D"/>
    <w:rsid w:val="00177BE8"/>
    <w:rsid w:val="0018109C"/>
    <w:rsid w:val="0018538A"/>
    <w:rsid w:val="001C2EC0"/>
    <w:rsid w:val="001D4368"/>
    <w:rsid w:val="001E1805"/>
    <w:rsid w:val="002049A8"/>
    <w:rsid w:val="0022032B"/>
    <w:rsid w:val="00236C30"/>
    <w:rsid w:val="002631D7"/>
    <w:rsid w:val="00293569"/>
    <w:rsid w:val="002A2415"/>
    <w:rsid w:val="002B04B5"/>
    <w:rsid w:val="002B78B9"/>
    <w:rsid w:val="002C5EE3"/>
    <w:rsid w:val="002D6C34"/>
    <w:rsid w:val="002D7466"/>
    <w:rsid w:val="00300B1A"/>
    <w:rsid w:val="00313AF0"/>
    <w:rsid w:val="003163AE"/>
    <w:rsid w:val="00334C12"/>
    <w:rsid w:val="00337A2E"/>
    <w:rsid w:val="003605F8"/>
    <w:rsid w:val="00361F73"/>
    <w:rsid w:val="003669FE"/>
    <w:rsid w:val="00385700"/>
    <w:rsid w:val="00391F89"/>
    <w:rsid w:val="003A05F7"/>
    <w:rsid w:val="003A1E37"/>
    <w:rsid w:val="003B0818"/>
    <w:rsid w:val="003B4D38"/>
    <w:rsid w:val="003C0935"/>
    <w:rsid w:val="003C6101"/>
    <w:rsid w:val="003D0906"/>
    <w:rsid w:val="004012E2"/>
    <w:rsid w:val="004054C3"/>
    <w:rsid w:val="00410260"/>
    <w:rsid w:val="00441B35"/>
    <w:rsid w:val="00453F68"/>
    <w:rsid w:val="00456E4C"/>
    <w:rsid w:val="0045757E"/>
    <w:rsid w:val="00463486"/>
    <w:rsid w:val="00477A6E"/>
    <w:rsid w:val="004B031A"/>
    <w:rsid w:val="004C4D2E"/>
    <w:rsid w:val="004F048A"/>
    <w:rsid w:val="004F25E0"/>
    <w:rsid w:val="00507702"/>
    <w:rsid w:val="005114B5"/>
    <w:rsid w:val="00511CD0"/>
    <w:rsid w:val="00535105"/>
    <w:rsid w:val="00540626"/>
    <w:rsid w:val="0056412F"/>
    <w:rsid w:val="00595DD2"/>
    <w:rsid w:val="005A3A75"/>
    <w:rsid w:val="005A3F9A"/>
    <w:rsid w:val="005B2C85"/>
    <w:rsid w:val="005E05CD"/>
    <w:rsid w:val="005E457E"/>
    <w:rsid w:val="006072D1"/>
    <w:rsid w:val="00610A00"/>
    <w:rsid w:val="00611638"/>
    <w:rsid w:val="006331F3"/>
    <w:rsid w:val="00634DFB"/>
    <w:rsid w:val="00662520"/>
    <w:rsid w:val="00667E37"/>
    <w:rsid w:val="0068157F"/>
    <w:rsid w:val="006A3B85"/>
    <w:rsid w:val="006B063C"/>
    <w:rsid w:val="006B12CF"/>
    <w:rsid w:val="006E0C3A"/>
    <w:rsid w:val="006E24C9"/>
    <w:rsid w:val="006E3880"/>
    <w:rsid w:val="006F57B4"/>
    <w:rsid w:val="00732220"/>
    <w:rsid w:val="007364E3"/>
    <w:rsid w:val="0074191D"/>
    <w:rsid w:val="00760A1A"/>
    <w:rsid w:val="007760C9"/>
    <w:rsid w:val="00793C3C"/>
    <w:rsid w:val="007A4956"/>
    <w:rsid w:val="007B1901"/>
    <w:rsid w:val="007B1CD2"/>
    <w:rsid w:val="007B4EA6"/>
    <w:rsid w:val="007B6619"/>
    <w:rsid w:val="007C0EF2"/>
    <w:rsid w:val="007D164C"/>
    <w:rsid w:val="007E1D50"/>
    <w:rsid w:val="007F45DF"/>
    <w:rsid w:val="007F5CA3"/>
    <w:rsid w:val="007F7A6A"/>
    <w:rsid w:val="00801FD1"/>
    <w:rsid w:val="00811D24"/>
    <w:rsid w:val="00827804"/>
    <w:rsid w:val="00880AE6"/>
    <w:rsid w:val="00895639"/>
    <w:rsid w:val="008A7AE4"/>
    <w:rsid w:val="008C1169"/>
    <w:rsid w:val="008C2560"/>
    <w:rsid w:val="008C6413"/>
    <w:rsid w:val="008C6DFD"/>
    <w:rsid w:val="008C6F2D"/>
    <w:rsid w:val="008C7B6F"/>
    <w:rsid w:val="008D6A25"/>
    <w:rsid w:val="008E1230"/>
    <w:rsid w:val="008F62E6"/>
    <w:rsid w:val="00902B0A"/>
    <w:rsid w:val="00902C30"/>
    <w:rsid w:val="009235AF"/>
    <w:rsid w:val="00926278"/>
    <w:rsid w:val="009379EA"/>
    <w:rsid w:val="0094449B"/>
    <w:rsid w:val="00945CF4"/>
    <w:rsid w:val="009630B5"/>
    <w:rsid w:val="009750CF"/>
    <w:rsid w:val="00992AF0"/>
    <w:rsid w:val="009939AF"/>
    <w:rsid w:val="00996CF3"/>
    <w:rsid w:val="009B5050"/>
    <w:rsid w:val="009C04CD"/>
    <w:rsid w:val="009D0E94"/>
    <w:rsid w:val="009E2486"/>
    <w:rsid w:val="009E37C1"/>
    <w:rsid w:val="009F637C"/>
    <w:rsid w:val="00A11475"/>
    <w:rsid w:val="00A37B2D"/>
    <w:rsid w:val="00A423BD"/>
    <w:rsid w:val="00A62CED"/>
    <w:rsid w:val="00A6641A"/>
    <w:rsid w:val="00A67D69"/>
    <w:rsid w:val="00AA0675"/>
    <w:rsid w:val="00AA323E"/>
    <w:rsid w:val="00AA6234"/>
    <w:rsid w:val="00AB574B"/>
    <w:rsid w:val="00AB7910"/>
    <w:rsid w:val="00AD2411"/>
    <w:rsid w:val="00AD3C34"/>
    <w:rsid w:val="00AE1BA7"/>
    <w:rsid w:val="00AE2745"/>
    <w:rsid w:val="00B0301C"/>
    <w:rsid w:val="00B108DE"/>
    <w:rsid w:val="00B31BF6"/>
    <w:rsid w:val="00B32A1B"/>
    <w:rsid w:val="00B51F99"/>
    <w:rsid w:val="00B56898"/>
    <w:rsid w:val="00B64CB2"/>
    <w:rsid w:val="00B7231E"/>
    <w:rsid w:val="00B83757"/>
    <w:rsid w:val="00B84A65"/>
    <w:rsid w:val="00B921FE"/>
    <w:rsid w:val="00B97041"/>
    <w:rsid w:val="00BA7495"/>
    <w:rsid w:val="00BC4720"/>
    <w:rsid w:val="00BD37EF"/>
    <w:rsid w:val="00BD5C25"/>
    <w:rsid w:val="00C0104F"/>
    <w:rsid w:val="00C05BC4"/>
    <w:rsid w:val="00C13CA2"/>
    <w:rsid w:val="00C3167B"/>
    <w:rsid w:val="00C34517"/>
    <w:rsid w:val="00C66F47"/>
    <w:rsid w:val="00C763A0"/>
    <w:rsid w:val="00CA675E"/>
    <w:rsid w:val="00CC79A6"/>
    <w:rsid w:val="00CE4CC5"/>
    <w:rsid w:val="00CF4A88"/>
    <w:rsid w:val="00D261B2"/>
    <w:rsid w:val="00D269AB"/>
    <w:rsid w:val="00D3737E"/>
    <w:rsid w:val="00D376B6"/>
    <w:rsid w:val="00D61D1C"/>
    <w:rsid w:val="00D64DF8"/>
    <w:rsid w:val="00D66337"/>
    <w:rsid w:val="00D81D1F"/>
    <w:rsid w:val="00D85CCA"/>
    <w:rsid w:val="00D92075"/>
    <w:rsid w:val="00DA1874"/>
    <w:rsid w:val="00DB74E9"/>
    <w:rsid w:val="00DD2786"/>
    <w:rsid w:val="00DE4961"/>
    <w:rsid w:val="00DF2EF6"/>
    <w:rsid w:val="00DF5BC3"/>
    <w:rsid w:val="00E0407B"/>
    <w:rsid w:val="00E26819"/>
    <w:rsid w:val="00E34754"/>
    <w:rsid w:val="00E413D4"/>
    <w:rsid w:val="00E60931"/>
    <w:rsid w:val="00E62602"/>
    <w:rsid w:val="00E67142"/>
    <w:rsid w:val="00E92AA0"/>
    <w:rsid w:val="00EA5F00"/>
    <w:rsid w:val="00EB4DA5"/>
    <w:rsid w:val="00EC393A"/>
    <w:rsid w:val="00ED57D0"/>
    <w:rsid w:val="00EF4ED5"/>
    <w:rsid w:val="00EF7907"/>
    <w:rsid w:val="00F4105E"/>
    <w:rsid w:val="00F51EED"/>
    <w:rsid w:val="00F60F65"/>
    <w:rsid w:val="00F63105"/>
    <w:rsid w:val="00F646E4"/>
    <w:rsid w:val="00F671BE"/>
    <w:rsid w:val="00F71407"/>
    <w:rsid w:val="00F72CFB"/>
    <w:rsid w:val="00F74B35"/>
    <w:rsid w:val="00F874E8"/>
    <w:rsid w:val="00FB55AC"/>
    <w:rsid w:val="00FC57C1"/>
    <w:rsid w:val="00FC58F2"/>
    <w:rsid w:val="00FD11F3"/>
    <w:rsid w:val="00FD4F8D"/>
    <w:rsid w:val="00FE07BA"/>
    <w:rsid w:val="00FE0997"/>
    <w:rsid w:val="00FE2886"/>
    <w:rsid w:val="00FF4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1LightAccent3">
    <w:name w:val="Grid Table 1 Light Accent 3"/>
    <w:basedOn w:val="TableNormal"/>
    <w:uiPriority w:val="46"/>
    <w:rsid w:val="00337A2E"/>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1LightAccent3">
    <w:name w:val="Grid Table 1 Light Accent 3"/>
    <w:basedOn w:val="TableNormal"/>
    <w:uiPriority w:val="46"/>
    <w:rsid w:val="00337A2E"/>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2039</Words>
  <Characters>10848</Characters>
  <Application>Microsoft Office Word</Application>
  <DocSecurity>0</DocSecurity>
  <Lines>774</Lines>
  <Paragraphs>613</Paragraphs>
  <ScaleCrop>false</ScaleCrop>
  <Company/>
  <LinksUpToDate>false</LinksUpToDate>
  <CharactersWithSpaces>12274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E738677</dc:creator>
  <cp:lastModifiedBy>E738677</cp:lastModifiedBy>
  <cp:revision>1</cp:revision>
  <dcterms:created xsi:type="dcterms:W3CDTF">2023-03-16T07:42:00Z</dcterms:created>
  <dcterms:modified xsi:type="dcterms:W3CDTF">2023-03-16T07:42:00Z</dcterms:modified>
</cp:coreProperties>
</file>