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bottom w:val="single" w:sz="4" w:space="0" w:color="auto"/>
        </w:tblBorders>
        <w:tblCellMar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536"/>
        <w:gridCol w:w="495"/>
        <w:gridCol w:w="495"/>
        <w:gridCol w:w="495"/>
        <w:gridCol w:w="423"/>
        <w:gridCol w:w="494"/>
        <w:gridCol w:w="494"/>
        <w:gridCol w:w="494"/>
        <w:gridCol w:w="494"/>
        <w:gridCol w:w="427"/>
        <w:gridCol w:w="503"/>
        <w:gridCol w:w="330"/>
        <w:gridCol w:w="494"/>
        <w:gridCol w:w="613"/>
        <w:gridCol w:w="492"/>
        <w:gridCol w:w="494"/>
        <w:gridCol w:w="423"/>
        <w:gridCol w:w="680"/>
      </w:tblGrid>
      <w:tr w:rsidR="0072782D" w:rsidRPr="005271F0" w:rsidTr="00E1668C">
        <w:tc>
          <w:tcPr>
            <w:tcW w:w="14242" w:type="dxa"/>
            <w:gridSpan w:val="19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rPr>
                <w:rFonts w:eastAsia="Times New Roman" w:cstheme="minorHAnsi"/>
                <w:b/>
                <w:bCs/>
                <w:lang w:val="en-GB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Additional file 5</w:t>
            </w:r>
            <w:r w:rsidRPr="005271F0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5271F0">
              <w:rPr>
                <w:rFonts w:cstheme="minorHAnsi"/>
                <w:sz w:val="24"/>
                <w:szCs w:val="24"/>
              </w:rPr>
              <w:t>Methodological quality assessment 0f studies on psychometric properties of the</w:t>
            </w:r>
            <w:r w:rsidRPr="005271F0">
              <w:rPr>
                <w:rFonts w:eastAsia="Times New Roman" w:cstheme="minorHAnsi"/>
                <w:sz w:val="24"/>
                <w:szCs w:val="24"/>
                <w:lang w:val="en-GB"/>
              </w:rPr>
              <w:t xml:space="preserve"> included instruments</w:t>
            </w:r>
          </w:p>
        </w:tc>
      </w:tr>
      <w:tr w:rsidR="0072782D" w:rsidRPr="005271F0" w:rsidTr="00E1668C">
        <w:tc>
          <w:tcPr>
            <w:tcW w:w="14242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Instrument</w:t>
            </w:r>
          </w:p>
        </w:tc>
        <w:tc>
          <w:tcPr>
            <w:tcW w:w="14242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Reference</w:t>
            </w:r>
          </w:p>
        </w:tc>
        <w:tc>
          <w:tcPr>
            <w:tcW w:w="1424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Development Study Quality</w:t>
            </w:r>
          </w:p>
        </w:tc>
        <w:tc>
          <w:tcPr>
            <w:tcW w:w="1424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Content Validity</w:t>
            </w:r>
          </w:p>
        </w:tc>
        <w:tc>
          <w:tcPr>
            <w:tcW w:w="14242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Structural validity</w:t>
            </w:r>
          </w:p>
        </w:tc>
        <w:tc>
          <w:tcPr>
            <w:tcW w:w="14242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Internal consistency</w:t>
            </w:r>
          </w:p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4242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Cross-cultural validity</w:t>
            </w:r>
          </w:p>
        </w:tc>
        <w:tc>
          <w:tcPr>
            <w:tcW w:w="14242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Reliability</w:t>
            </w:r>
          </w:p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4242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Measurement error</w:t>
            </w:r>
          </w:p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4242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Criterion validity</w:t>
            </w:r>
          </w:p>
        </w:tc>
        <w:tc>
          <w:tcPr>
            <w:tcW w:w="142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Hypotheses testing for construct validity</w:t>
            </w:r>
          </w:p>
        </w:tc>
        <w:tc>
          <w:tcPr>
            <w:tcW w:w="14242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Responsiveness</w:t>
            </w:r>
          </w:p>
        </w:tc>
      </w:tr>
      <w:tr w:rsidR="0072782D" w:rsidRPr="005271F0" w:rsidTr="00E1668C">
        <w:tc>
          <w:tcPr>
            <w:tcW w:w="14242" w:type="dxa"/>
            <w:vMerge/>
            <w:tcBorders>
              <w:top w:val="nil"/>
            </w:tcBorders>
            <w:shd w:val="clear" w:color="auto" w:fill="auto"/>
            <w:hideMark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4242" w:type="dxa"/>
            <w:vMerge/>
            <w:tcBorders>
              <w:top w:val="nil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42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5271F0">
              <w:rPr>
                <w:rFonts w:eastAsia="Times New Roman" w:cstheme="minorHAnsi"/>
                <w:sz w:val="16"/>
                <w:szCs w:val="16"/>
              </w:rPr>
              <w:t>Item generation</w:t>
            </w:r>
          </w:p>
        </w:tc>
        <w:tc>
          <w:tcPr>
            <w:tcW w:w="142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5271F0">
              <w:rPr>
                <w:rFonts w:eastAsia="Times New Roman" w:cstheme="minorHAnsi"/>
                <w:sz w:val="16"/>
                <w:szCs w:val="16"/>
              </w:rPr>
              <w:t>Cognitive Interview</w:t>
            </w:r>
          </w:p>
        </w:tc>
        <w:tc>
          <w:tcPr>
            <w:tcW w:w="1424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5271F0">
              <w:rPr>
                <w:rFonts w:eastAsia="Times New Roman" w:cstheme="minorHAnsi"/>
                <w:sz w:val="16"/>
                <w:szCs w:val="16"/>
              </w:rPr>
              <w:t>Asking patients</w:t>
            </w:r>
          </w:p>
        </w:tc>
        <w:tc>
          <w:tcPr>
            <w:tcW w:w="142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5271F0">
              <w:rPr>
                <w:rFonts w:eastAsia="Times New Roman" w:cstheme="minorHAnsi"/>
                <w:sz w:val="16"/>
                <w:szCs w:val="16"/>
              </w:rPr>
              <w:t>Asking experts</w:t>
            </w:r>
          </w:p>
        </w:tc>
        <w:tc>
          <w:tcPr>
            <w:tcW w:w="14242" w:type="dxa"/>
            <w:vMerge/>
            <w:tcBorders>
              <w:top w:val="nil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4242" w:type="dxa"/>
            <w:vMerge/>
            <w:tcBorders>
              <w:top w:val="nil"/>
            </w:tcBorders>
            <w:shd w:val="clear" w:color="auto" w:fill="auto"/>
            <w:hideMark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4242" w:type="dxa"/>
            <w:vMerge/>
            <w:tcBorders>
              <w:top w:val="nil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4242" w:type="dxa"/>
            <w:vMerge/>
            <w:tcBorders>
              <w:top w:val="nil"/>
            </w:tcBorders>
            <w:shd w:val="clear" w:color="auto" w:fill="auto"/>
            <w:hideMark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4242" w:type="dxa"/>
            <w:vMerge/>
            <w:tcBorders>
              <w:top w:val="nil"/>
            </w:tcBorders>
            <w:shd w:val="clear" w:color="auto" w:fill="auto"/>
            <w:hideMark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4242" w:type="dxa"/>
            <w:vMerge/>
            <w:tcBorders>
              <w:top w:val="nil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4242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4"/>
                <w:szCs w:val="14"/>
                <w:lang w:val="en-GB" w:eastAsia="de-DE"/>
              </w:rPr>
            </w:pPr>
            <w:r w:rsidRPr="005271F0">
              <w:rPr>
                <w:rFonts w:eastAsia="Times New Roman" w:cstheme="minorHAnsi"/>
                <w:sz w:val="14"/>
                <w:szCs w:val="14"/>
                <w:lang w:val="en-GB" w:eastAsia="de-DE"/>
              </w:rPr>
              <w:t>Convergent validity</w:t>
            </w:r>
          </w:p>
        </w:tc>
        <w:tc>
          <w:tcPr>
            <w:tcW w:w="14242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4"/>
                <w:szCs w:val="14"/>
                <w:lang w:val="en-GB" w:eastAsia="de-DE"/>
              </w:rPr>
            </w:pPr>
            <w:r w:rsidRPr="005271F0">
              <w:rPr>
                <w:rFonts w:eastAsia="Times New Roman" w:cstheme="minorHAnsi"/>
                <w:sz w:val="14"/>
                <w:szCs w:val="14"/>
                <w:lang w:val="en-GB" w:eastAsia="de-DE"/>
              </w:rPr>
              <w:t>Known-groups validity</w:t>
            </w:r>
          </w:p>
        </w:tc>
        <w:tc>
          <w:tcPr>
            <w:tcW w:w="14242" w:type="dxa"/>
            <w:vMerge/>
            <w:tcBorders>
              <w:top w:val="nil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</w:tr>
      <w:tr w:rsidR="0072782D" w:rsidRPr="005271F0" w:rsidTr="00E1668C">
        <w:tc>
          <w:tcPr>
            <w:tcW w:w="142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42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42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4"/>
                <w:szCs w:val="14"/>
              </w:rPr>
            </w:pPr>
            <w:r w:rsidRPr="005271F0">
              <w:rPr>
                <w:rFonts w:eastAsia="Times New Roman" w:cstheme="minorHAnsi"/>
                <w:sz w:val="14"/>
                <w:szCs w:val="14"/>
              </w:rPr>
              <w:t>Relevance</w:t>
            </w:r>
          </w:p>
        </w:tc>
        <w:tc>
          <w:tcPr>
            <w:tcW w:w="142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4"/>
                <w:szCs w:val="14"/>
              </w:rPr>
            </w:pPr>
            <w:r w:rsidRPr="005271F0">
              <w:rPr>
                <w:rFonts w:eastAsia="Times New Roman" w:cstheme="minorHAnsi"/>
                <w:sz w:val="14"/>
                <w:szCs w:val="14"/>
              </w:rPr>
              <w:t>Compre-hensibility</w:t>
            </w:r>
          </w:p>
        </w:tc>
        <w:tc>
          <w:tcPr>
            <w:tcW w:w="142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4"/>
                <w:szCs w:val="14"/>
              </w:rPr>
            </w:pPr>
            <w:r w:rsidRPr="005271F0">
              <w:rPr>
                <w:rFonts w:eastAsia="Times New Roman" w:cstheme="minorHAnsi"/>
                <w:sz w:val="14"/>
                <w:szCs w:val="14"/>
              </w:rPr>
              <w:t>Compre-hensiveness</w:t>
            </w:r>
          </w:p>
        </w:tc>
        <w:tc>
          <w:tcPr>
            <w:tcW w:w="142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4"/>
                <w:szCs w:val="14"/>
              </w:rPr>
            </w:pPr>
            <w:r w:rsidRPr="005271F0">
              <w:rPr>
                <w:rFonts w:eastAsia="Times New Roman" w:cstheme="minorHAnsi"/>
                <w:sz w:val="14"/>
                <w:szCs w:val="14"/>
              </w:rPr>
              <w:t>Relevance</w:t>
            </w:r>
          </w:p>
        </w:tc>
        <w:tc>
          <w:tcPr>
            <w:tcW w:w="142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4"/>
                <w:szCs w:val="14"/>
              </w:rPr>
            </w:pPr>
            <w:r w:rsidRPr="005271F0">
              <w:rPr>
                <w:rFonts w:eastAsia="Times New Roman" w:cstheme="minorHAnsi"/>
                <w:sz w:val="14"/>
                <w:szCs w:val="14"/>
              </w:rPr>
              <w:t>Compre-hensiveness</w:t>
            </w:r>
          </w:p>
        </w:tc>
        <w:tc>
          <w:tcPr>
            <w:tcW w:w="142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4"/>
                <w:szCs w:val="14"/>
              </w:rPr>
            </w:pPr>
            <w:r w:rsidRPr="005271F0">
              <w:rPr>
                <w:rFonts w:eastAsia="Times New Roman" w:cstheme="minorHAnsi"/>
                <w:sz w:val="14"/>
                <w:szCs w:val="14"/>
              </w:rPr>
              <w:t>Compre-hensibility</w:t>
            </w:r>
          </w:p>
        </w:tc>
        <w:tc>
          <w:tcPr>
            <w:tcW w:w="142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4"/>
                <w:szCs w:val="14"/>
              </w:rPr>
            </w:pPr>
            <w:r w:rsidRPr="005271F0">
              <w:rPr>
                <w:rFonts w:eastAsia="Times New Roman" w:cstheme="minorHAnsi"/>
                <w:sz w:val="14"/>
                <w:szCs w:val="14"/>
              </w:rPr>
              <w:t>Relevance</w:t>
            </w:r>
          </w:p>
        </w:tc>
        <w:tc>
          <w:tcPr>
            <w:tcW w:w="142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4"/>
                <w:szCs w:val="14"/>
              </w:rPr>
            </w:pPr>
            <w:r w:rsidRPr="005271F0">
              <w:rPr>
                <w:rFonts w:eastAsia="Times New Roman" w:cstheme="minorHAnsi"/>
                <w:sz w:val="14"/>
                <w:szCs w:val="14"/>
              </w:rPr>
              <w:t>Compre-hensiveness</w:t>
            </w:r>
          </w:p>
        </w:tc>
        <w:tc>
          <w:tcPr>
            <w:tcW w:w="142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42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42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42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42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42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4242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4242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42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</w:tr>
      <w:tr w:rsidR="0072782D" w:rsidRPr="005271F0" w:rsidTr="00E1668C">
        <w:tc>
          <w:tcPr>
            <w:tcW w:w="14242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SAGAT</w:t>
            </w:r>
          </w:p>
        </w:tc>
        <w:tc>
          <w:tcPr>
            <w:tcW w:w="1424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Dishman</w:t>
            </w:r>
          </w:p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2020</w:t>
            </w:r>
          </w:p>
        </w:tc>
        <w:tc>
          <w:tcPr>
            <w:tcW w:w="1424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Adequate</w:t>
            </w:r>
          </w:p>
        </w:tc>
        <w:tc>
          <w:tcPr>
            <w:tcW w:w="1424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Inadequate</w:t>
            </w:r>
          </w:p>
        </w:tc>
        <w:tc>
          <w:tcPr>
            <w:tcW w:w="1424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Doubtful</w:t>
            </w:r>
          </w:p>
        </w:tc>
        <w:tc>
          <w:tcPr>
            <w:tcW w:w="1424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Adequate</w:t>
            </w:r>
          </w:p>
        </w:tc>
        <w:tc>
          <w:tcPr>
            <w:tcW w:w="1424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Inadequate</w:t>
            </w:r>
          </w:p>
        </w:tc>
        <w:tc>
          <w:tcPr>
            <w:tcW w:w="1424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Inadequate</w:t>
            </w:r>
          </w:p>
        </w:tc>
        <w:tc>
          <w:tcPr>
            <w:tcW w:w="1424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Adequate</w:t>
            </w:r>
          </w:p>
        </w:tc>
        <w:tc>
          <w:tcPr>
            <w:tcW w:w="1424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Inadequate</w:t>
            </w:r>
          </w:p>
        </w:tc>
        <w:tc>
          <w:tcPr>
            <w:tcW w:w="1424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</w:tr>
      <w:tr w:rsidR="0072782D" w:rsidRPr="005271F0" w:rsidTr="00E1668C">
        <w:tc>
          <w:tcPr>
            <w:tcW w:w="14242" w:type="dxa"/>
            <w:vMerge/>
            <w:tcBorders>
              <w:top w:val="nil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4242" w:type="dxa"/>
            <w:tcBorders>
              <w:top w:val="nil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Gardner</w:t>
            </w:r>
          </w:p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2017</w:t>
            </w:r>
          </w:p>
        </w:tc>
        <w:tc>
          <w:tcPr>
            <w:tcW w:w="14242" w:type="dxa"/>
            <w:tcBorders>
              <w:top w:val="nil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Doubtful</w:t>
            </w:r>
          </w:p>
        </w:tc>
        <w:tc>
          <w:tcPr>
            <w:tcW w:w="14242" w:type="dxa"/>
            <w:tcBorders>
              <w:top w:val="nil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Inadequate</w:t>
            </w:r>
          </w:p>
        </w:tc>
        <w:tc>
          <w:tcPr>
            <w:tcW w:w="14242" w:type="dxa"/>
            <w:tcBorders>
              <w:top w:val="nil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Inadequate</w:t>
            </w:r>
          </w:p>
        </w:tc>
        <w:tc>
          <w:tcPr>
            <w:tcW w:w="14242" w:type="dxa"/>
            <w:tcBorders>
              <w:top w:val="nil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tcBorders>
              <w:top w:val="nil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tcBorders>
              <w:top w:val="nil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tcBorders>
              <w:top w:val="nil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tcBorders>
              <w:top w:val="nil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tcBorders>
              <w:top w:val="nil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tcBorders>
              <w:top w:val="nil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tcBorders>
              <w:top w:val="nil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tcBorders>
              <w:top w:val="nil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tcBorders>
              <w:top w:val="nil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tcBorders>
              <w:top w:val="nil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Doubtful</w:t>
            </w:r>
          </w:p>
        </w:tc>
        <w:tc>
          <w:tcPr>
            <w:tcW w:w="14242" w:type="dxa"/>
            <w:gridSpan w:val="2"/>
            <w:tcBorders>
              <w:top w:val="nil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tcBorders>
              <w:top w:val="nil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</w:tr>
      <w:tr w:rsidR="0072782D" w:rsidRPr="005271F0" w:rsidTr="00E1668C">
        <w:tc>
          <w:tcPr>
            <w:tcW w:w="14242" w:type="dxa"/>
            <w:vMerge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eastAsia="de-DE"/>
              </w:rPr>
              <w:t>Lavoie</w:t>
            </w:r>
          </w:p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eastAsia="de-DE"/>
              </w:rPr>
              <w:t>2016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Very good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Doubtful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Doubtful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Very good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Very good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Inadequate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gridSpan w:val="2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</w:tr>
      <w:tr w:rsidR="0072782D" w:rsidRPr="005271F0" w:rsidTr="00E1668C">
        <w:tc>
          <w:tcPr>
            <w:tcW w:w="14242" w:type="dxa"/>
            <w:vMerge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eastAsia="de-DE"/>
              </w:rPr>
              <w:t>Hogan</w:t>
            </w:r>
          </w:p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eastAsia="de-DE"/>
              </w:rPr>
              <w:t>2006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Inadequate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Inadequate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Inadequate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Inadequate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Inadequate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Inadequate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Inadequate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</w:tr>
      <w:tr w:rsidR="0072782D" w:rsidRPr="005271F0" w:rsidTr="00E1668C"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eastAsia="de-DE"/>
              </w:rPr>
              <w:t>Unnamed</w:t>
            </w:r>
            <w:r w:rsidRPr="005271F0">
              <w:rPr>
                <w:rFonts w:eastAsia="Times New Roman" w:cstheme="minorHAnsi"/>
                <w:sz w:val="16"/>
                <w:szCs w:val="16"/>
                <w:vertAlign w:val="superscript"/>
                <w:lang w:eastAsia="de-DE"/>
              </w:rPr>
              <w:t>a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eastAsia="de-DE"/>
              </w:rPr>
              <w:t>O'Neill</w:t>
            </w:r>
          </w:p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eastAsia="de-DE"/>
              </w:rPr>
              <w:t>2018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Very good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Doubtful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Doubtful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Adequate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Adequate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eastAsia="de-DE"/>
              </w:rPr>
              <w:t>inadequate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</w:tr>
      <w:tr w:rsidR="0072782D" w:rsidRPr="005271F0" w:rsidTr="00E1668C"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eastAsia="de-DE"/>
              </w:rPr>
              <w:t>TSAGAT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eastAsia="de-DE"/>
              </w:rPr>
              <w:t>Crozier</w:t>
            </w:r>
          </w:p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eastAsia="de-DE"/>
              </w:rPr>
              <w:t>2015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Adequate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Doubtful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Doubtful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Inadequate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Doubtful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</w:tr>
      <w:tr w:rsidR="0072782D" w:rsidRPr="005271F0" w:rsidTr="00E1668C"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eastAsia="de-DE"/>
              </w:rPr>
              <w:t>Unnamed</w:t>
            </w:r>
            <w:r w:rsidRPr="005271F0">
              <w:rPr>
                <w:rFonts w:eastAsia="Times New Roman" w:cstheme="minorHAnsi"/>
                <w:sz w:val="16"/>
                <w:szCs w:val="16"/>
                <w:vertAlign w:val="superscript"/>
                <w:lang w:eastAsia="de-DE"/>
              </w:rPr>
              <w:t>b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eastAsia="de-DE"/>
              </w:rPr>
              <w:t>Frere</w:t>
            </w:r>
          </w:p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eastAsia="de-DE"/>
              </w:rPr>
              <w:t>2017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Doubtful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Inadequate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Inadequate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Very good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</w:tr>
      <w:tr w:rsidR="0072782D" w:rsidRPr="005271F0" w:rsidTr="00E1668C">
        <w:tc>
          <w:tcPr>
            <w:tcW w:w="14242" w:type="dxa"/>
            <w:vMerge w:val="restart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eastAsia="de-DE"/>
              </w:rPr>
              <w:t>NOTSS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eastAsia="de-DE"/>
              </w:rPr>
              <w:t>Jung</w:t>
            </w:r>
          </w:p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eastAsia="de-DE"/>
              </w:rPr>
              <w:t>2020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Doubtful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</w:tr>
      <w:tr w:rsidR="0072782D" w:rsidRPr="005271F0" w:rsidTr="00E1668C">
        <w:tc>
          <w:tcPr>
            <w:tcW w:w="14242" w:type="dxa"/>
            <w:vMerge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de-DE"/>
              </w:rPr>
            </w:pP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eastAsia="de-DE"/>
              </w:rPr>
              <w:t>Yule</w:t>
            </w:r>
          </w:p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eastAsia="de-DE"/>
              </w:rPr>
              <w:t>2018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Very good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Very good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eastAsia="de-DE"/>
              </w:rPr>
              <w:t>inadequate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</w:tr>
      <w:tr w:rsidR="0072782D" w:rsidRPr="005271F0" w:rsidTr="00E1668C">
        <w:tc>
          <w:tcPr>
            <w:tcW w:w="14242" w:type="dxa"/>
            <w:vMerge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de-DE"/>
              </w:rPr>
            </w:pP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eastAsia="de-DE"/>
              </w:rPr>
              <w:t>Crossley</w:t>
            </w:r>
          </w:p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eastAsia="de-DE"/>
              </w:rPr>
              <w:t>2011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Adequate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Adequate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Very good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Very good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</w:tr>
      <w:tr w:rsidR="0072782D" w:rsidRPr="005271F0" w:rsidTr="00E1668C">
        <w:tc>
          <w:tcPr>
            <w:tcW w:w="14242" w:type="dxa"/>
            <w:vMerge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rtl/>
                <w:lang w:val="en-GB" w:eastAsia="de-DE" w:bidi="fa-IR"/>
              </w:rPr>
            </w:pP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eastAsia="de-DE"/>
              </w:rPr>
              <w:t>Yule</w:t>
            </w:r>
          </w:p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eastAsia="de-DE"/>
              </w:rPr>
              <w:t>2008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Very good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gridSpan w:val="2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</w:tr>
      <w:tr w:rsidR="0072782D" w:rsidRPr="005271F0" w:rsidTr="00E1668C">
        <w:tc>
          <w:tcPr>
            <w:tcW w:w="14242" w:type="dxa"/>
            <w:vMerge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de-DE"/>
              </w:rPr>
            </w:pP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eastAsia="de-DE"/>
              </w:rPr>
              <w:t>Yule</w:t>
            </w:r>
          </w:p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eastAsia="de-DE"/>
              </w:rPr>
              <w:t>2006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Very good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Adequate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Adequate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gridSpan w:val="2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</w:tr>
      <w:tr w:rsidR="0072782D" w:rsidRPr="005271F0" w:rsidTr="00E1668C"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NoTSUS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eastAsia="de-DE"/>
              </w:rPr>
              <w:t>Aydın</w:t>
            </w:r>
          </w:p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eastAsia="de-DE"/>
              </w:rPr>
              <w:t>2020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Adequate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Inadequate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Inadequate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Very good</w:t>
            </w:r>
          </w:p>
        </w:tc>
        <w:tc>
          <w:tcPr>
            <w:tcW w:w="14242" w:type="dxa"/>
            <w:gridSpan w:val="2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</w:tr>
      <w:tr w:rsidR="0072782D" w:rsidRPr="005271F0" w:rsidTr="00E1668C">
        <w:tc>
          <w:tcPr>
            <w:tcW w:w="14242" w:type="dxa"/>
            <w:vMerge w:val="restart"/>
            <w:tcBorders>
              <w:bottom w:val="nil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ANTS</w:t>
            </w:r>
          </w:p>
        </w:tc>
        <w:tc>
          <w:tcPr>
            <w:tcW w:w="14242" w:type="dxa"/>
            <w:tcBorders>
              <w:bottom w:val="nil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eastAsia="de-DE"/>
              </w:rPr>
              <w:t>Fletcher</w:t>
            </w:r>
          </w:p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eastAsia="de-DE"/>
              </w:rPr>
              <w:t>2003</w:t>
            </w:r>
          </w:p>
        </w:tc>
        <w:tc>
          <w:tcPr>
            <w:tcW w:w="14242" w:type="dxa"/>
            <w:tcBorders>
              <w:bottom w:val="nil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Very good</w:t>
            </w:r>
          </w:p>
        </w:tc>
        <w:tc>
          <w:tcPr>
            <w:tcW w:w="14242" w:type="dxa"/>
            <w:tcBorders>
              <w:bottom w:val="nil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Adequate</w:t>
            </w:r>
          </w:p>
        </w:tc>
        <w:tc>
          <w:tcPr>
            <w:tcW w:w="14242" w:type="dxa"/>
            <w:tcBorders>
              <w:bottom w:val="nil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Adequate</w:t>
            </w:r>
          </w:p>
        </w:tc>
        <w:tc>
          <w:tcPr>
            <w:tcW w:w="14242" w:type="dxa"/>
            <w:tcBorders>
              <w:bottom w:val="nil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tcBorders>
              <w:bottom w:val="nil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tcBorders>
              <w:bottom w:val="nil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tcBorders>
              <w:bottom w:val="nil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Inadequate</w:t>
            </w:r>
          </w:p>
        </w:tc>
        <w:tc>
          <w:tcPr>
            <w:tcW w:w="14242" w:type="dxa"/>
            <w:tcBorders>
              <w:bottom w:val="nil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Adequate</w:t>
            </w:r>
          </w:p>
        </w:tc>
        <w:tc>
          <w:tcPr>
            <w:tcW w:w="14242" w:type="dxa"/>
            <w:tcBorders>
              <w:bottom w:val="nil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tcBorders>
              <w:bottom w:val="nil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Doubtful</w:t>
            </w:r>
          </w:p>
        </w:tc>
        <w:tc>
          <w:tcPr>
            <w:tcW w:w="14242" w:type="dxa"/>
            <w:tcBorders>
              <w:bottom w:val="nil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tcBorders>
              <w:bottom w:val="nil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tcBorders>
              <w:bottom w:val="nil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tcBorders>
              <w:bottom w:val="nil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gridSpan w:val="2"/>
            <w:tcBorders>
              <w:bottom w:val="nil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tcBorders>
              <w:bottom w:val="nil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</w:tr>
      <w:tr w:rsidR="0072782D" w:rsidRPr="005271F0" w:rsidTr="00E1668C">
        <w:tc>
          <w:tcPr>
            <w:tcW w:w="14242" w:type="dxa"/>
            <w:vMerge/>
            <w:tcBorders>
              <w:top w:val="nil"/>
              <w:bottom w:val="nil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</w:p>
        </w:tc>
        <w:tc>
          <w:tcPr>
            <w:tcW w:w="14242" w:type="dxa"/>
            <w:tcBorders>
              <w:top w:val="nil"/>
              <w:bottom w:val="nil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eastAsia="de-DE"/>
              </w:rPr>
              <w:t>Graham</w:t>
            </w:r>
          </w:p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eastAsia="de-DE"/>
              </w:rPr>
              <w:t>2010</w:t>
            </w:r>
          </w:p>
        </w:tc>
        <w:tc>
          <w:tcPr>
            <w:tcW w:w="14242" w:type="dxa"/>
            <w:tcBorders>
              <w:top w:val="nil"/>
              <w:bottom w:val="nil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tcBorders>
              <w:top w:val="nil"/>
              <w:bottom w:val="nil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tcBorders>
              <w:top w:val="nil"/>
              <w:bottom w:val="nil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tcBorders>
              <w:top w:val="nil"/>
              <w:bottom w:val="nil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tcBorders>
              <w:top w:val="nil"/>
              <w:bottom w:val="nil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tcBorders>
              <w:top w:val="nil"/>
              <w:bottom w:val="nil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tcBorders>
              <w:top w:val="nil"/>
              <w:bottom w:val="nil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tcBorders>
              <w:top w:val="nil"/>
              <w:bottom w:val="nil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tcBorders>
              <w:top w:val="nil"/>
              <w:bottom w:val="nil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tcBorders>
              <w:top w:val="nil"/>
              <w:bottom w:val="nil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Very good</w:t>
            </w:r>
          </w:p>
        </w:tc>
        <w:tc>
          <w:tcPr>
            <w:tcW w:w="14242" w:type="dxa"/>
            <w:tcBorders>
              <w:top w:val="nil"/>
              <w:bottom w:val="nil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tcBorders>
              <w:top w:val="nil"/>
              <w:bottom w:val="nil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tcBorders>
              <w:top w:val="nil"/>
              <w:bottom w:val="nil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tcBorders>
              <w:top w:val="nil"/>
              <w:bottom w:val="nil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tcBorders>
              <w:top w:val="nil"/>
              <w:bottom w:val="nil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</w:tr>
      <w:tr w:rsidR="0072782D" w:rsidRPr="005271F0" w:rsidTr="00E1668C">
        <w:tc>
          <w:tcPr>
            <w:tcW w:w="1424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eastAsia="de-DE"/>
              </w:rPr>
              <w:t>ANTS-AP</w:t>
            </w:r>
          </w:p>
        </w:tc>
        <w:tc>
          <w:tcPr>
            <w:tcW w:w="1424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eastAsia="de-DE"/>
              </w:rPr>
              <w:t>Rutherford</w:t>
            </w:r>
          </w:p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eastAsia="de-DE"/>
              </w:rPr>
              <w:t>2015</w:t>
            </w:r>
          </w:p>
        </w:tc>
        <w:tc>
          <w:tcPr>
            <w:tcW w:w="1424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Very good</w:t>
            </w:r>
          </w:p>
        </w:tc>
        <w:tc>
          <w:tcPr>
            <w:tcW w:w="1424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Adequate</w:t>
            </w:r>
          </w:p>
        </w:tc>
        <w:tc>
          <w:tcPr>
            <w:tcW w:w="1424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Adequate</w:t>
            </w:r>
          </w:p>
        </w:tc>
        <w:tc>
          <w:tcPr>
            <w:tcW w:w="1424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Inadequate</w:t>
            </w:r>
          </w:p>
        </w:tc>
        <w:tc>
          <w:tcPr>
            <w:tcW w:w="1424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Adequate</w:t>
            </w:r>
          </w:p>
        </w:tc>
        <w:tc>
          <w:tcPr>
            <w:tcW w:w="1424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Very good</w:t>
            </w:r>
          </w:p>
        </w:tc>
        <w:tc>
          <w:tcPr>
            <w:tcW w:w="1424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Adequate</w:t>
            </w:r>
          </w:p>
        </w:tc>
        <w:tc>
          <w:tcPr>
            <w:tcW w:w="1424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</w:tr>
      <w:tr w:rsidR="0072782D" w:rsidRPr="005271F0" w:rsidTr="00E1668C">
        <w:tc>
          <w:tcPr>
            <w:tcW w:w="142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eastAsia="de-DE"/>
              </w:rPr>
              <w:t>T-NOTECHS</w:t>
            </w:r>
          </w:p>
        </w:tc>
        <w:tc>
          <w:tcPr>
            <w:tcW w:w="14242" w:type="dxa"/>
            <w:tcBorders>
              <w:top w:val="single" w:sz="4" w:space="0" w:color="auto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eastAsia="de-DE"/>
              </w:rPr>
              <w:t>van Maarseveen</w:t>
            </w:r>
          </w:p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eastAsia="de-DE"/>
              </w:rPr>
              <w:t>2020</w:t>
            </w:r>
          </w:p>
        </w:tc>
        <w:tc>
          <w:tcPr>
            <w:tcW w:w="14242" w:type="dxa"/>
            <w:tcBorders>
              <w:top w:val="single" w:sz="4" w:space="0" w:color="auto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tcBorders>
              <w:top w:val="single" w:sz="4" w:space="0" w:color="auto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tcBorders>
              <w:top w:val="single" w:sz="4" w:space="0" w:color="auto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tcBorders>
              <w:top w:val="single" w:sz="4" w:space="0" w:color="auto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tcBorders>
              <w:top w:val="single" w:sz="4" w:space="0" w:color="auto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tcBorders>
              <w:top w:val="single" w:sz="4" w:space="0" w:color="auto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tcBorders>
              <w:top w:val="single" w:sz="4" w:space="0" w:color="auto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tcBorders>
              <w:top w:val="single" w:sz="4" w:space="0" w:color="auto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tcBorders>
              <w:top w:val="single" w:sz="4" w:space="0" w:color="auto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tcBorders>
              <w:top w:val="single" w:sz="4" w:space="0" w:color="auto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tcBorders>
              <w:top w:val="single" w:sz="4" w:space="0" w:color="auto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tcBorders>
              <w:top w:val="single" w:sz="4" w:space="0" w:color="auto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Doubtful</w:t>
            </w:r>
          </w:p>
        </w:tc>
        <w:tc>
          <w:tcPr>
            <w:tcW w:w="14242" w:type="dxa"/>
            <w:tcBorders>
              <w:top w:val="single" w:sz="4" w:space="0" w:color="auto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tcBorders>
              <w:top w:val="single" w:sz="4" w:space="0" w:color="auto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tcBorders>
              <w:top w:val="single" w:sz="4" w:space="0" w:color="auto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</w:tr>
      <w:tr w:rsidR="0072782D" w:rsidRPr="005271F0" w:rsidTr="00E1668C">
        <w:tc>
          <w:tcPr>
            <w:tcW w:w="14242" w:type="dxa"/>
            <w:vMerge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de-DE"/>
              </w:rPr>
            </w:pP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eastAsia="de-DE"/>
              </w:rPr>
              <w:t xml:space="preserve">Steinemann </w:t>
            </w:r>
            <w:r w:rsidRPr="005271F0">
              <w:rPr>
                <w:rFonts w:eastAsia="Times New Roman" w:cstheme="minorHAnsi"/>
                <w:sz w:val="16"/>
                <w:szCs w:val="16"/>
                <w:lang w:eastAsia="de-DE"/>
              </w:rPr>
              <w:lastRenderedPageBreak/>
              <w:t>2012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lastRenderedPageBreak/>
              <w:t>Adequate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Inadequate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Doubtful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gridSpan w:val="2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</w:tr>
      <w:tr w:rsidR="0072782D" w:rsidRPr="005271F0" w:rsidTr="00E1668C"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eastAsia="de-DE"/>
              </w:rPr>
              <w:lastRenderedPageBreak/>
              <w:t>NOTECHS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eastAsia="de-DE"/>
              </w:rPr>
              <w:t>Mishra</w:t>
            </w:r>
          </w:p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eastAsia="de-DE"/>
              </w:rPr>
              <w:t>2009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Adequate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Doubtful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Doubtful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Doubtful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Doubtful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Inadequate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Inadequate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</w:tr>
      <w:tr w:rsidR="0072782D" w:rsidRPr="005271F0" w:rsidTr="00E1668C"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eastAsia="de-DE"/>
              </w:rPr>
              <w:t>NOTECHS II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eastAsia="de-DE"/>
              </w:rPr>
              <w:t>Robertson</w:t>
            </w:r>
          </w:p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eastAsia="de-DE"/>
              </w:rPr>
              <w:t>2014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Adequate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Doubtful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Doubtful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Doubtful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Doubtful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Adequate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</w:tr>
      <w:tr w:rsidR="0072782D" w:rsidRPr="005271F0" w:rsidTr="00E1668C"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eastAsia="de-DE"/>
              </w:rPr>
              <w:t>ICARS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eastAsia="de-DE"/>
              </w:rPr>
              <w:t>Raison</w:t>
            </w:r>
          </w:p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eastAsia="de-DE"/>
              </w:rPr>
              <w:t>2017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Adequate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Inadequate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Doubtful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Doubtful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Doubtful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Very good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Very good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</w:tr>
      <w:tr w:rsidR="0072782D" w:rsidRPr="005271F0" w:rsidTr="00E1668C"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EPOC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eastAsia="de-DE"/>
              </w:rPr>
              <w:t>Kemper</w:t>
            </w:r>
          </w:p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eastAsia="de-DE"/>
              </w:rPr>
              <w:t>2013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Adequate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Inadequate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Doubtful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Adequate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gridSpan w:val="2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</w:tr>
      <w:tr w:rsidR="0072782D" w:rsidRPr="005271F0" w:rsidTr="00E1668C">
        <w:tc>
          <w:tcPr>
            <w:tcW w:w="14242" w:type="dxa"/>
            <w:vMerge w:val="restart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eastAsia="de-DE"/>
              </w:rPr>
              <w:t>SPLINTS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eastAsia="de-DE"/>
              </w:rPr>
              <w:t>Loh</w:t>
            </w:r>
          </w:p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eastAsia="de-DE"/>
              </w:rPr>
              <w:t>2019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Very good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Very good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Very good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Doubtful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Inadequate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</w:tr>
      <w:tr w:rsidR="0072782D" w:rsidRPr="005271F0" w:rsidTr="00E1668C">
        <w:tc>
          <w:tcPr>
            <w:tcW w:w="14242" w:type="dxa"/>
            <w:vMerge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de-DE"/>
              </w:rPr>
            </w:pPr>
          </w:p>
        </w:tc>
        <w:tc>
          <w:tcPr>
            <w:tcW w:w="14242" w:type="dxa"/>
            <w:tcBorders>
              <w:bottom w:val="nil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eastAsia="de-DE"/>
              </w:rPr>
              <w:t>Mitchell</w:t>
            </w:r>
          </w:p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eastAsia="de-DE"/>
              </w:rPr>
              <w:t>2011</w:t>
            </w:r>
          </w:p>
        </w:tc>
        <w:tc>
          <w:tcPr>
            <w:tcW w:w="14242" w:type="dxa"/>
            <w:tcBorders>
              <w:bottom w:val="nil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Very good</w:t>
            </w:r>
          </w:p>
        </w:tc>
        <w:tc>
          <w:tcPr>
            <w:tcW w:w="14242" w:type="dxa"/>
            <w:tcBorders>
              <w:bottom w:val="nil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Doubtful</w:t>
            </w:r>
          </w:p>
        </w:tc>
        <w:tc>
          <w:tcPr>
            <w:tcW w:w="14242" w:type="dxa"/>
            <w:tcBorders>
              <w:bottom w:val="nil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Doubtful</w:t>
            </w:r>
          </w:p>
        </w:tc>
        <w:tc>
          <w:tcPr>
            <w:tcW w:w="14242" w:type="dxa"/>
            <w:tcBorders>
              <w:bottom w:val="nil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tcBorders>
              <w:bottom w:val="nil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tcBorders>
              <w:bottom w:val="nil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tcBorders>
              <w:bottom w:val="nil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tcBorders>
              <w:bottom w:val="nil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tcBorders>
              <w:bottom w:val="nil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tcBorders>
              <w:bottom w:val="nil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tcBorders>
              <w:bottom w:val="nil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tcBorders>
              <w:bottom w:val="nil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tcBorders>
              <w:bottom w:val="nil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tcBorders>
              <w:bottom w:val="nil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tcBorders>
              <w:bottom w:val="nil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tcBorders>
              <w:bottom w:val="nil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tcBorders>
              <w:bottom w:val="nil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</w:tr>
      <w:tr w:rsidR="0072782D" w:rsidRPr="005271F0" w:rsidTr="00E1668C">
        <w:tc>
          <w:tcPr>
            <w:tcW w:w="14242" w:type="dxa"/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eastAsia="de-DE"/>
              </w:rPr>
              <w:t>Ottawa GRS</w:t>
            </w:r>
          </w:p>
        </w:tc>
        <w:tc>
          <w:tcPr>
            <w:tcW w:w="1424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eastAsia="de-DE"/>
              </w:rPr>
              <w:t>Kim</w:t>
            </w:r>
          </w:p>
          <w:p w:rsidR="0072782D" w:rsidRPr="005271F0" w:rsidRDefault="0072782D" w:rsidP="00E1668C">
            <w:pPr>
              <w:spacing w:line="120" w:lineRule="atLeast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eastAsia="de-DE"/>
              </w:rPr>
              <w:t>2006</w:t>
            </w:r>
          </w:p>
        </w:tc>
        <w:tc>
          <w:tcPr>
            <w:tcW w:w="1424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Doubtful</w:t>
            </w:r>
          </w:p>
        </w:tc>
        <w:tc>
          <w:tcPr>
            <w:tcW w:w="1424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Inadequate</w:t>
            </w:r>
          </w:p>
        </w:tc>
        <w:tc>
          <w:tcPr>
            <w:tcW w:w="1424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Doubtful</w:t>
            </w:r>
          </w:p>
        </w:tc>
        <w:tc>
          <w:tcPr>
            <w:tcW w:w="1424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Inadequate</w:t>
            </w:r>
          </w:p>
        </w:tc>
        <w:tc>
          <w:tcPr>
            <w:tcW w:w="1424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Inadequate</w:t>
            </w:r>
          </w:p>
        </w:tc>
        <w:tc>
          <w:tcPr>
            <w:tcW w:w="1424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Inadequate</w:t>
            </w:r>
          </w:p>
        </w:tc>
        <w:tc>
          <w:tcPr>
            <w:tcW w:w="1424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  <w:tc>
          <w:tcPr>
            <w:tcW w:w="1424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2782D" w:rsidRPr="005271F0" w:rsidRDefault="0072782D" w:rsidP="00E1668C">
            <w:pPr>
              <w:contextualSpacing/>
              <w:jc w:val="center"/>
              <w:rPr>
                <w:rFonts w:eastAsia="Times New Roman" w:cstheme="minorHAnsi"/>
                <w:sz w:val="16"/>
                <w:szCs w:val="16"/>
                <w:lang w:val="en-GB" w:eastAsia="de-DE"/>
              </w:rPr>
            </w:pPr>
            <w:r w:rsidRPr="005271F0">
              <w:rPr>
                <w:rFonts w:eastAsia="Times New Roman" w:cstheme="minorHAnsi"/>
                <w:sz w:val="16"/>
                <w:szCs w:val="16"/>
                <w:lang w:val="en-GB" w:eastAsia="de-DE"/>
              </w:rPr>
              <w:t>NR</w:t>
            </w:r>
          </w:p>
        </w:tc>
      </w:tr>
    </w:tbl>
    <w:p w:rsidR="0072782D" w:rsidRPr="005271F0" w:rsidRDefault="0072782D" w:rsidP="0072782D">
      <w:pPr>
        <w:rPr>
          <w:rFonts w:cstheme="minorHAnsi"/>
          <w:lang w:val="en-GB"/>
        </w:rPr>
      </w:pPr>
    </w:p>
    <w:p w:rsidR="0072782D" w:rsidRPr="005271F0" w:rsidRDefault="0072782D" w:rsidP="0072782D">
      <w:pPr>
        <w:rPr>
          <w:rFonts w:cstheme="minorHAnsi"/>
          <w:lang w:val="en-GB"/>
        </w:rPr>
      </w:pPr>
      <w:r w:rsidRPr="005271F0">
        <w:rPr>
          <w:rFonts w:cstheme="minorHAnsi"/>
          <w:lang w:val="en-GB"/>
        </w:rPr>
        <w:t>Notes.</w:t>
      </w:r>
    </w:p>
    <w:p w:rsidR="0072782D" w:rsidRPr="005271F0" w:rsidRDefault="0072782D" w:rsidP="0072782D">
      <w:pPr>
        <w:jc w:val="both"/>
        <w:rPr>
          <w:rFonts w:cstheme="minorHAnsi"/>
          <w:sz w:val="18"/>
          <w:szCs w:val="18"/>
        </w:rPr>
      </w:pPr>
      <w:r w:rsidRPr="005271F0">
        <w:rPr>
          <w:rFonts w:cstheme="minorHAnsi"/>
          <w:sz w:val="18"/>
          <w:szCs w:val="18"/>
        </w:rPr>
        <w:t>The full name of instruments: Situation Awareness Global Assessment Technique (SAGAT); Team Situation Awareness Global Assessment Technique (TSAGAT); Non-Technical Skills for Surgeons tool (NOTSS); Non-technical Skills for Urological Surgeons (NoTSUS); Anaesthetists' Non-Technical Skills system (ANTS); Anaesthetic Non-Technical Skills for Anaesthetic Practitioners system (ANTS-AP); Trauma Non-Technical Skills (T-NOTECHS) Tool; Oxford Non-Technical Skills scale (NOTECHS); Oxford Non-Technical Skills scale (NOTECHS II); Interpersonal and Cognitive Assessment for Robotic Surgery rating system (ICARS); Explicit professional oral communication tool (EPOC); Scrub Practitioners’ List of Intraoperative Non-Technical Skills (SPLINTS); Ottawa Global Rating Scale (GRS)</w:t>
      </w:r>
    </w:p>
    <w:p w:rsidR="0072782D" w:rsidRPr="005271F0" w:rsidRDefault="0072782D" w:rsidP="0072782D">
      <w:pPr>
        <w:jc w:val="both"/>
        <w:rPr>
          <w:rFonts w:cstheme="minorHAnsi"/>
          <w:sz w:val="18"/>
          <w:szCs w:val="18"/>
        </w:rPr>
      </w:pPr>
      <w:r w:rsidRPr="005271F0">
        <w:rPr>
          <w:rFonts w:cstheme="minorHAnsi"/>
          <w:sz w:val="18"/>
          <w:szCs w:val="18"/>
          <w:vertAlign w:val="superscript"/>
        </w:rPr>
        <w:t>a</w:t>
      </w:r>
      <w:r w:rsidRPr="005271F0">
        <w:rPr>
          <w:rFonts w:cstheme="minorHAnsi"/>
          <w:sz w:val="18"/>
          <w:szCs w:val="18"/>
        </w:rPr>
        <w:t>Team resuscitation situation awareness tool</w:t>
      </w:r>
    </w:p>
    <w:p w:rsidR="0072782D" w:rsidRPr="005271F0" w:rsidRDefault="0072782D" w:rsidP="0072782D">
      <w:pPr>
        <w:jc w:val="both"/>
        <w:rPr>
          <w:rFonts w:cstheme="minorHAnsi"/>
          <w:sz w:val="18"/>
          <w:szCs w:val="18"/>
        </w:rPr>
      </w:pPr>
      <w:r w:rsidRPr="005271F0">
        <w:rPr>
          <w:rFonts w:cstheme="minorHAnsi"/>
          <w:sz w:val="18"/>
          <w:szCs w:val="18"/>
          <w:vertAlign w:val="superscript"/>
        </w:rPr>
        <w:t>b</w:t>
      </w:r>
      <w:r w:rsidRPr="005271F0">
        <w:rPr>
          <w:rFonts w:cstheme="minorHAnsi"/>
          <w:sz w:val="18"/>
          <w:szCs w:val="18"/>
        </w:rPr>
        <w:t>Situation awareness (SA) assessment tool</w:t>
      </w:r>
    </w:p>
    <w:p w:rsidR="0072782D" w:rsidRPr="005271F0" w:rsidRDefault="0072782D" w:rsidP="0072782D">
      <w:pPr>
        <w:jc w:val="both"/>
        <w:rPr>
          <w:rFonts w:cstheme="minorHAnsi"/>
          <w:sz w:val="18"/>
          <w:szCs w:val="18"/>
        </w:rPr>
      </w:pPr>
      <w:r w:rsidRPr="005271F0">
        <w:rPr>
          <w:rFonts w:cstheme="minorHAnsi"/>
          <w:sz w:val="18"/>
          <w:szCs w:val="18"/>
        </w:rPr>
        <w:t>NR= not reported</w:t>
      </w:r>
    </w:p>
    <w:p w:rsidR="00D64DF8" w:rsidRDefault="00D64DF8">
      <w:bookmarkStart w:id="0" w:name="_GoBack"/>
      <w:bookmarkEnd w:id="0"/>
    </w:p>
    <w:sectPr w:rsidR="00D64D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82D"/>
    <w:rsid w:val="00006C82"/>
    <w:rsid w:val="00014A8F"/>
    <w:rsid w:val="00033244"/>
    <w:rsid w:val="0005149C"/>
    <w:rsid w:val="00071C69"/>
    <w:rsid w:val="00075EE1"/>
    <w:rsid w:val="00082227"/>
    <w:rsid w:val="0009049E"/>
    <w:rsid w:val="0009457E"/>
    <w:rsid w:val="000B1A9C"/>
    <w:rsid w:val="000B67F6"/>
    <w:rsid w:val="000C1056"/>
    <w:rsid w:val="000D5574"/>
    <w:rsid w:val="000E0E3D"/>
    <w:rsid w:val="000E586E"/>
    <w:rsid w:val="000F558A"/>
    <w:rsid w:val="0012135B"/>
    <w:rsid w:val="00127566"/>
    <w:rsid w:val="00130CD7"/>
    <w:rsid w:val="00132E65"/>
    <w:rsid w:val="001352CE"/>
    <w:rsid w:val="00151B24"/>
    <w:rsid w:val="00153727"/>
    <w:rsid w:val="001578C8"/>
    <w:rsid w:val="00160FEF"/>
    <w:rsid w:val="001664E8"/>
    <w:rsid w:val="001763A6"/>
    <w:rsid w:val="0017759D"/>
    <w:rsid w:val="00177BE8"/>
    <w:rsid w:val="0018109C"/>
    <w:rsid w:val="0018538A"/>
    <w:rsid w:val="001C2EC0"/>
    <w:rsid w:val="001D4368"/>
    <w:rsid w:val="001E1805"/>
    <w:rsid w:val="002049A8"/>
    <w:rsid w:val="0022032B"/>
    <w:rsid w:val="00236C30"/>
    <w:rsid w:val="002631D7"/>
    <w:rsid w:val="00293569"/>
    <w:rsid w:val="002A2415"/>
    <w:rsid w:val="002B04B5"/>
    <w:rsid w:val="002B78B9"/>
    <w:rsid w:val="002C5EE3"/>
    <w:rsid w:val="002D6C34"/>
    <w:rsid w:val="002D7466"/>
    <w:rsid w:val="00300B1A"/>
    <w:rsid w:val="00313AF0"/>
    <w:rsid w:val="003163AE"/>
    <w:rsid w:val="00334C12"/>
    <w:rsid w:val="003605F8"/>
    <w:rsid w:val="00361F73"/>
    <w:rsid w:val="003669FE"/>
    <w:rsid w:val="00385700"/>
    <w:rsid w:val="00391F89"/>
    <w:rsid w:val="003A05F7"/>
    <w:rsid w:val="003A1E37"/>
    <w:rsid w:val="003B0818"/>
    <w:rsid w:val="003B4D38"/>
    <w:rsid w:val="003C0935"/>
    <w:rsid w:val="003C6101"/>
    <w:rsid w:val="003D0906"/>
    <w:rsid w:val="004012E2"/>
    <w:rsid w:val="004054C3"/>
    <w:rsid w:val="00410260"/>
    <w:rsid w:val="00441B35"/>
    <w:rsid w:val="00453F68"/>
    <w:rsid w:val="00456E4C"/>
    <w:rsid w:val="0045757E"/>
    <w:rsid w:val="00463486"/>
    <w:rsid w:val="00477A6E"/>
    <w:rsid w:val="004B031A"/>
    <w:rsid w:val="004C4D2E"/>
    <w:rsid w:val="004F048A"/>
    <w:rsid w:val="004F25E0"/>
    <w:rsid w:val="00507702"/>
    <w:rsid w:val="005114B5"/>
    <w:rsid w:val="00511CD0"/>
    <w:rsid w:val="00535105"/>
    <w:rsid w:val="00540626"/>
    <w:rsid w:val="0056412F"/>
    <w:rsid w:val="00595DD2"/>
    <w:rsid w:val="005A3A75"/>
    <w:rsid w:val="005A3F9A"/>
    <w:rsid w:val="005B2C85"/>
    <w:rsid w:val="005E05CD"/>
    <w:rsid w:val="005E457E"/>
    <w:rsid w:val="006072D1"/>
    <w:rsid w:val="00610A00"/>
    <w:rsid w:val="00611638"/>
    <w:rsid w:val="006331F3"/>
    <w:rsid w:val="00634DFB"/>
    <w:rsid w:val="00662520"/>
    <w:rsid w:val="00667E37"/>
    <w:rsid w:val="0068157F"/>
    <w:rsid w:val="006A3B85"/>
    <w:rsid w:val="006B063C"/>
    <w:rsid w:val="006B12CF"/>
    <w:rsid w:val="006E0C3A"/>
    <w:rsid w:val="006E24C9"/>
    <w:rsid w:val="006E3880"/>
    <w:rsid w:val="006F57B4"/>
    <w:rsid w:val="0072782D"/>
    <w:rsid w:val="00732220"/>
    <w:rsid w:val="007364E3"/>
    <w:rsid w:val="0074191D"/>
    <w:rsid w:val="00760A1A"/>
    <w:rsid w:val="007760C9"/>
    <w:rsid w:val="00793C3C"/>
    <w:rsid w:val="007A4956"/>
    <w:rsid w:val="007B1901"/>
    <w:rsid w:val="007B1CD2"/>
    <w:rsid w:val="007B4EA6"/>
    <w:rsid w:val="007B6619"/>
    <w:rsid w:val="007C0EF2"/>
    <w:rsid w:val="007D164C"/>
    <w:rsid w:val="007E1D50"/>
    <w:rsid w:val="007F45DF"/>
    <w:rsid w:val="007F5CA3"/>
    <w:rsid w:val="007F7A6A"/>
    <w:rsid w:val="00801FD1"/>
    <w:rsid w:val="00811D24"/>
    <w:rsid w:val="00827804"/>
    <w:rsid w:val="00880AE6"/>
    <w:rsid w:val="00895639"/>
    <w:rsid w:val="008A7AE4"/>
    <w:rsid w:val="008C1169"/>
    <w:rsid w:val="008C2560"/>
    <w:rsid w:val="008C6413"/>
    <w:rsid w:val="008C6DFD"/>
    <w:rsid w:val="008C6F2D"/>
    <w:rsid w:val="008C7B6F"/>
    <w:rsid w:val="008D6A25"/>
    <w:rsid w:val="008E1230"/>
    <w:rsid w:val="008F62E6"/>
    <w:rsid w:val="00902B0A"/>
    <w:rsid w:val="00902C30"/>
    <w:rsid w:val="009235AF"/>
    <w:rsid w:val="00926278"/>
    <w:rsid w:val="009379EA"/>
    <w:rsid w:val="0094449B"/>
    <w:rsid w:val="00945CF4"/>
    <w:rsid w:val="009630B5"/>
    <w:rsid w:val="009750CF"/>
    <w:rsid w:val="00992AF0"/>
    <w:rsid w:val="009939AF"/>
    <w:rsid w:val="00996CF3"/>
    <w:rsid w:val="009B5050"/>
    <w:rsid w:val="009C04CD"/>
    <w:rsid w:val="009D0E94"/>
    <w:rsid w:val="009E2486"/>
    <w:rsid w:val="009E37C1"/>
    <w:rsid w:val="009F637C"/>
    <w:rsid w:val="00A11475"/>
    <w:rsid w:val="00A37B2D"/>
    <w:rsid w:val="00A423BD"/>
    <w:rsid w:val="00A62CED"/>
    <w:rsid w:val="00A6641A"/>
    <w:rsid w:val="00A67D69"/>
    <w:rsid w:val="00AA0675"/>
    <w:rsid w:val="00AA323E"/>
    <w:rsid w:val="00AA6234"/>
    <w:rsid w:val="00AB574B"/>
    <w:rsid w:val="00AB7910"/>
    <w:rsid w:val="00AD2411"/>
    <w:rsid w:val="00AD3C34"/>
    <w:rsid w:val="00AE1BA7"/>
    <w:rsid w:val="00AE2745"/>
    <w:rsid w:val="00B0301C"/>
    <w:rsid w:val="00B108DE"/>
    <w:rsid w:val="00B31BF6"/>
    <w:rsid w:val="00B32A1B"/>
    <w:rsid w:val="00B51F99"/>
    <w:rsid w:val="00B56898"/>
    <w:rsid w:val="00B64CB2"/>
    <w:rsid w:val="00B7231E"/>
    <w:rsid w:val="00B83757"/>
    <w:rsid w:val="00B84A65"/>
    <w:rsid w:val="00B921FE"/>
    <w:rsid w:val="00B97041"/>
    <w:rsid w:val="00BA7495"/>
    <w:rsid w:val="00BC4720"/>
    <w:rsid w:val="00BD37EF"/>
    <w:rsid w:val="00BD5C25"/>
    <w:rsid w:val="00C0104F"/>
    <w:rsid w:val="00C05BC4"/>
    <w:rsid w:val="00C13CA2"/>
    <w:rsid w:val="00C3167B"/>
    <w:rsid w:val="00C34517"/>
    <w:rsid w:val="00C66F47"/>
    <w:rsid w:val="00C763A0"/>
    <w:rsid w:val="00CA675E"/>
    <w:rsid w:val="00CC79A6"/>
    <w:rsid w:val="00CE4CC5"/>
    <w:rsid w:val="00CF4A88"/>
    <w:rsid w:val="00D261B2"/>
    <w:rsid w:val="00D269AB"/>
    <w:rsid w:val="00D3737E"/>
    <w:rsid w:val="00D376B6"/>
    <w:rsid w:val="00D61D1C"/>
    <w:rsid w:val="00D64DF8"/>
    <w:rsid w:val="00D66337"/>
    <w:rsid w:val="00D81D1F"/>
    <w:rsid w:val="00D85CCA"/>
    <w:rsid w:val="00D92075"/>
    <w:rsid w:val="00DA1874"/>
    <w:rsid w:val="00DB74E9"/>
    <w:rsid w:val="00DD2786"/>
    <w:rsid w:val="00DE4961"/>
    <w:rsid w:val="00DF2EF6"/>
    <w:rsid w:val="00DF5BC3"/>
    <w:rsid w:val="00E0407B"/>
    <w:rsid w:val="00E26819"/>
    <w:rsid w:val="00E34754"/>
    <w:rsid w:val="00E413D4"/>
    <w:rsid w:val="00E60931"/>
    <w:rsid w:val="00E62602"/>
    <w:rsid w:val="00E67142"/>
    <w:rsid w:val="00E92AA0"/>
    <w:rsid w:val="00EA5F00"/>
    <w:rsid w:val="00EB4DA5"/>
    <w:rsid w:val="00EC393A"/>
    <w:rsid w:val="00ED57D0"/>
    <w:rsid w:val="00EF4ED5"/>
    <w:rsid w:val="00EF7907"/>
    <w:rsid w:val="00F4105E"/>
    <w:rsid w:val="00F51EED"/>
    <w:rsid w:val="00F60F65"/>
    <w:rsid w:val="00F63105"/>
    <w:rsid w:val="00F646E4"/>
    <w:rsid w:val="00F671BE"/>
    <w:rsid w:val="00F71407"/>
    <w:rsid w:val="00F72CFB"/>
    <w:rsid w:val="00F74B35"/>
    <w:rsid w:val="00F874E8"/>
    <w:rsid w:val="00FB55AC"/>
    <w:rsid w:val="00FC57C1"/>
    <w:rsid w:val="00FC58F2"/>
    <w:rsid w:val="00FD11F3"/>
    <w:rsid w:val="00FD4F8D"/>
    <w:rsid w:val="00FE07BA"/>
    <w:rsid w:val="00FE0997"/>
    <w:rsid w:val="00FE2886"/>
    <w:rsid w:val="00FF4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625</Words>
  <Characters>3326</Characters>
  <Application>Microsoft Office Word</Application>
  <DocSecurity>0</DocSecurity>
  <Lines>237</Lines>
  <Paragraphs>188</Paragraphs>
  <ScaleCrop>false</ScaleCrop>
  <Company/>
  <LinksUpToDate>false</LinksUpToDate>
  <CharactersWithSpaces>3763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E738677</dc:creator>
  <cp:lastModifiedBy>E738677</cp:lastModifiedBy>
  <cp:revision>1</cp:revision>
  <dcterms:created xsi:type="dcterms:W3CDTF">2023-03-16T07:43:00Z</dcterms:created>
  <dcterms:modified xsi:type="dcterms:W3CDTF">2023-03-16T07:44:00Z</dcterms:modified>
</cp:coreProperties>
</file>