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E19A1" w14:textId="212E00F0" w:rsidR="00084B81" w:rsidRPr="00800671" w:rsidRDefault="00E87149">
      <w:pPr>
        <w:pStyle w:val="Ttulo2"/>
        <w:rPr>
          <w:b/>
          <w:bCs/>
          <w:lang w:val="en-US"/>
        </w:rPr>
      </w:pPr>
      <w:r w:rsidRPr="00E87149">
        <w:rPr>
          <w:b/>
          <w:bCs/>
          <w:lang w:val="en-US"/>
        </w:rPr>
        <w:t xml:space="preserve">Additional File </w:t>
      </w:r>
      <w:r>
        <w:rPr>
          <w:b/>
          <w:bCs/>
          <w:lang w:val="en-US"/>
        </w:rPr>
        <w:t>2</w:t>
      </w:r>
      <w:r w:rsidR="00000000" w:rsidRPr="00800671">
        <w:rPr>
          <w:b/>
          <w:bCs/>
          <w:lang w:val="en-US"/>
        </w:rPr>
        <w:t xml:space="preserve">. Reports assessed for eligibility and reasons for exclusion </w:t>
      </w:r>
    </w:p>
    <w:p w14:paraId="071A0D9C" w14:textId="77777777" w:rsidR="00084B81" w:rsidRPr="00800671" w:rsidRDefault="00084B81">
      <w:pPr>
        <w:rPr>
          <w:lang w:val="en-US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084B81" w14:paraId="5A7AF002" w14:textId="77777777">
        <w:tc>
          <w:tcPr>
            <w:tcW w:w="451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8D52B" w14:textId="77777777" w:rsidR="00084B81" w:rsidRDefault="00000000">
            <w:pPr>
              <w:widowControl w:val="0"/>
              <w:spacing w:line="240" w:lineRule="auto"/>
              <w:jc w:val="center"/>
            </w:pPr>
            <w:r>
              <w:t>ID study</w:t>
            </w:r>
          </w:p>
        </w:tc>
        <w:tc>
          <w:tcPr>
            <w:tcW w:w="451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68EA3" w14:textId="77777777" w:rsidR="00084B81" w:rsidRDefault="00000000">
            <w:pPr>
              <w:widowControl w:val="0"/>
              <w:spacing w:line="240" w:lineRule="auto"/>
              <w:jc w:val="center"/>
            </w:pPr>
            <w:r>
              <w:t>Reason for exclusion</w:t>
            </w:r>
          </w:p>
        </w:tc>
      </w:tr>
      <w:tr w:rsidR="00084B81" w14:paraId="343BC02D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6730A" w14:textId="283595BA" w:rsidR="00084B81" w:rsidRDefault="00000000">
            <w:pPr>
              <w:widowControl w:val="0"/>
              <w:spacing w:line="240" w:lineRule="auto"/>
            </w:pPr>
            <w:r>
              <w:t xml:space="preserve">Badarqdeen 2010 </w:t>
            </w:r>
            <w:r>
              <w:rPr>
                <w:color w:val="000000"/>
              </w:rPr>
              <w:t>[1]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81934" w14:textId="77777777" w:rsidR="00084B81" w:rsidRDefault="00000000">
            <w:pPr>
              <w:widowControl w:val="0"/>
              <w:spacing w:line="240" w:lineRule="auto"/>
            </w:pPr>
            <w:r>
              <w:t>Wrong intervention</w:t>
            </w:r>
          </w:p>
        </w:tc>
      </w:tr>
      <w:tr w:rsidR="00084B81" w14:paraId="7935E5C3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8417B" w14:textId="6529FDFA" w:rsidR="00084B81" w:rsidRDefault="00000000">
            <w:pPr>
              <w:widowControl w:val="0"/>
              <w:spacing w:line="240" w:lineRule="auto"/>
            </w:pPr>
            <w:r>
              <w:t xml:space="preserve">Brown 2019 </w:t>
            </w:r>
            <w:r>
              <w:rPr>
                <w:color w:val="000000"/>
              </w:rPr>
              <w:t>[2]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5024C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2B01B8BC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C66F9" w14:textId="3FD75AA9" w:rsidR="00084B81" w:rsidRDefault="00000000">
            <w:pPr>
              <w:widowControl w:val="0"/>
              <w:spacing w:line="240" w:lineRule="auto"/>
            </w:pPr>
            <w:r>
              <w:t xml:space="preserve">Dobberstein 1987 </w:t>
            </w:r>
            <w:r>
              <w:rPr>
                <w:color w:val="000000"/>
              </w:rPr>
              <w:t>[3]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71F20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24052CC4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8E148" w14:textId="7CF3178D" w:rsidR="00084B81" w:rsidRDefault="00000000">
            <w:pPr>
              <w:widowControl w:val="0"/>
              <w:spacing w:line="240" w:lineRule="auto"/>
            </w:pPr>
            <w:r>
              <w:t xml:space="preserve">Heikkinen 2007 </w:t>
            </w:r>
            <w:r>
              <w:rPr>
                <w:color w:val="000000"/>
              </w:rPr>
              <w:t>[4]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770F4" w14:textId="77777777" w:rsidR="00084B81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INCLUDED</w:t>
            </w:r>
          </w:p>
        </w:tc>
      </w:tr>
      <w:tr w:rsidR="00084B81" w14:paraId="4314498D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312CC" w14:textId="005885C0" w:rsidR="00084B81" w:rsidRDefault="00000000">
            <w:pPr>
              <w:widowControl w:val="0"/>
              <w:spacing w:line="240" w:lineRule="auto"/>
            </w:pPr>
            <w:r>
              <w:t xml:space="preserve">Heikkinen 2008 </w:t>
            </w:r>
            <w:r>
              <w:rPr>
                <w:color w:val="000000"/>
              </w:rPr>
              <w:t>[5]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513C6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6ED10438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69005" w14:textId="4501ABA3" w:rsidR="00084B81" w:rsidRDefault="00000000">
            <w:pPr>
              <w:widowControl w:val="0"/>
              <w:spacing w:line="240" w:lineRule="auto"/>
            </w:pPr>
            <w:r>
              <w:t xml:space="preserve">Heikkinen 2009 </w:t>
            </w:r>
            <w:r>
              <w:rPr>
                <w:color w:val="000000"/>
              </w:rPr>
              <w:t>[6]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FFBF1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5AC3FED5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BD6F9" w14:textId="1EEE2FA7" w:rsidR="00084B81" w:rsidRDefault="00000000">
            <w:pPr>
              <w:widowControl w:val="0"/>
              <w:spacing w:line="240" w:lineRule="auto"/>
            </w:pPr>
            <w:r>
              <w:t xml:space="preserve">Heikkinen 2012 a </w:t>
            </w:r>
            <w:r>
              <w:rPr>
                <w:color w:val="000000"/>
              </w:rPr>
              <w:t>[7]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2E765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3C3D4419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41602" w14:textId="1D0EE096" w:rsidR="00084B81" w:rsidRDefault="00000000">
            <w:pPr>
              <w:widowControl w:val="0"/>
              <w:spacing w:line="240" w:lineRule="auto"/>
            </w:pPr>
            <w:r>
              <w:t xml:space="preserve">Heikkinen 2012 b </w:t>
            </w:r>
            <w:r>
              <w:rPr>
                <w:color w:val="000000"/>
              </w:rPr>
              <w:t>[8]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D2265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75BD1A5F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A50E5" w14:textId="78ACC8D2" w:rsidR="00084B81" w:rsidRDefault="00000000">
            <w:pPr>
              <w:widowControl w:val="0"/>
              <w:spacing w:line="240" w:lineRule="auto"/>
            </w:pPr>
            <w:r>
              <w:t xml:space="preserve">Holman 2014 </w:t>
            </w:r>
            <w:r>
              <w:rPr>
                <w:color w:val="000000"/>
              </w:rPr>
              <w:t>[9]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E248E" w14:textId="77777777" w:rsidR="00084B81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INCLUDED </w:t>
            </w:r>
          </w:p>
        </w:tc>
      </w:tr>
      <w:tr w:rsidR="00084B81" w14:paraId="72D93579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B6F4" w14:textId="10973B57" w:rsidR="00084B81" w:rsidRDefault="00000000">
            <w:pPr>
              <w:widowControl w:val="0"/>
              <w:spacing w:line="240" w:lineRule="auto"/>
            </w:pPr>
            <w:r>
              <w:t xml:space="preserve">Ilyas 2021 </w:t>
            </w:r>
            <w:r>
              <w:rPr>
                <w:color w:val="000000"/>
              </w:rPr>
              <w:t>[10]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CA600" w14:textId="77777777" w:rsidR="00084B81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INCLUDED</w:t>
            </w:r>
          </w:p>
        </w:tc>
      </w:tr>
      <w:tr w:rsidR="00084B81" w14:paraId="6C4A4976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55D51" w14:textId="2C9BA6C6" w:rsidR="00084B81" w:rsidRDefault="00000000">
            <w:pPr>
              <w:widowControl w:val="0"/>
              <w:spacing w:line="240" w:lineRule="auto"/>
            </w:pPr>
            <w:r>
              <w:t xml:space="preserve">Irwin 2021 </w:t>
            </w:r>
            <w:r>
              <w:rPr>
                <w:color w:val="000000"/>
              </w:rPr>
              <w:t>[11]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9B7BB" w14:textId="77777777" w:rsidR="00084B81" w:rsidRDefault="00000000">
            <w:pPr>
              <w:widowControl w:val="0"/>
              <w:spacing w:line="240" w:lineRule="auto"/>
            </w:pPr>
            <w:r>
              <w:t>Wrong intervention</w:t>
            </w:r>
          </w:p>
        </w:tc>
      </w:tr>
      <w:tr w:rsidR="00084B81" w14:paraId="29E43293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12D79" w14:textId="501E9761" w:rsidR="00084B81" w:rsidRDefault="00000000">
            <w:pPr>
              <w:widowControl w:val="0"/>
              <w:spacing w:line="240" w:lineRule="auto"/>
            </w:pPr>
            <w:r>
              <w:t xml:space="preserve">Johansson 2005 </w:t>
            </w:r>
            <w:r>
              <w:rPr>
                <w:color w:val="000000"/>
              </w:rPr>
              <w:t>[12]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73AA" w14:textId="77777777" w:rsidR="00084B81" w:rsidRDefault="00000000">
            <w:pPr>
              <w:widowControl w:val="0"/>
              <w:spacing w:line="240" w:lineRule="auto"/>
            </w:pPr>
            <w:r>
              <w:t>Wrong design</w:t>
            </w:r>
          </w:p>
        </w:tc>
      </w:tr>
      <w:tr w:rsidR="00084B81" w14:paraId="13E8897A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507DF" w14:textId="7080AB5B" w:rsidR="00084B81" w:rsidRDefault="00000000">
            <w:pPr>
              <w:widowControl w:val="0"/>
              <w:spacing w:line="240" w:lineRule="auto"/>
            </w:pPr>
            <w:r>
              <w:t xml:space="preserve">Laude 2017 </w:t>
            </w:r>
            <w:r>
              <w:rPr>
                <w:color w:val="000000"/>
              </w:rPr>
              <w:t>[13]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BC104" w14:textId="77777777" w:rsidR="00084B81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INCLUDED</w:t>
            </w:r>
          </w:p>
        </w:tc>
      </w:tr>
      <w:tr w:rsidR="00084B81" w14:paraId="3023229D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ECAAF" w14:textId="146FD895" w:rsidR="00084B81" w:rsidRDefault="00000000">
            <w:pPr>
              <w:widowControl w:val="0"/>
              <w:spacing w:line="240" w:lineRule="auto"/>
            </w:pPr>
            <w:r>
              <w:t xml:space="preserve">Liu 2004 </w:t>
            </w:r>
            <w:r>
              <w:rPr>
                <w:color w:val="000000"/>
              </w:rPr>
              <w:t>[14]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292B7" w14:textId="77777777" w:rsidR="00084B81" w:rsidRDefault="00000000">
            <w:pPr>
              <w:widowControl w:val="0"/>
              <w:spacing w:line="240" w:lineRule="auto"/>
            </w:pPr>
            <w:r>
              <w:t xml:space="preserve">Wrong design </w:t>
            </w:r>
          </w:p>
        </w:tc>
      </w:tr>
      <w:tr w:rsidR="00084B81" w14:paraId="0D5CC185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3BA59" w14:textId="4CA2D799" w:rsidR="00084B81" w:rsidRDefault="00000000">
            <w:pPr>
              <w:widowControl w:val="0"/>
              <w:spacing w:line="240" w:lineRule="auto"/>
            </w:pPr>
            <w:r>
              <w:t xml:space="preserve">Mertz 2018 </w:t>
            </w:r>
            <w:r>
              <w:rPr>
                <w:color w:val="000000"/>
              </w:rPr>
              <w:t>[15]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0D5F3" w14:textId="77777777" w:rsidR="00084B81" w:rsidRDefault="00000000">
            <w:pPr>
              <w:widowControl w:val="0"/>
              <w:spacing w:line="240" w:lineRule="auto"/>
            </w:pPr>
            <w:r>
              <w:t xml:space="preserve">Wrong population </w:t>
            </w:r>
          </w:p>
        </w:tc>
      </w:tr>
      <w:tr w:rsidR="00084B81" w14:paraId="383D75D1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8B0B5" w14:textId="35747658" w:rsidR="00084B81" w:rsidRDefault="00000000">
            <w:pPr>
              <w:widowControl w:val="0"/>
              <w:spacing w:line="240" w:lineRule="auto"/>
            </w:pPr>
            <w:r>
              <w:t xml:space="preserve">Morris 2014 </w:t>
            </w:r>
            <w:r>
              <w:rPr>
                <w:color w:val="000000"/>
              </w:rPr>
              <w:t>[16]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FDBBB" w14:textId="77777777" w:rsidR="00084B81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INCLUDED</w:t>
            </w:r>
          </w:p>
        </w:tc>
      </w:tr>
      <w:tr w:rsidR="00084B81" w14:paraId="39228887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DA772" w14:textId="5EF1CAB6" w:rsidR="00084B81" w:rsidRDefault="00000000">
            <w:pPr>
              <w:widowControl w:val="0"/>
              <w:spacing w:line="240" w:lineRule="auto"/>
            </w:pPr>
            <w:r>
              <w:t xml:space="preserve">Noback 2021 </w:t>
            </w:r>
            <w:r>
              <w:rPr>
                <w:color w:val="000000"/>
              </w:rPr>
              <w:t>[17]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D960E" w14:textId="77777777" w:rsidR="00084B81" w:rsidRDefault="00000000">
            <w:pPr>
              <w:widowControl w:val="0"/>
              <w:spacing w:line="240" w:lineRule="auto"/>
            </w:pPr>
            <w:r>
              <w:t>Wrong intervention</w:t>
            </w:r>
          </w:p>
        </w:tc>
      </w:tr>
      <w:tr w:rsidR="00084B81" w14:paraId="1A50481A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C7D07" w14:textId="082A67C8" w:rsidR="00084B81" w:rsidRDefault="00000000">
            <w:pPr>
              <w:widowControl w:val="0"/>
              <w:spacing w:line="240" w:lineRule="auto"/>
            </w:pPr>
            <w:r>
              <w:t xml:space="preserve">Oliver 1999 </w:t>
            </w:r>
            <w:r>
              <w:rPr>
                <w:color w:val="000000"/>
              </w:rPr>
              <w:t>[18]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57B84" w14:textId="77777777" w:rsidR="00084B81" w:rsidRDefault="00000000">
            <w:pPr>
              <w:widowControl w:val="0"/>
              <w:spacing w:line="240" w:lineRule="auto"/>
            </w:pPr>
            <w:r>
              <w:t>Wrong intervention</w:t>
            </w:r>
          </w:p>
        </w:tc>
      </w:tr>
      <w:tr w:rsidR="00084B81" w14:paraId="359A100C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ADC6C" w14:textId="5001C173" w:rsidR="00084B81" w:rsidRDefault="00000000">
            <w:pPr>
              <w:widowControl w:val="0"/>
              <w:spacing w:line="240" w:lineRule="auto"/>
            </w:pPr>
            <w:r>
              <w:t xml:space="preserve">Patteta 2021 </w:t>
            </w:r>
            <w:r>
              <w:rPr>
                <w:color w:val="000000"/>
              </w:rPr>
              <w:t>[19]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6DFF2" w14:textId="77777777" w:rsidR="00084B81" w:rsidRDefault="00000000">
            <w:pPr>
              <w:widowControl w:val="0"/>
              <w:spacing w:line="240" w:lineRule="auto"/>
            </w:pPr>
            <w:r>
              <w:t>Wrong intervention</w:t>
            </w:r>
          </w:p>
        </w:tc>
      </w:tr>
      <w:tr w:rsidR="00084B81" w14:paraId="775FCA4D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65A9F" w14:textId="2789FD3A" w:rsidR="00084B81" w:rsidRDefault="00000000">
            <w:pPr>
              <w:widowControl w:val="0"/>
              <w:spacing w:line="240" w:lineRule="auto"/>
            </w:pPr>
            <w:r>
              <w:t xml:space="preserve">Roussel 2019 </w:t>
            </w:r>
            <w:r>
              <w:rPr>
                <w:color w:val="000000"/>
              </w:rPr>
              <w:t>[20]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F83CA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424D08CC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0D7B9" w14:textId="5323F883" w:rsidR="00084B81" w:rsidRDefault="00000000">
            <w:pPr>
              <w:widowControl w:val="0"/>
              <w:spacing w:line="240" w:lineRule="auto"/>
            </w:pPr>
            <w:r>
              <w:t xml:space="preserve">Sagiv 2011 </w:t>
            </w:r>
            <w:r>
              <w:rPr>
                <w:color w:val="000000"/>
              </w:rPr>
              <w:t>[21]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08F7A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16D1FBF3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74CE8" w14:textId="17FBCF3B" w:rsidR="00084B81" w:rsidRDefault="00000000">
            <w:pPr>
              <w:widowControl w:val="0"/>
              <w:spacing w:line="240" w:lineRule="auto"/>
            </w:pPr>
            <w:r>
              <w:t xml:space="preserve">Sanchez 2016 </w:t>
            </w:r>
            <w:r>
              <w:rPr>
                <w:color w:val="000000"/>
              </w:rPr>
              <w:t>[22]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E2F1B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1C788FC4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B444A" w14:textId="5BA3AFD9" w:rsidR="00084B81" w:rsidRDefault="00000000">
            <w:pPr>
              <w:widowControl w:val="0"/>
              <w:spacing w:line="240" w:lineRule="auto"/>
            </w:pPr>
            <w:r>
              <w:t xml:space="preserve">Scott 2001 </w:t>
            </w:r>
            <w:r>
              <w:rPr>
                <w:color w:val="000000"/>
              </w:rPr>
              <w:t>[23]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78865" w14:textId="77777777" w:rsidR="00084B81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INCLUDED</w:t>
            </w:r>
          </w:p>
        </w:tc>
      </w:tr>
      <w:tr w:rsidR="00084B81" w14:paraId="1E2A3741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01C75" w14:textId="4DDF27E0" w:rsidR="00084B81" w:rsidRDefault="00000000">
            <w:pPr>
              <w:widowControl w:val="0"/>
              <w:spacing w:line="240" w:lineRule="auto"/>
            </w:pPr>
            <w:r>
              <w:t xml:space="preserve">Slover 2012 </w:t>
            </w:r>
            <w:r>
              <w:rPr>
                <w:color w:val="000000"/>
              </w:rPr>
              <w:t>[24]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08E91" w14:textId="77777777" w:rsidR="00084B81" w:rsidRDefault="00000000">
            <w:pPr>
              <w:widowControl w:val="0"/>
              <w:spacing w:line="240" w:lineRule="auto"/>
            </w:pPr>
            <w:r>
              <w:t>Wrong design</w:t>
            </w:r>
          </w:p>
        </w:tc>
      </w:tr>
      <w:tr w:rsidR="00084B81" w14:paraId="49B072A6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685A3" w14:textId="679184BC" w:rsidR="00084B81" w:rsidRDefault="00000000">
            <w:pPr>
              <w:widowControl w:val="0"/>
              <w:spacing w:line="240" w:lineRule="auto"/>
            </w:pPr>
            <w:r>
              <w:t xml:space="preserve">Speirs 2008 </w:t>
            </w:r>
            <w:r>
              <w:rPr>
                <w:color w:val="000000"/>
              </w:rPr>
              <w:t>[25]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1B3EE" w14:textId="77777777" w:rsidR="00084B81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INCLUDED</w:t>
            </w:r>
          </w:p>
        </w:tc>
      </w:tr>
      <w:tr w:rsidR="00084B81" w14:paraId="62D80964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B2532" w14:textId="1326E542" w:rsidR="00084B81" w:rsidRDefault="00000000">
            <w:pPr>
              <w:widowControl w:val="0"/>
              <w:spacing w:line="240" w:lineRule="auto"/>
            </w:pPr>
            <w:r>
              <w:lastRenderedPageBreak/>
              <w:t xml:space="preserve">Tomaszek 2019 </w:t>
            </w:r>
            <w:r>
              <w:rPr>
                <w:color w:val="000000"/>
              </w:rPr>
              <w:t>[26]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EAF4E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5C953FF3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D3B2A" w14:textId="77B0B790" w:rsidR="00084B81" w:rsidRDefault="00000000">
            <w:pPr>
              <w:widowControl w:val="0"/>
              <w:spacing w:line="240" w:lineRule="auto"/>
            </w:pPr>
            <w:r>
              <w:t xml:space="preserve">Valkeapaa 2014 </w:t>
            </w:r>
            <w:r>
              <w:rPr>
                <w:color w:val="000000"/>
              </w:rPr>
              <w:t>[27]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37B12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019D48DE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32205" w14:textId="17D67F94" w:rsidR="00084B81" w:rsidRDefault="00000000">
            <w:pPr>
              <w:widowControl w:val="0"/>
              <w:spacing w:line="240" w:lineRule="auto"/>
            </w:pPr>
            <w:r>
              <w:t xml:space="preserve">Van der Bauwhede 1998 </w:t>
            </w:r>
            <w:r>
              <w:rPr>
                <w:color w:val="000000"/>
              </w:rPr>
              <w:t>[28]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D045E" w14:textId="77777777" w:rsidR="00084B81" w:rsidRDefault="00000000">
            <w:pPr>
              <w:widowControl w:val="0"/>
              <w:spacing w:line="240" w:lineRule="auto"/>
            </w:pPr>
            <w:r>
              <w:t>Other reason: different aim and scope</w:t>
            </w:r>
          </w:p>
        </w:tc>
      </w:tr>
      <w:tr w:rsidR="00084B81" w14:paraId="6FFB79A4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12167" w14:textId="1FF2E1DF" w:rsidR="00084B81" w:rsidRDefault="00000000">
            <w:pPr>
              <w:widowControl w:val="0"/>
              <w:spacing w:line="240" w:lineRule="auto"/>
            </w:pPr>
            <w:r>
              <w:t xml:space="preserve">Wong 2010 </w:t>
            </w:r>
            <w:r>
              <w:rPr>
                <w:color w:val="000000"/>
              </w:rPr>
              <w:t>[29]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B1B19" w14:textId="77777777" w:rsidR="00084B81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INCLUDED </w:t>
            </w:r>
          </w:p>
        </w:tc>
      </w:tr>
      <w:tr w:rsidR="00084B81" w14:paraId="3BA78638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66BC9" w14:textId="44430F2C" w:rsidR="00084B81" w:rsidRDefault="00000000">
            <w:pPr>
              <w:widowControl w:val="0"/>
              <w:spacing w:line="240" w:lineRule="auto"/>
            </w:pPr>
            <w:r>
              <w:t xml:space="preserve">Wongkietkachorn 2018 </w:t>
            </w:r>
            <w:r>
              <w:rPr>
                <w:color w:val="000000"/>
              </w:rPr>
              <w:t>[30]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1C460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7DE4515D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4E90A" w14:textId="75BBCC48" w:rsidR="00084B81" w:rsidRDefault="00000000">
            <w:pPr>
              <w:widowControl w:val="0"/>
              <w:spacing w:line="240" w:lineRule="auto"/>
            </w:pPr>
            <w:r>
              <w:t xml:space="preserve">Zhou 2018 </w:t>
            </w:r>
            <w:r>
              <w:rPr>
                <w:color w:val="000000"/>
              </w:rPr>
              <w:t>[31]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CDE2E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6A1DE62F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26801" w14:textId="1C6B7283" w:rsidR="00084B81" w:rsidRDefault="00000000">
            <w:pPr>
              <w:widowControl w:val="0"/>
              <w:spacing w:line="240" w:lineRule="auto"/>
            </w:pPr>
            <w:r>
              <w:t xml:space="preserve">Allegaert Ongoing </w:t>
            </w:r>
            <w:r>
              <w:rPr>
                <w:color w:val="000000"/>
              </w:rPr>
              <w:t>[32]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CB4B8" w14:textId="77777777" w:rsidR="00084B81" w:rsidRDefault="00000000">
            <w:pPr>
              <w:widowControl w:val="0"/>
              <w:spacing w:line="240" w:lineRule="auto"/>
            </w:pPr>
            <w:r>
              <w:t>Other reason: authors did not described in the register which surgery the participants underwent.</w:t>
            </w:r>
          </w:p>
        </w:tc>
      </w:tr>
      <w:tr w:rsidR="00084B81" w14:paraId="1A95F137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49622" w14:textId="23936499" w:rsidR="00084B81" w:rsidRDefault="00000000">
            <w:pPr>
              <w:widowControl w:val="0"/>
              <w:spacing w:line="240" w:lineRule="auto"/>
            </w:pPr>
            <w:r>
              <w:t xml:space="preserve">Binay Ongoing </w:t>
            </w:r>
            <w:r>
              <w:rPr>
                <w:color w:val="000000"/>
              </w:rPr>
              <w:t>[33]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04FE5" w14:textId="77777777" w:rsidR="00084B81" w:rsidRDefault="00000000">
            <w:pPr>
              <w:widowControl w:val="0"/>
              <w:spacing w:line="240" w:lineRule="auto"/>
            </w:pPr>
            <w:r>
              <w:t>Other reason: authors did not described in the register which surgery the participants underwent.</w:t>
            </w:r>
          </w:p>
        </w:tc>
      </w:tr>
      <w:tr w:rsidR="00084B81" w14:paraId="1D7905AB" w14:textId="77777777">
        <w:trPr>
          <w:trHeight w:val="442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38979" w14:textId="19DD942C" w:rsidR="00084B81" w:rsidRDefault="00000000">
            <w:pPr>
              <w:widowControl w:val="0"/>
              <w:spacing w:line="240" w:lineRule="auto"/>
            </w:pPr>
            <w:r>
              <w:t xml:space="preserve">Bordeaux Ongoing </w:t>
            </w:r>
            <w:r>
              <w:rPr>
                <w:color w:val="000000"/>
              </w:rPr>
              <w:t>[34]</w:t>
            </w:r>
            <w:r>
              <w:t xml:space="preserve"> 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DAD2A" w14:textId="77777777" w:rsidR="00084B81" w:rsidRDefault="00000000">
            <w:pPr>
              <w:widowControl w:val="0"/>
              <w:spacing w:line="240" w:lineRule="auto"/>
            </w:pPr>
            <w:r>
              <w:t>Wrong population - Withdrawn</w:t>
            </w:r>
          </w:p>
        </w:tc>
      </w:tr>
      <w:tr w:rsidR="00084B81" w14:paraId="57C45E91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B29B1" w14:textId="5F0BD3B1" w:rsidR="00084B81" w:rsidRDefault="00000000">
            <w:pPr>
              <w:widowControl w:val="0"/>
              <w:spacing w:line="240" w:lineRule="auto"/>
            </w:pPr>
            <w:r>
              <w:t xml:space="preserve">Bulich Ongoing </w:t>
            </w:r>
            <w:r>
              <w:rPr>
                <w:color w:val="000000"/>
              </w:rPr>
              <w:t>[35]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B4A75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5944F849" w14:textId="77777777">
        <w:trPr>
          <w:trHeight w:val="447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CC861" w14:textId="3DBED0DE" w:rsidR="00084B81" w:rsidRDefault="00000000">
            <w:pPr>
              <w:widowControl w:val="0"/>
              <w:spacing w:line="240" w:lineRule="auto"/>
            </w:pPr>
            <w:r>
              <w:t xml:space="preserve">Dziadzko Ongoing </w:t>
            </w:r>
            <w:r>
              <w:rPr>
                <w:color w:val="000000"/>
              </w:rPr>
              <w:t>[36]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FF3B4" w14:textId="77777777" w:rsidR="00084B81" w:rsidRDefault="00000000">
            <w:pPr>
              <w:widowControl w:val="0"/>
              <w:spacing w:line="240" w:lineRule="auto"/>
            </w:pPr>
            <w:r>
              <w:t>Other reason: Authors do not specified wether they are recruiting patients undergoing a foot and ankle surgery; "Patients admitted for an outpatient intervention resulting in moderate to severe pain: eg: arthroscopy of the knee or shoulder, cruciate ligaments, shoulder block, medial patellofemoral ligament plasty (not exhaustive)"</w:t>
            </w:r>
          </w:p>
        </w:tc>
      </w:tr>
      <w:tr w:rsidR="00084B81" w14:paraId="1D9BEAE7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5F5B1" w14:textId="08C1B39B" w:rsidR="00084B81" w:rsidRDefault="00000000">
            <w:pPr>
              <w:widowControl w:val="0"/>
              <w:spacing w:line="240" w:lineRule="auto"/>
            </w:pPr>
            <w:r>
              <w:t xml:space="preserve">Gezginci Ongoing </w:t>
            </w:r>
            <w:r>
              <w:rPr>
                <w:color w:val="000000"/>
              </w:rPr>
              <w:t>[37]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F53BB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61D1820A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F5BB7" w14:textId="15394CE1" w:rsidR="00084B81" w:rsidRDefault="00000000">
            <w:pPr>
              <w:widowControl w:val="0"/>
              <w:spacing w:line="240" w:lineRule="auto"/>
            </w:pPr>
            <w:r>
              <w:t xml:space="preserve">Greene Ongoing </w:t>
            </w:r>
            <w:r>
              <w:rPr>
                <w:color w:val="000000"/>
              </w:rPr>
              <w:t>[38]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E2D01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1EA30B4A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6969F" w14:textId="3373EE8E" w:rsidR="00084B81" w:rsidRDefault="00000000">
            <w:pPr>
              <w:widowControl w:val="0"/>
              <w:spacing w:line="240" w:lineRule="auto"/>
            </w:pPr>
            <w:r>
              <w:t xml:space="preserve">Matava Ongoing </w:t>
            </w:r>
            <w:r>
              <w:rPr>
                <w:color w:val="000000"/>
              </w:rPr>
              <w:t>[39]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D1533" w14:textId="77777777" w:rsidR="00084B81" w:rsidRDefault="00000000">
            <w:pPr>
              <w:widowControl w:val="0"/>
              <w:spacing w:line="240" w:lineRule="auto"/>
            </w:pPr>
            <w:r>
              <w:t>Other reason: Register did not precise which surgery were the children undergoing</w:t>
            </w:r>
          </w:p>
        </w:tc>
      </w:tr>
      <w:tr w:rsidR="00084B81" w14:paraId="2E74522C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4CD7A" w14:textId="5070E9F5" w:rsidR="00084B81" w:rsidRDefault="00000000">
            <w:pPr>
              <w:widowControl w:val="0"/>
              <w:spacing w:line="240" w:lineRule="auto"/>
            </w:pPr>
            <w:r>
              <w:t xml:space="preserve">McIsaac Ongoing </w:t>
            </w:r>
            <w:r>
              <w:rPr>
                <w:color w:val="000000"/>
              </w:rPr>
              <w:t>[40]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BB8FC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10A69F3D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1256C" w14:textId="0CE70EC1" w:rsidR="00084B81" w:rsidRDefault="00000000">
            <w:pPr>
              <w:widowControl w:val="0"/>
              <w:spacing w:line="240" w:lineRule="auto"/>
            </w:pPr>
            <w:r>
              <w:t xml:space="preserve">Taylor Ongoing </w:t>
            </w:r>
            <w:r>
              <w:rPr>
                <w:color w:val="000000"/>
              </w:rPr>
              <w:t>[41]</w:t>
            </w:r>
            <w:r>
              <w:t xml:space="preserve"> 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565FE" w14:textId="77777777" w:rsidR="00084B81" w:rsidRDefault="00000000">
            <w:pPr>
              <w:widowControl w:val="0"/>
              <w:spacing w:line="240" w:lineRule="auto"/>
            </w:pPr>
            <w:r>
              <w:t>Wrong population</w:t>
            </w:r>
          </w:p>
        </w:tc>
      </w:tr>
      <w:tr w:rsidR="00084B81" w14:paraId="3CE92652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79218" w14:textId="39476DA4" w:rsidR="00084B81" w:rsidRDefault="00000000">
            <w:pPr>
              <w:widowControl w:val="0"/>
              <w:spacing w:line="240" w:lineRule="auto"/>
            </w:pPr>
            <w:r>
              <w:t xml:space="preserve">Wesson Ongoing </w:t>
            </w:r>
            <w:r>
              <w:rPr>
                <w:color w:val="000000"/>
              </w:rPr>
              <w:t>[42]</w:t>
            </w:r>
            <w:r>
              <w:t xml:space="preserve"> 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7FA1" w14:textId="77777777" w:rsidR="00084B81" w:rsidRDefault="00000000">
            <w:pPr>
              <w:widowControl w:val="0"/>
              <w:spacing w:line="240" w:lineRule="auto"/>
            </w:pPr>
            <w:r>
              <w:t xml:space="preserve">Wrong population </w:t>
            </w:r>
          </w:p>
        </w:tc>
      </w:tr>
    </w:tbl>
    <w:p w14:paraId="576FE1AB" w14:textId="77777777" w:rsidR="00084B81" w:rsidRDefault="00084B81"/>
    <w:p w14:paraId="7A313AB4" w14:textId="77777777" w:rsidR="00084B81" w:rsidRDefault="00084B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40" w:lineRule="auto"/>
        <w:ind w:left="440" w:hanging="440"/>
      </w:pPr>
    </w:p>
    <w:p w14:paraId="4DA60692" w14:textId="77777777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40" w:lineRule="auto"/>
        <w:ind w:left="440" w:hanging="440"/>
        <w:rPr>
          <w:b/>
          <w:sz w:val="26"/>
          <w:szCs w:val="26"/>
        </w:rPr>
      </w:pPr>
      <w:r>
        <w:rPr>
          <w:b/>
          <w:sz w:val="26"/>
          <w:szCs w:val="26"/>
        </w:rPr>
        <w:t>References</w:t>
      </w:r>
    </w:p>
    <w:p w14:paraId="7557008D" w14:textId="193DF223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40" w:lineRule="auto"/>
        <w:ind w:left="440" w:hanging="440"/>
        <w:rPr>
          <w:color w:val="000000"/>
        </w:rPr>
      </w:pPr>
      <w:r>
        <w:rPr>
          <w:color w:val="000000"/>
        </w:rPr>
        <w:t>[1]</w:t>
      </w:r>
      <w:r>
        <w:rPr>
          <w:color w:val="000000"/>
        </w:rPr>
        <w:tab/>
        <w:t>Badarudeen S, Sabharwal S. Assessing readability of patient education materials: current role in orthopaedics. Clin Orthop Relat Res 2010;468:2572–80. https://doi.org/10.1007/s11999-010-1380-y.</w:t>
      </w:r>
    </w:p>
    <w:p w14:paraId="25BD288C" w14:textId="2590871C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lastRenderedPageBreak/>
        <w:t>[2]</w:t>
      </w:r>
      <w:r>
        <w:rPr>
          <w:color w:val="000000"/>
        </w:rPr>
        <w:tab/>
        <w:t>Brown OS, Toi TH, Barbosa PR, Pookarnjanamorakot P, Trompeter A. A patient-centred check sheet improves communication on the trauma ward round. Br J Hosp Med 2019;80:472–5. https://doi.org/10.12968/hmed.2019.80.8.472.</w:t>
      </w:r>
    </w:p>
    <w:p w14:paraId="64C93822" w14:textId="33AED1D5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[3]</w:t>
      </w:r>
      <w:r>
        <w:rPr>
          <w:color w:val="000000"/>
        </w:rPr>
        <w:tab/>
        <w:t>Dobberstein K. Orthopaedic surgery: what patients need to know. Am J Nurs 1987;87:961.</w:t>
      </w:r>
    </w:p>
    <w:p w14:paraId="167B4FD0" w14:textId="1B7334DE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[4]</w:t>
      </w:r>
      <w:r>
        <w:rPr>
          <w:color w:val="000000"/>
        </w:rPr>
        <w:tab/>
        <w:t>Heikkinen K, Leino-Kilpi H, Hiltunen A, Johansson K, Kaljonen A, Rankinen S, et al. Ambulatory orthopaedic surgery patients’ knowledge expectations and perceptions of received knowledge. J Adv Nurs 2007;60:270–8. https://doi.org/10.1111/j.1365-2648.2007.04408.x.</w:t>
      </w:r>
    </w:p>
    <w:p w14:paraId="13B1A1C7" w14:textId="4A107B36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[5]</w:t>
      </w:r>
      <w:r>
        <w:rPr>
          <w:color w:val="000000"/>
        </w:rPr>
        <w:tab/>
        <w:t>Heikkinen K, Helena L-K, Taina N, Anne K, Sanna S. A comparison of two educational interventions for the cognitive empowerment of ambulatory orthopaedic surgery patients. Patient Educ Couns 2008;73:272–9. https://doi.org/10.1016/j.pec.2008.06.015.</w:t>
      </w:r>
    </w:p>
    <w:p w14:paraId="20980026" w14:textId="0C56CE31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[6]</w:t>
      </w:r>
      <w:r>
        <w:rPr>
          <w:color w:val="000000"/>
        </w:rPr>
        <w:tab/>
        <w:t>Heikkinen K, Salanterä S, Leino-Kilpi H. How do patients evaluate their education? - a comparison of two education methods. Stud Health Technol Inform 2009;146:850–1.</w:t>
      </w:r>
    </w:p>
    <w:p w14:paraId="024A75C5" w14:textId="0BCA0A10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[7]</w:t>
      </w:r>
      <w:r>
        <w:rPr>
          <w:color w:val="000000"/>
        </w:rPr>
        <w:tab/>
        <w:t>Heikkinen K, Salanterä S, Leppänen T, Vahlberg T, Leino-Kilpi H. Ambulatory orthopaedic surgery patients’ emotions when using different patient education methods. J Perioper Pract 2012;22:226–31. https://doi.org/10.1177/175045891202200703.</w:t>
      </w:r>
    </w:p>
    <w:p w14:paraId="7D94B05F" w14:textId="0F6C9DD8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[8]</w:t>
      </w:r>
      <w:r>
        <w:rPr>
          <w:color w:val="000000"/>
        </w:rPr>
        <w:tab/>
        <w:t>Heikkinen K, Leino-Kilpi H, Vahlberg T, Salanterä S. Ambulatory orthopaedic surgery patients’ symptoms with two different patient education methods. International Journal of Orthopaedic and Trauma Nursing 2012;16:13–20. https://doi.org/10.1016/j.ijotn.2011.04.004.</w:t>
      </w:r>
    </w:p>
    <w:p w14:paraId="4C3F3A5A" w14:textId="72F74B3E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[9]</w:t>
      </w:r>
      <w:r>
        <w:rPr>
          <w:color w:val="000000"/>
        </w:rPr>
        <w:tab/>
        <w:t>Holman JE, Stoddard GJ, Horwitz DS, Higgins TF. The effect of preoperative counseling on duration of postoperative opiate use in orthopaedic trauma surgery: a surgeon-based comparative cohort study. J Orthop Trauma 2014;28:502–6. https://doi.org/10.1097/BOT.0000000000000085.</w:t>
      </w:r>
    </w:p>
    <w:p w14:paraId="30AE799F" w14:textId="7AA4B515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[10]</w:t>
      </w:r>
      <w:r>
        <w:rPr>
          <w:color w:val="000000"/>
        </w:rPr>
        <w:tab/>
        <w:t>Ilyas AM, Chapman T, Zmistowski B, Sandrowski K, Graham J, Hammoud S. The Effect of Preoperative Opioid Education on Opioid Consumption After Outpatient Orthopedic Surgery: A Prospective Randomized Trial. Orthopedics 2021;44:123–7. https://doi.org/10.3928/01477447-20210201-07.</w:t>
      </w:r>
    </w:p>
    <w:p w14:paraId="307C83F5" w14:textId="0526E524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[11]</w:t>
      </w:r>
      <w:r>
        <w:rPr>
          <w:color w:val="000000"/>
        </w:rPr>
        <w:tab/>
        <w:t>Irwin SC, Lennon DT, Stanley CP, Sheridan GA, Walsh JC. Ankle conFUSION: The quality and readability of information on the internet relating to ankle arthrodesis. Surgeon 2021;19:e507–11. https://doi.org/10.1016/j.surge.2020.12.001.</w:t>
      </w:r>
    </w:p>
    <w:p w14:paraId="33DF1483" w14:textId="6B802629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[12]</w:t>
      </w:r>
      <w:r>
        <w:rPr>
          <w:color w:val="000000"/>
        </w:rPr>
        <w:tab/>
        <w:t>Johansson K, Nuutila L, Virtanen H, Katajisto J, Salanterä S. Preoperative education for orthopaedic patients: systematic review. J Adv Nurs 2005;50:212–23. https://doi.org/10.1111/j.1365-2648.2005.03381.x.</w:t>
      </w:r>
    </w:p>
    <w:p w14:paraId="1022BC83" w14:textId="47254068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 w:rsidRPr="00800671">
        <w:rPr>
          <w:color w:val="000000"/>
          <w:lang w:val="en-US"/>
        </w:rPr>
        <w:t>[13]</w:t>
      </w:r>
      <w:r w:rsidRPr="00800671">
        <w:rPr>
          <w:color w:val="000000"/>
          <w:lang w:val="en-US"/>
        </w:rPr>
        <w:tab/>
        <w:t xml:space="preserve">Laude K, Buchholz SW, Rodts M. Improving Patient Education at a Large Midwest Urban Orthopaedic Center. </w:t>
      </w:r>
      <w:r>
        <w:rPr>
          <w:color w:val="000000"/>
        </w:rPr>
        <w:t>Orthop Nurs 2017;36:133–9. https://doi.org/10.1097/NOR.0000000000000327.</w:t>
      </w:r>
    </w:p>
    <w:p w14:paraId="1FA695AE" w14:textId="2BFE3526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[14]</w:t>
      </w:r>
      <w:r>
        <w:rPr>
          <w:color w:val="000000"/>
        </w:rPr>
        <w:tab/>
        <w:t>Empowerment model of preoperative education for orthopaedic patients n.d. https://doi.org/10.1002/central/CN-01729699.</w:t>
      </w:r>
    </w:p>
    <w:p w14:paraId="54C8EE81" w14:textId="5665CC23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[15]</w:t>
      </w:r>
      <w:r>
        <w:rPr>
          <w:color w:val="000000"/>
        </w:rPr>
        <w:tab/>
        <w:t>Mertz K, Eppler S, Yao J, Amanatullah DF, Chou L, Wood KB, et al. Patient Perceptions Correlate Weakly With Observed Patient Involvement in Decision-making in Orthopaedic Surgery. Clin Orthop Relat Res 2018;476:1859–65. https://doi.org/10.1097/CORR.0000000000000365.</w:t>
      </w:r>
    </w:p>
    <w:p w14:paraId="3B72B0D7" w14:textId="22210ED9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[16]</w:t>
      </w:r>
      <w:r>
        <w:rPr>
          <w:color w:val="000000"/>
        </w:rPr>
        <w:tab/>
        <w:t>Morris BJ, Richards JE, Archer KR, Lasater M, Rabalais D, Sethi MK, et al. Improving patient satisfaction in the orthopaedic trauma population. J Orthop Trauma 2014;28:e80–4. https://doi.org/10.1097/01.bot.0000435604.75873.ba.</w:t>
      </w:r>
    </w:p>
    <w:p w14:paraId="39F70A1D" w14:textId="16F4CD7E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[17]</w:t>
      </w:r>
      <w:r>
        <w:rPr>
          <w:color w:val="000000"/>
        </w:rPr>
        <w:tab/>
        <w:t>Noback PC, Trupia EP, Dziesinski LK, Sarpong NO, Trofa DP, Vosseller JT. Ankle Fractures: The Current State of Online Patient Information. Foot Ankle Spec 2021;14:324–33. https://doi.org/10.1177/1938640020916286.</w:t>
      </w:r>
    </w:p>
    <w:p w14:paraId="554BC47D" w14:textId="069DB442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[18]</w:t>
      </w:r>
      <w:r>
        <w:rPr>
          <w:color w:val="000000"/>
        </w:rPr>
        <w:tab/>
        <w:t>Oliver CW. Trauma and orthopaedic surgery on the Internet. J Bone Joint Surg Br 1999;81:3–6. https://doi.org/10.1302/0301-620x.81b1.9659.</w:t>
      </w:r>
    </w:p>
    <w:p w14:paraId="56BDD3F6" w14:textId="170E1760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[19]</w:t>
      </w:r>
      <w:r>
        <w:rPr>
          <w:color w:val="000000"/>
        </w:rPr>
        <w:tab/>
        <w:t>Patetta MJ, Pond KM, Tennant EM, Sood A, Gonzalez MH. Readability Level of English and Spanish Orthopaedic Patient Education Materials English and Spanish Patient Education. J Surg Orthop Adv 2021;30:96–100.</w:t>
      </w:r>
    </w:p>
    <w:p w14:paraId="4B797B6E" w14:textId="38367932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lastRenderedPageBreak/>
        <w:t>[20]</w:t>
      </w:r>
      <w:r>
        <w:rPr>
          <w:color w:val="000000"/>
        </w:rPr>
        <w:tab/>
        <w:t>Roussel S, Frenay M. Links Between Perceptions and Practices in Patient Education: A Systematic Review. Health Educ Behav 2019;46:1001–11. https://doi.org/10.1177/1090198119868273.</w:t>
      </w:r>
    </w:p>
    <w:p w14:paraId="0E80F67E" w14:textId="6DE36B12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[21]</w:t>
      </w:r>
      <w:r>
        <w:rPr>
          <w:color w:val="000000"/>
        </w:rPr>
        <w:tab/>
        <w:t>Sagiv A. Planning treatment policy for school-aged children undergoing orthopaedic surgery with Ilizarov external fixation using the critical pathway. Int J Adolesc Med Health 2011;13:101–10. https://doi.org/10.1515/IJAMH.2001.13.2.101.</w:t>
      </w:r>
    </w:p>
    <w:p w14:paraId="047CF6DA" w14:textId="2645AA2D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[22]</w:t>
      </w:r>
      <w:r>
        <w:rPr>
          <w:color w:val="000000"/>
        </w:rPr>
        <w:tab/>
        <w:t>Sanchez LM. Using the Power of 3 with Total Joint Surgery Patients. Walden University, 2016.</w:t>
      </w:r>
    </w:p>
    <w:p w14:paraId="4916A9B7" w14:textId="0912E2A2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[23]</w:t>
      </w:r>
      <w:r>
        <w:rPr>
          <w:color w:val="000000"/>
        </w:rPr>
        <w:tab/>
        <w:t>Scott A. How Much Information is Too Much Information for Patients? Journal of Integrated Care Pathways 2001;5:119–25. https://doi.org/10.1177/147322970100500303.</w:t>
      </w:r>
    </w:p>
    <w:p w14:paraId="0579A4E1" w14:textId="6DAA2920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[24]</w:t>
      </w:r>
      <w:r>
        <w:rPr>
          <w:color w:val="000000"/>
        </w:rPr>
        <w:tab/>
        <w:t>Slover J, Shue J, Koenig K. Shared decision-making in orthopaedic surgery. Clin Orthop Relat Res 2012;470:1046–53. https://doi.org/10.1007/s11999-011-2156-8.</w:t>
      </w:r>
    </w:p>
    <w:p w14:paraId="26B70596" w14:textId="09E0B3B5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[25]</w:t>
      </w:r>
      <w:r>
        <w:rPr>
          <w:color w:val="000000"/>
        </w:rPr>
        <w:tab/>
        <w:t>Speirs S, Rees S, Tagoe M. An audit of foot surgery information leaflets from the patients’ perspective. The Foot 2008;18:7–14. https://doi.org/10.1016/j.foot.2007.06.004.</w:t>
      </w:r>
    </w:p>
    <w:p w14:paraId="565E07A9" w14:textId="3F70F1D6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[26]</w:t>
      </w:r>
      <w:r>
        <w:rPr>
          <w:color w:val="000000"/>
        </w:rPr>
        <w:tab/>
        <w:t>Tomaszek L, Cepuch G, Fenikowski D. Influence of preoperative information support on anxiety, pain and satisfaction with postoperative analgesia in children and adolescents after thoracic surgery: A randomized double blind study. Biomed Pap Med Fac Univ Palacky Olomouc Czech Repub 2019;163:172–8. https://doi.org/10.5507/bp.2018.060.</w:t>
      </w:r>
    </w:p>
    <w:p w14:paraId="7058B2C3" w14:textId="79A4F278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[27]</w:t>
      </w:r>
      <w:r>
        <w:rPr>
          <w:color w:val="000000"/>
        </w:rPr>
        <w:tab/>
        <w:t>Valkeapää K, Klemetti S, Cabrera E, Cano S, Charalambous A, Copanitsanou P, et al. Knowledge expectations of surgical orthopaedic patients: a European survey. Int J Nurs Pract 2014;20:597–607. https://doi.org/10.1111/ijn.12189.</w:t>
      </w:r>
    </w:p>
    <w:p w14:paraId="15CED0EA" w14:textId="10BE52C8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[28]</w:t>
      </w:r>
      <w:r>
        <w:rPr>
          <w:color w:val="000000"/>
        </w:rPr>
        <w:tab/>
        <w:t>Van der Bauwhede J. The future of orthopaedics on the Internet. Acta Orthop Belg 1998;64:121–2.</w:t>
      </w:r>
    </w:p>
    <w:p w14:paraId="3A314E0A" w14:textId="45C7C32B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[29]</w:t>
      </w:r>
      <w:r>
        <w:rPr>
          <w:color w:val="000000"/>
        </w:rPr>
        <w:tab/>
        <w:t>Wong EM-L, Chan SW-C, Chair S-Y. Effectiveness of an educational intervention on levels of pain, anxiety and self-efficacy for patients with musculoskeletal trauma. J Adv Nurs 2010;66:1120–31. https://doi.org/10.1111/j.1365-2648.2010.05273.x.</w:t>
      </w:r>
    </w:p>
    <w:p w14:paraId="108BB5D8" w14:textId="169BB6DF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[30]</w:t>
      </w:r>
      <w:r>
        <w:rPr>
          <w:color w:val="000000"/>
        </w:rPr>
        <w:tab/>
        <w:t>Wongkietkachorn A, Wongkietkachorn N, Rhunsiri P. Preoperative Needs-Based Education to Reduce Anxiety, Increase Satisfaction, and Decrease Time Spent in Day Surgery: A Randomized Controlled Trial. World J Surg 2018;42:666–74. https://doi.org/10.1007/s00268-017-4207-0.</w:t>
      </w:r>
    </w:p>
    <w:p w14:paraId="5ACBDBA3" w14:textId="330F5EF3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[31]</w:t>
      </w:r>
      <w:r>
        <w:rPr>
          <w:color w:val="000000"/>
        </w:rPr>
        <w:tab/>
        <w:t>Zhou L, Zhou L, Tian L, Zhu D, Chen Z, Zheng C, et al. Preoperative education with image illustrations enhances the effect of tetracaine mucilage in alleviating postoperative catheter-related bladder discomfort: a prospective, randomized, controlled study. BMC Anesthesiol 2018;18:204. https://doi.org/10.1186/s12871-018-0653-y.</w:t>
      </w:r>
    </w:p>
    <w:p w14:paraId="59B5D095" w14:textId="23EB9C42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[32]</w:t>
      </w:r>
      <w:r>
        <w:rPr>
          <w:color w:val="000000"/>
        </w:rPr>
        <w:tab/>
        <w:t>Kernel Networks Inc. The effectiveness of a preoperative, interactive game “SERES pain in children.” Case Medical Research 2019. https://doi.org/10.31525/ct1-nct03874442.</w:t>
      </w:r>
    </w:p>
    <w:p w14:paraId="2F0FD233" w14:textId="26629287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[33]</w:t>
      </w:r>
      <w:r>
        <w:rPr>
          <w:color w:val="000000"/>
        </w:rPr>
        <w:tab/>
        <w:t>Case Medical Research. Designing animated movie for preoperative period. Case Medical Research 2019. https://doi.org/10.31525/ct1-nct04176822.</w:t>
      </w:r>
    </w:p>
    <w:p w14:paraId="0CFFC1DA" w14:textId="6684B0E2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[34]</w:t>
      </w:r>
      <w:r>
        <w:rPr>
          <w:color w:val="000000"/>
        </w:rPr>
        <w:tab/>
        <w:t>Impact of Videos on Patient Anxiety and Satisfaction n.d. https://clinicaltrials.gov/ct2/show/NCT03485937 (accessed May 17, 2023).</w:t>
      </w:r>
    </w:p>
    <w:p w14:paraId="4ABC7B12" w14:textId="491C63DE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[35]</w:t>
      </w:r>
      <w:r>
        <w:rPr>
          <w:color w:val="000000"/>
        </w:rPr>
        <w:tab/>
        <w:t>PIRA vs Standard Preoperative Education n.d. https://clinicaltrials.gov/ct2/show/NCT04586569 (accessed May 17, 2023).</w:t>
      </w:r>
    </w:p>
    <w:p w14:paraId="3BCA4831" w14:textId="53E761AA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[36]</w:t>
      </w:r>
      <w:r>
        <w:rPr>
          <w:color w:val="000000"/>
        </w:rPr>
        <w:tab/>
        <w:t>Preoperative Education for Less Outpatient Pain After Surgery (PELOPS) - Full Text View - ClinicalTrials.Gov n.d. https://clinicaltrials.gov/ct2/show/NCT03754699 (accessed May 17, 2023).</w:t>
      </w:r>
    </w:p>
    <w:p w14:paraId="5A4053CB" w14:textId="53688722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[37]</w:t>
      </w:r>
      <w:r>
        <w:rPr>
          <w:color w:val="000000"/>
        </w:rPr>
        <w:tab/>
        <w:t>The Effectiveness of the Training Given With Audio and Picture Book Before the Surgery n.d. https://clinicaltrials.gov/ct2/show/NCT04960761 (accessed May 17, 2023).</w:t>
      </w:r>
    </w:p>
    <w:p w14:paraId="70DB8456" w14:textId="5F7BE7CA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[38]</w:t>
      </w:r>
      <w:r>
        <w:rPr>
          <w:color w:val="000000"/>
        </w:rPr>
        <w:tab/>
        <w:t>RCT: Impact of Preop Video on Patient Preparedness for Surgery n.d. https://clinicaltrials.gov/ct2/show/NCT02076360 (accessed May 17, 2023).</w:t>
      </w:r>
    </w:p>
    <w:p w14:paraId="3070BF2B" w14:textId="3503DADD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[39]</w:t>
      </w:r>
      <w:r>
        <w:rPr>
          <w:color w:val="000000"/>
        </w:rPr>
        <w:tab/>
        <w:t>Matava C, The Hospital for Sick Children. VR for Preoperative Anxiety in Children n.d. https://ichgcp.net/amp/clinical-trials-registry/NCT03201640 (accessed May 17, 2023).</w:t>
      </w:r>
    </w:p>
    <w:p w14:paraId="7062AC0F" w14:textId="44A2F9F5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[40]</w:t>
      </w:r>
      <w:r>
        <w:rPr>
          <w:color w:val="000000"/>
        </w:rPr>
        <w:tab/>
        <w:t xml:space="preserve">The prehabilitation study: Exercise Before Surgery to Improve Patient Function in </w:t>
      </w:r>
      <w:r>
        <w:rPr>
          <w:color w:val="000000"/>
        </w:rPr>
        <w:lastRenderedPageBreak/>
        <w:t>People n.d. https://clinicaltrials.gov/ct2/show/NCT02934230 (accessed May 17, 2023).</w:t>
      </w:r>
    </w:p>
    <w:p w14:paraId="146FBAAE" w14:textId="4F5937D7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0" w:hanging="440"/>
        <w:rPr>
          <w:color w:val="000000"/>
        </w:rPr>
      </w:pPr>
      <w:r>
        <w:rPr>
          <w:color w:val="000000"/>
        </w:rPr>
        <w:t>[41]</w:t>
      </w:r>
      <w:r>
        <w:rPr>
          <w:color w:val="000000"/>
        </w:rPr>
        <w:tab/>
        <w:t>Patient Information Videos on Operations Trial - Full Text View - ClinicalTrials.Gov n.d. https://clinicaltrials.gov/ct2/show/NCT03689751 (accessed May 17, 2023).</w:t>
      </w:r>
    </w:p>
    <w:p w14:paraId="1D59692C" w14:textId="44718E5A" w:rsidR="00084B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>[42]</w:t>
      </w:r>
      <w:r>
        <w:rPr>
          <w:color w:val="000000"/>
        </w:rPr>
        <w:tab/>
        <w:t>Kernel Networks Inc. Role of pre-operative counseling in the surgical patient. Case Medical Research 2019. https://doi.org/10.31525/ct1-nct03925961.</w:t>
      </w:r>
    </w:p>
    <w:p w14:paraId="0A248D29" w14:textId="77777777" w:rsidR="00084B81" w:rsidRDefault="00084B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sectPr w:rsidR="00084B8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notTrueType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B81"/>
    <w:rsid w:val="00084B81"/>
    <w:rsid w:val="00800671"/>
    <w:rsid w:val="00E8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DA63A5"/>
  <w15:docId w15:val="{695146B8-41A8-5746-82CB-ED5F26E0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1635</Words>
  <Characters>8993</Characters>
  <Application>Microsoft Office Word</Application>
  <DocSecurity>0</DocSecurity>
  <Lines>74</Lines>
  <Paragraphs>21</Paragraphs>
  <ScaleCrop>false</ScaleCrop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  VERGARA MERINO</cp:lastModifiedBy>
  <cp:revision>2</cp:revision>
  <dcterms:created xsi:type="dcterms:W3CDTF">2023-07-12T23:45:00Z</dcterms:created>
  <dcterms:modified xsi:type="dcterms:W3CDTF">2023-07-12T23:45:00Z</dcterms:modified>
</cp:coreProperties>
</file>