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6920" w14:textId="06CC90DC" w:rsidR="0088526F" w:rsidRPr="00907C1B" w:rsidRDefault="0088526F" w:rsidP="72134774">
      <w:pPr>
        <w:rPr>
          <w:rStyle w:val="normaltextrun"/>
          <w:b/>
          <w:bCs/>
          <w:color w:val="000000"/>
          <w:shd w:val="clear" w:color="auto" w:fill="FFFFFF"/>
        </w:rPr>
      </w:pPr>
      <w:r w:rsidRPr="72134774">
        <w:rPr>
          <w:rStyle w:val="normaltextrun"/>
          <w:b/>
          <w:bCs/>
          <w:color w:val="000000"/>
          <w:shd w:val="clear" w:color="auto" w:fill="FFFFFF"/>
        </w:rPr>
        <w:t>Supplementary File</w:t>
      </w:r>
      <w:r w:rsidR="00907C1B" w:rsidRPr="72134774">
        <w:rPr>
          <w:rStyle w:val="normaltextrun"/>
          <w:b/>
          <w:bCs/>
          <w:color w:val="000000"/>
          <w:shd w:val="clear" w:color="auto" w:fill="FFFFFF"/>
        </w:rPr>
        <w:t xml:space="preserve"> 5: Pilot GRADE assessment for example </w:t>
      </w:r>
      <w:r w:rsidR="00307615">
        <w:rPr>
          <w:rStyle w:val="normaltextrun"/>
          <w:b/>
          <w:bCs/>
          <w:color w:val="000000"/>
          <w:shd w:val="clear" w:color="auto" w:fill="FFFFFF"/>
        </w:rPr>
        <w:t>intervention</w:t>
      </w:r>
      <w:r w:rsidR="00E02483">
        <w:rPr>
          <w:rStyle w:val="normaltextrun"/>
          <w:b/>
          <w:bCs/>
          <w:color w:val="000000"/>
          <w:shd w:val="clear" w:color="auto" w:fill="FFFFFF"/>
        </w:rPr>
        <w:t xml:space="preserve"> area</w:t>
      </w:r>
      <w:r w:rsidR="00907C1B" w:rsidRPr="72134774">
        <w:rPr>
          <w:rStyle w:val="normaltextrun"/>
          <w:b/>
          <w:bCs/>
          <w:color w:val="000000"/>
          <w:shd w:val="clear" w:color="auto" w:fill="FFFFFF"/>
        </w:rPr>
        <w:t xml:space="preserve">: social security </w:t>
      </w:r>
    </w:p>
    <w:p w14:paraId="16B54E3E" w14:textId="5981C0A6" w:rsidR="00DE7CFA" w:rsidRDefault="00DE7CFA" w:rsidP="00DE7CFA">
      <w:pPr>
        <w:spacing w:line="240" w:lineRule="auto"/>
        <w:rPr>
          <w:rFonts w:ascii="Calibri" w:eastAsia="Calibri" w:hAnsi="Calibri" w:cs="Calibri"/>
          <w:color w:val="000000" w:themeColor="text1"/>
        </w:rPr>
      </w:pPr>
      <w:r w:rsidRPr="00F6300A">
        <w:rPr>
          <w:rFonts w:ascii="Calibri" w:eastAsia="Calibri" w:hAnsi="Calibri" w:cs="Calibri"/>
          <w:color w:val="000000" w:themeColor="text1"/>
        </w:rPr>
        <w:t xml:space="preserve">The protocol stated that an adapted version of the GRADE approach would be undertaken to assess the confidence in the cumulative evidence base </w:t>
      </w:r>
      <w:r w:rsidRPr="00F6300A">
        <w:rPr>
          <w:rFonts w:ascii="Calibri" w:eastAsia="Calibri" w:hAnsi="Calibri" w:cs="Calibri"/>
          <w:color w:val="000000" w:themeColor="text1"/>
        </w:rPr>
        <w:fldChar w:fldCharType="begin"/>
      </w:r>
      <w:r>
        <w:rPr>
          <w:rFonts w:ascii="Calibri" w:eastAsia="Calibri" w:hAnsi="Calibri" w:cs="Calibri"/>
          <w:color w:val="000000" w:themeColor="text1"/>
        </w:rPr>
        <w:instrText>ADDIN F1000_CSL_CITATION&lt;~#@#~&gt;[{"title":"GRADE guidelines: 4. Rating the quality of evidence--study limitations (risk of bias).","id":"905472","page":"407-415","type":"article-journal","volume":"64","issue":"4","author":[{"family":"Guyatt","given":"Gordon H"},{"family":"Oxman","given":"Andrew D"},{"family":"Vist","given":"Gunn"},{"family":"Kunz","given":"Regina"},{"family":"Brozek","given":"Jan"},{"family":"Alonso-Coello","given":"Pablo"},{"family":"Montori","given":"Victor"},{"family":"Akl","given":"Elie A"},{"family":"Djulbegovic","given":"Ben"},{"family":"Falck-Ytter","given":"Yngve"},{"family":"Norris","given":"Susan L"},{"family":"Williams","given":"John W"},{"family":"Atkins","given":"David"},{"family":"Meerpohl","given":"Joerg"},{"family":"Schünemann","given":"Holger J"}],"issued":{"date-parts":[["2011","4"]]},"container-title":"Journal of Clinical Epidemiology","container-title-short":"J. Clin. Epidemiol.","journalAbbreviation":"J. Clin. Epidemiol.","DOI":"10.1016/j.jclinepi.2010.07.017","PMID":"21247734","citation-label":"905472","Abstract":"In the GRADE approach, randomized trials start as high-quality evidence and observational studies as low-quality evidence, but both can be rated down if most of the relevant evidence comes from studies that suffer from a high risk of bias. Well-established limitations of randomized trials include failure to conceal allocation, failure to blind, loss to follow-up, and failure to appropriately consider the intention-to-treat principle. More recently recognized limitations include stopping early for apparent benefit and selective reporting of outcomes according to the results. Key limitations of observational studies include use of inappropriate controls and failure to adequately adjust for prognostic imbalance. Risk of bias may vary across outcomes (e.g., loss to follow-up may be far less for all-cause mortality than for quality of life), a consideration that many systematic reviews ignore. In deciding whether to rate down for risk of bias--whether for randomized trials or observational studies--authors should not take an approach that averages across studies. Rather, for any individual outcome, when there are some studies with a high risk, and some with a low risk of bias, they should consider including only the studies with a lower risk of bias.&lt;br&gt;&lt;br&gt;Copyright © 2011 Elsevier Inc. All rights reserved.","CleanAbstract":"In the GRADE approach, randomized trials start as high-quality evidence and observational studies as low-quality evidence, but both can be rated down if most of the relevant evidence comes from studies that suffer from a high risk of bias. Well-established limitations of randomized trials include failure to conceal allocation, failure to blind, loss to follow-up, and failure to appropriately consider the intention-to-treat principle. More recently recognized limitations include stopping early for apparent benefit and selective reporting of outcomes according to the results. Key limitations of observational studies include use of inappropriate controls and failure to adequately adjust for prognostic imbalance. Risk of bias may vary across outcomes (e.g., loss to follow-up may be far less for all-cause mortality than for quality of life), a consideration that many systematic reviews ignore. In deciding whether to rate down for risk of bias--whether for randomized trials or observational studies--authors should not take an approach that averages across studies. Rather, for any individual outcome, when there are some studies with a high risk, and some with a low risk of bias, they should consider including only the studies with a lower risk of bias.Copyright © 2011 Elsevier Inc. All rights reserved."}]</w:instrText>
      </w:r>
      <w:r w:rsidRPr="00F6300A">
        <w:rPr>
          <w:rFonts w:ascii="Calibri" w:eastAsia="Calibri" w:hAnsi="Calibri" w:cs="Calibri"/>
          <w:color w:val="000000" w:themeColor="text1"/>
        </w:rPr>
        <w:fldChar w:fldCharType="separate"/>
      </w:r>
      <w:r w:rsidRPr="00F6300A">
        <w:rPr>
          <w:rFonts w:ascii="Calibri" w:eastAsia="Calibri" w:hAnsi="Calibri" w:cs="Calibri"/>
          <w:color w:val="000000" w:themeColor="text1"/>
        </w:rPr>
        <w:t>(Guyatt et al., 2011)</w:t>
      </w:r>
      <w:r w:rsidRPr="00F6300A">
        <w:rPr>
          <w:rFonts w:ascii="Calibri" w:eastAsia="Calibri" w:hAnsi="Calibri" w:cs="Calibri"/>
          <w:color w:val="000000" w:themeColor="text1"/>
        </w:rPr>
        <w:fldChar w:fldCharType="end"/>
      </w:r>
      <w:r w:rsidRPr="00F6300A">
        <w:rPr>
          <w:rFonts w:ascii="Calibri" w:eastAsia="Calibri" w:hAnsi="Calibri" w:cs="Calibri"/>
          <w:color w:val="000000" w:themeColor="text1"/>
        </w:rPr>
        <w:t xml:space="preserve">. We tested the application of the method set out in the protocol for one </w:t>
      </w:r>
      <w:r>
        <w:rPr>
          <w:rFonts w:ascii="Calibri" w:eastAsia="Calibri" w:hAnsi="Calibri" w:cs="Calibri"/>
          <w:color w:val="000000" w:themeColor="text1"/>
        </w:rPr>
        <w:t>intervention area, namely social security</w:t>
      </w:r>
      <w:r w:rsidRPr="00F6300A">
        <w:rPr>
          <w:rFonts w:ascii="Calibri" w:eastAsia="Calibri" w:hAnsi="Calibri" w:cs="Calibri"/>
          <w:color w:val="000000" w:themeColor="text1"/>
        </w:rPr>
        <w:t>. Whilst it was possible to provide an initial ranking of the theme based on quality assessment of included reviews, step 2 required assessment across seven domains, and for five of these domains there was insufficient evidence to inform an assessment of upgrading or downgrading. A key issue was that the theme considered three different outcomes, and two different types of exposure/intervention, and so there was not one ‘effect’ under examination. Furthermore, as only one review undertook meta-analysis</w:t>
      </w:r>
      <w:r>
        <w:rPr>
          <w:rFonts w:ascii="Calibri" w:eastAsia="Calibri" w:hAnsi="Calibri" w:cs="Calibri"/>
          <w:color w:val="000000" w:themeColor="text1"/>
        </w:rPr>
        <w:t>,</w:t>
      </w:r>
      <w:r w:rsidRPr="00F6300A">
        <w:rPr>
          <w:rFonts w:ascii="Calibri" w:eastAsia="Calibri" w:hAnsi="Calibri" w:cs="Calibri"/>
          <w:color w:val="000000" w:themeColor="text1"/>
        </w:rPr>
        <w:t xml:space="preserve"> we lacked the quantitative data necessary to assess precision, magnitude etc. Based on this pilot application</w:t>
      </w:r>
      <w:r>
        <w:rPr>
          <w:rFonts w:ascii="Calibri" w:eastAsia="Calibri" w:hAnsi="Calibri" w:cs="Calibri"/>
          <w:color w:val="000000" w:themeColor="text1"/>
        </w:rPr>
        <w:t>,</w:t>
      </w:r>
      <w:r w:rsidRPr="00F6300A">
        <w:rPr>
          <w:rFonts w:ascii="Calibri" w:eastAsia="Calibri" w:hAnsi="Calibri" w:cs="Calibri"/>
          <w:color w:val="000000" w:themeColor="text1"/>
        </w:rPr>
        <w:t xml:space="preserve"> we decided not to proceed with an assessment of the confidence in cumulative evidence.</w:t>
      </w:r>
    </w:p>
    <w:p w14:paraId="2428BB68" w14:textId="109DF142" w:rsidR="0088526F" w:rsidRPr="00907C1B" w:rsidRDefault="0088526F" w:rsidP="0088526F">
      <w:pPr>
        <w:rPr>
          <w:rStyle w:val="normaltextrun"/>
          <w:rFonts w:cstheme="minorHAnsi"/>
          <w:i/>
          <w:iCs/>
          <w:color w:val="000000"/>
          <w:bdr w:val="none" w:sz="0" w:space="0" w:color="auto" w:frame="1"/>
        </w:rPr>
      </w:pPr>
      <w:r w:rsidRPr="00907C1B">
        <w:rPr>
          <w:rStyle w:val="normaltextrun"/>
          <w:rFonts w:cstheme="minorHAnsi"/>
          <w:b/>
          <w:bCs/>
          <w:color w:val="000000"/>
          <w:shd w:val="clear" w:color="auto" w:fill="FFFFFF"/>
        </w:rPr>
        <w:t>Step 1</w:t>
      </w:r>
      <w:r w:rsidRPr="00907C1B">
        <w:rPr>
          <w:rStyle w:val="normaltextrun"/>
          <w:rFonts w:cstheme="minorHAnsi"/>
          <w:color w:val="000000"/>
          <w:shd w:val="clear" w:color="auto" w:fill="FFFFFF"/>
        </w:rPr>
        <w:t xml:space="preserve">: Initial ranking based on overall quality of included reviews (one high quality </w:t>
      </w:r>
      <w:r w:rsidR="00907C1B">
        <w:rPr>
          <w:rStyle w:val="normaltextrun"/>
          <w:rFonts w:cstheme="minorHAnsi"/>
          <w:color w:val="000000"/>
          <w:shd w:val="clear" w:color="auto" w:fill="FFFFFF"/>
        </w:rPr>
        <w:t>(Filges et al</w:t>
      </w:r>
      <w:r w:rsidR="0052161B">
        <w:rPr>
          <w:rStyle w:val="normaltextrun"/>
          <w:rFonts w:cstheme="minorHAnsi"/>
          <w:color w:val="000000"/>
          <w:shd w:val="clear" w:color="auto" w:fill="FFFFFF"/>
        </w:rPr>
        <w:t xml:space="preserve">., </w:t>
      </w:r>
      <w:r w:rsidR="00907C1B">
        <w:rPr>
          <w:rStyle w:val="normaltextrun"/>
          <w:rFonts w:cstheme="minorHAnsi"/>
          <w:color w:val="000000"/>
          <w:shd w:val="clear" w:color="auto" w:fill="FFFFFF"/>
        </w:rPr>
        <w:t>2013)</w:t>
      </w:r>
      <w:r w:rsidR="0052161B">
        <w:rPr>
          <w:rStyle w:val="normaltextrun"/>
          <w:rFonts w:cstheme="minorHAnsi"/>
          <w:color w:val="000000"/>
          <w:shd w:val="clear" w:color="auto" w:fill="FFFFFF"/>
        </w:rPr>
        <w:t xml:space="preserve">, two </w:t>
      </w:r>
      <w:r w:rsidRPr="00907C1B">
        <w:rPr>
          <w:rStyle w:val="normaltextrun"/>
          <w:rFonts w:cstheme="minorHAnsi"/>
          <w:color w:val="000000"/>
          <w:shd w:val="clear" w:color="auto" w:fill="FFFFFF"/>
        </w:rPr>
        <w:t>low</w:t>
      </w:r>
      <w:r w:rsidR="0038705E">
        <w:rPr>
          <w:rStyle w:val="normaltextrun"/>
          <w:rFonts w:cstheme="minorHAnsi"/>
          <w:color w:val="000000"/>
          <w:shd w:val="clear" w:color="auto" w:fill="FFFFFF"/>
        </w:rPr>
        <w:t>-</w:t>
      </w:r>
      <w:r w:rsidR="0052161B">
        <w:rPr>
          <w:rStyle w:val="normaltextrun"/>
          <w:rFonts w:cstheme="minorHAnsi"/>
          <w:color w:val="000000"/>
          <w:shd w:val="clear" w:color="auto" w:fill="FFFFFF"/>
        </w:rPr>
        <w:t xml:space="preserve"> quality</w:t>
      </w:r>
      <w:r w:rsidR="00907C1B">
        <w:rPr>
          <w:rStyle w:val="normaltextrun"/>
          <w:rFonts w:cstheme="minorHAnsi"/>
          <w:color w:val="000000"/>
          <w:shd w:val="clear" w:color="auto" w:fill="FFFFFF"/>
        </w:rPr>
        <w:t xml:space="preserve"> (Barr et al</w:t>
      </w:r>
      <w:r w:rsidR="0052161B">
        <w:rPr>
          <w:rStyle w:val="normaltextrun"/>
          <w:rFonts w:cstheme="minorHAnsi"/>
          <w:color w:val="000000"/>
          <w:shd w:val="clear" w:color="auto" w:fill="FFFFFF"/>
        </w:rPr>
        <w:t>.,</w:t>
      </w:r>
      <w:r w:rsidR="00907C1B">
        <w:rPr>
          <w:rStyle w:val="normaltextrun"/>
          <w:rFonts w:cstheme="minorHAnsi"/>
          <w:color w:val="000000"/>
          <w:shd w:val="clear" w:color="auto" w:fill="FFFFFF"/>
        </w:rPr>
        <w:t xml:space="preserve"> 2010; Renahy et al</w:t>
      </w:r>
      <w:r w:rsidR="0052161B">
        <w:rPr>
          <w:rStyle w:val="normaltextrun"/>
          <w:rFonts w:cstheme="minorHAnsi"/>
          <w:color w:val="000000"/>
          <w:shd w:val="clear" w:color="auto" w:fill="FFFFFF"/>
        </w:rPr>
        <w:t>.,</w:t>
      </w:r>
      <w:r w:rsidR="00907C1B">
        <w:rPr>
          <w:rStyle w:val="normaltextrun"/>
          <w:rFonts w:cstheme="minorHAnsi"/>
          <w:color w:val="000000"/>
          <w:shd w:val="clear" w:color="auto" w:fill="FFFFFF"/>
        </w:rPr>
        <w:t xml:space="preserve"> 2018</w:t>
      </w:r>
      <w:r w:rsidR="00362924" w:rsidRPr="00907C1B">
        <w:rPr>
          <w:rStyle w:val="normaltextrun"/>
          <w:rFonts w:cstheme="minorHAnsi"/>
          <w:color w:val="000000"/>
          <w:shd w:val="clear" w:color="auto" w:fill="FFFFFF"/>
        </w:rPr>
        <w:t>)</w:t>
      </w:r>
      <w:r w:rsidR="0052161B">
        <w:rPr>
          <w:rStyle w:val="normaltextrun"/>
          <w:rFonts w:cstheme="minorHAnsi"/>
          <w:color w:val="000000"/>
          <w:shd w:val="clear" w:color="auto" w:fill="FFFFFF"/>
        </w:rPr>
        <w:t xml:space="preserve"> and one low-quality (O’Campo et al., 2015)</w:t>
      </w:r>
      <w:r w:rsidR="00362924" w:rsidRPr="00907C1B">
        <w:rPr>
          <w:rStyle w:val="normaltextrun"/>
          <w:rFonts w:cstheme="minorHAnsi"/>
          <w:color w:val="000000"/>
          <w:shd w:val="clear" w:color="auto" w:fill="FFFFFF"/>
        </w:rPr>
        <w:t>.  Overall</w:t>
      </w:r>
      <w:r w:rsidR="00241D14">
        <w:rPr>
          <w:rStyle w:val="normaltextrun"/>
          <w:rFonts w:cstheme="minorHAnsi"/>
          <w:color w:val="000000"/>
          <w:shd w:val="clear" w:color="auto" w:fill="FFFFFF"/>
        </w:rPr>
        <w:t>,</w:t>
      </w:r>
      <w:r w:rsidR="00362924" w:rsidRPr="00907C1B">
        <w:rPr>
          <w:rStyle w:val="normaltextrun"/>
          <w:rFonts w:cstheme="minorHAnsi"/>
          <w:color w:val="000000"/>
          <w:shd w:val="clear" w:color="auto" w:fill="FFFFFF"/>
        </w:rPr>
        <w:t xml:space="preserve"> this theme </w:t>
      </w:r>
      <w:r w:rsidR="00241D14">
        <w:rPr>
          <w:rStyle w:val="normaltextrun"/>
          <w:rFonts w:cstheme="minorHAnsi"/>
          <w:color w:val="000000"/>
          <w:shd w:val="clear" w:color="auto" w:fill="FFFFFF"/>
        </w:rPr>
        <w:t xml:space="preserve">was </w:t>
      </w:r>
      <w:r w:rsidR="00362924" w:rsidRPr="00907C1B">
        <w:rPr>
          <w:rStyle w:val="normaltextrun"/>
          <w:rFonts w:cstheme="minorHAnsi"/>
          <w:color w:val="000000"/>
          <w:shd w:val="clear" w:color="auto" w:fill="FFFFFF"/>
        </w:rPr>
        <w:t xml:space="preserve">ranked as </w:t>
      </w:r>
      <w:r w:rsidR="00362924" w:rsidRPr="00907C1B">
        <w:rPr>
          <w:rStyle w:val="normaltextrun"/>
          <w:rFonts w:cstheme="minorHAnsi"/>
          <w:i/>
          <w:iCs/>
          <w:color w:val="000000"/>
          <w:shd w:val="clear" w:color="auto" w:fill="FFFFFF"/>
        </w:rPr>
        <w:t>“l</w:t>
      </w:r>
      <w:r w:rsidR="00362924" w:rsidRPr="00907C1B">
        <w:rPr>
          <w:rStyle w:val="normaltextrun"/>
          <w:rFonts w:cstheme="minorHAnsi"/>
          <w:i/>
          <w:iCs/>
          <w:color w:val="000000"/>
          <w:bdr w:val="none" w:sz="0" w:space="0" w:color="auto" w:frame="1"/>
        </w:rPr>
        <w:t xml:space="preserve">ow quality: Further research is very likely to change conclusions or sufficient body of evidence does not exist to understand the true effect” </w:t>
      </w:r>
    </w:p>
    <w:p w14:paraId="0E6BF4D2" w14:textId="3C6938DA" w:rsidR="00D0005C" w:rsidRPr="00907C1B" w:rsidRDefault="00D0005C" w:rsidP="0088526F">
      <w:pPr>
        <w:rPr>
          <w:rStyle w:val="normaltextrun"/>
          <w:rFonts w:cstheme="minorHAnsi"/>
          <w:color w:val="000000"/>
          <w:shd w:val="clear" w:color="auto" w:fill="FFFFFF"/>
        </w:rPr>
      </w:pPr>
      <w:r w:rsidRPr="00907C1B">
        <w:rPr>
          <w:rStyle w:val="normaltextrun"/>
          <w:rFonts w:cstheme="minorHAnsi"/>
          <w:b/>
          <w:bCs/>
          <w:color w:val="000000"/>
          <w:bdr w:val="none" w:sz="0" w:space="0" w:color="auto" w:frame="1"/>
        </w:rPr>
        <w:t>Step 2:</w:t>
      </w:r>
      <w:r w:rsidRPr="00907C1B">
        <w:rPr>
          <w:rStyle w:val="normaltextrun"/>
          <w:rFonts w:cstheme="minorHAnsi"/>
          <w:color w:val="000000"/>
          <w:bdr w:val="none" w:sz="0" w:space="0" w:color="auto" w:frame="1"/>
        </w:rPr>
        <w:t xml:space="preserve"> </w:t>
      </w:r>
      <w:r w:rsidRPr="00907C1B">
        <w:rPr>
          <w:rStyle w:val="normaltextrun"/>
          <w:rFonts w:cstheme="minorHAnsi"/>
          <w:color w:val="000000"/>
          <w:shd w:val="clear" w:color="auto" w:fill="FFFFFF"/>
        </w:rPr>
        <w:t xml:space="preserve">Revisit initial ranking and upgrade/downgrade according to several domains. </w:t>
      </w:r>
      <w:r w:rsidRPr="00907C1B">
        <w:rPr>
          <w:rStyle w:val="eop"/>
          <w:rFonts w:cstheme="minorHAnsi"/>
          <w:color w:val="000000"/>
          <w:shd w:val="clear" w:color="auto" w:fill="FFFFFF"/>
        </w:rPr>
        <w:t> </w:t>
      </w:r>
    </w:p>
    <w:p w14:paraId="49AA42E6" w14:textId="0556A9DD" w:rsidR="0088526F" w:rsidRPr="00907C1B" w:rsidRDefault="0088526F" w:rsidP="0088526F">
      <w:pPr>
        <w:rPr>
          <w:rStyle w:val="eop"/>
          <w:rFonts w:cstheme="minorHAnsi"/>
          <w:color w:val="000000"/>
          <w:shd w:val="clear" w:color="auto" w:fill="FFFFFF"/>
        </w:rPr>
      </w:pPr>
      <w:r w:rsidRPr="00907C1B">
        <w:rPr>
          <w:rStyle w:val="normaltextrun"/>
          <w:rFonts w:cstheme="minorHAnsi"/>
          <w:color w:val="000000"/>
          <w:shd w:val="clear" w:color="auto" w:fill="FFFFFF"/>
        </w:rPr>
        <w:t>Table</w:t>
      </w:r>
      <w:r w:rsidR="00E96931">
        <w:rPr>
          <w:rStyle w:val="normaltextrun"/>
          <w:rFonts w:cstheme="minorHAnsi"/>
          <w:color w:val="000000"/>
          <w:shd w:val="clear" w:color="auto" w:fill="FFFFFF"/>
        </w:rPr>
        <w:t xml:space="preserve"> 1:</w:t>
      </w:r>
      <w:r w:rsidRPr="00907C1B">
        <w:rPr>
          <w:rStyle w:val="normaltextrun"/>
          <w:rFonts w:cstheme="minorHAnsi"/>
          <w:color w:val="000000"/>
          <w:shd w:val="clear" w:color="auto" w:fill="FFFFFF"/>
        </w:rPr>
        <w:t xml:space="preserve"> Adapted GRADE domains</w:t>
      </w:r>
      <w:r w:rsidRPr="00907C1B">
        <w:rPr>
          <w:rStyle w:val="eop"/>
          <w:rFonts w:cstheme="minorHAnsi"/>
          <w:color w:val="000000"/>
          <w:shd w:val="clear" w:color="auto" w:fill="FFFFFF"/>
        </w:rPr>
        <w:t xml:space="preserve"> (from original protocol)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543"/>
        <w:gridCol w:w="3348"/>
      </w:tblGrid>
      <w:tr w:rsidR="00D0005C" w:rsidRPr="00907C1B" w14:paraId="3645BE4B" w14:textId="3B076194" w:rsidTr="00E133A3">
        <w:tc>
          <w:tcPr>
            <w:tcW w:w="2119" w:type="dxa"/>
            <w:tcBorders>
              <w:top w:val="single" w:sz="6" w:space="0" w:color="auto"/>
              <w:left w:val="single" w:sz="6" w:space="0" w:color="auto"/>
              <w:bottom w:val="single" w:sz="6" w:space="0" w:color="auto"/>
              <w:right w:val="single" w:sz="6" w:space="0" w:color="auto"/>
            </w:tcBorders>
            <w:shd w:val="clear" w:color="auto" w:fill="auto"/>
            <w:hideMark/>
          </w:tcPr>
          <w:p w14:paraId="798977A3"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b/>
                <w:bCs/>
                <w:lang w:eastAsia="en-GB"/>
              </w:rPr>
              <w:t>Domain </w:t>
            </w:r>
            <w:r w:rsidRPr="00D0005C">
              <w:rPr>
                <w:rFonts w:eastAsia="Times New Roman" w:cstheme="minorHAnsi"/>
                <w:lang w:eastAsia="en-GB"/>
              </w:rPr>
              <w:t>  </w:t>
            </w:r>
          </w:p>
        </w:tc>
        <w:tc>
          <w:tcPr>
            <w:tcW w:w="3543" w:type="dxa"/>
            <w:tcBorders>
              <w:top w:val="single" w:sz="6" w:space="0" w:color="auto"/>
              <w:left w:val="nil"/>
              <w:bottom w:val="single" w:sz="6" w:space="0" w:color="auto"/>
              <w:right w:val="single" w:sz="6" w:space="0" w:color="auto"/>
            </w:tcBorders>
            <w:shd w:val="clear" w:color="auto" w:fill="auto"/>
            <w:hideMark/>
          </w:tcPr>
          <w:p w14:paraId="29BF9862"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b/>
                <w:bCs/>
                <w:lang w:eastAsia="en-GB"/>
              </w:rPr>
              <w:t>Actions</w:t>
            </w:r>
            <w:r w:rsidRPr="00D0005C">
              <w:rPr>
                <w:rFonts w:eastAsia="Times New Roman" w:cstheme="minorHAnsi"/>
                <w:lang w:eastAsia="en-GB"/>
              </w:rPr>
              <w:t>  </w:t>
            </w:r>
          </w:p>
        </w:tc>
        <w:tc>
          <w:tcPr>
            <w:tcW w:w="3348" w:type="dxa"/>
            <w:tcBorders>
              <w:top w:val="single" w:sz="6" w:space="0" w:color="auto"/>
              <w:left w:val="nil"/>
              <w:bottom w:val="single" w:sz="6" w:space="0" w:color="auto"/>
              <w:right w:val="single" w:sz="6" w:space="0" w:color="auto"/>
            </w:tcBorders>
          </w:tcPr>
          <w:p w14:paraId="25372F7A" w14:textId="3EF9ECA2" w:rsidR="00D0005C" w:rsidRPr="00907C1B" w:rsidRDefault="00D41BB7" w:rsidP="00D0005C">
            <w:pPr>
              <w:spacing w:after="0" w:line="240" w:lineRule="auto"/>
              <w:textAlignment w:val="baseline"/>
              <w:rPr>
                <w:rFonts w:eastAsia="Times New Roman" w:cstheme="minorHAnsi"/>
                <w:b/>
                <w:bCs/>
                <w:lang w:eastAsia="en-GB"/>
              </w:rPr>
            </w:pPr>
            <w:r w:rsidRPr="00907C1B">
              <w:rPr>
                <w:rFonts w:eastAsia="Times New Roman" w:cstheme="minorHAnsi"/>
                <w:b/>
                <w:bCs/>
                <w:lang w:eastAsia="en-GB"/>
              </w:rPr>
              <w:t xml:space="preserve">Assessment for ‘income’ </w:t>
            </w:r>
            <w:r w:rsidR="00907C1B">
              <w:rPr>
                <w:rFonts w:eastAsia="Times New Roman" w:cstheme="minorHAnsi"/>
                <w:b/>
                <w:bCs/>
                <w:lang w:eastAsia="en-GB"/>
              </w:rPr>
              <w:t>t</w:t>
            </w:r>
            <w:r w:rsidR="00907C1B">
              <w:rPr>
                <w:rFonts w:eastAsia="Times New Roman"/>
                <w:b/>
                <w:bCs/>
                <w:lang w:eastAsia="en-GB"/>
              </w:rPr>
              <w:t>heme</w:t>
            </w:r>
            <w:r w:rsidRPr="00907C1B">
              <w:rPr>
                <w:rFonts w:eastAsia="Times New Roman" w:cstheme="minorHAnsi"/>
                <w:b/>
                <w:bCs/>
                <w:lang w:eastAsia="en-GB"/>
              </w:rPr>
              <w:t xml:space="preserve"> </w:t>
            </w:r>
          </w:p>
        </w:tc>
      </w:tr>
      <w:tr w:rsidR="00D0005C" w:rsidRPr="00907C1B" w14:paraId="1648224B" w14:textId="6B8B5172" w:rsidTr="00E133A3">
        <w:tc>
          <w:tcPr>
            <w:tcW w:w="2119" w:type="dxa"/>
            <w:tcBorders>
              <w:top w:val="nil"/>
              <w:left w:val="single" w:sz="6" w:space="0" w:color="auto"/>
              <w:bottom w:val="single" w:sz="6" w:space="0" w:color="auto"/>
              <w:right w:val="single" w:sz="6" w:space="0" w:color="auto"/>
            </w:tcBorders>
            <w:shd w:val="clear" w:color="auto" w:fill="auto"/>
            <w:hideMark/>
          </w:tcPr>
          <w:p w14:paraId="2CA22328"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Quality of included reviews and primary studies in the reviews (as reported in the reviews)  </w:t>
            </w:r>
          </w:p>
        </w:tc>
        <w:tc>
          <w:tcPr>
            <w:tcW w:w="3543" w:type="dxa"/>
            <w:tcBorders>
              <w:top w:val="nil"/>
              <w:left w:val="nil"/>
              <w:bottom w:val="single" w:sz="6" w:space="0" w:color="auto"/>
              <w:right w:val="single" w:sz="6" w:space="0" w:color="auto"/>
            </w:tcBorders>
            <w:shd w:val="clear" w:color="auto" w:fill="auto"/>
            <w:hideMark/>
          </w:tcPr>
          <w:p w14:paraId="632B7C30"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The lower the quality of the reviews and primary studies, the lower the confidence in cumulative evidence. Consider downgrading initial rating if quality is low.  </w:t>
            </w:r>
          </w:p>
        </w:tc>
        <w:tc>
          <w:tcPr>
            <w:tcW w:w="3348" w:type="dxa"/>
            <w:tcBorders>
              <w:top w:val="nil"/>
              <w:left w:val="nil"/>
              <w:bottom w:val="single" w:sz="6" w:space="0" w:color="auto"/>
              <w:right w:val="single" w:sz="6" w:space="0" w:color="auto"/>
            </w:tcBorders>
          </w:tcPr>
          <w:p w14:paraId="5AC0702F" w14:textId="2F5453CC" w:rsidR="00D0005C" w:rsidRPr="00907C1B" w:rsidRDefault="007F1531" w:rsidP="00D0005C">
            <w:pPr>
              <w:spacing w:after="0" w:line="240" w:lineRule="auto"/>
              <w:textAlignment w:val="baseline"/>
              <w:rPr>
                <w:rFonts w:eastAsia="Times New Roman" w:cstheme="minorHAnsi"/>
                <w:lang w:eastAsia="en-GB"/>
              </w:rPr>
            </w:pPr>
            <w:r w:rsidRPr="00907C1B">
              <w:rPr>
                <w:rFonts w:eastAsia="Times New Roman" w:cstheme="minorHAnsi"/>
                <w:lang w:eastAsia="en-GB"/>
              </w:rPr>
              <w:t>One SR</w:t>
            </w:r>
            <w:r w:rsidR="002C47F6" w:rsidRPr="00907C1B">
              <w:rPr>
                <w:rFonts w:eastAsia="Times New Roman" w:cstheme="minorHAnsi"/>
                <w:lang w:eastAsia="en-GB"/>
              </w:rPr>
              <w:t xml:space="preserve"> </w:t>
            </w:r>
            <w:r w:rsidR="00C33696" w:rsidRPr="00907C1B">
              <w:rPr>
                <w:rFonts w:eastAsia="Times New Roman" w:cstheme="minorHAnsi"/>
                <w:lang w:eastAsia="en-GB"/>
              </w:rPr>
              <w:t>reported</w:t>
            </w:r>
            <w:r w:rsidR="002C47F6" w:rsidRPr="00907C1B">
              <w:rPr>
                <w:rFonts w:eastAsia="Times New Roman" w:cstheme="minorHAnsi"/>
                <w:lang w:eastAsia="en-GB"/>
              </w:rPr>
              <w:t xml:space="preserve"> low quality primary studies</w:t>
            </w:r>
            <w:r w:rsidRPr="00907C1B">
              <w:rPr>
                <w:rFonts w:eastAsia="Times New Roman" w:cstheme="minorHAnsi"/>
                <w:lang w:eastAsia="en-GB"/>
              </w:rPr>
              <w:t xml:space="preserve"> (Barr et al</w:t>
            </w:r>
            <w:r w:rsidR="00E96931">
              <w:rPr>
                <w:rFonts w:eastAsia="Times New Roman" w:cstheme="minorHAnsi"/>
                <w:lang w:eastAsia="en-GB"/>
              </w:rPr>
              <w:t xml:space="preserve">., </w:t>
            </w:r>
            <w:r w:rsidRPr="00907C1B">
              <w:rPr>
                <w:rFonts w:eastAsia="Times New Roman" w:cstheme="minorHAnsi"/>
                <w:lang w:eastAsia="en-GB"/>
              </w:rPr>
              <w:t>2010)</w:t>
            </w:r>
            <w:r w:rsidR="002C47F6" w:rsidRPr="00907C1B">
              <w:rPr>
                <w:rFonts w:eastAsia="Times New Roman" w:cstheme="minorHAnsi"/>
                <w:lang w:eastAsia="en-GB"/>
              </w:rPr>
              <w:t xml:space="preserve">.  One </w:t>
            </w:r>
            <w:r w:rsidRPr="00907C1B">
              <w:rPr>
                <w:rFonts w:eastAsia="Times New Roman" w:cstheme="minorHAnsi"/>
                <w:lang w:eastAsia="en-GB"/>
              </w:rPr>
              <w:t>SR</w:t>
            </w:r>
            <w:r w:rsidR="002C47F6" w:rsidRPr="00907C1B">
              <w:rPr>
                <w:rFonts w:eastAsia="Times New Roman" w:cstheme="minorHAnsi"/>
                <w:lang w:eastAsia="en-GB"/>
              </w:rPr>
              <w:t xml:space="preserve"> was realist review and did not assess study quality</w:t>
            </w:r>
            <w:r w:rsidR="00C479BD" w:rsidRPr="00907C1B">
              <w:rPr>
                <w:rFonts w:eastAsia="Times New Roman" w:cstheme="minorHAnsi"/>
                <w:lang w:eastAsia="en-GB"/>
              </w:rPr>
              <w:t xml:space="preserve"> (</w:t>
            </w:r>
            <w:r w:rsidR="00C33696" w:rsidRPr="00907C1B">
              <w:rPr>
                <w:rFonts w:eastAsia="Times New Roman" w:cstheme="minorHAnsi"/>
                <w:lang w:eastAsia="en-GB"/>
              </w:rPr>
              <w:t>O’Campo et al</w:t>
            </w:r>
            <w:r w:rsidR="00E96931">
              <w:rPr>
                <w:rFonts w:eastAsia="Times New Roman" w:cstheme="minorHAnsi"/>
                <w:lang w:eastAsia="en-GB"/>
              </w:rPr>
              <w:t>.,</w:t>
            </w:r>
            <w:r w:rsidR="00C33696" w:rsidRPr="00907C1B">
              <w:rPr>
                <w:rFonts w:eastAsia="Times New Roman" w:cstheme="minorHAnsi"/>
                <w:lang w:eastAsia="en-GB"/>
              </w:rPr>
              <w:t xml:space="preserve"> 2015</w:t>
            </w:r>
            <w:r w:rsidR="00C479BD" w:rsidRPr="00907C1B">
              <w:rPr>
                <w:rFonts w:eastAsia="Times New Roman" w:cstheme="minorHAnsi"/>
                <w:lang w:eastAsia="en-GB"/>
              </w:rPr>
              <w:t>)</w:t>
            </w:r>
            <w:r w:rsidR="002C47F6" w:rsidRPr="00907C1B">
              <w:rPr>
                <w:rFonts w:eastAsia="Times New Roman" w:cstheme="minorHAnsi"/>
                <w:lang w:eastAsia="en-GB"/>
              </w:rPr>
              <w:t xml:space="preserve">. </w:t>
            </w:r>
            <w:r w:rsidR="005921B4" w:rsidRPr="00907C1B">
              <w:rPr>
                <w:rFonts w:eastAsia="Times New Roman" w:cstheme="minorHAnsi"/>
                <w:lang w:eastAsia="en-GB"/>
              </w:rPr>
              <w:t xml:space="preserve">One </w:t>
            </w:r>
            <w:r w:rsidRPr="00907C1B">
              <w:rPr>
                <w:rFonts w:eastAsia="Times New Roman" w:cstheme="minorHAnsi"/>
                <w:lang w:eastAsia="en-GB"/>
              </w:rPr>
              <w:t>SR</w:t>
            </w:r>
            <w:r w:rsidR="005921B4" w:rsidRPr="00907C1B">
              <w:rPr>
                <w:rFonts w:eastAsia="Times New Roman" w:cstheme="minorHAnsi"/>
                <w:lang w:eastAsia="en-GB"/>
              </w:rPr>
              <w:t xml:space="preserve"> excluded low quality studies</w:t>
            </w:r>
            <w:r w:rsidR="00C479BD" w:rsidRPr="00907C1B">
              <w:rPr>
                <w:rFonts w:eastAsia="Times New Roman" w:cstheme="minorHAnsi"/>
                <w:lang w:eastAsia="en-GB"/>
              </w:rPr>
              <w:t xml:space="preserve"> (Filges et al</w:t>
            </w:r>
            <w:r w:rsidR="00E96931">
              <w:rPr>
                <w:rFonts w:eastAsia="Times New Roman" w:cstheme="minorHAnsi"/>
                <w:lang w:eastAsia="en-GB"/>
              </w:rPr>
              <w:t>.,</w:t>
            </w:r>
            <w:r w:rsidR="00C479BD" w:rsidRPr="00907C1B">
              <w:rPr>
                <w:rFonts w:eastAsia="Times New Roman" w:cstheme="minorHAnsi"/>
                <w:lang w:eastAsia="en-GB"/>
              </w:rPr>
              <w:t xml:space="preserve"> 2013)</w:t>
            </w:r>
            <w:r w:rsidR="005921B4" w:rsidRPr="00907C1B">
              <w:rPr>
                <w:rFonts w:eastAsia="Times New Roman" w:cstheme="minorHAnsi"/>
                <w:lang w:eastAsia="en-GB"/>
              </w:rPr>
              <w:t>.</w:t>
            </w:r>
            <w:r w:rsidRPr="00907C1B">
              <w:rPr>
                <w:rFonts w:eastAsia="Times New Roman" w:cstheme="minorHAnsi"/>
                <w:lang w:eastAsia="en-GB"/>
              </w:rPr>
              <w:t xml:space="preserve"> One SR</w:t>
            </w:r>
            <w:r w:rsidR="005921B4" w:rsidRPr="00907C1B">
              <w:rPr>
                <w:rFonts w:eastAsia="Times New Roman" w:cstheme="minorHAnsi"/>
                <w:lang w:eastAsia="en-GB"/>
              </w:rPr>
              <w:t xml:space="preserve"> </w:t>
            </w:r>
            <w:r w:rsidRPr="00907C1B">
              <w:rPr>
                <w:rFonts w:eastAsia="Times New Roman" w:cstheme="minorHAnsi"/>
                <w:lang w:eastAsia="en-GB"/>
              </w:rPr>
              <w:t>reported 3 primary studies assessed as weak, moderate and strong (Renahy et al</w:t>
            </w:r>
            <w:r w:rsidR="00E96931">
              <w:rPr>
                <w:rFonts w:eastAsia="Times New Roman" w:cstheme="minorHAnsi"/>
                <w:lang w:eastAsia="en-GB"/>
              </w:rPr>
              <w:t>.,</w:t>
            </w:r>
            <w:r w:rsidRPr="00907C1B">
              <w:rPr>
                <w:rFonts w:eastAsia="Times New Roman" w:cstheme="minorHAnsi"/>
                <w:lang w:eastAsia="en-GB"/>
              </w:rPr>
              <w:t xml:space="preserve"> 2018). </w:t>
            </w:r>
            <w:r w:rsidR="005921B4" w:rsidRPr="00907C1B">
              <w:rPr>
                <w:rFonts w:eastAsia="Times New Roman" w:cstheme="minorHAnsi"/>
                <w:lang w:eastAsia="en-GB"/>
              </w:rPr>
              <w:t xml:space="preserve">Insufficient evidence to justify ‘upgrading’. </w:t>
            </w:r>
          </w:p>
        </w:tc>
      </w:tr>
      <w:tr w:rsidR="00D0005C" w:rsidRPr="00907C1B" w14:paraId="001C35CC" w14:textId="552690B2" w:rsidTr="00E133A3">
        <w:tc>
          <w:tcPr>
            <w:tcW w:w="2119" w:type="dxa"/>
            <w:tcBorders>
              <w:top w:val="nil"/>
              <w:left w:val="single" w:sz="6" w:space="0" w:color="auto"/>
              <w:bottom w:val="single" w:sz="6" w:space="0" w:color="auto"/>
              <w:right w:val="single" w:sz="6" w:space="0" w:color="auto"/>
            </w:tcBorders>
            <w:shd w:val="clear" w:color="auto" w:fill="auto"/>
            <w:hideMark/>
          </w:tcPr>
          <w:p w14:paraId="68585D74"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Inconsistency of impact  </w:t>
            </w:r>
          </w:p>
        </w:tc>
        <w:tc>
          <w:tcPr>
            <w:tcW w:w="3543" w:type="dxa"/>
            <w:tcBorders>
              <w:top w:val="nil"/>
              <w:left w:val="nil"/>
              <w:bottom w:val="single" w:sz="6" w:space="0" w:color="auto"/>
              <w:right w:val="single" w:sz="6" w:space="0" w:color="auto"/>
            </w:tcBorders>
            <w:shd w:val="clear" w:color="auto" w:fill="auto"/>
            <w:hideMark/>
          </w:tcPr>
          <w:p w14:paraId="21060C8D"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The higher the inconsistency of the impact of the intervention/exposure in the same context, the lower the confidence in cumulative evidence. Consider downgrading initial rating if inconsistency is apparent.   </w:t>
            </w:r>
          </w:p>
        </w:tc>
        <w:tc>
          <w:tcPr>
            <w:tcW w:w="3348" w:type="dxa"/>
            <w:tcBorders>
              <w:top w:val="nil"/>
              <w:left w:val="nil"/>
              <w:bottom w:val="single" w:sz="6" w:space="0" w:color="auto"/>
              <w:right w:val="single" w:sz="6" w:space="0" w:color="auto"/>
            </w:tcBorders>
          </w:tcPr>
          <w:p w14:paraId="4389DF1F" w14:textId="09B73B6E" w:rsidR="00D0005C" w:rsidRPr="00907C1B" w:rsidRDefault="009E160B" w:rsidP="00D0005C">
            <w:pPr>
              <w:spacing w:after="0" w:line="240" w:lineRule="auto"/>
              <w:textAlignment w:val="baseline"/>
              <w:rPr>
                <w:rFonts w:eastAsia="Times New Roman" w:cstheme="minorHAnsi"/>
                <w:lang w:eastAsia="en-GB"/>
              </w:rPr>
            </w:pPr>
            <w:r w:rsidRPr="00907C1B">
              <w:rPr>
                <w:rStyle w:val="normaltextrun"/>
                <w:rFonts w:cstheme="minorHAnsi"/>
                <w:color w:val="000000"/>
                <w:bdr w:val="none" w:sz="0" w:space="0" w:color="auto" w:frame="1"/>
              </w:rPr>
              <w:t xml:space="preserve">The included reviews consider three different outcomes – employment, reducing poverty, and reducing economic / material hardship and evaluate </w:t>
            </w:r>
            <w:r w:rsidR="00031DC9" w:rsidRPr="00907C1B">
              <w:rPr>
                <w:rStyle w:val="normaltextrun"/>
                <w:rFonts w:cstheme="minorHAnsi"/>
                <w:color w:val="000000"/>
                <w:bdr w:val="none" w:sz="0" w:space="0" w:color="auto" w:frame="1"/>
              </w:rPr>
              <w:t xml:space="preserve">two </w:t>
            </w:r>
            <w:r w:rsidRPr="00907C1B">
              <w:rPr>
                <w:rStyle w:val="normaltextrun"/>
                <w:rFonts w:cstheme="minorHAnsi"/>
                <w:color w:val="000000"/>
                <w:bdr w:val="none" w:sz="0" w:space="0" w:color="auto" w:frame="1"/>
              </w:rPr>
              <w:t xml:space="preserve">different exposures </w:t>
            </w:r>
            <w:r w:rsidR="009E77C2" w:rsidRPr="00907C1B">
              <w:rPr>
                <w:rStyle w:val="normaltextrun"/>
                <w:rFonts w:cstheme="minorHAnsi"/>
                <w:color w:val="000000"/>
                <w:bdr w:val="none" w:sz="0" w:space="0" w:color="auto" w:frame="1"/>
              </w:rPr>
              <w:t>–</w:t>
            </w:r>
            <w:r w:rsidRPr="00907C1B">
              <w:rPr>
                <w:rStyle w:val="normaltextrun"/>
                <w:rFonts w:cstheme="minorHAnsi"/>
                <w:color w:val="000000"/>
                <w:bdr w:val="none" w:sz="0" w:space="0" w:color="auto" w:frame="1"/>
              </w:rPr>
              <w:t xml:space="preserve"> </w:t>
            </w:r>
            <w:r w:rsidR="00031DC9" w:rsidRPr="00907C1B">
              <w:rPr>
                <w:rStyle w:val="normaltextrun"/>
                <w:rFonts w:cstheme="minorHAnsi"/>
                <w:color w:val="000000"/>
                <w:shd w:val="clear" w:color="auto" w:fill="FFFFFF"/>
              </w:rPr>
              <w:t>disability benefits (Filges et al</w:t>
            </w:r>
            <w:r w:rsidR="0040375B">
              <w:rPr>
                <w:rFonts w:eastAsia="Times New Roman" w:cstheme="minorHAnsi"/>
                <w:lang w:eastAsia="en-GB"/>
              </w:rPr>
              <w:t>.,</w:t>
            </w:r>
            <w:r w:rsidR="00031DC9" w:rsidRPr="00907C1B">
              <w:rPr>
                <w:rStyle w:val="normaltextrun"/>
                <w:rFonts w:cstheme="minorHAnsi"/>
                <w:color w:val="000000"/>
                <w:shd w:val="clear" w:color="auto" w:fill="FFFFFF"/>
              </w:rPr>
              <w:t xml:space="preserve"> 2013; Barr et al 2010) and unemployment insurance (O’Campo</w:t>
            </w:r>
            <w:r w:rsidR="0040375B">
              <w:rPr>
                <w:rFonts w:eastAsia="Times New Roman" w:cstheme="minorHAnsi"/>
                <w:lang w:eastAsia="en-GB"/>
              </w:rPr>
              <w:t>.,</w:t>
            </w:r>
            <w:r w:rsidR="00031DC9" w:rsidRPr="00907C1B">
              <w:rPr>
                <w:rStyle w:val="normaltextrun"/>
                <w:rFonts w:cstheme="minorHAnsi"/>
                <w:color w:val="000000"/>
                <w:shd w:val="clear" w:color="auto" w:fill="FFFFFF"/>
              </w:rPr>
              <w:t xml:space="preserve"> 2015; Renahy et al</w:t>
            </w:r>
            <w:r w:rsidR="0040375B">
              <w:rPr>
                <w:rFonts w:eastAsia="Times New Roman" w:cstheme="minorHAnsi"/>
                <w:lang w:eastAsia="en-GB"/>
              </w:rPr>
              <w:t>.,</w:t>
            </w:r>
            <w:r w:rsidR="00031DC9" w:rsidRPr="00907C1B">
              <w:rPr>
                <w:rStyle w:val="normaltextrun"/>
                <w:rFonts w:cstheme="minorHAnsi"/>
                <w:color w:val="000000"/>
                <w:shd w:val="clear" w:color="auto" w:fill="FFFFFF"/>
              </w:rPr>
              <w:t xml:space="preserve"> 2018)</w:t>
            </w:r>
            <w:r w:rsidR="00FD42A7" w:rsidRPr="00907C1B">
              <w:rPr>
                <w:rStyle w:val="normaltextrun"/>
                <w:rFonts w:cstheme="minorHAnsi"/>
                <w:color w:val="000000"/>
                <w:shd w:val="clear" w:color="auto" w:fill="FFFFFF"/>
              </w:rPr>
              <w:t>.  Therefore</w:t>
            </w:r>
            <w:r w:rsidR="007F1531" w:rsidRPr="00907C1B">
              <w:rPr>
                <w:rStyle w:val="normaltextrun"/>
                <w:rFonts w:cstheme="minorHAnsi"/>
                <w:color w:val="000000"/>
                <w:shd w:val="clear" w:color="auto" w:fill="FFFFFF"/>
              </w:rPr>
              <w:t>,</w:t>
            </w:r>
            <w:r w:rsidR="00FD42A7" w:rsidRPr="00907C1B">
              <w:rPr>
                <w:rStyle w:val="normaltextrun"/>
                <w:rFonts w:cstheme="minorHAnsi"/>
                <w:color w:val="000000"/>
                <w:shd w:val="clear" w:color="auto" w:fill="FFFFFF"/>
              </w:rPr>
              <w:t xml:space="preserve"> </w:t>
            </w:r>
            <w:r w:rsidR="00E133A3" w:rsidRPr="00907C1B">
              <w:rPr>
                <w:rStyle w:val="normaltextrun"/>
                <w:rFonts w:cstheme="minorHAnsi"/>
                <w:color w:val="000000"/>
                <w:shd w:val="clear" w:color="auto" w:fill="FFFFFF"/>
              </w:rPr>
              <w:t>not one intervention/exposure</w:t>
            </w:r>
            <w:r w:rsidR="007F1531" w:rsidRPr="00907C1B">
              <w:rPr>
                <w:rStyle w:val="normaltextrun"/>
                <w:rFonts w:cstheme="minorHAnsi"/>
                <w:color w:val="000000"/>
                <w:shd w:val="clear" w:color="auto" w:fill="FFFFFF"/>
              </w:rPr>
              <w:t xml:space="preserve"> </w:t>
            </w:r>
            <w:r w:rsidR="00E133A3" w:rsidRPr="00907C1B">
              <w:rPr>
                <w:rStyle w:val="normaltextrun"/>
                <w:rFonts w:cstheme="minorHAnsi"/>
                <w:color w:val="000000"/>
                <w:shd w:val="clear" w:color="auto" w:fill="FFFFFF"/>
              </w:rPr>
              <w:t>and not one outcome so difficult to assess consistency</w:t>
            </w:r>
            <w:r w:rsidR="0002499E" w:rsidRPr="00907C1B">
              <w:rPr>
                <w:rStyle w:val="normaltextrun"/>
                <w:rFonts w:cstheme="minorHAnsi"/>
                <w:color w:val="000000"/>
                <w:shd w:val="clear" w:color="auto" w:fill="FFFFFF"/>
              </w:rPr>
              <w:t xml:space="preserve"> of effect across the theme</w:t>
            </w:r>
            <w:r w:rsidR="00E133A3" w:rsidRPr="00907C1B">
              <w:rPr>
                <w:rStyle w:val="normaltextrun"/>
                <w:rFonts w:cstheme="minorHAnsi"/>
                <w:color w:val="000000"/>
                <w:shd w:val="clear" w:color="auto" w:fill="FFFFFF"/>
              </w:rPr>
              <w:t xml:space="preserve">. </w:t>
            </w:r>
          </w:p>
        </w:tc>
      </w:tr>
      <w:tr w:rsidR="00D0005C" w:rsidRPr="00907C1B" w14:paraId="44946345" w14:textId="2B0E3B70" w:rsidTr="00E133A3">
        <w:tc>
          <w:tcPr>
            <w:tcW w:w="2119" w:type="dxa"/>
            <w:tcBorders>
              <w:top w:val="nil"/>
              <w:left w:val="single" w:sz="6" w:space="0" w:color="auto"/>
              <w:bottom w:val="single" w:sz="6" w:space="0" w:color="auto"/>
              <w:right w:val="single" w:sz="6" w:space="0" w:color="auto"/>
            </w:tcBorders>
            <w:shd w:val="clear" w:color="auto" w:fill="auto"/>
            <w:hideMark/>
          </w:tcPr>
          <w:p w14:paraId="55488BE7"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Imprecision  </w:t>
            </w:r>
          </w:p>
        </w:tc>
        <w:tc>
          <w:tcPr>
            <w:tcW w:w="3543" w:type="dxa"/>
            <w:tcBorders>
              <w:top w:val="nil"/>
              <w:left w:val="nil"/>
              <w:bottom w:val="single" w:sz="6" w:space="0" w:color="auto"/>
              <w:right w:val="single" w:sz="6" w:space="0" w:color="auto"/>
            </w:tcBorders>
            <w:shd w:val="clear" w:color="auto" w:fill="auto"/>
            <w:hideMark/>
          </w:tcPr>
          <w:p w14:paraId="5B2C10FB"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The higher the quantitative precision around the effect of the intervention, the higher the confidence in cumulative evidence.    </w:t>
            </w:r>
          </w:p>
        </w:tc>
        <w:tc>
          <w:tcPr>
            <w:tcW w:w="3348" w:type="dxa"/>
            <w:tcBorders>
              <w:top w:val="nil"/>
              <w:left w:val="nil"/>
              <w:bottom w:val="single" w:sz="6" w:space="0" w:color="auto"/>
              <w:right w:val="single" w:sz="6" w:space="0" w:color="auto"/>
            </w:tcBorders>
          </w:tcPr>
          <w:p w14:paraId="5C0B1473" w14:textId="556F99A4" w:rsidR="00D0005C" w:rsidRPr="00907C1B" w:rsidRDefault="00E133A3" w:rsidP="00D0005C">
            <w:pPr>
              <w:spacing w:after="0" w:line="240" w:lineRule="auto"/>
              <w:textAlignment w:val="baseline"/>
              <w:rPr>
                <w:rFonts w:eastAsia="Times New Roman" w:cstheme="minorHAnsi"/>
                <w:lang w:eastAsia="en-GB"/>
              </w:rPr>
            </w:pPr>
            <w:r w:rsidRPr="00907C1B">
              <w:rPr>
                <w:rFonts w:eastAsia="Times New Roman" w:cstheme="minorHAnsi"/>
                <w:lang w:eastAsia="en-GB"/>
              </w:rPr>
              <w:t xml:space="preserve">Only one review undertook meta-analysis </w:t>
            </w:r>
            <w:r w:rsidR="009B7213" w:rsidRPr="00907C1B">
              <w:rPr>
                <w:rFonts w:eastAsia="Times New Roman" w:cstheme="minorHAnsi"/>
                <w:lang w:eastAsia="en-GB"/>
              </w:rPr>
              <w:t>(Filges et al</w:t>
            </w:r>
            <w:r w:rsidR="0040375B">
              <w:rPr>
                <w:rFonts w:eastAsia="Times New Roman" w:cstheme="minorHAnsi"/>
                <w:lang w:eastAsia="en-GB"/>
              </w:rPr>
              <w:t>.,</w:t>
            </w:r>
            <w:r w:rsidR="009B7213" w:rsidRPr="00907C1B">
              <w:rPr>
                <w:rFonts w:eastAsia="Times New Roman" w:cstheme="minorHAnsi"/>
                <w:lang w:eastAsia="en-GB"/>
              </w:rPr>
              <w:t xml:space="preserve"> 2013) </w:t>
            </w:r>
            <w:r w:rsidR="009A6F39" w:rsidRPr="00907C1B">
              <w:rPr>
                <w:rFonts w:eastAsia="Times New Roman" w:cstheme="minorHAnsi"/>
                <w:lang w:eastAsia="en-GB"/>
              </w:rPr>
              <w:t>so unable to assess precision of the effect</w:t>
            </w:r>
            <w:r w:rsidR="0002499E" w:rsidRPr="00907C1B">
              <w:rPr>
                <w:rFonts w:eastAsia="Times New Roman" w:cstheme="minorHAnsi"/>
                <w:lang w:eastAsia="en-GB"/>
              </w:rPr>
              <w:t xml:space="preserve"> across the theme</w:t>
            </w:r>
            <w:r w:rsidR="009A6F39" w:rsidRPr="00907C1B">
              <w:rPr>
                <w:rFonts w:eastAsia="Times New Roman" w:cstheme="minorHAnsi"/>
                <w:lang w:eastAsia="en-GB"/>
              </w:rPr>
              <w:t xml:space="preserve">. </w:t>
            </w:r>
          </w:p>
        </w:tc>
      </w:tr>
      <w:tr w:rsidR="00D0005C" w:rsidRPr="00907C1B" w14:paraId="31E36B29" w14:textId="0EFB4326" w:rsidTr="00E133A3">
        <w:tc>
          <w:tcPr>
            <w:tcW w:w="2119" w:type="dxa"/>
            <w:tcBorders>
              <w:top w:val="nil"/>
              <w:left w:val="single" w:sz="6" w:space="0" w:color="auto"/>
              <w:bottom w:val="single" w:sz="6" w:space="0" w:color="auto"/>
              <w:right w:val="single" w:sz="6" w:space="0" w:color="auto"/>
            </w:tcBorders>
            <w:shd w:val="clear" w:color="auto" w:fill="auto"/>
            <w:hideMark/>
          </w:tcPr>
          <w:p w14:paraId="0BB13219"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Publication/reporting bias  </w:t>
            </w:r>
          </w:p>
        </w:tc>
        <w:tc>
          <w:tcPr>
            <w:tcW w:w="3543" w:type="dxa"/>
            <w:tcBorders>
              <w:top w:val="nil"/>
              <w:left w:val="nil"/>
              <w:bottom w:val="single" w:sz="6" w:space="0" w:color="auto"/>
              <w:right w:val="single" w:sz="6" w:space="0" w:color="auto"/>
            </w:tcBorders>
            <w:shd w:val="clear" w:color="auto" w:fill="auto"/>
            <w:hideMark/>
          </w:tcPr>
          <w:p w14:paraId="27DBAF5E"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 xml:space="preserve">The higher the risk of within-review and inter-review publication bias, the </w:t>
            </w:r>
            <w:r w:rsidRPr="00D0005C">
              <w:rPr>
                <w:rFonts w:eastAsia="Times New Roman" w:cstheme="minorHAnsi"/>
                <w:lang w:eastAsia="en-GB"/>
              </w:rPr>
              <w:lastRenderedPageBreak/>
              <w:t>lower the confidence in cumulative evidence. Consider downgrading initial rating if it is likely that statistically non-significant findings remain unpublished  </w:t>
            </w:r>
          </w:p>
        </w:tc>
        <w:tc>
          <w:tcPr>
            <w:tcW w:w="3348" w:type="dxa"/>
            <w:tcBorders>
              <w:top w:val="nil"/>
              <w:left w:val="nil"/>
              <w:bottom w:val="single" w:sz="6" w:space="0" w:color="auto"/>
              <w:right w:val="single" w:sz="6" w:space="0" w:color="auto"/>
            </w:tcBorders>
          </w:tcPr>
          <w:p w14:paraId="584BBE4D" w14:textId="356608A3" w:rsidR="00D0005C" w:rsidRPr="00907C1B" w:rsidRDefault="009B7213" w:rsidP="00D0005C">
            <w:pPr>
              <w:spacing w:after="0" w:line="240" w:lineRule="auto"/>
              <w:textAlignment w:val="baseline"/>
              <w:rPr>
                <w:rFonts w:eastAsia="Times New Roman" w:cstheme="minorHAnsi"/>
                <w:lang w:eastAsia="en-GB"/>
              </w:rPr>
            </w:pPr>
            <w:r w:rsidRPr="00907C1B">
              <w:rPr>
                <w:rFonts w:eastAsia="Times New Roman" w:cstheme="minorHAnsi"/>
                <w:lang w:eastAsia="en-GB"/>
              </w:rPr>
              <w:lastRenderedPageBreak/>
              <w:t>Only one review (Filges et al</w:t>
            </w:r>
            <w:r w:rsidR="0040375B">
              <w:rPr>
                <w:rFonts w:eastAsia="Times New Roman" w:cstheme="minorHAnsi"/>
                <w:lang w:eastAsia="en-GB"/>
              </w:rPr>
              <w:t>.,</w:t>
            </w:r>
            <w:r w:rsidRPr="00907C1B">
              <w:rPr>
                <w:rFonts w:eastAsia="Times New Roman" w:cstheme="minorHAnsi"/>
                <w:lang w:eastAsia="en-GB"/>
              </w:rPr>
              <w:t xml:space="preserve"> 2013) assess</w:t>
            </w:r>
            <w:r w:rsidR="007F1531" w:rsidRPr="00907C1B">
              <w:rPr>
                <w:rFonts w:eastAsia="Times New Roman" w:cstheme="minorHAnsi"/>
                <w:lang w:eastAsia="en-GB"/>
              </w:rPr>
              <w:t>ed</w:t>
            </w:r>
            <w:r w:rsidRPr="00907C1B">
              <w:rPr>
                <w:rFonts w:eastAsia="Times New Roman" w:cstheme="minorHAnsi"/>
                <w:lang w:eastAsia="en-GB"/>
              </w:rPr>
              <w:t xml:space="preserve"> publication bias</w:t>
            </w:r>
            <w:r w:rsidR="00851C15" w:rsidRPr="00907C1B">
              <w:rPr>
                <w:rFonts w:eastAsia="Times New Roman" w:cstheme="minorHAnsi"/>
                <w:lang w:eastAsia="en-GB"/>
              </w:rPr>
              <w:t xml:space="preserve"> so unable </w:t>
            </w:r>
            <w:r w:rsidR="00851C15" w:rsidRPr="00907C1B">
              <w:rPr>
                <w:rFonts w:eastAsia="Times New Roman" w:cstheme="minorHAnsi"/>
                <w:lang w:eastAsia="en-GB"/>
              </w:rPr>
              <w:lastRenderedPageBreak/>
              <w:t>to assess publication bias</w:t>
            </w:r>
            <w:r w:rsidR="0002499E" w:rsidRPr="00907C1B">
              <w:rPr>
                <w:rFonts w:eastAsia="Times New Roman" w:cstheme="minorHAnsi"/>
                <w:lang w:eastAsia="en-GB"/>
              </w:rPr>
              <w:t xml:space="preserve"> risk across the theme. </w:t>
            </w:r>
            <w:r w:rsidRPr="00907C1B">
              <w:rPr>
                <w:rFonts w:eastAsia="Times New Roman" w:cstheme="minorHAnsi"/>
                <w:lang w:eastAsia="en-GB"/>
              </w:rPr>
              <w:t xml:space="preserve"> </w:t>
            </w:r>
          </w:p>
        </w:tc>
      </w:tr>
      <w:tr w:rsidR="00D0005C" w:rsidRPr="00907C1B" w14:paraId="47AFD223" w14:textId="23249E7C" w:rsidTr="00E133A3">
        <w:tc>
          <w:tcPr>
            <w:tcW w:w="2119" w:type="dxa"/>
            <w:tcBorders>
              <w:top w:val="nil"/>
              <w:left w:val="single" w:sz="6" w:space="0" w:color="auto"/>
              <w:bottom w:val="single" w:sz="6" w:space="0" w:color="auto"/>
              <w:right w:val="single" w:sz="6" w:space="0" w:color="auto"/>
            </w:tcBorders>
            <w:shd w:val="clear" w:color="auto" w:fill="auto"/>
            <w:hideMark/>
          </w:tcPr>
          <w:p w14:paraId="7C92DEB4"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lastRenderedPageBreak/>
              <w:t>Magnitude of effect  </w:t>
            </w:r>
          </w:p>
        </w:tc>
        <w:tc>
          <w:tcPr>
            <w:tcW w:w="3543" w:type="dxa"/>
            <w:tcBorders>
              <w:top w:val="nil"/>
              <w:left w:val="nil"/>
              <w:bottom w:val="single" w:sz="6" w:space="0" w:color="auto"/>
              <w:right w:val="single" w:sz="6" w:space="0" w:color="auto"/>
            </w:tcBorders>
            <w:shd w:val="clear" w:color="auto" w:fill="auto"/>
            <w:hideMark/>
          </w:tcPr>
          <w:p w14:paraId="2976A54A"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Consider upgrading initial rating is observed effect is particularly large.  </w:t>
            </w:r>
          </w:p>
        </w:tc>
        <w:tc>
          <w:tcPr>
            <w:tcW w:w="3348" w:type="dxa"/>
            <w:tcBorders>
              <w:top w:val="nil"/>
              <w:left w:val="nil"/>
              <w:bottom w:val="single" w:sz="6" w:space="0" w:color="auto"/>
              <w:right w:val="single" w:sz="6" w:space="0" w:color="auto"/>
            </w:tcBorders>
          </w:tcPr>
          <w:p w14:paraId="4EE0B471" w14:textId="7F74774B" w:rsidR="00D0005C" w:rsidRPr="00907C1B" w:rsidRDefault="00F73D8D" w:rsidP="00D0005C">
            <w:pPr>
              <w:spacing w:after="0" w:line="240" w:lineRule="auto"/>
              <w:textAlignment w:val="baseline"/>
              <w:rPr>
                <w:rFonts w:eastAsia="Times New Roman" w:cstheme="minorHAnsi"/>
                <w:lang w:eastAsia="en-GB"/>
              </w:rPr>
            </w:pPr>
            <w:r w:rsidRPr="00907C1B">
              <w:rPr>
                <w:rFonts w:eastAsia="Times New Roman" w:cstheme="minorHAnsi"/>
                <w:lang w:eastAsia="en-GB"/>
              </w:rPr>
              <w:t>Only one review undertook meta-analysis (Filges et al</w:t>
            </w:r>
            <w:r w:rsidR="00FD749A">
              <w:rPr>
                <w:rFonts w:eastAsia="Times New Roman" w:cstheme="minorHAnsi"/>
                <w:lang w:eastAsia="en-GB"/>
              </w:rPr>
              <w:t>.,</w:t>
            </w:r>
            <w:r w:rsidRPr="00907C1B">
              <w:rPr>
                <w:rFonts w:eastAsia="Times New Roman" w:cstheme="minorHAnsi"/>
                <w:lang w:eastAsia="en-GB"/>
              </w:rPr>
              <w:t xml:space="preserve"> 2013) so unable to assess magnitude of effect across the theme.</w:t>
            </w:r>
          </w:p>
        </w:tc>
      </w:tr>
      <w:tr w:rsidR="00D0005C" w:rsidRPr="00907C1B" w14:paraId="2E6F020A" w14:textId="0DE8143D" w:rsidTr="00E133A3">
        <w:tc>
          <w:tcPr>
            <w:tcW w:w="2119" w:type="dxa"/>
            <w:tcBorders>
              <w:top w:val="nil"/>
              <w:left w:val="single" w:sz="6" w:space="0" w:color="auto"/>
              <w:bottom w:val="single" w:sz="6" w:space="0" w:color="auto"/>
              <w:right w:val="single" w:sz="6" w:space="0" w:color="auto"/>
            </w:tcBorders>
            <w:shd w:val="clear" w:color="auto" w:fill="auto"/>
            <w:hideMark/>
          </w:tcPr>
          <w:p w14:paraId="3F1D62C7"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Dose-response gradient  </w:t>
            </w:r>
          </w:p>
        </w:tc>
        <w:tc>
          <w:tcPr>
            <w:tcW w:w="3543" w:type="dxa"/>
            <w:tcBorders>
              <w:top w:val="nil"/>
              <w:left w:val="nil"/>
              <w:bottom w:val="single" w:sz="6" w:space="0" w:color="auto"/>
              <w:right w:val="single" w:sz="6" w:space="0" w:color="auto"/>
            </w:tcBorders>
            <w:shd w:val="clear" w:color="auto" w:fill="auto"/>
            <w:hideMark/>
          </w:tcPr>
          <w:p w14:paraId="656352DE"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Upgrade if evidence indicates an apparent dose-response gradient.   </w:t>
            </w:r>
          </w:p>
        </w:tc>
        <w:tc>
          <w:tcPr>
            <w:tcW w:w="3348" w:type="dxa"/>
            <w:tcBorders>
              <w:top w:val="nil"/>
              <w:left w:val="nil"/>
              <w:bottom w:val="single" w:sz="6" w:space="0" w:color="auto"/>
              <w:right w:val="single" w:sz="6" w:space="0" w:color="auto"/>
            </w:tcBorders>
          </w:tcPr>
          <w:p w14:paraId="1B5D2A40" w14:textId="32118197" w:rsidR="00D0005C" w:rsidRPr="00907C1B" w:rsidRDefault="00444EC4" w:rsidP="00D0005C">
            <w:pPr>
              <w:spacing w:after="0" w:line="240" w:lineRule="auto"/>
              <w:textAlignment w:val="baseline"/>
              <w:rPr>
                <w:rFonts w:eastAsia="Times New Roman" w:cstheme="minorHAnsi"/>
                <w:lang w:eastAsia="en-GB"/>
              </w:rPr>
            </w:pPr>
            <w:r w:rsidRPr="00907C1B">
              <w:rPr>
                <w:rFonts w:eastAsia="Times New Roman" w:cstheme="minorHAnsi"/>
                <w:lang w:eastAsia="en-GB"/>
              </w:rPr>
              <w:t>Only one review undertook meta-analysis (Filges et al</w:t>
            </w:r>
            <w:r w:rsidR="00FD749A">
              <w:rPr>
                <w:rFonts w:eastAsia="Times New Roman" w:cstheme="minorHAnsi"/>
                <w:lang w:eastAsia="en-GB"/>
              </w:rPr>
              <w:t>.,</w:t>
            </w:r>
            <w:r w:rsidRPr="00907C1B">
              <w:rPr>
                <w:rFonts w:eastAsia="Times New Roman" w:cstheme="minorHAnsi"/>
                <w:lang w:eastAsia="en-GB"/>
              </w:rPr>
              <w:t xml:space="preserve"> 2013) so unable to assess dose-response gradient across the theme.</w:t>
            </w:r>
          </w:p>
        </w:tc>
      </w:tr>
      <w:tr w:rsidR="00D0005C" w:rsidRPr="00907C1B" w14:paraId="43A74356" w14:textId="2A48B381" w:rsidTr="00E133A3">
        <w:tc>
          <w:tcPr>
            <w:tcW w:w="2119" w:type="dxa"/>
            <w:tcBorders>
              <w:top w:val="nil"/>
              <w:left w:val="single" w:sz="6" w:space="0" w:color="auto"/>
              <w:bottom w:val="single" w:sz="6" w:space="0" w:color="auto"/>
              <w:right w:val="single" w:sz="6" w:space="0" w:color="auto"/>
            </w:tcBorders>
            <w:shd w:val="clear" w:color="auto" w:fill="auto"/>
            <w:hideMark/>
          </w:tcPr>
          <w:p w14:paraId="73AE08FB"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Confounding  </w:t>
            </w:r>
          </w:p>
        </w:tc>
        <w:tc>
          <w:tcPr>
            <w:tcW w:w="3543" w:type="dxa"/>
            <w:tcBorders>
              <w:top w:val="nil"/>
              <w:left w:val="nil"/>
              <w:bottom w:val="single" w:sz="6" w:space="0" w:color="auto"/>
              <w:right w:val="single" w:sz="6" w:space="0" w:color="auto"/>
            </w:tcBorders>
            <w:shd w:val="clear" w:color="auto" w:fill="auto"/>
            <w:hideMark/>
          </w:tcPr>
          <w:p w14:paraId="769B6CBB" w14:textId="77777777" w:rsidR="00D0005C" w:rsidRPr="00D0005C" w:rsidRDefault="00D0005C" w:rsidP="00D0005C">
            <w:pPr>
              <w:spacing w:after="0" w:line="240" w:lineRule="auto"/>
              <w:textAlignment w:val="baseline"/>
              <w:rPr>
                <w:rFonts w:eastAsia="Times New Roman" w:cstheme="minorHAnsi"/>
                <w:lang w:eastAsia="en-GB"/>
              </w:rPr>
            </w:pPr>
            <w:r w:rsidRPr="00D0005C">
              <w:rPr>
                <w:rFonts w:eastAsia="Times New Roman" w:cstheme="minorHAnsi"/>
                <w:lang w:eastAsia="en-GB"/>
              </w:rPr>
              <w:t>Consider whether there are unmeasured confounders in the body of evidence and whether these confounders are likely to only reduce the observed effect. If yes, consider upgrading initial rating.  </w:t>
            </w:r>
          </w:p>
        </w:tc>
        <w:tc>
          <w:tcPr>
            <w:tcW w:w="3348" w:type="dxa"/>
            <w:tcBorders>
              <w:top w:val="nil"/>
              <w:left w:val="nil"/>
              <w:bottom w:val="single" w:sz="6" w:space="0" w:color="auto"/>
              <w:right w:val="single" w:sz="6" w:space="0" w:color="auto"/>
            </w:tcBorders>
          </w:tcPr>
          <w:p w14:paraId="421B27EA" w14:textId="64A555BF" w:rsidR="00D0005C" w:rsidRPr="00907C1B" w:rsidRDefault="00C361B8" w:rsidP="00D0005C">
            <w:pPr>
              <w:spacing w:after="0" w:line="240" w:lineRule="auto"/>
              <w:textAlignment w:val="baseline"/>
              <w:rPr>
                <w:rFonts w:eastAsia="Times New Roman" w:cstheme="minorHAnsi"/>
                <w:lang w:eastAsia="en-GB"/>
              </w:rPr>
            </w:pPr>
            <w:r w:rsidRPr="00907C1B">
              <w:rPr>
                <w:rFonts w:eastAsia="Times New Roman" w:cstheme="minorHAnsi"/>
                <w:lang w:eastAsia="en-GB"/>
              </w:rPr>
              <w:t>Most of the primary studies included in the SRs are observational</w:t>
            </w:r>
            <w:r w:rsidR="006A154C" w:rsidRPr="00907C1B">
              <w:rPr>
                <w:rFonts w:eastAsia="Times New Roman" w:cstheme="minorHAnsi"/>
                <w:lang w:eastAsia="en-GB"/>
              </w:rPr>
              <w:t xml:space="preserve">. Possibility </w:t>
            </w:r>
            <w:r w:rsidR="00AE4BCF" w:rsidRPr="00907C1B">
              <w:rPr>
                <w:rFonts w:eastAsia="Times New Roman" w:cstheme="minorHAnsi"/>
                <w:lang w:eastAsia="en-GB"/>
              </w:rPr>
              <w:t>of uncontrolled confounders raised by Barr et al</w:t>
            </w:r>
            <w:r w:rsidR="00FD749A">
              <w:rPr>
                <w:rFonts w:eastAsia="Times New Roman" w:cstheme="minorHAnsi"/>
                <w:lang w:eastAsia="en-GB"/>
              </w:rPr>
              <w:t>.,</w:t>
            </w:r>
            <w:r w:rsidR="00AE4BCF" w:rsidRPr="00907C1B">
              <w:rPr>
                <w:rFonts w:eastAsia="Times New Roman" w:cstheme="minorHAnsi"/>
                <w:lang w:eastAsia="en-GB"/>
              </w:rPr>
              <w:t xml:space="preserve"> (2010)</w:t>
            </w:r>
            <w:r w:rsidR="00FC77A9" w:rsidRPr="00907C1B">
              <w:rPr>
                <w:rFonts w:eastAsia="Times New Roman" w:cstheme="minorHAnsi"/>
                <w:lang w:eastAsia="en-GB"/>
              </w:rPr>
              <w:t xml:space="preserve">.  </w:t>
            </w:r>
            <w:r w:rsidR="00907C1B" w:rsidRPr="00907C1B">
              <w:rPr>
                <w:rFonts w:eastAsia="Times New Roman" w:cstheme="minorHAnsi"/>
                <w:lang w:eastAsia="en-GB"/>
              </w:rPr>
              <w:t xml:space="preserve">Insufficient evidence to justify upgrading initial rating. </w:t>
            </w:r>
          </w:p>
        </w:tc>
      </w:tr>
    </w:tbl>
    <w:p w14:paraId="2434BD41" w14:textId="77777777" w:rsidR="00D0005C" w:rsidRPr="00907C1B" w:rsidRDefault="00D0005C" w:rsidP="0088526F">
      <w:pPr>
        <w:rPr>
          <w:rFonts w:cstheme="minorHAnsi"/>
        </w:rPr>
      </w:pPr>
    </w:p>
    <w:p w14:paraId="044F60D0" w14:textId="77777777" w:rsidR="0088526F" w:rsidRPr="00907C1B" w:rsidRDefault="0088526F" w:rsidP="0088526F">
      <w:pPr>
        <w:rPr>
          <w:rFonts w:cstheme="minorHAnsi"/>
        </w:rPr>
      </w:pPr>
    </w:p>
    <w:sectPr w:rsidR="0088526F" w:rsidRPr="00907C1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19AB1" w14:textId="77777777" w:rsidR="00FC2D3E" w:rsidRDefault="00FC2D3E" w:rsidP="00381160">
      <w:pPr>
        <w:spacing w:after="0" w:line="240" w:lineRule="auto"/>
      </w:pPr>
      <w:r>
        <w:separator/>
      </w:r>
    </w:p>
  </w:endnote>
  <w:endnote w:type="continuationSeparator" w:id="0">
    <w:p w14:paraId="43F57C0A" w14:textId="77777777" w:rsidR="00FC2D3E" w:rsidRDefault="00FC2D3E" w:rsidP="0038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8527" w14:textId="77777777" w:rsidR="00381160" w:rsidRDefault="00381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416632"/>
      <w:docPartObj>
        <w:docPartGallery w:val="Page Numbers (Bottom of Page)"/>
        <w:docPartUnique/>
      </w:docPartObj>
    </w:sdtPr>
    <w:sdtEndPr>
      <w:rPr>
        <w:noProof/>
      </w:rPr>
    </w:sdtEndPr>
    <w:sdtContent>
      <w:p w14:paraId="0706E585" w14:textId="436C72AB" w:rsidR="00381160" w:rsidRDefault="003811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3796B6" w14:textId="77777777" w:rsidR="00381160" w:rsidRDefault="00381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3A1B" w14:textId="77777777" w:rsidR="00381160" w:rsidRDefault="00381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2B344" w14:textId="77777777" w:rsidR="00FC2D3E" w:rsidRDefault="00FC2D3E" w:rsidP="00381160">
      <w:pPr>
        <w:spacing w:after="0" w:line="240" w:lineRule="auto"/>
      </w:pPr>
      <w:r>
        <w:separator/>
      </w:r>
    </w:p>
  </w:footnote>
  <w:footnote w:type="continuationSeparator" w:id="0">
    <w:p w14:paraId="00BBB642" w14:textId="77777777" w:rsidR="00FC2D3E" w:rsidRDefault="00FC2D3E" w:rsidP="00381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1C85" w14:textId="77777777" w:rsidR="00381160" w:rsidRDefault="00381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65E8" w14:textId="77777777" w:rsidR="00381160" w:rsidRDefault="003811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A43F" w14:textId="77777777" w:rsidR="00381160" w:rsidRDefault="003811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E1"/>
    <w:rsid w:val="0002499E"/>
    <w:rsid w:val="00031DC9"/>
    <w:rsid w:val="00136A98"/>
    <w:rsid w:val="001919DB"/>
    <w:rsid w:val="00205EFA"/>
    <w:rsid w:val="0023545E"/>
    <w:rsid w:val="00240795"/>
    <w:rsid w:val="00241D14"/>
    <w:rsid w:val="002C47F6"/>
    <w:rsid w:val="00307615"/>
    <w:rsid w:val="00362924"/>
    <w:rsid w:val="00381160"/>
    <w:rsid w:val="0038705E"/>
    <w:rsid w:val="0040375B"/>
    <w:rsid w:val="00444EC4"/>
    <w:rsid w:val="004D72C8"/>
    <w:rsid w:val="0052161B"/>
    <w:rsid w:val="005921B4"/>
    <w:rsid w:val="006875E1"/>
    <w:rsid w:val="006A154C"/>
    <w:rsid w:val="007F1531"/>
    <w:rsid w:val="00851C15"/>
    <w:rsid w:val="0088526F"/>
    <w:rsid w:val="00907C1B"/>
    <w:rsid w:val="009247BE"/>
    <w:rsid w:val="009A6F39"/>
    <w:rsid w:val="009B7213"/>
    <w:rsid w:val="009E160B"/>
    <w:rsid w:val="009E77C2"/>
    <w:rsid w:val="00A62532"/>
    <w:rsid w:val="00AE4BCF"/>
    <w:rsid w:val="00C33696"/>
    <w:rsid w:val="00C361B8"/>
    <w:rsid w:val="00C479BD"/>
    <w:rsid w:val="00CB3361"/>
    <w:rsid w:val="00CD3087"/>
    <w:rsid w:val="00D0005C"/>
    <w:rsid w:val="00D41BB7"/>
    <w:rsid w:val="00DD1D7C"/>
    <w:rsid w:val="00DE5957"/>
    <w:rsid w:val="00DE7CFA"/>
    <w:rsid w:val="00E02483"/>
    <w:rsid w:val="00E133A3"/>
    <w:rsid w:val="00E54413"/>
    <w:rsid w:val="00E96931"/>
    <w:rsid w:val="00F73D8D"/>
    <w:rsid w:val="00FC2D3E"/>
    <w:rsid w:val="00FC77A9"/>
    <w:rsid w:val="00FD42A7"/>
    <w:rsid w:val="00FD749A"/>
    <w:rsid w:val="21515DF0"/>
    <w:rsid w:val="57378A02"/>
    <w:rsid w:val="69BC5E14"/>
    <w:rsid w:val="72134774"/>
    <w:rsid w:val="7C69A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E2E2"/>
  <w15:chartTrackingRefBased/>
  <w15:docId w15:val="{83926F1F-BEB4-489C-A78E-0FC5C7CD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E7CFA"/>
    <w:pPr>
      <w:keepNext/>
      <w:keepLines/>
      <w:spacing w:before="120" w:after="120"/>
      <w:outlineLvl w:val="2"/>
    </w:pPr>
    <w:rPr>
      <w:rFonts w:asciiTheme="majorHAnsi" w:eastAsiaTheme="majorEastAsia" w:hAnsiTheme="majorHAnsi"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87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875E1"/>
  </w:style>
  <w:style w:type="character" w:customStyle="1" w:styleId="eop">
    <w:name w:val="eop"/>
    <w:basedOn w:val="DefaultParagraphFont"/>
    <w:rsid w:val="006875E1"/>
  </w:style>
  <w:style w:type="paragraph" w:styleId="Header">
    <w:name w:val="header"/>
    <w:basedOn w:val="Normal"/>
    <w:link w:val="HeaderChar"/>
    <w:uiPriority w:val="99"/>
    <w:unhideWhenUsed/>
    <w:rsid w:val="00381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1160"/>
  </w:style>
  <w:style w:type="paragraph" w:styleId="Footer">
    <w:name w:val="footer"/>
    <w:basedOn w:val="Normal"/>
    <w:link w:val="FooterChar"/>
    <w:uiPriority w:val="99"/>
    <w:unhideWhenUsed/>
    <w:rsid w:val="00381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1160"/>
  </w:style>
  <w:style w:type="character" w:customStyle="1" w:styleId="Heading3Char">
    <w:name w:val="Heading 3 Char"/>
    <w:basedOn w:val="DefaultParagraphFont"/>
    <w:link w:val="Heading3"/>
    <w:uiPriority w:val="9"/>
    <w:rsid w:val="00DE7CFA"/>
    <w:rPr>
      <w:rFonts w:asciiTheme="majorHAnsi" w:eastAsiaTheme="majorEastAsia" w:hAnsiTheme="majorHAnsi" w:cstheme="majorBidi"/>
      <w:color w:val="000000" w:themeColor="text1"/>
      <w:szCs w:val="24"/>
    </w:rPr>
  </w:style>
  <w:style w:type="paragraph" w:styleId="CommentText">
    <w:name w:val="annotation text"/>
    <w:basedOn w:val="Normal"/>
    <w:link w:val="CommentTextChar"/>
    <w:uiPriority w:val="99"/>
    <w:unhideWhenUsed/>
    <w:rsid w:val="00DE7CFA"/>
    <w:pPr>
      <w:spacing w:line="240" w:lineRule="auto"/>
    </w:pPr>
    <w:rPr>
      <w:sz w:val="20"/>
      <w:szCs w:val="20"/>
    </w:rPr>
  </w:style>
  <w:style w:type="character" w:customStyle="1" w:styleId="CommentTextChar">
    <w:name w:val="Comment Text Char"/>
    <w:basedOn w:val="DefaultParagraphFont"/>
    <w:link w:val="CommentText"/>
    <w:uiPriority w:val="99"/>
    <w:rsid w:val="00DE7CFA"/>
    <w:rPr>
      <w:sz w:val="20"/>
      <w:szCs w:val="20"/>
    </w:rPr>
  </w:style>
  <w:style w:type="character" w:styleId="CommentReference">
    <w:name w:val="annotation reference"/>
    <w:basedOn w:val="DefaultParagraphFont"/>
    <w:uiPriority w:val="99"/>
    <w:semiHidden/>
    <w:unhideWhenUsed/>
    <w:rsid w:val="00DE7CF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720118">
      <w:bodyDiv w:val="1"/>
      <w:marLeft w:val="0"/>
      <w:marRight w:val="0"/>
      <w:marTop w:val="0"/>
      <w:marBottom w:val="0"/>
      <w:divBdr>
        <w:top w:val="none" w:sz="0" w:space="0" w:color="auto"/>
        <w:left w:val="none" w:sz="0" w:space="0" w:color="auto"/>
        <w:bottom w:val="none" w:sz="0" w:space="0" w:color="auto"/>
        <w:right w:val="none" w:sz="0" w:space="0" w:color="auto"/>
      </w:divBdr>
      <w:divsChild>
        <w:div w:id="1813673587">
          <w:marLeft w:val="0"/>
          <w:marRight w:val="0"/>
          <w:marTop w:val="0"/>
          <w:marBottom w:val="0"/>
          <w:divBdr>
            <w:top w:val="none" w:sz="0" w:space="0" w:color="auto"/>
            <w:left w:val="none" w:sz="0" w:space="0" w:color="auto"/>
            <w:bottom w:val="none" w:sz="0" w:space="0" w:color="auto"/>
            <w:right w:val="none" w:sz="0" w:space="0" w:color="auto"/>
          </w:divBdr>
          <w:divsChild>
            <w:div w:id="862404548">
              <w:marLeft w:val="0"/>
              <w:marRight w:val="0"/>
              <w:marTop w:val="0"/>
              <w:marBottom w:val="0"/>
              <w:divBdr>
                <w:top w:val="none" w:sz="0" w:space="0" w:color="auto"/>
                <w:left w:val="none" w:sz="0" w:space="0" w:color="auto"/>
                <w:bottom w:val="none" w:sz="0" w:space="0" w:color="auto"/>
                <w:right w:val="none" w:sz="0" w:space="0" w:color="auto"/>
              </w:divBdr>
            </w:div>
          </w:divsChild>
        </w:div>
        <w:div w:id="1253969781">
          <w:marLeft w:val="0"/>
          <w:marRight w:val="0"/>
          <w:marTop w:val="0"/>
          <w:marBottom w:val="0"/>
          <w:divBdr>
            <w:top w:val="none" w:sz="0" w:space="0" w:color="auto"/>
            <w:left w:val="none" w:sz="0" w:space="0" w:color="auto"/>
            <w:bottom w:val="none" w:sz="0" w:space="0" w:color="auto"/>
            <w:right w:val="none" w:sz="0" w:space="0" w:color="auto"/>
          </w:divBdr>
          <w:divsChild>
            <w:div w:id="844245761">
              <w:marLeft w:val="0"/>
              <w:marRight w:val="0"/>
              <w:marTop w:val="0"/>
              <w:marBottom w:val="0"/>
              <w:divBdr>
                <w:top w:val="none" w:sz="0" w:space="0" w:color="auto"/>
                <w:left w:val="none" w:sz="0" w:space="0" w:color="auto"/>
                <w:bottom w:val="none" w:sz="0" w:space="0" w:color="auto"/>
                <w:right w:val="none" w:sz="0" w:space="0" w:color="auto"/>
              </w:divBdr>
            </w:div>
          </w:divsChild>
        </w:div>
        <w:div w:id="939753302">
          <w:marLeft w:val="0"/>
          <w:marRight w:val="0"/>
          <w:marTop w:val="0"/>
          <w:marBottom w:val="0"/>
          <w:divBdr>
            <w:top w:val="none" w:sz="0" w:space="0" w:color="auto"/>
            <w:left w:val="none" w:sz="0" w:space="0" w:color="auto"/>
            <w:bottom w:val="none" w:sz="0" w:space="0" w:color="auto"/>
            <w:right w:val="none" w:sz="0" w:space="0" w:color="auto"/>
          </w:divBdr>
          <w:divsChild>
            <w:div w:id="3824010">
              <w:marLeft w:val="0"/>
              <w:marRight w:val="0"/>
              <w:marTop w:val="0"/>
              <w:marBottom w:val="0"/>
              <w:divBdr>
                <w:top w:val="none" w:sz="0" w:space="0" w:color="auto"/>
                <w:left w:val="none" w:sz="0" w:space="0" w:color="auto"/>
                <w:bottom w:val="none" w:sz="0" w:space="0" w:color="auto"/>
                <w:right w:val="none" w:sz="0" w:space="0" w:color="auto"/>
              </w:divBdr>
            </w:div>
          </w:divsChild>
        </w:div>
        <w:div w:id="896626736">
          <w:marLeft w:val="0"/>
          <w:marRight w:val="0"/>
          <w:marTop w:val="0"/>
          <w:marBottom w:val="0"/>
          <w:divBdr>
            <w:top w:val="none" w:sz="0" w:space="0" w:color="auto"/>
            <w:left w:val="none" w:sz="0" w:space="0" w:color="auto"/>
            <w:bottom w:val="none" w:sz="0" w:space="0" w:color="auto"/>
            <w:right w:val="none" w:sz="0" w:space="0" w:color="auto"/>
          </w:divBdr>
          <w:divsChild>
            <w:div w:id="1124468050">
              <w:marLeft w:val="0"/>
              <w:marRight w:val="0"/>
              <w:marTop w:val="0"/>
              <w:marBottom w:val="0"/>
              <w:divBdr>
                <w:top w:val="none" w:sz="0" w:space="0" w:color="auto"/>
                <w:left w:val="none" w:sz="0" w:space="0" w:color="auto"/>
                <w:bottom w:val="none" w:sz="0" w:space="0" w:color="auto"/>
                <w:right w:val="none" w:sz="0" w:space="0" w:color="auto"/>
              </w:divBdr>
            </w:div>
          </w:divsChild>
        </w:div>
        <w:div w:id="1885947558">
          <w:marLeft w:val="0"/>
          <w:marRight w:val="0"/>
          <w:marTop w:val="0"/>
          <w:marBottom w:val="0"/>
          <w:divBdr>
            <w:top w:val="none" w:sz="0" w:space="0" w:color="auto"/>
            <w:left w:val="none" w:sz="0" w:space="0" w:color="auto"/>
            <w:bottom w:val="none" w:sz="0" w:space="0" w:color="auto"/>
            <w:right w:val="none" w:sz="0" w:space="0" w:color="auto"/>
          </w:divBdr>
          <w:divsChild>
            <w:div w:id="18892231">
              <w:marLeft w:val="0"/>
              <w:marRight w:val="0"/>
              <w:marTop w:val="0"/>
              <w:marBottom w:val="0"/>
              <w:divBdr>
                <w:top w:val="none" w:sz="0" w:space="0" w:color="auto"/>
                <w:left w:val="none" w:sz="0" w:space="0" w:color="auto"/>
                <w:bottom w:val="none" w:sz="0" w:space="0" w:color="auto"/>
                <w:right w:val="none" w:sz="0" w:space="0" w:color="auto"/>
              </w:divBdr>
            </w:div>
          </w:divsChild>
        </w:div>
        <w:div w:id="1032340572">
          <w:marLeft w:val="0"/>
          <w:marRight w:val="0"/>
          <w:marTop w:val="0"/>
          <w:marBottom w:val="0"/>
          <w:divBdr>
            <w:top w:val="none" w:sz="0" w:space="0" w:color="auto"/>
            <w:left w:val="none" w:sz="0" w:space="0" w:color="auto"/>
            <w:bottom w:val="none" w:sz="0" w:space="0" w:color="auto"/>
            <w:right w:val="none" w:sz="0" w:space="0" w:color="auto"/>
          </w:divBdr>
          <w:divsChild>
            <w:div w:id="1801723844">
              <w:marLeft w:val="0"/>
              <w:marRight w:val="0"/>
              <w:marTop w:val="0"/>
              <w:marBottom w:val="0"/>
              <w:divBdr>
                <w:top w:val="none" w:sz="0" w:space="0" w:color="auto"/>
                <w:left w:val="none" w:sz="0" w:space="0" w:color="auto"/>
                <w:bottom w:val="none" w:sz="0" w:space="0" w:color="auto"/>
                <w:right w:val="none" w:sz="0" w:space="0" w:color="auto"/>
              </w:divBdr>
            </w:div>
          </w:divsChild>
        </w:div>
        <w:div w:id="1110471772">
          <w:marLeft w:val="0"/>
          <w:marRight w:val="0"/>
          <w:marTop w:val="0"/>
          <w:marBottom w:val="0"/>
          <w:divBdr>
            <w:top w:val="none" w:sz="0" w:space="0" w:color="auto"/>
            <w:left w:val="none" w:sz="0" w:space="0" w:color="auto"/>
            <w:bottom w:val="none" w:sz="0" w:space="0" w:color="auto"/>
            <w:right w:val="none" w:sz="0" w:space="0" w:color="auto"/>
          </w:divBdr>
          <w:divsChild>
            <w:div w:id="202639219">
              <w:marLeft w:val="0"/>
              <w:marRight w:val="0"/>
              <w:marTop w:val="0"/>
              <w:marBottom w:val="0"/>
              <w:divBdr>
                <w:top w:val="none" w:sz="0" w:space="0" w:color="auto"/>
                <w:left w:val="none" w:sz="0" w:space="0" w:color="auto"/>
                <w:bottom w:val="none" w:sz="0" w:space="0" w:color="auto"/>
                <w:right w:val="none" w:sz="0" w:space="0" w:color="auto"/>
              </w:divBdr>
            </w:div>
          </w:divsChild>
        </w:div>
        <w:div w:id="1797723740">
          <w:marLeft w:val="0"/>
          <w:marRight w:val="0"/>
          <w:marTop w:val="0"/>
          <w:marBottom w:val="0"/>
          <w:divBdr>
            <w:top w:val="none" w:sz="0" w:space="0" w:color="auto"/>
            <w:left w:val="none" w:sz="0" w:space="0" w:color="auto"/>
            <w:bottom w:val="none" w:sz="0" w:space="0" w:color="auto"/>
            <w:right w:val="none" w:sz="0" w:space="0" w:color="auto"/>
          </w:divBdr>
          <w:divsChild>
            <w:div w:id="535460695">
              <w:marLeft w:val="0"/>
              <w:marRight w:val="0"/>
              <w:marTop w:val="0"/>
              <w:marBottom w:val="0"/>
              <w:divBdr>
                <w:top w:val="none" w:sz="0" w:space="0" w:color="auto"/>
                <w:left w:val="none" w:sz="0" w:space="0" w:color="auto"/>
                <w:bottom w:val="none" w:sz="0" w:space="0" w:color="auto"/>
                <w:right w:val="none" w:sz="0" w:space="0" w:color="auto"/>
              </w:divBdr>
            </w:div>
          </w:divsChild>
        </w:div>
        <w:div w:id="1577788439">
          <w:marLeft w:val="0"/>
          <w:marRight w:val="0"/>
          <w:marTop w:val="0"/>
          <w:marBottom w:val="0"/>
          <w:divBdr>
            <w:top w:val="none" w:sz="0" w:space="0" w:color="auto"/>
            <w:left w:val="none" w:sz="0" w:space="0" w:color="auto"/>
            <w:bottom w:val="none" w:sz="0" w:space="0" w:color="auto"/>
            <w:right w:val="none" w:sz="0" w:space="0" w:color="auto"/>
          </w:divBdr>
          <w:divsChild>
            <w:div w:id="1690839736">
              <w:marLeft w:val="0"/>
              <w:marRight w:val="0"/>
              <w:marTop w:val="0"/>
              <w:marBottom w:val="0"/>
              <w:divBdr>
                <w:top w:val="none" w:sz="0" w:space="0" w:color="auto"/>
                <w:left w:val="none" w:sz="0" w:space="0" w:color="auto"/>
                <w:bottom w:val="none" w:sz="0" w:space="0" w:color="auto"/>
                <w:right w:val="none" w:sz="0" w:space="0" w:color="auto"/>
              </w:divBdr>
            </w:div>
          </w:divsChild>
        </w:div>
        <w:div w:id="664363317">
          <w:marLeft w:val="0"/>
          <w:marRight w:val="0"/>
          <w:marTop w:val="0"/>
          <w:marBottom w:val="0"/>
          <w:divBdr>
            <w:top w:val="none" w:sz="0" w:space="0" w:color="auto"/>
            <w:left w:val="none" w:sz="0" w:space="0" w:color="auto"/>
            <w:bottom w:val="none" w:sz="0" w:space="0" w:color="auto"/>
            <w:right w:val="none" w:sz="0" w:space="0" w:color="auto"/>
          </w:divBdr>
          <w:divsChild>
            <w:div w:id="184027254">
              <w:marLeft w:val="0"/>
              <w:marRight w:val="0"/>
              <w:marTop w:val="0"/>
              <w:marBottom w:val="0"/>
              <w:divBdr>
                <w:top w:val="none" w:sz="0" w:space="0" w:color="auto"/>
                <w:left w:val="none" w:sz="0" w:space="0" w:color="auto"/>
                <w:bottom w:val="none" w:sz="0" w:space="0" w:color="auto"/>
                <w:right w:val="none" w:sz="0" w:space="0" w:color="auto"/>
              </w:divBdr>
            </w:div>
          </w:divsChild>
        </w:div>
        <w:div w:id="164590886">
          <w:marLeft w:val="0"/>
          <w:marRight w:val="0"/>
          <w:marTop w:val="0"/>
          <w:marBottom w:val="0"/>
          <w:divBdr>
            <w:top w:val="none" w:sz="0" w:space="0" w:color="auto"/>
            <w:left w:val="none" w:sz="0" w:space="0" w:color="auto"/>
            <w:bottom w:val="none" w:sz="0" w:space="0" w:color="auto"/>
            <w:right w:val="none" w:sz="0" w:space="0" w:color="auto"/>
          </w:divBdr>
          <w:divsChild>
            <w:div w:id="1160317436">
              <w:marLeft w:val="0"/>
              <w:marRight w:val="0"/>
              <w:marTop w:val="0"/>
              <w:marBottom w:val="0"/>
              <w:divBdr>
                <w:top w:val="none" w:sz="0" w:space="0" w:color="auto"/>
                <w:left w:val="none" w:sz="0" w:space="0" w:color="auto"/>
                <w:bottom w:val="none" w:sz="0" w:space="0" w:color="auto"/>
                <w:right w:val="none" w:sz="0" w:space="0" w:color="auto"/>
              </w:divBdr>
            </w:div>
          </w:divsChild>
        </w:div>
        <w:div w:id="1917932159">
          <w:marLeft w:val="0"/>
          <w:marRight w:val="0"/>
          <w:marTop w:val="0"/>
          <w:marBottom w:val="0"/>
          <w:divBdr>
            <w:top w:val="none" w:sz="0" w:space="0" w:color="auto"/>
            <w:left w:val="none" w:sz="0" w:space="0" w:color="auto"/>
            <w:bottom w:val="none" w:sz="0" w:space="0" w:color="auto"/>
            <w:right w:val="none" w:sz="0" w:space="0" w:color="auto"/>
          </w:divBdr>
          <w:divsChild>
            <w:div w:id="1736465454">
              <w:marLeft w:val="0"/>
              <w:marRight w:val="0"/>
              <w:marTop w:val="0"/>
              <w:marBottom w:val="0"/>
              <w:divBdr>
                <w:top w:val="none" w:sz="0" w:space="0" w:color="auto"/>
                <w:left w:val="none" w:sz="0" w:space="0" w:color="auto"/>
                <w:bottom w:val="none" w:sz="0" w:space="0" w:color="auto"/>
                <w:right w:val="none" w:sz="0" w:space="0" w:color="auto"/>
              </w:divBdr>
            </w:div>
          </w:divsChild>
        </w:div>
        <w:div w:id="501899954">
          <w:marLeft w:val="0"/>
          <w:marRight w:val="0"/>
          <w:marTop w:val="0"/>
          <w:marBottom w:val="0"/>
          <w:divBdr>
            <w:top w:val="none" w:sz="0" w:space="0" w:color="auto"/>
            <w:left w:val="none" w:sz="0" w:space="0" w:color="auto"/>
            <w:bottom w:val="none" w:sz="0" w:space="0" w:color="auto"/>
            <w:right w:val="none" w:sz="0" w:space="0" w:color="auto"/>
          </w:divBdr>
          <w:divsChild>
            <w:div w:id="1913661620">
              <w:marLeft w:val="0"/>
              <w:marRight w:val="0"/>
              <w:marTop w:val="0"/>
              <w:marBottom w:val="0"/>
              <w:divBdr>
                <w:top w:val="none" w:sz="0" w:space="0" w:color="auto"/>
                <w:left w:val="none" w:sz="0" w:space="0" w:color="auto"/>
                <w:bottom w:val="none" w:sz="0" w:space="0" w:color="auto"/>
                <w:right w:val="none" w:sz="0" w:space="0" w:color="auto"/>
              </w:divBdr>
            </w:div>
          </w:divsChild>
        </w:div>
        <w:div w:id="225147307">
          <w:marLeft w:val="0"/>
          <w:marRight w:val="0"/>
          <w:marTop w:val="0"/>
          <w:marBottom w:val="0"/>
          <w:divBdr>
            <w:top w:val="none" w:sz="0" w:space="0" w:color="auto"/>
            <w:left w:val="none" w:sz="0" w:space="0" w:color="auto"/>
            <w:bottom w:val="none" w:sz="0" w:space="0" w:color="auto"/>
            <w:right w:val="none" w:sz="0" w:space="0" w:color="auto"/>
          </w:divBdr>
          <w:divsChild>
            <w:div w:id="1548839633">
              <w:marLeft w:val="0"/>
              <w:marRight w:val="0"/>
              <w:marTop w:val="0"/>
              <w:marBottom w:val="0"/>
              <w:divBdr>
                <w:top w:val="none" w:sz="0" w:space="0" w:color="auto"/>
                <w:left w:val="none" w:sz="0" w:space="0" w:color="auto"/>
                <w:bottom w:val="none" w:sz="0" w:space="0" w:color="auto"/>
                <w:right w:val="none" w:sz="0" w:space="0" w:color="auto"/>
              </w:divBdr>
            </w:div>
          </w:divsChild>
        </w:div>
        <w:div w:id="1628006805">
          <w:marLeft w:val="0"/>
          <w:marRight w:val="0"/>
          <w:marTop w:val="0"/>
          <w:marBottom w:val="0"/>
          <w:divBdr>
            <w:top w:val="none" w:sz="0" w:space="0" w:color="auto"/>
            <w:left w:val="none" w:sz="0" w:space="0" w:color="auto"/>
            <w:bottom w:val="none" w:sz="0" w:space="0" w:color="auto"/>
            <w:right w:val="none" w:sz="0" w:space="0" w:color="auto"/>
          </w:divBdr>
          <w:divsChild>
            <w:div w:id="897204758">
              <w:marLeft w:val="0"/>
              <w:marRight w:val="0"/>
              <w:marTop w:val="0"/>
              <w:marBottom w:val="0"/>
              <w:divBdr>
                <w:top w:val="none" w:sz="0" w:space="0" w:color="auto"/>
                <w:left w:val="none" w:sz="0" w:space="0" w:color="auto"/>
                <w:bottom w:val="none" w:sz="0" w:space="0" w:color="auto"/>
                <w:right w:val="none" w:sz="0" w:space="0" w:color="auto"/>
              </w:divBdr>
            </w:div>
          </w:divsChild>
        </w:div>
        <w:div w:id="121929478">
          <w:marLeft w:val="0"/>
          <w:marRight w:val="0"/>
          <w:marTop w:val="0"/>
          <w:marBottom w:val="0"/>
          <w:divBdr>
            <w:top w:val="none" w:sz="0" w:space="0" w:color="auto"/>
            <w:left w:val="none" w:sz="0" w:space="0" w:color="auto"/>
            <w:bottom w:val="none" w:sz="0" w:space="0" w:color="auto"/>
            <w:right w:val="none" w:sz="0" w:space="0" w:color="auto"/>
          </w:divBdr>
          <w:divsChild>
            <w:div w:id="7623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4575">
      <w:bodyDiv w:val="1"/>
      <w:marLeft w:val="0"/>
      <w:marRight w:val="0"/>
      <w:marTop w:val="0"/>
      <w:marBottom w:val="0"/>
      <w:divBdr>
        <w:top w:val="none" w:sz="0" w:space="0" w:color="auto"/>
        <w:left w:val="none" w:sz="0" w:space="0" w:color="auto"/>
        <w:bottom w:val="none" w:sz="0" w:space="0" w:color="auto"/>
        <w:right w:val="none" w:sz="0" w:space="0" w:color="auto"/>
      </w:divBdr>
      <w:divsChild>
        <w:div w:id="787897317">
          <w:marLeft w:val="0"/>
          <w:marRight w:val="0"/>
          <w:marTop w:val="0"/>
          <w:marBottom w:val="0"/>
          <w:divBdr>
            <w:top w:val="none" w:sz="0" w:space="0" w:color="auto"/>
            <w:left w:val="none" w:sz="0" w:space="0" w:color="auto"/>
            <w:bottom w:val="none" w:sz="0" w:space="0" w:color="auto"/>
            <w:right w:val="none" w:sz="0" w:space="0" w:color="auto"/>
          </w:divBdr>
          <w:divsChild>
            <w:div w:id="1233731299">
              <w:marLeft w:val="0"/>
              <w:marRight w:val="0"/>
              <w:marTop w:val="0"/>
              <w:marBottom w:val="0"/>
              <w:divBdr>
                <w:top w:val="none" w:sz="0" w:space="0" w:color="auto"/>
                <w:left w:val="none" w:sz="0" w:space="0" w:color="auto"/>
                <w:bottom w:val="none" w:sz="0" w:space="0" w:color="auto"/>
                <w:right w:val="none" w:sz="0" w:space="0" w:color="auto"/>
              </w:divBdr>
            </w:div>
          </w:divsChild>
        </w:div>
        <w:div w:id="618145389">
          <w:marLeft w:val="0"/>
          <w:marRight w:val="0"/>
          <w:marTop w:val="0"/>
          <w:marBottom w:val="0"/>
          <w:divBdr>
            <w:top w:val="none" w:sz="0" w:space="0" w:color="auto"/>
            <w:left w:val="none" w:sz="0" w:space="0" w:color="auto"/>
            <w:bottom w:val="none" w:sz="0" w:space="0" w:color="auto"/>
            <w:right w:val="none" w:sz="0" w:space="0" w:color="auto"/>
          </w:divBdr>
          <w:divsChild>
            <w:div w:id="1897163698">
              <w:marLeft w:val="0"/>
              <w:marRight w:val="0"/>
              <w:marTop w:val="0"/>
              <w:marBottom w:val="0"/>
              <w:divBdr>
                <w:top w:val="none" w:sz="0" w:space="0" w:color="auto"/>
                <w:left w:val="none" w:sz="0" w:space="0" w:color="auto"/>
                <w:bottom w:val="none" w:sz="0" w:space="0" w:color="auto"/>
                <w:right w:val="none" w:sz="0" w:space="0" w:color="auto"/>
              </w:divBdr>
            </w:div>
          </w:divsChild>
        </w:div>
        <w:div w:id="297616803">
          <w:marLeft w:val="0"/>
          <w:marRight w:val="0"/>
          <w:marTop w:val="0"/>
          <w:marBottom w:val="0"/>
          <w:divBdr>
            <w:top w:val="none" w:sz="0" w:space="0" w:color="auto"/>
            <w:left w:val="none" w:sz="0" w:space="0" w:color="auto"/>
            <w:bottom w:val="none" w:sz="0" w:space="0" w:color="auto"/>
            <w:right w:val="none" w:sz="0" w:space="0" w:color="auto"/>
          </w:divBdr>
          <w:divsChild>
            <w:div w:id="1208295283">
              <w:marLeft w:val="0"/>
              <w:marRight w:val="0"/>
              <w:marTop w:val="0"/>
              <w:marBottom w:val="0"/>
              <w:divBdr>
                <w:top w:val="none" w:sz="0" w:space="0" w:color="auto"/>
                <w:left w:val="none" w:sz="0" w:space="0" w:color="auto"/>
                <w:bottom w:val="none" w:sz="0" w:space="0" w:color="auto"/>
                <w:right w:val="none" w:sz="0" w:space="0" w:color="auto"/>
              </w:divBdr>
            </w:div>
          </w:divsChild>
        </w:div>
        <w:div w:id="708795548">
          <w:marLeft w:val="0"/>
          <w:marRight w:val="0"/>
          <w:marTop w:val="0"/>
          <w:marBottom w:val="0"/>
          <w:divBdr>
            <w:top w:val="none" w:sz="0" w:space="0" w:color="auto"/>
            <w:left w:val="none" w:sz="0" w:space="0" w:color="auto"/>
            <w:bottom w:val="none" w:sz="0" w:space="0" w:color="auto"/>
            <w:right w:val="none" w:sz="0" w:space="0" w:color="auto"/>
          </w:divBdr>
          <w:divsChild>
            <w:div w:id="483663582">
              <w:marLeft w:val="0"/>
              <w:marRight w:val="0"/>
              <w:marTop w:val="0"/>
              <w:marBottom w:val="0"/>
              <w:divBdr>
                <w:top w:val="none" w:sz="0" w:space="0" w:color="auto"/>
                <w:left w:val="none" w:sz="0" w:space="0" w:color="auto"/>
                <w:bottom w:val="none" w:sz="0" w:space="0" w:color="auto"/>
                <w:right w:val="none" w:sz="0" w:space="0" w:color="auto"/>
              </w:divBdr>
            </w:div>
          </w:divsChild>
        </w:div>
        <w:div w:id="939139643">
          <w:marLeft w:val="0"/>
          <w:marRight w:val="0"/>
          <w:marTop w:val="0"/>
          <w:marBottom w:val="0"/>
          <w:divBdr>
            <w:top w:val="none" w:sz="0" w:space="0" w:color="auto"/>
            <w:left w:val="none" w:sz="0" w:space="0" w:color="auto"/>
            <w:bottom w:val="none" w:sz="0" w:space="0" w:color="auto"/>
            <w:right w:val="none" w:sz="0" w:space="0" w:color="auto"/>
          </w:divBdr>
          <w:divsChild>
            <w:div w:id="2140949694">
              <w:marLeft w:val="0"/>
              <w:marRight w:val="0"/>
              <w:marTop w:val="0"/>
              <w:marBottom w:val="0"/>
              <w:divBdr>
                <w:top w:val="none" w:sz="0" w:space="0" w:color="auto"/>
                <w:left w:val="none" w:sz="0" w:space="0" w:color="auto"/>
                <w:bottom w:val="none" w:sz="0" w:space="0" w:color="auto"/>
                <w:right w:val="none" w:sz="0" w:space="0" w:color="auto"/>
              </w:divBdr>
            </w:div>
          </w:divsChild>
        </w:div>
        <w:div w:id="1290091231">
          <w:marLeft w:val="0"/>
          <w:marRight w:val="0"/>
          <w:marTop w:val="0"/>
          <w:marBottom w:val="0"/>
          <w:divBdr>
            <w:top w:val="none" w:sz="0" w:space="0" w:color="auto"/>
            <w:left w:val="none" w:sz="0" w:space="0" w:color="auto"/>
            <w:bottom w:val="none" w:sz="0" w:space="0" w:color="auto"/>
            <w:right w:val="none" w:sz="0" w:space="0" w:color="auto"/>
          </w:divBdr>
          <w:divsChild>
            <w:div w:id="1098715099">
              <w:marLeft w:val="0"/>
              <w:marRight w:val="0"/>
              <w:marTop w:val="0"/>
              <w:marBottom w:val="0"/>
              <w:divBdr>
                <w:top w:val="none" w:sz="0" w:space="0" w:color="auto"/>
                <w:left w:val="none" w:sz="0" w:space="0" w:color="auto"/>
                <w:bottom w:val="none" w:sz="0" w:space="0" w:color="auto"/>
                <w:right w:val="none" w:sz="0" w:space="0" w:color="auto"/>
              </w:divBdr>
            </w:div>
          </w:divsChild>
        </w:div>
        <w:div w:id="1863855274">
          <w:marLeft w:val="0"/>
          <w:marRight w:val="0"/>
          <w:marTop w:val="0"/>
          <w:marBottom w:val="0"/>
          <w:divBdr>
            <w:top w:val="none" w:sz="0" w:space="0" w:color="auto"/>
            <w:left w:val="none" w:sz="0" w:space="0" w:color="auto"/>
            <w:bottom w:val="none" w:sz="0" w:space="0" w:color="auto"/>
            <w:right w:val="none" w:sz="0" w:space="0" w:color="auto"/>
          </w:divBdr>
          <w:divsChild>
            <w:div w:id="293407114">
              <w:marLeft w:val="0"/>
              <w:marRight w:val="0"/>
              <w:marTop w:val="0"/>
              <w:marBottom w:val="0"/>
              <w:divBdr>
                <w:top w:val="none" w:sz="0" w:space="0" w:color="auto"/>
                <w:left w:val="none" w:sz="0" w:space="0" w:color="auto"/>
                <w:bottom w:val="none" w:sz="0" w:space="0" w:color="auto"/>
                <w:right w:val="none" w:sz="0" w:space="0" w:color="auto"/>
              </w:divBdr>
            </w:div>
          </w:divsChild>
        </w:div>
        <w:div w:id="1929073615">
          <w:marLeft w:val="0"/>
          <w:marRight w:val="0"/>
          <w:marTop w:val="0"/>
          <w:marBottom w:val="0"/>
          <w:divBdr>
            <w:top w:val="none" w:sz="0" w:space="0" w:color="auto"/>
            <w:left w:val="none" w:sz="0" w:space="0" w:color="auto"/>
            <w:bottom w:val="none" w:sz="0" w:space="0" w:color="auto"/>
            <w:right w:val="none" w:sz="0" w:space="0" w:color="auto"/>
          </w:divBdr>
          <w:divsChild>
            <w:div w:id="188491158">
              <w:marLeft w:val="0"/>
              <w:marRight w:val="0"/>
              <w:marTop w:val="0"/>
              <w:marBottom w:val="0"/>
              <w:divBdr>
                <w:top w:val="none" w:sz="0" w:space="0" w:color="auto"/>
                <w:left w:val="none" w:sz="0" w:space="0" w:color="auto"/>
                <w:bottom w:val="none" w:sz="0" w:space="0" w:color="auto"/>
                <w:right w:val="none" w:sz="0" w:space="0" w:color="auto"/>
              </w:divBdr>
            </w:div>
          </w:divsChild>
        </w:div>
        <w:div w:id="1098217244">
          <w:marLeft w:val="0"/>
          <w:marRight w:val="0"/>
          <w:marTop w:val="0"/>
          <w:marBottom w:val="0"/>
          <w:divBdr>
            <w:top w:val="none" w:sz="0" w:space="0" w:color="auto"/>
            <w:left w:val="none" w:sz="0" w:space="0" w:color="auto"/>
            <w:bottom w:val="none" w:sz="0" w:space="0" w:color="auto"/>
            <w:right w:val="none" w:sz="0" w:space="0" w:color="auto"/>
          </w:divBdr>
          <w:divsChild>
            <w:div w:id="1463692580">
              <w:marLeft w:val="0"/>
              <w:marRight w:val="0"/>
              <w:marTop w:val="0"/>
              <w:marBottom w:val="0"/>
              <w:divBdr>
                <w:top w:val="none" w:sz="0" w:space="0" w:color="auto"/>
                <w:left w:val="none" w:sz="0" w:space="0" w:color="auto"/>
                <w:bottom w:val="none" w:sz="0" w:space="0" w:color="auto"/>
                <w:right w:val="none" w:sz="0" w:space="0" w:color="auto"/>
              </w:divBdr>
            </w:div>
          </w:divsChild>
        </w:div>
        <w:div w:id="1143694496">
          <w:marLeft w:val="0"/>
          <w:marRight w:val="0"/>
          <w:marTop w:val="0"/>
          <w:marBottom w:val="0"/>
          <w:divBdr>
            <w:top w:val="none" w:sz="0" w:space="0" w:color="auto"/>
            <w:left w:val="none" w:sz="0" w:space="0" w:color="auto"/>
            <w:bottom w:val="none" w:sz="0" w:space="0" w:color="auto"/>
            <w:right w:val="none" w:sz="0" w:space="0" w:color="auto"/>
          </w:divBdr>
          <w:divsChild>
            <w:div w:id="421074086">
              <w:marLeft w:val="0"/>
              <w:marRight w:val="0"/>
              <w:marTop w:val="0"/>
              <w:marBottom w:val="0"/>
              <w:divBdr>
                <w:top w:val="none" w:sz="0" w:space="0" w:color="auto"/>
                <w:left w:val="none" w:sz="0" w:space="0" w:color="auto"/>
                <w:bottom w:val="none" w:sz="0" w:space="0" w:color="auto"/>
                <w:right w:val="none" w:sz="0" w:space="0" w:color="auto"/>
              </w:divBdr>
            </w:div>
          </w:divsChild>
        </w:div>
        <w:div w:id="710152984">
          <w:marLeft w:val="0"/>
          <w:marRight w:val="0"/>
          <w:marTop w:val="0"/>
          <w:marBottom w:val="0"/>
          <w:divBdr>
            <w:top w:val="none" w:sz="0" w:space="0" w:color="auto"/>
            <w:left w:val="none" w:sz="0" w:space="0" w:color="auto"/>
            <w:bottom w:val="none" w:sz="0" w:space="0" w:color="auto"/>
            <w:right w:val="none" w:sz="0" w:space="0" w:color="auto"/>
          </w:divBdr>
          <w:divsChild>
            <w:div w:id="1889410445">
              <w:marLeft w:val="0"/>
              <w:marRight w:val="0"/>
              <w:marTop w:val="0"/>
              <w:marBottom w:val="0"/>
              <w:divBdr>
                <w:top w:val="none" w:sz="0" w:space="0" w:color="auto"/>
                <w:left w:val="none" w:sz="0" w:space="0" w:color="auto"/>
                <w:bottom w:val="none" w:sz="0" w:space="0" w:color="auto"/>
                <w:right w:val="none" w:sz="0" w:space="0" w:color="auto"/>
              </w:divBdr>
            </w:div>
          </w:divsChild>
        </w:div>
        <w:div w:id="1735077771">
          <w:marLeft w:val="0"/>
          <w:marRight w:val="0"/>
          <w:marTop w:val="0"/>
          <w:marBottom w:val="0"/>
          <w:divBdr>
            <w:top w:val="none" w:sz="0" w:space="0" w:color="auto"/>
            <w:left w:val="none" w:sz="0" w:space="0" w:color="auto"/>
            <w:bottom w:val="none" w:sz="0" w:space="0" w:color="auto"/>
            <w:right w:val="none" w:sz="0" w:space="0" w:color="auto"/>
          </w:divBdr>
          <w:divsChild>
            <w:div w:id="519972359">
              <w:marLeft w:val="0"/>
              <w:marRight w:val="0"/>
              <w:marTop w:val="0"/>
              <w:marBottom w:val="0"/>
              <w:divBdr>
                <w:top w:val="none" w:sz="0" w:space="0" w:color="auto"/>
                <w:left w:val="none" w:sz="0" w:space="0" w:color="auto"/>
                <w:bottom w:val="none" w:sz="0" w:space="0" w:color="auto"/>
                <w:right w:val="none" w:sz="0" w:space="0" w:color="auto"/>
              </w:divBdr>
            </w:div>
          </w:divsChild>
        </w:div>
        <w:div w:id="1259873299">
          <w:marLeft w:val="0"/>
          <w:marRight w:val="0"/>
          <w:marTop w:val="0"/>
          <w:marBottom w:val="0"/>
          <w:divBdr>
            <w:top w:val="none" w:sz="0" w:space="0" w:color="auto"/>
            <w:left w:val="none" w:sz="0" w:space="0" w:color="auto"/>
            <w:bottom w:val="none" w:sz="0" w:space="0" w:color="auto"/>
            <w:right w:val="none" w:sz="0" w:space="0" w:color="auto"/>
          </w:divBdr>
          <w:divsChild>
            <w:div w:id="224338525">
              <w:marLeft w:val="0"/>
              <w:marRight w:val="0"/>
              <w:marTop w:val="0"/>
              <w:marBottom w:val="0"/>
              <w:divBdr>
                <w:top w:val="none" w:sz="0" w:space="0" w:color="auto"/>
                <w:left w:val="none" w:sz="0" w:space="0" w:color="auto"/>
                <w:bottom w:val="none" w:sz="0" w:space="0" w:color="auto"/>
                <w:right w:val="none" w:sz="0" w:space="0" w:color="auto"/>
              </w:divBdr>
            </w:div>
          </w:divsChild>
        </w:div>
        <w:div w:id="1348363130">
          <w:marLeft w:val="0"/>
          <w:marRight w:val="0"/>
          <w:marTop w:val="0"/>
          <w:marBottom w:val="0"/>
          <w:divBdr>
            <w:top w:val="none" w:sz="0" w:space="0" w:color="auto"/>
            <w:left w:val="none" w:sz="0" w:space="0" w:color="auto"/>
            <w:bottom w:val="none" w:sz="0" w:space="0" w:color="auto"/>
            <w:right w:val="none" w:sz="0" w:space="0" w:color="auto"/>
          </w:divBdr>
          <w:divsChild>
            <w:div w:id="2090225912">
              <w:marLeft w:val="0"/>
              <w:marRight w:val="0"/>
              <w:marTop w:val="0"/>
              <w:marBottom w:val="0"/>
              <w:divBdr>
                <w:top w:val="none" w:sz="0" w:space="0" w:color="auto"/>
                <w:left w:val="none" w:sz="0" w:space="0" w:color="auto"/>
                <w:bottom w:val="none" w:sz="0" w:space="0" w:color="auto"/>
                <w:right w:val="none" w:sz="0" w:space="0" w:color="auto"/>
              </w:divBdr>
            </w:div>
          </w:divsChild>
        </w:div>
        <w:div w:id="1274283184">
          <w:marLeft w:val="0"/>
          <w:marRight w:val="0"/>
          <w:marTop w:val="0"/>
          <w:marBottom w:val="0"/>
          <w:divBdr>
            <w:top w:val="none" w:sz="0" w:space="0" w:color="auto"/>
            <w:left w:val="none" w:sz="0" w:space="0" w:color="auto"/>
            <w:bottom w:val="none" w:sz="0" w:space="0" w:color="auto"/>
            <w:right w:val="none" w:sz="0" w:space="0" w:color="auto"/>
          </w:divBdr>
          <w:divsChild>
            <w:div w:id="1814058419">
              <w:marLeft w:val="0"/>
              <w:marRight w:val="0"/>
              <w:marTop w:val="0"/>
              <w:marBottom w:val="0"/>
              <w:divBdr>
                <w:top w:val="none" w:sz="0" w:space="0" w:color="auto"/>
                <w:left w:val="none" w:sz="0" w:space="0" w:color="auto"/>
                <w:bottom w:val="none" w:sz="0" w:space="0" w:color="auto"/>
                <w:right w:val="none" w:sz="0" w:space="0" w:color="auto"/>
              </w:divBdr>
            </w:div>
          </w:divsChild>
        </w:div>
        <w:div w:id="915045946">
          <w:marLeft w:val="0"/>
          <w:marRight w:val="0"/>
          <w:marTop w:val="0"/>
          <w:marBottom w:val="0"/>
          <w:divBdr>
            <w:top w:val="none" w:sz="0" w:space="0" w:color="auto"/>
            <w:left w:val="none" w:sz="0" w:space="0" w:color="auto"/>
            <w:bottom w:val="none" w:sz="0" w:space="0" w:color="auto"/>
            <w:right w:val="none" w:sz="0" w:space="0" w:color="auto"/>
          </w:divBdr>
          <w:divsChild>
            <w:div w:id="13726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23f75e02-abe7-4113-bd3b-8063a39ba078">Final</Archive>
    <Topic xmlns="23f75e02-abe7-4113-bd3b-8063a39ba078">FINAL Supplementary Files for paper </Topic>
    <Category xmlns="23f75e02-abe7-4113-bd3b-8063a39ba078" xsi:nil="true"/>
    <Docgroup xmlns="23f75e02-abe7-4113-bd3b-8063a39ba0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05A1C0D1165745AAE535A012DAB55A" ma:contentTypeVersion="6" ma:contentTypeDescription="Create a new document." ma:contentTypeScope="" ma:versionID="7a387d54c001c166f3b350319c6cd062">
  <xsd:schema xmlns:xsd="http://www.w3.org/2001/XMLSchema" xmlns:xs="http://www.w3.org/2001/XMLSchema" xmlns:p="http://schemas.microsoft.com/office/2006/metadata/properties" xmlns:ns2="23f75e02-abe7-4113-bd3b-8063a39ba078" targetNamespace="http://schemas.microsoft.com/office/2006/metadata/properties" ma:root="true" ma:fieldsID="15c02eda3bca4e0f4ca707bf8392ab0e" ns2:_="">
    <xsd:import namespace="23f75e02-abe7-4113-bd3b-8063a39ba078"/>
    <xsd:element name="properties">
      <xsd:complexType>
        <xsd:sequence>
          <xsd:element name="documentManagement">
            <xsd:complexType>
              <xsd:all>
                <xsd:element ref="ns2:Category" minOccurs="0"/>
                <xsd:element ref="ns2:Topic" minOccurs="0"/>
                <xsd:element ref="ns2:MediaServiceMetadata" minOccurs="0"/>
                <xsd:element ref="ns2:MediaServiceFastMetadata" minOccurs="0"/>
                <xsd:element ref="ns2:Archive" minOccurs="0"/>
                <xsd:element ref="ns2:Doc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75e02-abe7-4113-bd3b-8063a39ba078"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Text">
          <xsd:maxLength value="255"/>
        </xsd:restriction>
      </xsd:simpleType>
    </xsd:element>
    <xsd:element name="Topic" ma:index="9" nillable="true" ma:displayName="Topic" ma:format="Dropdown" ma:internalName="Topic">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rchive" ma:index="12" nillable="true" ma:displayName="Status" ma:default="Draft/working" ma:format="Dropdown" ma:internalName="Archive">
      <xsd:simpleType>
        <xsd:restriction base="dms:Choice">
          <xsd:enumeration value="Draft/working"/>
          <xsd:enumeration value="Final"/>
          <xsd:enumeration value="Archive"/>
        </xsd:restriction>
      </xsd:simpleType>
    </xsd:element>
    <xsd:element name="Docgroup" ma:index="13" nillable="true" ma:displayName="Doc group" ma:format="Dropdown" ma:internalName="Doc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7B260-A07D-41CE-8F10-DE49F17232E7}">
  <ds:schemaRefs>
    <ds:schemaRef ds:uri="http://schemas.microsoft.com/office/2006/metadata/properties"/>
    <ds:schemaRef ds:uri="http://schemas.microsoft.com/office/infopath/2007/PartnerControls"/>
    <ds:schemaRef ds:uri="23f75e02-abe7-4113-bd3b-8063a39ba078"/>
  </ds:schemaRefs>
</ds:datastoreItem>
</file>

<file path=customXml/itemProps2.xml><?xml version="1.0" encoding="utf-8"?>
<ds:datastoreItem xmlns:ds="http://schemas.openxmlformats.org/officeDocument/2006/customXml" ds:itemID="{F68D8756-F42E-49C2-BD20-7D35358EB85D}">
  <ds:schemaRefs>
    <ds:schemaRef ds:uri="http://schemas.microsoft.com/sharepoint/v3/contenttype/forms"/>
  </ds:schemaRefs>
</ds:datastoreItem>
</file>

<file path=customXml/itemProps3.xml><?xml version="1.0" encoding="utf-8"?>
<ds:datastoreItem xmlns:ds="http://schemas.openxmlformats.org/officeDocument/2006/customXml" ds:itemID="{7F3C39C0-42EC-46B4-B137-485C1F282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75e02-abe7-4113-bd3b-8063a39ba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1221</Words>
  <Characters>6961</Characters>
  <Application>Microsoft Office Word</Application>
  <DocSecurity>0</DocSecurity>
  <Lines>58</Lines>
  <Paragraphs>16</Paragraphs>
  <ScaleCrop>false</ScaleCrop>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Macintyre</dc:creator>
  <cp:keywords/>
  <dc:description/>
  <cp:lastModifiedBy>Deborah Shipton</cp:lastModifiedBy>
  <cp:revision>48</cp:revision>
  <dcterms:created xsi:type="dcterms:W3CDTF">2022-03-10T11:15:00Z</dcterms:created>
  <dcterms:modified xsi:type="dcterms:W3CDTF">2022-10-12T08:26:00Z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FileId">
    <vt:lpwstr>1811998</vt:lpwstr>
  </property>
  <property fmtid="{D5CDD505-2E9C-101B-9397-08002B2CF9AE}" pid="4" name="ContentTypeId">
    <vt:lpwstr>0x010100A905A1C0D1165745AAE535A012DAB55A</vt:lpwstr>
  </property>
  <property fmtid="{D5CDD505-2E9C-101B-9397-08002B2CF9AE}" pid="5" name="Order">
    <vt:r8>50400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InsertAsFootnote">
    <vt:lpwstr>False</vt:lpwstr>
  </property>
  <property fmtid="{D5CDD505-2E9C-101B-9397-08002B2CF9AE}" pid="10" name="StyleId">
    <vt:lpwstr>http://www.zotero.org/styles/vancouver</vt:lpwstr>
  </property>
</Properties>
</file>