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EF030" w14:textId="77777777" w:rsidR="008B2F7A" w:rsidRDefault="008B2F7A" w:rsidP="008B2F7A">
      <w:pPr>
        <w:rPr>
          <w:color w:val="000000" w:themeColor="text1"/>
        </w:rPr>
      </w:pPr>
      <w:r w:rsidRPr="00116630">
        <w:rPr>
          <w:color w:val="000000" w:themeColor="text1"/>
        </w:rPr>
        <w:t xml:space="preserve">Additional file </w:t>
      </w:r>
      <w:r>
        <w:rPr>
          <w:color w:val="000000" w:themeColor="text1"/>
        </w:rPr>
        <w:t>1</w:t>
      </w:r>
    </w:p>
    <w:tbl>
      <w:tblPr>
        <w:tblW w:w="13354" w:type="dxa"/>
        <w:tblInd w:w="-715" w:type="dxa"/>
        <w:tblBorders>
          <w:top w:val="nil"/>
          <w:left w:val="nil"/>
          <w:bottom w:val="nil"/>
          <w:right w:val="nil"/>
        </w:tblBorders>
        <w:tblLook w:val="0000" w:firstRow="0" w:lastRow="0" w:firstColumn="0" w:lastColumn="0" w:noHBand="0" w:noVBand="0"/>
      </w:tblPr>
      <w:tblGrid>
        <w:gridCol w:w="1842"/>
        <w:gridCol w:w="587"/>
        <w:gridCol w:w="6218"/>
        <w:gridCol w:w="1569"/>
        <w:gridCol w:w="1569"/>
        <w:gridCol w:w="1569"/>
      </w:tblGrid>
      <w:tr w:rsidR="008B2F7A" w:rsidRPr="004C1685" w14:paraId="402889B6" w14:textId="77777777" w:rsidTr="00E35CBD">
        <w:trPr>
          <w:gridAfter w:val="2"/>
          <w:wAfter w:w="3138" w:type="dxa"/>
          <w:trHeight w:val="65"/>
          <w:tblHeader/>
        </w:trPr>
        <w:tc>
          <w:tcPr>
            <w:tcW w:w="184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EA13AAD" w14:textId="77777777" w:rsidR="008B2F7A" w:rsidRPr="00930A31" w:rsidRDefault="008B2F7A" w:rsidP="00E35CBD">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A54E57F" w14:textId="77777777" w:rsidR="008B2F7A" w:rsidRPr="00930A31" w:rsidRDefault="008B2F7A" w:rsidP="00E35CBD">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621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5F5337E" w14:textId="77777777" w:rsidR="008B2F7A" w:rsidRPr="00930A31" w:rsidRDefault="008B2F7A" w:rsidP="00E35CBD">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56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AC55A5E" w14:textId="77777777" w:rsidR="008B2F7A" w:rsidRPr="00930A31" w:rsidRDefault="008B2F7A" w:rsidP="00E35CBD">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8B2F7A" w:rsidRPr="004C1685" w14:paraId="08778BED" w14:textId="77777777" w:rsidTr="00E35CBD">
        <w:trPr>
          <w:gridAfter w:val="2"/>
          <w:wAfter w:w="3138" w:type="dxa"/>
          <w:trHeight w:val="24"/>
        </w:trPr>
        <w:tc>
          <w:tcPr>
            <w:tcW w:w="86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37E27B" w14:textId="77777777" w:rsidR="008B2F7A" w:rsidRPr="00930A31" w:rsidRDefault="008B2F7A" w:rsidP="00E35CBD">
            <w:pPr>
              <w:pStyle w:val="Default"/>
              <w:rPr>
                <w:rFonts w:ascii="Arial" w:hAnsi="Arial" w:cs="Arial"/>
                <w:sz w:val="18"/>
                <w:szCs w:val="18"/>
              </w:rPr>
            </w:pPr>
            <w:r w:rsidRPr="00930A31">
              <w:rPr>
                <w:rFonts w:ascii="Arial" w:hAnsi="Arial" w:cs="Arial"/>
                <w:b/>
                <w:bCs/>
                <w:sz w:val="18"/>
                <w:szCs w:val="18"/>
              </w:rPr>
              <w:t xml:space="preserve">TITLE </w:t>
            </w:r>
          </w:p>
        </w:tc>
        <w:tc>
          <w:tcPr>
            <w:tcW w:w="1569" w:type="dxa"/>
            <w:tcBorders>
              <w:top w:val="double" w:sz="5" w:space="0" w:color="000000"/>
              <w:left w:val="single" w:sz="5" w:space="0" w:color="000000"/>
              <w:bottom w:val="single" w:sz="5" w:space="0" w:color="000000"/>
              <w:right w:val="single" w:sz="5" w:space="0" w:color="000000"/>
            </w:tcBorders>
            <w:shd w:val="clear" w:color="auto" w:fill="FFFFCC"/>
          </w:tcPr>
          <w:p w14:paraId="70F880F1" w14:textId="77777777" w:rsidR="008B2F7A" w:rsidRPr="00930A31" w:rsidRDefault="008B2F7A" w:rsidP="00E35CBD">
            <w:pPr>
              <w:pStyle w:val="Default"/>
              <w:jc w:val="right"/>
              <w:rPr>
                <w:rFonts w:ascii="Arial" w:hAnsi="Arial" w:cs="Arial"/>
                <w:color w:val="auto"/>
                <w:sz w:val="18"/>
                <w:szCs w:val="18"/>
              </w:rPr>
            </w:pPr>
          </w:p>
        </w:tc>
      </w:tr>
      <w:tr w:rsidR="008B2F7A" w:rsidRPr="004C1685" w14:paraId="7DAF6050" w14:textId="77777777" w:rsidTr="00E35CBD">
        <w:trPr>
          <w:gridAfter w:val="2"/>
          <w:wAfter w:w="3138" w:type="dxa"/>
          <w:trHeight w:val="48"/>
        </w:trPr>
        <w:tc>
          <w:tcPr>
            <w:tcW w:w="1842" w:type="dxa"/>
            <w:tcBorders>
              <w:top w:val="single" w:sz="5" w:space="0" w:color="000000"/>
              <w:left w:val="single" w:sz="5" w:space="0" w:color="000000"/>
              <w:bottom w:val="double" w:sz="2" w:space="0" w:color="FFFFCC"/>
              <w:right w:val="single" w:sz="5" w:space="0" w:color="000000"/>
            </w:tcBorders>
          </w:tcPr>
          <w:p w14:paraId="6D3FA5A3"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DC2544D"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w:t>
            </w:r>
          </w:p>
        </w:tc>
        <w:tc>
          <w:tcPr>
            <w:tcW w:w="6218" w:type="dxa"/>
            <w:tcBorders>
              <w:top w:val="single" w:sz="5" w:space="0" w:color="000000"/>
              <w:left w:val="single" w:sz="5" w:space="0" w:color="000000"/>
              <w:bottom w:val="double" w:sz="5" w:space="0" w:color="000000"/>
              <w:right w:val="single" w:sz="5" w:space="0" w:color="000000"/>
            </w:tcBorders>
          </w:tcPr>
          <w:p w14:paraId="6328F200"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569" w:type="dxa"/>
            <w:tcBorders>
              <w:top w:val="single" w:sz="5" w:space="0" w:color="000000"/>
              <w:left w:val="single" w:sz="5" w:space="0" w:color="000000"/>
              <w:bottom w:val="double" w:sz="5" w:space="0" w:color="000000"/>
              <w:right w:val="single" w:sz="5" w:space="0" w:color="000000"/>
            </w:tcBorders>
          </w:tcPr>
          <w:p w14:paraId="34D8D6A6"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8B2F7A" w:rsidRPr="004C1685" w14:paraId="34283F03" w14:textId="77777777" w:rsidTr="00E35CBD">
        <w:trPr>
          <w:trHeight w:val="24"/>
        </w:trPr>
        <w:tc>
          <w:tcPr>
            <w:tcW w:w="86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C0EDE3D" w14:textId="77777777" w:rsidR="008B2F7A" w:rsidRPr="00930A31" w:rsidRDefault="008B2F7A" w:rsidP="00E35CBD">
            <w:pPr>
              <w:pStyle w:val="Default"/>
              <w:rPr>
                <w:rFonts w:ascii="Arial" w:hAnsi="Arial" w:cs="Arial"/>
                <w:sz w:val="18"/>
                <w:szCs w:val="18"/>
              </w:rPr>
            </w:pPr>
            <w:r w:rsidRPr="00930A31">
              <w:rPr>
                <w:rFonts w:ascii="Arial" w:hAnsi="Arial" w:cs="Arial"/>
                <w:b/>
                <w:bCs/>
                <w:sz w:val="18"/>
                <w:szCs w:val="18"/>
              </w:rPr>
              <w:t xml:space="preserve">ABSTRACT </w:t>
            </w:r>
          </w:p>
        </w:tc>
        <w:tc>
          <w:tcPr>
            <w:tcW w:w="1569" w:type="dxa"/>
            <w:tcBorders>
              <w:top w:val="double" w:sz="5" w:space="0" w:color="000000"/>
              <w:left w:val="single" w:sz="5" w:space="0" w:color="000000"/>
              <w:bottom w:val="single" w:sz="5" w:space="0" w:color="000000"/>
              <w:right w:val="single" w:sz="5" w:space="0" w:color="000000"/>
            </w:tcBorders>
            <w:shd w:val="clear" w:color="auto" w:fill="FFFFCC"/>
          </w:tcPr>
          <w:p w14:paraId="7170A9B1" w14:textId="77777777" w:rsidR="008B2F7A" w:rsidRPr="00930A31" w:rsidRDefault="008B2F7A" w:rsidP="00E35CBD">
            <w:pPr>
              <w:pStyle w:val="Default"/>
              <w:jc w:val="right"/>
              <w:rPr>
                <w:rFonts w:ascii="Arial" w:hAnsi="Arial" w:cs="Arial"/>
                <w:color w:val="auto"/>
                <w:sz w:val="18"/>
                <w:szCs w:val="18"/>
              </w:rPr>
            </w:pPr>
          </w:p>
        </w:tc>
        <w:tc>
          <w:tcPr>
            <w:tcW w:w="1569" w:type="dxa"/>
          </w:tcPr>
          <w:p w14:paraId="0A2ADBD9" w14:textId="77777777" w:rsidR="008B2F7A" w:rsidRPr="004C1685" w:rsidRDefault="008B2F7A" w:rsidP="00E35CBD">
            <w:pPr>
              <w:spacing w:line="240" w:lineRule="auto"/>
            </w:pPr>
          </w:p>
        </w:tc>
        <w:tc>
          <w:tcPr>
            <w:tcW w:w="1569" w:type="dxa"/>
          </w:tcPr>
          <w:p w14:paraId="2940C091" w14:textId="77777777" w:rsidR="008B2F7A" w:rsidRPr="004C1685" w:rsidRDefault="008B2F7A" w:rsidP="00E35CBD">
            <w:pPr>
              <w:spacing w:line="240" w:lineRule="auto"/>
            </w:pPr>
          </w:p>
        </w:tc>
      </w:tr>
      <w:tr w:rsidR="008B2F7A" w:rsidRPr="004C1685" w14:paraId="0FD62111" w14:textId="77777777" w:rsidTr="00E35CBD">
        <w:trPr>
          <w:gridAfter w:val="2"/>
          <w:wAfter w:w="3138" w:type="dxa"/>
          <w:trHeight w:val="48"/>
        </w:trPr>
        <w:tc>
          <w:tcPr>
            <w:tcW w:w="1842" w:type="dxa"/>
            <w:tcBorders>
              <w:top w:val="single" w:sz="5" w:space="0" w:color="000000"/>
              <w:left w:val="single" w:sz="5" w:space="0" w:color="000000"/>
              <w:bottom w:val="double" w:sz="2" w:space="0" w:color="FFFFCC"/>
              <w:right w:val="single" w:sz="5" w:space="0" w:color="000000"/>
            </w:tcBorders>
          </w:tcPr>
          <w:p w14:paraId="070622BF"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16FA5E6"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w:t>
            </w:r>
          </w:p>
        </w:tc>
        <w:tc>
          <w:tcPr>
            <w:tcW w:w="6218" w:type="dxa"/>
            <w:tcBorders>
              <w:top w:val="single" w:sz="5" w:space="0" w:color="000000"/>
              <w:left w:val="single" w:sz="5" w:space="0" w:color="000000"/>
              <w:bottom w:val="double" w:sz="5" w:space="0" w:color="000000"/>
              <w:right w:val="single" w:sz="5" w:space="0" w:color="000000"/>
            </w:tcBorders>
          </w:tcPr>
          <w:p w14:paraId="033C17FD"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569" w:type="dxa"/>
            <w:tcBorders>
              <w:top w:val="single" w:sz="5" w:space="0" w:color="000000"/>
              <w:left w:val="single" w:sz="5" w:space="0" w:color="000000"/>
              <w:bottom w:val="double" w:sz="5" w:space="0" w:color="000000"/>
              <w:right w:val="single" w:sz="5" w:space="0" w:color="000000"/>
            </w:tcBorders>
          </w:tcPr>
          <w:p w14:paraId="3370F790"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1 – 2</w:t>
            </w:r>
          </w:p>
        </w:tc>
      </w:tr>
      <w:tr w:rsidR="008B2F7A" w:rsidRPr="004C1685" w14:paraId="1418BE80" w14:textId="77777777" w:rsidTr="00E35CBD">
        <w:trPr>
          <w:trHeight w:val="24"/>
        </w:trPr>
        <w:tc>
          <w:tcPr>
            <w:tcW w:w="86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BF33D0" w14:textId="77777777" w:rsidR="008B2F7A" w:rsidRPr="00930A31" w:rsidRDefault="008B2F7A" w:rsidP="00E35CBD">
            <w:pPr>
              <w:pStyle w:val="Default"/>
              <w:rPr>
                <w:rFonts w:ascii="Arial" w:hAnsi="Arial" w:cs="Arial"/>
                <w:sz w:val="18"/>
                <w:szCs w:val="18"/>
              </w:rPr>
            </w:pPr>
            <w:r w:rsidRPr="00930A31">
              <w:rPr>
                <w:rFonts w:ascii="Arial" w:hAnsi="Arial" w:cs="Arial"/>
                <w:b/>
                <w:bCs/>
                <w:sz w:val="18"/>
                <w:szCs w:val="18"/>
              </w:rPr>
              <w:t xml:space="preserve">INTRODUCTION </w:t>
            </w:r>
          </w:p>
        </w:tc>
        <w:tc>
          <w:tcPr>
            <w:tcW w:w="1569" w:type="dxa"/>
            <w:tcBorders>
              <w:top w:val="double" w:sz="5" w:space="0" w:color="000000"/>
              <w:left w:val="single" w:sz="5" w:space="0" w:color="000000"/>
              <w:bottom w:val="single" w:sz="5" w:space="0" w:color="000000"/>
              <w:right w:val="single" w:sz="5" w:space="0" w:color="000000"/>
            </w:tcBorders>
            <w:shd w:val="clear" w:color="auto" w:fill="FFFFCC"/>
          </w:tcPr>
          <w:p w14:paraId="56337399" w14:textId="77777777" w:rsidR="008B2F7A" w:rsidRPr="00930A31" w:rsidRDefault="008B2F7A" w:rsidP="00E35CBD">
            <w:pPr>
              <w:pStyle w:val="Default"/>
              <w:jc w:val="right"/>
              <w:rPr>
                <w:rFonts w:ascii="Arial" w:hAnsi="Arial" w:cs="Arial"/>
                <w:color w:val="auto"/>
                <w:sz w:val="18"/>
                <w:szCs w:val="18"/>
              </w:rPr>
            </w:pPr>
          </w:p>
        </w:tc>
        <w:tc>
          <w:tcPr>
            <w:tcW w:w="1569" w:type="dxa"/>
          </w:tcPr>
          <w:p w14:paraId="0EE6A7E6" w14:textId="77777777" w:rsidR="008B2F7A" w:rsidRPr="004C1685" w:rsidRDefault="008B2F7A" w:rsidP="00E35CBD">
            <w:pPr>
              <w:spacing w:line="240" w:lineRule="auto"/>
            </w:pPr>
          </w:p>
        </w:tc>
        <w:tc>
          <w:tcPr>
            <w:tcW w:w="1569" w:type="dxa"/>
          </w:tcPr>
          <w:p w14:paraId="41C3EAF0" w14:textId="77777777" w:rsidR="008B2F7A" w:rsidRPr="004C1685" w:rsidRDefault="008B2F7A" w:rsidP="00E35CBD">
            <w:pPr>
              <w:spacing w:line="240" w:lineRule="auto"/>
            </w:pPr>
          </w:p>
        </w:tc>
      </w:tr>
      <w:tr w:rsidR="008B2F7A" w:rsidRPr="004C1685" w14:paraId="6B9EDA1E" w14:textId="77777777" w:rsidTr="00E35CBD">
        <w:trPr>
          <w:gridAfter w:val="2"/>
          <w:wAfter w:w="3138" w:type="dxa"/>
          <w:trHeight w:val="48"/>
        </w:trPr>
        <w:tc>
          <w:tcPr>
            <w:tcW w:w="1842" w:type="dxa"/>
            <w:tcBorders>
              <w:top w:val="single" w:sz="5" w:space="0" w:color="000000"/>
              <w:left w:val="single" w:sz="5" w:space="0" w:color="000000"/>
              <w:bottom w:val="single" w:sz="5" w:space="0" w:color="000000"/>
              <w:right w:val="single" w:sz="5" w:space="0" w:color="000000"/>
            </w:tcBorders>
          </w:tcPr>
          <w:p w14:paraId="1450E8A7"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EFA1253"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3</w:t>
            </w:r>
          </w:p>
        </w:tc>
        <w:tc>
          <w:tcPr>
            <w:tcW w:w="6218" w:type="dxa"/>
            <w:tcBorders>
              <w:top w:val="single" w:sz="5" w:space="0" w:color="000000"/>
              <w:left w:val="single" w:sz="5" w:space="0" w:color="000000"/>
              <w:bottom w:val="single" w:sz="5" w:space="0" w:color="000000"/>
              <w:right w:val="single" w:sz="5" w:space="0" w:color="000000"/>
            </w:tcBorders>
          </w:tcPr>
          <w:p w14:paraId="5A9DFB2D"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569" w:type="dxa"/>
            <w:tcBorders>
              <w:top w:val="single" w:sz="5" w:space="0" w:color="000000"/>
              <w:left w:val="single" w:sz="5" w:space="0" w:color="000000"/>
              <w:bottom w:val="single" w:sz="5" w:space="0" w:color="000000"/>
              <w:right w:val="single" w:sz="5" w:space="0" w:color="000000"/>
            </w:tcBorders>
          </w:tcPr>
          <w:p w14:paraId="79B9E54E"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3 - 4</w:t>
            </w:r>
          </w:p>
        </w:tc>
      </w:tr>
      <w:tr w:rsidR="008B2F7A" w:rsidRPr="004C1685" w14:paraId="06A08A3B" w14:textId="77777777" w:rsidTr="00E35CBD">
        <w:trPr>
          <w:gridAfter w:val="2"/>
          <w:wAfter w:w="3138" w:type="dxa"/>
          <w:trHeight w:val="48"/>
        </w:trPr>
        <w:tc>
          <w:tcPr>
            <w:tcW w:w="1842" w:type="dxa"/>
            <w:tcBorders>
              <w:top w:val="single" w:sz="5" w:space="0" w:color="000000"/>
              <w:left w:val="single" w:sz="5" w:space="0" w:color="000000"/>
              <w:bottom w:val="double" w:sz="2" w:space="0" w:color="FFFFCC"/>
              <w:right w:val="single" w:sz="5" w:space="0" w:color="000000"/>
            </w:tcBorders>
          </w:tcPr>
          <w:p w14:paraId="4822A99C"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74D1911F"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4</w:t>
            </w:r>
          </w:p>
        </w:tc>
        <w:tc>
          <w:tcPr>
            <w:tcW w:w="6218" w:type="dxa"/>
            <w:tcBorders>
              <w:top w:val="single" w:sz="5" w:space="0" w:color="000000"/>
              <w:left w:val="single" w:sz="5" w:space="0" w:color="000000"/>
              <w:bottom w:val="double" w:sz="5" w:space="0" w:color="000000"/>
              <w:right w:val="single" w:sz="5" w:space="0" w:color="000000"/>
            </w:tcBorders>
          </w:tcPr>
          <w:p w14:paraId="26B94F18"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569" w:type="dxa"/>
            <w:tcBorders>
              <w:top w:val="single" w:sz="5" w:space="0" w:color="000000"/>
              <w:left w:val="single" w:sz="5" w:space="0" w:color="000000"/>
              <w:bottom w:val="double" w:sz="5" w:space="0" w:color="000000"/>
              <w:right w:val="single" w:sz="5" w:space="0" w:color="000000"/>
            </w:tcBorders>
          </w:tcPr>
          <w:p w14:paraId="2E1C16B9"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8B2F7A" w:rsidRPr="004C1685" w14:paraId="505544A1" w14:textId="77777777" w:rsidTr="00E35CBD">
        <w:trPr>
          <w:trHeight w:val="24"/>
        </w:trPr>
        <w:tc>
          <w:tcPr>
            <w:tcW w:w="86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7E3B6CC" w14:textId="77777777" w:rsidR="008B2F7A" w:rsidRPr="00930A31" w:rsidRDefault="008B2F7A" w:rsidP="00E35CBD">
            <w:pPr>
              <w:pStyle w:val="Default"/>
              <w:rPr>
                <w:rFonts w:ascii="Arial" w:hAnsi="Arial" w:cs="Arial"/>
                <w:sz w:val="18"/>
                <w:szCs w:val="18"/>
              </w:rPr>
            </w:pPr>
            <w:r w:rsidRPr="00930A31">
              <w:rPr>
                <w:rFonts w:ascii="Arial" w:hAnsi="Arial" w:cs="Arial"/>
                <w:b/>
                <w:bCs/>
                <w:sz w:val="18"/>
                <w:szCs w:val="18"/>
              </w:rPr>
              <w:t xml:space="preserve">METHODS </w:t>
            </w:r>
          </w:p>
        </w:tc>
        <w:tc>
          <w:tcPr>
            <w:tcW w:w="1569" w:type="dxa"/>
            <w:tcBorders>
              <w:top w:val="double" w:sz="5" w:space="0" w:color="000000"/>
              <w:left w:val="single" w:sz="5" w:space="0" w:color="000000"/>
              <w:bottom w:val="single" w:sz="5" w:space="0" w:color="000000"/>
              <w:right w:val="single" w:sz="5" w:space="0" w:color="000000"/>
            </w:tcBorders>
            <w:shd w:val="clear" w:color="auto" w:fill="FFFFCC"/>
          </w:tcPr>
          <w:p w14:paraId="55E8A73F" w14:textId="77777777" w:rsidR="008B2F7A" w:rsidRPr="00930A31" w:rsidRDefault="008B2F7A" w:rsidP="00E35CBD">
            <w:pPr>
              <w:pStyle w:val="Default"/>
              <w:jc w:val="right"/>
              <w:rPr>
                <w:rFonts w:ascii="Arial" w:hAnsi="Arial" w:cs="Arial"/>
                <w:color w:val="auto"/>
                <w:sz w:val="18"/>
                <w:szCs w:val="18"/>
              </w:rPr>
            </w:pPr>
          </w:p>
        </w:tc>
        <w:tc>
          <w:tcPr>
            <w:tcW w:w="1569" w:type="dxa"/>
          </w:tcPr>
          <w:p w14:paraId="5964EE62" w14:textId="77777777" w:rsidR="008B2F7A" w:rsidRPr="004C1685" w:rsidRDefault="008B2F7A" w:rsidP="00E35CBD">
            <w:pPr>
              <w:spacing w:line="240" w:lineRule="auto"/>
            </w:pPr>
          </w:p>
        </w:tc>
        <w:tc>
          <w:tcPr>
            <w:tcW w:w="1569" w:type="dxa"/>
          </w:tcPr>
          <w:p w14:paraId="1019FEEB" w14:textId="77777777" w:rsidR="008B2F7A" w:rsidRPr="004C1685" w:rsidRDefault="008B2F7A" w:rsidP="00E35CBD">
            <w:pPr>
              <w:spacing w:line="240" w:lineRule="auto"/>
            </w:pPr>
          </w:p>
        </w:tc>
      </w:tr>
      <w:tr w:rsidR="008B2F7A" w:rsidRPr="004C1685" w14:paraId="3052F317" w14:textId="77777777" w:rsidTr="00E35CBD">
        <w:trPr>
          <w:gridAfter w:val="2"/>
          <w:wAfter w:w="3138" w:type="dxa"/>
          <w:trHeight w:val="48"/>
        </w:trPr>
        <w:tc>
          <w:tcPr>
            <w:tcW w:w="1842" w:type="dxa"/>
            <w:tcBorders>
              <w:top w:val="single" w:sz="5" w:space="0" w:color="000000"/>
              <w:left w:val="single" w:sz="5" w:space="0" w:color="000000"/>
              <w:bottom w:val="single" w:sz="5" w:space="0" w:color="000000"/>
              <w:right w:val="single" w:sz="5" w:space="0" w:color="000000"/>
            </w:tcBorders>
          </w:tcPr>
          <w:p w14:paraId="7236A45C"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4C4F64"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5</w:t>
            </w:r>
          </w:p>
        </w:tc>
        <w:tc>
          <w:tcPr>
            <w:tcW w:w="6218" w:type="dxa"/>
            <w:tcBorders>
              <w:top w:val="single" w:sz="5" w:space="0" w:color="000000"/>
              <w:left w:val="single" w:sz="5" w:space="0" w:color="000000"/>
              <w:bottom w:val="single" w:sz="5" w:space="0" w:color="000000"/>
              <w:right w:val="single" w:sz="5" w:space="0" w:color="000000"/>
            </w:tcBorders>
          </w:tcPr>
          <w:p w14:paraId="4B8E6D71"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569" w:type="dxa"/>
            <w:tcBorders>
              <w:top w:val="single" w:sz="5" w:space="0" w:color="000000"/>
              <w:left w:val="single" w:sz="5" w:space="0" w:color="000000"/>
              <w:bottom w:val="single" w:sz="5" w:space="0" w:color="000000"/>
              <w:right w:val="single" w:sz="5" w:space="0" w:color="000000"/>
            </w:tcBorders>
          </w:tcPr>
          <w:p w14:paraId="32097825"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8B2F7A" w:rsidRPr="004C1685" w14:paraId="73142F46" w14:textId="77777777" w:rsidTr="00E35CBD">
        <w:trPr>
          <w:gridAfter w:val="2"/>
          <w:wAfter w:w="3138" w:type="dxa"/>
          <w:trHeight w:val="191"/>
        </w:trPr>
        <w:tc>
          <w:tcPr>
            <w:tcW w:w="1842" w:type="dxa"/>
            <w:tcBorders>
              <w:top w:val="single" w:sz="5" w:space="0" w:color="000000"/>
              <w:left w:val="single" w:sz="5" w:space="0" w:color="000000"/>
              <w:bottom w:val="single" w:sz="5" w:space="0" w:color="000000"/>
              <w:right w:val="single" w:sz="5" w:space="0" w:color="000000"/>
            </w:tcBorders>
          </w:tcPr>
          <w:p w14:paraId="7944966A"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74B5146"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6</w:t>
            </w:r>
          </w:p>
        </w:tc>
        <w:tc>
          <w:tcPr>
            <w:tcW w:w="6218" w:type="dxa"/>
            <w:tcBorders>
              <w:top w:val="single" w:sz="5" w:space="0" w:color="000000"/>
              <w:left w:val="single" w:sz="5" w:space="0" w:color="000000"/>
              <w:bottom w:val="single" w:sz="5" w:space="0" w:color="000000"/>
              <w:right w:val="single" w:sz="5" w:space="0" w:color="000000"/>
            </w:tcBorders>
          </w:tcPr>
          <w:p w14:paraId="7F79D280"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569" w:type="dxa"/>
            <w:tcBorders>
              <w:top w:val="single" w:sz="5" w:space="0" w:color="000000"/>
              <w:left w:val="single" w:sz="5" w:space="0" w:color="000000"/>
              <w:bottom w:val="single" w:sz="5" w:space="0" w:color="000000"/>
              <w:right w:val="single" w:sz="5" w:space="0" w:color="000000"/>
            </w:tcBorders>
          </w:tcPr>
          <w:p w14:paraId="7F8D842A"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8B2F7A" w:rsidRPr="004C1685" w14:paraId="518E1107" w14:textId="77777777" w:rsidTr="00E35CBD">
        <w:trPr>
          <w:gridAfter w:val="2"/>
          <w:wAfter w:w="3138" w:type="dxa"/>
          <w:trHeight w:val="48"/>
        </w:trPr>
        <w:tc>
          <w:tcPr>
            <w:tcW w:w="1842" w:type="dxa"/>
            <w:tcBorders>
              <w:top w:val="single" w:sz="5" w:space="0" w:color="000000"/>
              <w:left w:val="single" w:sz="5" w:space="0" w:color="000000"/>
              <w:bottom w:val="single" w:sz="5" w:space="0" w:color="000000"/>
              <w:right w:val="single" w:sz="5" w:space="0" w:color="000000"/>
            </w:tcBorders>
          </w:tcPr>
          <w:p w14:paraId="68667F8C"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F380616"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7</w:t>
            </w:r>
          </w:p>
        </w:tc>
        <w:tc>
          <w:tcPr>
            <w:tcW w:w="6218" w:type="dxa"/>
            <w:tcBorders>
              <w:top w:val="single" w:sz="5" w:space="0" w:color="000000"/>
              <w:left w:val="single" w:sz="5" w:space="0" w:color="000000"/>
              <w:bottom w:val="single" w:sz="5" w:space="0" w:color="000000"/>
              <w:right w:val="single" w:sz="5" w:space="0" w:color="000000"/>
            </w:tcBorders>
          </w:tcPr>
          <w:p w14:paraId="634E46DE"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569" w:type="dxa"/>
            <w:tcBorders>
              <w:top w:val="single" w:sz="5" w:space="0" w:color="000000"/>
              <w:left w:val="single" w:sz="5" w:space="0" w:color="000000"/>
              <w:bottom w:val="single" w:sz="5" w:space="0" w:color="000000"/>
              <w:right w:val="single" w:sz="5" w:space="0" w:color="000000"/>
            </w:tcBorders>
          </w:tcPr>
          <w:p w14:paraId="4D019A6C"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Additional file 2</w:t>
            </w:r>
          </w:p>
        </w:tc>
      </w:tr>
      <w:tr w:rsidR="008B2F7A" w:rsidRPr="004C1685" w14:paraId="7923ED2E" w14:textId="77777777" w:rsidTr="00E35CBD">
        <w:trPr>
          <w:gridAfter w:val="2"/>
          <w:wAfter w:w="3138" w:type="dxa"/>
          <w:trHeight w:val="48"/>
        </w:trPr>
        <w:tc>
          <w:tcPr>
            <w:tcW w:w="1842" w:type="dxa"/>
            <w:tcBorders>
              <w:top w:val="single" w:sz="5" w:space="0" w:color="000000"/>
              <w:left w:val="single" w:sz="5" w:space="0" w:color="000000"/>
              <w:bottom w:val="single" w:sz="5" w:space="0" w:color="000000"/>
              <w:right w:val="single" w:sz="5" w:space="0" w:color="000000"/>
            </w:tcBorders>
          </w:tcPr>
          <w:p w14:paraId="523013AE"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96FE7C2"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8</w:t>
            </w:r>
          </w:p>
        </w:tc>
        <w:tc>
          <w:tcPr>
            <w:tcW w:w="6218" w:type="dxa"/>
            <w:tcBorders>
              <w:top w:val="single" w:sz="5" w:space="0" w:color="000000"/>
              <w:left w:val="single" w:sz="5" w:space="0" w:color="000000"/>
              <w:bottom w:val="single" w:sz="5" w:space="0" w:color="000000"/>
              <w:right w:val="single" w:sz="5" w:space="0" w:color="000000"/>
            </w:tcBorders>
          </w:tcPr>
          <w:p w14:paraId="751AC661"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69" w:type="dxa"/>
            <w:tcBorders>
              <w:top w:val="single" w:sz="5" w:space="0" w:color="000000"/>
              <w:left w:val="single" w:sz="5" w:space="0" w:color="000000"/>
              <w:bottom w:val="single" w:sz="5" w:space="0" w:color="000000"/>
              <w:right w:val="single" w:sz="5" w:space="0" w:color="000000"/>
            </w:tcBorders>
          </w:tcPr>
          <w:p w14:paraId="1F396D54" w14:textId="5F84DC7C"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4</w:t>
            </w:r>
            <w:r w:rsidR="00CB4CFD">
              <w:rPr>
                <w:rFonts w:ascii="Arial" w:hAnsi="Arial" w:cs="Arial"/>
                <w:color w:val="auto"/>
                <w:sz w:val="18"/>
                <w:szCs w:val="18"/>
              </w:rPr>
              <w:t xml:space="preserve"> - 5</w:t>
            </w:r>
          </w:p>
        </w:tc>
      </w:tr>
      <w:tr w:rsidR="008B2F7A" w:rsidRPr="004C1685" w14:paraId="09859753" w14:textId="77777777" w:rsidTr="00E35CBD">
        <w:trPr>
          <w:gridAfter w:val="2"/>
          <w:wAfter w:w="3138" w:type="dxa"/>
          <w:trHeight w:val="152"/>
        </w:trPr>
        <w:tc>
          <w:tcPr>
            <w:tcW w:w="1842" w:type="dxa"/>
            <w:tcBorders>
              <w:top w:val="single" w:sz="5" w:space="0" w:color="000000"/>
              <w:left w:val="single" w:sz="5" w:space="0" w:color="000000"/>
              <w:bottom w:val="single" w:sz="5" w:space="0" w:color="000000"/>
              <w:right w:val="single" w:sz="5" w:space="0" w:color="000000"/>
            </w:tcBorders>
          </w:tcPr>
          <w:p w14:paraId="724EEA5B"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8818D6F"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9</w:t>
            </w:r>
          </w:p>
        </w:tc>
        <w:tc>
          <w:tcPr>
            <w:tcW w:w="6218" w:type="dxa"/>
            <w:tcBorders>
              <w:top w:val="single" w:sz="5" w:space="0" w:color="000000"/>
              <w:left w:val="single" w:sz="5" w:space="0" w:color="000000"/>
              <w:bottom w:val="single" w:sz="5" w:space="0" w:color="000000"/>
              <w:right w:val="single" w:sz="5" w:space="0" w:color="000000"/>
            </w:tcBorders>
          </w:tcPr>
          <w:p w14:paraId="7D1BB635"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69" w:type="dxa"/>
            <w:tcBorders>
              <w:top w:val="single" w:sz="5" w:space="0" w:color="000000"/>
              <w:left w:val="single" w:sz="5" w:space="0" w:color="000000"/>
              <w:bottom w:val="single" w:sz="5" w:space="0" w:color="000000"/>
              <w:right w:val="single" w:sz="5" w:space="0" w:color="000000"/>
            </w:tcBorders>
          </w:tcPr>
          <w:p w14:paraId="2B2A1C1F"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4 - 5</w:t>
            </w:r>
          </w:p>
        </w:tc>
      </w:tr>
      <w:tr w:rsidR="008B2F7A" w:rsidRPr="004C1685" w14:paraId="13F974C7" w14:textId="77777777" w:rsidTr="00E35CBD">
        <w:trPr>
          <w:gridAfter w:val="2"/>
          <w:wAfter w:w="3138" w:type="dxa"/>
          <w:trHeight w:val="48"/>
        </w:trPr>
        <w:tc>
          <w:tcPr>
            <w:tcW w:w="1842" w:type="dxa"/>
            <w:vMerge w:val="restart"/>
            <w:tcBorders>
              <w:top w:val="single" w:sz="5" w:space="0" w:color="000000"/>
              <w:left w:val="single" w:sz="5" w:space="0" w:color="000000"/>
              <w:right w:val="single" w:sz="5" w:space="0" w:color="000000"/>
            </w:tcBorders>
          </w:tcPr>
          <w:p w14:paraId="650AF842"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0E2E326"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10a</w:t>
            </w:r>
          </w:p>
        </w:tc>
        <w:tc>
          <w:tcPr>
            <w:tcW w:w="6218" w:type="dxa"/>
            <w:tcBorders>
              <w:top w:val="single" w:sz="5" w:space="0" w:color="000000"/>
              <w:left w:val="single" w:sz="5" w:space="0" w:color="000000"/>
              <w:bottom w:val="single" w:sz="5" w:space="0" w:color="000000"/>
              <w:right w:val="single" w:sz="5" w:space="0" w:color="000000"/>
            </w:tcBorders>
          </w:tcPr>
          <w:p w14:paraId="4B312D94"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69" w:type="dxa"/>
            <w:tcBorders>
              <w:top w:val="single" w:sz="5" w:space="0" w:color="000000"/>
              <w:left w:val="single" w:sz="5" w:space="0" w:color="000000"/>
              <w:bottom w:val="single" w:sz="5" w:space="0" w:color="000000"/>
              <w:right w:val="single" w:sz="5" w:space="0" w:color="000000"/>
            </w:tcBorders>
          </w:tcPr>
          <w:p w14:paraId="38AE5B83"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5 - 6</w:t>
            </w:r>
          </w:p>
        </w:tc>
      </w:tr>
      <w:tr w:rsidR="008B2F7A" w:rsidRPr="004C1685" w14:paraId="665C5CE1" w14:textId="77777777" w:rsidTr="00E35CBD">
        <w:trPr>
          <w:gridAfter w:val="2"/>
          <w:wAfter w:w="3138" w:type="dxa"/>
          <w:trHeight w:val="48"/>
        </w:trPr>
        <w:tc>
          <w:tcPr>
            <w:tcW w:w="1842" w:type="dxa"/>
            <w:vMerge/>
            <w:tcBorders>
              <w:left w:val="single" w:sz="5" w:space="0" w:color="000000"/>
              <w:bottom w:val="single" w:sz="5" w:space="0" w:color="000000"/>
              <w:right w:val="single" w:sz="5" w:space="0" w:color="000000"/>
            </w:tcBorders>
          </w:tcPr>
          <w:p w14:paraId="6401B502" w14:textId="77777777" w:rsidR="008B2F7A" w:rsidRPr="00930A31" w:rsidRDefault="008B2F7A" w:rsidP="00E35C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089E8D7"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10b</w:t>
            </w:r>
          </w:p>
        </w:tc>
        <w:tc>
          <w:tcPr>
            <w:tcW w:w="6218" w:type="dxa"/>
            <w:tcBorders>
              <w:top w:val="single" w:sz="5" w:space="0" w:color="000000"/>
              <w:left w:val="single" w:sz="5" w:space="0" w:color="000000"/>
              <w:bottom w:val="single" w:sz="5" w:space="0" w:color="000000"/>
              <w:right w:val="single" w:sz="5" w:space="0" w:color="000000"/>
            </w:tcBorders>
          </w:tcPr>
          <w:p w14:paraId="35B65526"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569" w:type="dxa"/>
            <w:tcBorders>
              <w:top w:val="single" w:sz="5" w:space="0" w:color="000000"/>
              <w:left w:val="single" w:sz="5" w:space="0" w:color="000000"/>
              <w:bottom w:val="single" w:sz="5" w:space="0" w:color="000000"/>
              <w:right w:val="single" w:sz="5" w:space="0" w:color="000000"/>
            </w:tcBorders>
          </w:tcPr>
          <w:p w14:paraId="2EED72DD"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8B2F7A" w:rsidRPr="004C1685" w14:paraId="00E33067" w14:textId="77777777" w:rsidTr="00E35CBD">
        <w:trPr>
          <w:gridAfter w:val="2"/>
          <w:wAfter w:w="3138" w:type="dxa"/>
          <w:trHeight w:val="48"/>
        </w:trPr>
        <w:tc>
          <w:tcPr>
            <w:tcW w:w="1842" w:type="dxa"/>
            <w:tcBorders>
              <w:top w:val="single" w:sz="5" w:space="0" w:color="000000"/>
              <w:left w:val="single" w:sz="5" w:space="0" w:color="000000"/>
              <w:bottom w:val="single" w:sz="5" w:space="0" w:color="000000"/>
              <w:right w:val="single" w:sz="5" w:space="0" w:color="000000"/>
            </w:tcBorders>
          </w:tcPr>
          <w:p w14:paraId="0064005B"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76E43A8"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11</w:t>
            </w:r>
          </w:p>
        </w:tc>
        <w:tc>
          <w:tcPr>
            <w:tcW w:w="6218" w:type="dxa"/>
            <w:tcBorders>
              <w:top w:val="single" w:sz="5" w:space="0" w:color="000000"/>
              <w:left w:val="single" w:sz="5" w:space="0" w:color="000000"/>
              <w:bottom w:val="single" w:sz="5" w:space="0" w:color="000000"/>
              <w:right w:val="single" w:sz="5" w:space="0" w:color="000000"/>
            </w:tcBorders>
          </w:tcPr>
          <w:p w14:paraId="7C263808"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69" w:type="dxa"/>
            <w:tcBorders>
              <w:top w:val="single" w:sz="5" w:space="0" w:color="000000"/>
              <w:left w:val="single" w:sz="5" w:space="0" w:color="000000"/>
              <w:bottom w:val="single" w:sz="5" w:space="0" w:color="000000"/>
              <w:right w:val="single" w:sz="5" w:space="0" w:color="000000"/>
            </w:tcBorders>
          </w:tcPr>
          <w:p w14:paraId="6140755C"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8B2F7A" w:rsidRPr="004C1685" w14:paraId="16C0001B" w14:textId="77777777" w:rsidTr="00E35CBD">
        <w:trPr>
          <w:gridAfter w:val="2"/>
          <w:wAfter w:w="3138" w:type="dxa"/>
          <w:trHeight w:val="48"/>
        </w:trPr>
        <w:tc>
          <w:tcPr>
            <w:tcW w:w="1842" w:type="dxa"/>
            <w:tcBorders>
              <w:top w:val="single" w:sz="5" w:space="0" w:color="000000"/>
              <w:left w:val="single" w:sz="5" w:space="0" w:color="000000"/>
              <w:bottom w:val="single" w:sz="5" w:space="0" w:color="000000"/>
              <w:right w:val="single" w:sz="5" w:space="0" w:color="000000"/>
            </w:tcBorders>
          </w:tcPr>
          <w:p w14:paraId="26C49B10"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F7D7EC4"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12</w:t>
            </w:r>
          </w:p>
        </w:tc>
        <w:tc>
          <w:tcPr>
            <w:tcW w:w="6218" w:type="dxa"/>
            <w:tcBorders>
              <w:top w:val="single" w:sz="5" w:space="0" w:color="000000"/>
              <w:left w:val="single" w:sz="5" w:space="0" w:color="000000"/>
              <w:bottom w:val="single" w:sz="5" w:space="0" w:color="000000"/>
              <w:right w:val="single" w:sz="5" w:space="0" w:color="000000"/>
            </w:tcBorders>
          </w:tcPr>
          <w:p w14:paraId="6C751542"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569" w:type="dxa"/>
            <w:tcBorders>
              <w:top w:val="single" w:sz="5" w:space="0" w:color="000000"/>
              <w:left w:val="single" w:sz="5" w:space="0" w:color="000000"/>
              <w:bottom w:val="single" w:sz="5" w:space="0" w:color="000000"/>
              <w:right w:val="single" w:sz="5" w:space="0" w:color="000000"/>
            </w:tcBorders>
          </w:tcPr>
          <w:p w14:paraId="62BD645C" w14:textId="68106F6D"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8B2F7A" w:rsidRPr="004C1685" w14:paraId="5855E8FE" w14:textId="77777777" w:rsidTr="00E35CBD">
        <w:trPr>
          <w:gridAfter w:val="2"/>
          <w:wAfter w:w="3138" w:type="dxa"/>
          <w:trHeight w:val="48"/>
        </w:trPr>
        <w:tc>
          <w:tcPr>
            <w:tcW w:w="1842" w:type="dxa"/>
            <w:vMerge w:val="restart"/>
            <w:tcBorders>
              <w:top w:val="single" w:sz="5" w:space="0" w:color="000000"/>
              <w:left w:val="single" w:sz="5" w:space="0" w:color="000000"/>
              <w:right w:val="single" w:sz="5" w:space="0" w:color="000000"/>
            </w:tcBorders>
          </w:tcPr>
          <w:p w14:paraId="5ED0C7C0"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A8BF695"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13a</w:t>
            </w:r>
          </w:p>
        </w:tc>
        <w:tc>
          <w:tcPr>
            <w:tcW w:w="6218" w:type="dxa"/>
            <w:tcBorders>
              <w:top w:val="single" w:sz="5" w:space="0" w:color="000000"/>
              <w:left w:val="single" w:sz="5" w:space="0" w:color="000000"/>
              <w:bottom w:val="single" w:sz="5" w:space="0" w:color="000000"/>
              <w:right w:val="single" w:sz="5" w:space="0" w:color="000000"/>
            </w:tcBorders>
          </w:tcPr>
          <w:p w14:paraId="367F5FD6"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569" w:type="dxa"/>
            <w:tcBorders>
              <w:top w:val="single" w:sz="5" w:space="0" w:color="000000"/>
              <w:left w:val="single" w:sz="5" w:space="0" w:color="000000"/>
              <w:bottom w:val="single" w:sz="5" w:space="0" w:color="000000"/>
              <w:right w:val="single" w:sz="5" w:space="0" w:color="000000"/>
            </w:tcBorders>
          </w:tcPr>
          <w:p w14:paraId="4F8C66F0" w14:textId="17559F4A"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25995">
              <w:rPr>
                <w:rFonts w:ascii="Arial" w:hAnsi="Arial" w:cs="Arial"/>
                <w:color w:val="auto"/>
                <w:sz w:val="18"/>
                <w:szCs w:val="18"/>
              </w:rPr>
              <w:t>5</w:t>
            </w:r>
          </w:p>
        </w:tc>
      </w:tr>
      <w:tr w:rsidR="008B2F7A" w:rsidRPr="004C1685" w14:paraId="2F87550B" w14:textId="77777777" w:rsidTr="00E35CBD">
        <w:trPr>
          <w:gridAfter w:val="2"/>
          <w:wAfter w:w="3138" w:type="dxa"/>
          <w:trHeight w:val="48"/>
        </w:trPr>
        <w:tc>
          <w:tcPr>
            <w:tcW w:w="1842" w:type="dxa"/>
            <w:vMerge/>
            <w:tcBorders>
              <w:left w:val="single" w:sz="5" w:space="0" w:color="000000"/>
              <w:right w:val="single" w:sz="5" w:space="0" w:color="000000"/>
            </w:tcBorders>
          </w:tcPr>
          <w:p w14:paraId="72D83003" w14:textId="77777777" w:rsidR="008B2F7A" w:rsidRPr="00930A31" w:rsidRDefault="008B2F7A" w:rsidP="00E35C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AB6D7D3"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13b</w:t>
            </w:r>
          </w:p>
        </w:tc>
        <w:tc>
          <w:tcPr>
            <w:tcW w:w="6218" w:type="dxa"/>
            <w:tcBorders>
              <w:top w:val="single" w:sz="5" w:space="0" w:color="000000"/>
              <w:left w:val="single" w:sz="5" w:space="0" w:color="000000"/>
              <w:bottom w:val="single" w:sz="5" w:space="0" w:color="000000"/>
              <w:right w:val="single" w:sz="5" w:space="0" w:color="000000"/>
            </w:tcBorders>
          </w:tcPr>
          <w:p w14:paraId="0382B9B5"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569" w:type="dxa"/>
            <w:tcBorders>
              <w:top w:val="single" w:sz="5" w:space="0" w:color="000000"/>
              <w:left w:val="single" w:sz="5" w:space="0" w:color="000000"/>
              <w:bottom w:val="single" w:sz="5" w:space="0" w:color="000000"/>
              <w:right w:val="single" w:sz="5" w:space="0" w:color="000000"/>
            </w:tcBorders>
          </w:tcPr>
          <w:p w14:paraId="491B187D"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8B2F7A" w:rsidRPr="004C1685" w14:paraId="53AB116A" w14:textId="77777777" w:rsidTr="00E35CBD">
        <w:trPr>
          <w:gridAfter w:val="2"/>
          <w:wAfter w:w="3138" w:type="dxa"/>
          <w:trHeight w:val="48"/>
        </w:trPr>
        <w:tc>
          <w:tcPr>
            <w:tcW w:w="1842" w:type="dxa"/>
            <w:vMerge/>
            <w:tcBorders>
              <w:left w:val="single" w:sz="5" w:space="0" w:color="000000"/>
              <w:right w:val="single" w:sz="5" w:space="0" w:color="000000"/>
            </w:tcBorders>
          </w:tcPr>
          <w:p w14:paraId="75D65478" w14:textId="77777777" w:rsidR="008B2F7A" w:rsidRPr="00930A31" w:rsidRDefault="008B2F7A" w:rsidP="00E35C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7378C1"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13c</w:t>
            </w:r>
          </w:p>
        </w:tc>
        <w:tc>
          <w:tcPr>
            <w:tcW w:w="6218" w:type="dxa"/>
            <w:tcBorders>
              <w:top w:val="single" w:sz="5" w:space="0" w:color="000000"/>
              <w:left w:val="single" w:sz="5" w:space="0" w:color="000000"/>
              <w:bottom w:val="single" w:sz="5" w:space="0" w:color="000000"/>
              <w:right w:val="single" w:sz="5" w:space="0" w:color="000000"/>
            </w:tcBorders>
          </w:tcPr>
          <w:p w14:paraId="7AEC5302"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569" w:type="dxa"/>
            <w:tcBorders>
              <w:top w:val="single" w:sz="5" w:space="0" w:color="000000"/>
              <w:left w:val="single" w:sz="5" w:space="0" w:color="000000"/>
              <w:bottom w:val="single" w:sz="5" w:space="0" w:color="000000"/>
              <w:right w:val="single" w:sz="5" w:space="0" w:color="000000"/>
            </w:tcBorders>
          </w:tcPr>
          <w:p w14:paraId="57397E31"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8B2F7A" w:rsidRPr="004C1685" w14:paraId="1F618FA7" w14:textId="77777777" w:rsidTr="00E35CBD">
        <w:trPr>
          <w:gridAfter w:val="2"/>
          <w:wAfter w:w="3138" w:type="dxa"/>
          <w:trHeight w:val="48"/>
        </w:trPr>
        <w:tc>
          <w:tcPr>
            <w:tcW w:w="1842" w:type="dxa"/>
            <w:vMerge/>
            <w:tcBorders>
              <w:left w:val="single" w:sz="5" w:space="0" w:color="000000"/>
              <w:right w:val="single" w:sz="5" w:space="0" w:color="000000"/>
            </w:tcBorders>
          </w:tcPr>
          <w:p w14:paraId="64C7F3C3" w14:textId="77777777" w:rsidR="008B2F7A" w:rsidRPr="00930A31" w:rsidRDefault="008B2F7A" w:rsidP="00E35C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DF5B07"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13d</w:t>
            </w:r>
          </w:p>
        </w:tc>
        <w:tc>
          <w:tcPr>
            <w:tcW w:w="6218" w:type="dxa"/>
            <w:tcBorders>
              <w:top w:val="single" w:sz="5" w:space="0" w:color="000000"/>
              <w:left w:val="single" w:sz="5" w:space="0" w:color="000000"/>
              <w:bottom w:val="single" w:sz="5" w:space="0" w:color="000000"/>
              <w:right w:val="single" w:sz="5" w:space="0" w:color="000000"/>
            </w:tcBorders>
          </w:tcPr>
          <w:p w14:paraId="44B3F78E"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569" w:type="dxa"/>
            <w:tcBorders>
              <w:top w:val="single" w:sz="5" w:space="0" w:color="000000"/>
              <w:left w:val="single" w:sz="5" w:space="0" w:color="000000"/>
              <w:bottom w:val="single" w:sz="5" w:space="0" w:color="000000"/>
              <w:right w:val="single" w:sz="5" w:space="0" w:color="000000"/>
            </w:tcBorders>
          </w:tcPr>
          <w:p w14:paraId="472CDE86"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6 – 7</w:t>
            </w:r>
          </w:p>
        </w:tc>
      </w:tr>
      <w:tr w:rsidR="008B2F7A" w:rsidRPr="004C1685" w14:paraId="69360329" w14:textId="77777777" w:rsidTr="00E35CBD">
        <w:trPr>
          <w:gridAfter w:val="2"/>
          <w:wAfter w:w="3138" w:type="dxa"/>
          <w:trHeight w:val="48"/>
        </w:trPr>
        <w:tc>
          <w:tcPr>
            <w:tcW w:w="1842" w:type="dxa"/>
            <w:vMerge/>
            <w:tcBorders>
              <w:left w:val="single" w:sz="5" w:space="0" w:color="000000"/>
              <w:right w:val="single" w:sz="5" w:space="0" w:color="000000"/>
            </w:tcBorders>
          </w:tcPr>
          <w:p w14:paraId="7CD0AC64" w14:textId="77777777" w:rsidR="008B2F7A" w:rsidRPr="00930A31" w:rsidRDefault="008B2F7A" w:rsidP="00E35C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C727767"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13e</w:t>
            </w:r>
          </w:p>
        </w:tc>
        <w:tc>
          <w:tcPr>
            <w:tcW w:w="6218" w:type="dxa"/>
            <w:tcBorders>
              <w:top w:val="single" w:sz="5" w:space="0" w:color="000000"/>
              <w:left w:val="single" w:sz="5" w:space="0" w:color="000000"/>
              <w:bottom w:val="single" w:sz="5" w:space="0" w:color="000000"/>
              <w:right w:val="single" w:sz="5" w:space="0" w:color="000000"/>
            </w:tcBorders>
          </w:tcPr>
          <w:p w14:paraId="7E5BAD04"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569" w:type="dxa"/>
            <w:tcBorders>
              <w:top w:val="single" w:sz="5" w:space="0" w:color="000000"/>
              <w:left w:val="single" w:sz="5" w:space="0" w:color="000000"/>
              <w:bottom w:val="single" w:sz="5" w:space="0" w:color="000000"/>
              <w:right w:val="single" w:sz="5" w:space="0" w:color="000000"/>
            </w:tcBorders>
          </w:tcPr>
          <w:p w14:paraId="1E09635F"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6 - 7</w:t>
            </w:r>
          </w:p>
        </w:tc>
      </w:tr>
      <w:tr w:rsidR="008B2F7A" w:rsidRPr="004C1685" w14:paraId="6D0CDE0C" w14:textId="77777777" w:rsidTr="00E35CBD">
        <w:trPr>
          <w:gridAfter w:val="2"/>
          <w:wAfter w:w="3138" w:type="dxa"/>
          <w:trHeight w:val="50"/>
        </w:trPr>
        <w:tc>
          <w:tcPr>
            <w:tcW w:w="1842" w:type="dxa"/>
            <w:vMerge/>
            <w:tcBorders>
              <w:left w:val="single" w:sz="5" w:space="0" w:color="000000"/>
              <w:bottom w:val="single" w:sz="5" w:space="0" w:color="000000"/>
              <w:right w:val="single" w:sz="5" w:space="0" w:color="000000"/>
            </w:tcBorders>
          </w:tcPr>
          <w:p w14:paraId="582418F4" w14:textId="77777777" w:rsidR="008B2F7A" w:rsidRPr="00930A31" w:rsidRDefault="008B2F7A" w:rsidP="00E35C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DE3968"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13f</w:t>
            </w:r>
          </w:p>
        </w:tc>
        <w:tc>
          <w:tcPr>
            <w:tcW w:w="6218" w:type="dxa"/>
            <w:tcBorders>
              <w:top w:val="single" w:sz="5" w:space="0" w:color="000000"/>
              <w:left w:val="single" w:sz="5" w:space="0" w:color="000000"/>
              <w:bottom w:val="single" w:sz="5" w:space="0" w:color="000000"/>
              <w:right w:val="single" w:sz="5" w:space="0" w:color="000000"/>
            </w:tcBorders>
          </w:tcPr>
          <w:p w14:paraId="174D32C9"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569" w:type="dxa"/>
            <w:tcBorders>
              <w:top w:val="single" w:sz="5" w:space="0" w:color="000000"/>
              <w:left w:val="single" w:sz="5" w:space="0" w:color="000000"/>
              <w:bottom w:val="single" w:sz="5" w:space="0" w:color="000000"/>
              <w:right w:val="single" w:sz="5" w:space="0" w:color="000000"/>
            </w:tcBorders>
          </w:tcPr>
          <w:p w14:paraId="07A200FF"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8B2F7A" w:rsidRPr="004C1685" w14:paraId="45F03A1E" w14:textId="77777777" w:rsidTr="00E35CBD">
        <w:trPr>
          <w:gridAfter w:val="2"/>
          <w:wAfter w:w="3138" w:type="dxa"/>
          <w:trHeight w:val="48"/>
        </w:trPr>
        <w:tc>
          <w:tcPr>
            <w:tcW w:w="1842" w:type="dxa"/>
            <w:tcBorders>
              <w:top w:val="single" w:sz="5" w:space="0" w:color="000000"/>
              <w:left w:val="single" w:sz="5" w:space="0" w:color="000000"/>
              <w:bottom w:val="single" w:sz="5" w:space="0" w:color="000000"/>
              <w:right w:val="single" w:sz="5" w:space="0" w:color="000000"/>
            </w:tcBorders>
          </w:tcPr>
          <w:p w14:paraId="21AF6108"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602A2E52"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14</w:t>
            </w:r>
          </w:p>
        </w:tc>
        <w:tc>
          <w:tcPr>
            <w:tcW w:w="6218" w:type="dxa"/>
            <w:tcBorders>
              <w:top w:val="single" w:sz="5" w:space="0" w:color="000000"/>
              <w:left w:val="single" w:sz="5" w:space="0" w:color="000000"/>
              <w:bottom w:val="single" w:sz="5" w:space="0" w:color="000000"/>
              <w:right w:val="single" w:sz="5" w:space="0" w:color="000000"/>
            </w:tcBorders>
          </w:tcPr>
          <w:p w14:paraId="4D3FE564"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569" w:type="dxa"/>
            <w:tcBorders>
              <w:top w:val="single" w:sz="5" w:space="0" w:color="000000"/>
              <w:left w:val="single" w:sz="5" w:space="0" w:color="000000"/>
              <w:bottom w:val="single" w:sz="5" w:space="0" w:color="000000"/>
              <w:right w:val="single" w:sz="5" w:space="0" w:color="000000"/>
            </w:tcBorders>
          </w:tcPr>
          <w:p w14:paraId="275012DC"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NA</w:t>
            </w:r>
          </w:p>
        </w:tc>
      </w:tr>
      <w:tr w:rsidR="008B2F7A" w:rsidRPr="004C1685" w14:paraId="0672C38B" w14:textId="77777777" w:rsidTr="00E35CBD">
        <w:trPr>
          <w:gridAfter w:val="2"/>
          <w:wAfter w:w="3138" w:type="dxa"/>
          <w:trHeight w:val="48"/>
        </w:trPr>
        <w:tc>
          <w:tcPr>
            <w:tcW w:w="1842" w:type="dxa"/>
            <w:tcBorders>
              <w:top w:val="single" w:sz="5" w:space="0" w:color="000000"/>
              <w:left w:val="single" w:sz="5" w:space="0" w:color="000000"/>
              <w:bottom w:val="single" w:sz="5" w:space="0" w:color="000000"/>
              <w:right w:val="single" w:sz="5" w:space="0" w:color="000000"/>
            </w:tcBorders>
          </w:tcPr>
          <w:p w14:paraId="2BF27395"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0F48D713"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15</w:t>
            </w:r>
          </w:p>
        </w:tc>
        <w:tc>
          <w:tcPr>
            <w:tcW w:w="6218" w:type="dxa"/>
            <w:tcBorders>
              <w:top w:val="single" w:sz="5" w:space="0" w:color="000000"/>
              <w:left w:val="single" w:sz="5" w:space="0" w:color="000000"/>
              <w:bottom w:val="single" w:sz="5" w:space="0" w:color="000000"/>
              <w:right w:val="single" w:sz="5" w:space="0" w:color="000000"/>
            </w:tcBorders>
          </w:tcPr>
          <w:p w14:paraId="786FB35D"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569" w:type="dxa"/>
            <w:tcBorders>
              <w:top w:val="single" w:sz="5" w:space="0" w:color="000000"/>
              <w:left w:val="single" w:sz="5" w:space="0" w:color="000000"/>
              <w:bottom w:val="single" w:sz="5" w:space="0" w:color="000000"/>
              <w:right w:val="single" w:sz="5" w:space="0" w:color="000000"/>
            </w:tcBorders>
          </w:tcPr>
          <w:p w14:paraId="7040F137"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8B2F7A" w:rsidRPr="004C1685" w14:paraId="59ACC26D" w14:textId="77777777" w:rsidTr="00E35CBD">
        <w:trPr>
          <w:trHeight w:val="24"/>
        </w:trPr>
        <w:tc>
          <w:tcPr>
            <w:tcW w:w="86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C46902" w14:textId="77777777" w:rsidR="008B2F7A" w:rsidRPr="00930A31" w:rsidRDefault="008B2F7A" w:rsidP="00E35CBD">
            <w:pPr>
              <w:pStyle w:val="Default"/>
              <w:rPr>
                <w:rFonts w:ascii="Arial" w:hAnsi="Arial" w:cs="Arial"/>
                <w:sz w:val="18"/>
                <w:szCs w:val="18"/>
              </w:rPr>
            </w:pPr>
            <w:r w:rsidRPr="00930A31">
              <w:rPr>
                <w:rFonts w:ascii="Arial" w:hAnsi="Arial" w:cs="Arial"/>
                <w:b/>
                <w:bCs/>
                <w:sz w:val="18"/>
                <w:szCs w:val="18"/>
              </w:rPr>
              <w:t xml:space="preserve">RESULTS </w:t>
            </w:r>
          </w:p>
        </w:tc>
        <w:tc>
          <w:tcPr>
            <w:tcW w:w="1569" w:type="dxa"/>
            <w:tcBorders>
              <w:top w:val="double" w:sz="5" w:space="0" w:color="000000"/>
              <w:left w:val="single" w:sz="5" w:space="0" w:color="000000"/>
              <w:bottom w:val="single" w:sz="5" w:space="0" w:color="000000"/>
              <w:right w:val="single" w:sz="5" w:space="0" w:color="000000"/>
            </w:tcBorders>
            <w:shd w:val="clear" w:color="auto" w:fill="FFFFCC"/>
          </w:tcPr>
          <w:p w14:paraId="38FD76CD" w14:textId="77777777" w:rsidR="008B2F7A" w:rsidRPr="00930A31" w:rsidRDefault="008B2F7A" w:rsidP="00E35CBD">
            <w:pPr>
              <w:pStyle w:val="Default"/>
              <w:jc w:val="center"/>
              <w:rPr>
                <w:rFonts w:ascii="Arial" w:hAnsi="Arial" w:cs="Arial"/>
                <w:color w:val="auto"/>
                <w:sz w:val="18"/>
                <w:szCs w:val="18"/>
              </w:rPr>
            </w:pPr>
          </w:p>
        </w:tc>
        <w:tc>
          <w:tcPr>
            <w:tcW w:w="1569" w:type="dxa"/>
          </w:tcPr>
          <w:p w14:paraId="6EC360B9" w14:textId="77777777" w:rsidR="008B2F7A" w:rsidRPr="004C1685" w:rsidRDefault="008B2F7A" w:rsidP="00E35CBD">
            <w:pPr>
              <w:spacing w:line="240" w:lineRule="auto"/>
            </w:pPr>
          </w:p>
        </w:tc>
        <w:tc>
          <w:tcPr>
            <w:tcW w:w="1569" w:type="dxa"/>
          </w:tcPr>
          <w:p w14:paraId="586299A2" w14:textId="77777777" w:rsidR="008B2F7A" w:rsidRPr="004C1685" w:rsidRDefault="008B2F7A" w:rsidP="00E35CBD">
            <w:pPr>
              <w:spacing w:line="240" w:lineRule="auto"/>
            </w:pPr>
          </w:p>
        </w:tc>
      </w:tr>
      <w:tr w:rsidR="008B2F7A" w:rsidRPr="004C1685" w14:paraId="3AE493F7" w14:textId="77777777" w:rsidTr="00E35CBD">
        <w:trPr>
          <w:gridAfter w:val="2"/>
          <w:wAfter w:w="3138" w:type="dxa"/>
          <w:trHeight w:val="48"/>
        </w:trPr>
        <w:tc>
          <w:tcPr>
            <w:tcW w:w="1842" w:type="dxa"/>
            <w:vMerge w:val="restart"/>
            <w:tcBorders>
              <w:top w:val="single" w:sz="5" w:space="0" w:color="000000"/>
              <w:left w:val="single" w:sz="5" w:space="0" w:color="000000"/>
              <w:right w:val="single" w:sz="5" w:space="0" w:color="000000"/>
            </w:tcBorders>
          </w:tcPr>
          <w:p w14:paraId="53ABC2FD"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F643341"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16a</w:t>
            </w:r>
          </w:p>
        </w:tc>
        <w:tc>
          <w:tcPr>
            <w:tcW w:w="6218" w:type="dxa"/>
            <w:tcBorders>
              <w:top w:val="single" w:sz="5" w:space="0" w:color="000000"/>
              <w:left w:val="single" w:sz="5" w:space="0" w:color="000000"/>
              <w:bottom w:val="single" w:sz="5" w:space="0" w:color="000000"/>
              <w:right w:val="single" w:sz="5" w:space="0" w:color="000000"/>
            </w:tcBorders>
          </w:tcPr>
          <w:p w14:paraId="420F5287"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569" w:type="dxa"/>
            <w:tcBorders>
              <w:top w:val="single" w:sz="5" w:space="0" w:color="000000"/>
              <w:left w:val="single" w:sz="5" w:space="0" w:color="000000"/>
              <w:bottom w:val="single" w:sz="5" w:space="0" w:color="000000"/>
              <w:right w:val="single" w:sz="5" w:space="0" w:color="000000"/>
            </w:tcBorders>
          </w:tcPr>
          <w:p w14:paraId="60DDDFEE"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7, Figure 1</w:t>
            </w:r>
          </w:p>
        </w:tc>
      </w:tr>
      <w:tr w:rsidR="008B2F7A" w:rsidRPr="004C1685" w14:paraId="0521EE7B" w14:textId="77777777" w:rsidTr="00E35CBD">
        <w:trPr>
          <w:gridAfter w:val="2"/>
          <w:wAfter w:w="3138" w:type="dxa"/>
          <w:trHeight w:val="48"/>
        </w:trPr>
        <w:tc>
          <w:tcPr>
            <w:tcW w:w="1842" w:type="dxa"/>
            <w:vMerge/>
            <w:tcBorders>
              <w:left w:val="single" w:sz="5" w:space="0" w:color="000000"/>
              <w:bottom w:val="single" w:sz="5" w:space="0" w:color="000000"/>
              <w:right w:val="single" w:sz="5" w:space="0" w:color="000000"/>
            </w:tcBorders>
          </w:tcPr>
          <w:p w14:paraId="6E0D30C9" w14:textId="77777777" w:rsidR="008B2F7A" w:rsidRPr="00930A31" w:rsidRDefault="008B2F7A" w:rsidP="00E35C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B1588DB"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16b</w:t>
            </w:r>
          </w:p>
        </w:tc>
        <w:tc>
          <w:tcPr>
            <w:tcW w:w="6218" w:type="dxa"/>
            <w:tcBorders>
              <w:top w:val="single" w:sz="5" w:space="0" w:color="000000"/>
              <w:left w:val="single" w:sz="5" w:space="0" w:color="000000"/>
              <w:bottom w:val="single" w:sz="5" w:space="0" w:color="000000"/>
              <w:right w:val="single" w:sz="5" w:space="0" w:color="000000"/>
            </w:tcBorders>
          </w:tcPr>
          <w:p w14:paraId="542FFA5F"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569" w:type="dxa"/>
            <w:tcBorders>
              <w:top w:val="single" w:sz="5" w:space="0" w:color="000000"/>
              <w:left w:val="single" w:sz="5" w:space="0" w:color="000000"/>
              <w:bottom w:val="single" w:sz="5" w:space="0" w:color="000000"/>
              <w:right w:val="single" w:sz="5" w:space="0" w:color="000000"/>
            </w:tcBorders>
          </w:tcPr>
          <w:p w14:paraId="4FA4ECEC"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8B2F7A" w:rsidRPr="004C1685" w14:paraId="35DD1AC1" w14:textId="77777777" w:rsidTr="00E35CBD">
        <w:trPr>
          <w:gridAfter w:val="2"/>
          <w:wAfter w:w="3138" w:type="dxa"/>
          <w:trHeight w:val="103"/>
        </w:trPr>
        <w:tc>
          <w:tcPr>
            <w:tcW w:w="1842" w:type="dxa"/>
            <w:tcBorders>
              <w:top w:val="single" w:sz="5" w:space="0" w:color="000000"/>
              <w:left w:val="single" w:sz="5" w:space="0" w:color="000000"/>
              <w:bottom w:val="single" w:sz="5" w:space="0" w:color="000000"/>
              <w:right w:val="single" w:sz="5" w:space="0" w:color="000000"/>
            </w:tcBorders>
          </w:tcPr>
          <w:p w14:paraId="01C6A8DF"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D4931BA"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17</w:t>
            </w:r>
          </w:p>
        </w:tc>
        <w:tc>
          <w:tcPr>
            <w:tcW w:w="6218" w:type="dxa"/>
            <w:tcBorders>
              <w:top w:val="single" w:sz="5" w:space="0" w:color="000000"/>
              <w:left w:val="single" w:sz="5" w:space="0" w:color="000000"/>
              <w:bottom w:val="single" w:sz="5" w:space="0" w:color="000000"/>
              <w:right w:val="single" w:sz="5" w:space="0" w:color="000000"/>
            </w:tcBorders>
          </w:tcPr>
          <w:p w14:paraId="3C0587B0"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569" w:type="dxa"/>
            <w:tcBorders>
              <w:top w:val="single" w:sz="5" w:space="0" w:color="000000"/>
              <w:left w:val="single" w:sz="5" w:space="0" w:color="000000"/>
              <w:bottom w:val="single" w:sz="5" w:space="0" w:color="000000"/>
              <w:right w:val="single" w:sz="5" w:space="0" w:color="000000"/>
            </w:tcBorders>
          </w:tcPr>
          <w:p w14:paraId="3B33309F"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8, Table 1</w:t>
            </w:r>
          </w:p>
        </w:tc>
      </w:tr>
      <w:tr w:rsidR="008B2F7A" w:rsidRPr="004C1685" w14:paraId="0491F006" w14:textId="77777777" w:rsidTr="00E35CBD">
        <w:trPr>
          <w:gridAfter w:val="2"/>
          <w:wAfter w:w="3138" w:type="dxa"/>
          <w:trHeight w:val="48"/>
        </w:trPr>
        <w:tc>
          <w:tcPr>
            <w:tcW w:w="1842" w:type="dxa"/>
            <w:tcBorders>
              <w:top w:val="single" w:sz="5" w:space="0" w:color="000000"/>
              <w:left w:val="single" w:sz="5" w:space="0" w:color="000000"/>
              <w:bottom w:val="single" w:sz="5" w:space="0" w:color="000000"/>
              <w:right w:val="single" w:sz="5" w:space="0" w:color="000000"/>
            </w:tcBorders>
          </w:tcPr>
          <w:p w14:paraId="7E583387"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18BDC4F2"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18</w:t>
            </w:r>
          </w:p>
        </w:tc>
        <w:tc>
          <w:tcPr>
            <w:tcW w:w="6218" w:type="dxa"/>
            <w:tcBorders>
              <w:top w:val="single" w:sz="5" w:space="0" w:color="000000"/>
              <w:left w:val="single" w:sz="5" w:space="0" w:color="000000"/>
              <w:bottom w:val="single" w:sz="5" w:space="0" w:color="000000"/>
              <w:right w:val="single" w:sz="5" w:space="0" w:color="000000"/>
            </w:tcBorders>
          </w:tcPr>
          <w:p w14:paraId="433937FA"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569" w:type="dxa"/>
            <w:tcBorders>
              <w:top w:val="single" w:sz="5" w:space="0" w:color="000000"/>
              <w:left w:val="single" w:sz="5" w:space="0" w:color="000000"/>
              <w:bottom w:val="single" w:sz="5" w:space="0" w:color="000000"/>
              <w:right w:val="single" w:sz="5" w:space="0" w:color="000000"/>
            </w:tcBorders>
          </w:tcPr>
          <w:p w14:paraId="05255747"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Additional file 3, Additional file 4</w:t>
            </w:r>
          </w:p>
        </w:tc>
      </w:tr>
      <w:tr w:rsidR="008B2F7A" w:rsidRPr="004C1685" w14:paraId="68947D94" w14:textId="77777777" w:rsidTr="00E35CBD">
        <w:trPr>
          <w:gridAfter w:val="2"/>
          <w:wAfter w:w="3138" w:type="dxa"/>
          <w:trHeight w:val="48"/>
        </w:trPr>
        <w:tc>
          <w:tcPr>
            <w:tcW w:w="1842" w:type="dxa"/>
            <w:tcBorders>
              <w:top w:val="single" w:sz="5" w:space="0" w:color="000000"/>
              <w:left w:val="single" w:sz="5" w:space="0" w:color="000000"/>
              <w:bottom w:val="single" w:sz="5" w:space="0" w:color="000000"/>
              <w:right w:val="single" w:sz="5" w:space="0" w:color="000000"/>
            </w:tcBorders>
          </w:tcPr>
          <w:p w14:paraId="6DB1D69E"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A834D54"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19</w:t>
            </w:r>
          </w:p>
        </w:tc>
        <w:tc>
          <w:tcPr>
            <w:tcW w:w="6218" w:type="dxa"/>
            <w:tcBorders>
              <w:top w:val="single" w:sz="5" w:space="0" w:color="000000"/>
              <w:left w:val="single" w:sz="5" w:space="0" w:color="000000"/>
              <w:bottom w:val="single" w:sz="5" w:space="0" w:color="000000"/>
              <w:right w:val="single" w:sz="5" w:space="0" w:color="000000"/>
            </w:tcBorders>
          </w:tcPr>
          <w:p w14:paraId="7A3A78F0"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569" w:type="dxa"/>
            <w:tcBorders>
              <w:top w:val="single" w:sz="5" w:space="0" w:color="000000"/>
              <w:left w:val="single" w:sz="5" w:space="0" w:color="000000"/>
              <w:bottom w:val="single" w:sz="5" w:space="0" w:color="000000"/>
              <w:right w:val="single" w:sz="5" w:space="0" w:color="000000"/>
            </w:tcBorders>
          </w:tcPr>
          <w:p w14:paraId="303E7ED5"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Table 2, Table 3</w:t>
            </w:r>
          </w:p>
        </w:tc>
      </w:tr>
      <w:tr w:rsidR="008B2F7A" w:rsidRPr="004C1685" w14:paraId="247A66F4" w14:textId="77777777" w:rsidTr="00E35CBD">
        <w:trPr>
          <w:gridAfter w:val="2"/>
          <w:wAfter w:w="3138" w:type="dxa"/>
          <w:trHeight w:val="48"/>
        </w:trPr>
        <w:tc>
          <w:tcPr>
            <w:tcW w:w="1842" w:type="dxa"/>
            <w:vMerge w:val="restart"/>
            <w:tcBorders>
              <w:top w:val="single" w:sz="5" w:space="0" w:color="000000"/>
              <w:left w:val="single" w:sz="5" w:space="0" w:color="000000"/>
              <w:right w:val="single" w:sz="5" w:space="0" w:color="000000"/>
            </w:tcBorders>
          </w:tcPr>
          <w:p w14:paraId="23A28C8E"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DF6EBBE"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20a</w:t>
            </w:r>
          </w:p>
        </w:tc>
        <w:tc>
          <w:tcPr>
            <w:tcW w:w="6218" w:type="dxa"/>
            <w:tcBorders>
              <w:top w:val="single" w:sz="5" w:space="0" w:color="000000"/>
              <w:left w:val="single" w:sz="5" w:space="0" w:color="000000"/>
              <w:bottom w:val="single" w:sz="5" w:space="0" w:color="000000"/>
              <w:right w:val="single" w:sz="5" w:space="0" w:color="000000"/>
            </w:tcBorders>
          </w:tcPr>
          <w:p w14:paraId="74BEAECA"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569" w:type="dxa"/>
            <w:tcBorders>
              <w:top w:val="single" w:sz="5" w:space="0" w:color="000000"/>
              <w:left w:val="single" w:sz="5" w:space="0" w:color="000000"/>
              <w:bottom w:val="single" w:sz="5" w:space="0" w:color="000000"/>
              <w:right w:val="single" w:sz="5" w:space="0" w:color="000000"/>
            </w:tcBorders>
          </w:tcPr>
          <w:p w14:paraId="52446242"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7 - 11</w:t>
            </w:r>
          </w:p>
        </w:tc>
      </w:tr>
      <w:tr w:rsidR="008B2F7A" w:rsidRPr="004C1685" w14:paraId="5CDB8898" w14:textId="77777777" w:rsidTr="00E35CBD">
        <w:trPr>
          <w:gridAfter w:val="2"/>
          <w:wAfter w:w="3138" w:type="dxa"/>
          <w:trHeight w:val="203"/>
        </w:trPr>
        <w:tc>
          <w:tcPr>
            <w:tcW w:w="1842" w:type="dxa"/>
            <w:vMerge/>
            <w:tcBorders>
              <w:left w:val="single" w:sz="5" w:space="0" w:color="000000"/>
              <w:right w:val="single" w:sz="5" w:space="0" w:color="000000"/>
            </w:tcBorders>
          </w:tcPr>
          <w:p w14:paraId="06CC647A" w14:textId="77777777" w:rsidR="008B2F7A" w:rsidRPr="00930A31" w:rsidRDefault="008B2F7A" w:rsidP="00E35C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A375AE2"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20b</w:t>
            </w:r>
          </w:p>
        </w:tc>
        <w:tc>
          <w:tcPr>
            <w:tcW w:w="6218" w:type="dxa"/>
            <w:tcBorders>
              <w:top w:val="single" w:sz="5" w:space="0" w:color="000000"/>
              <w:left w:val="single" w:sz="5" w:space="0" w:color="000000"/>
              <w:bottom w:val="single" w:sz="5" w:space="0" w:color="000000"/>
              <w:right w:val="single" w:sz="5" w:space="0" w:color="000000"/>
            </w:tcBorders>
          </w:tcPr>
          <w:p w14:paraId="68A683A4"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69" w:type="dxa"/>
            <w:tcBorders>
              <w:top w:val="single" w:sz="5" w:space="0" w:color="000000"/>
              <w:left w:val="single" w:sz="5" w:space="0" w:color="000000"/>
              <w:bottom w:val="single" w:sz="5" w:space="0" w:color="000000"/>
              <w:right w:val="single" w:sz="5" w:space="0" w:color="000000"/>
            </w:tcBorders>
          </w:tcPr>
          <w:p w14:paraId="571507DD" w14:textId="6F0D9A84"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Figure 2, Page 11 - 12</w:t>
            </w:r>
          </w:p>
        </w:tc>
      </w:tr>
      <w:tr w:rsidR="008B2F7A" w:rsidRPr="004C1685" w14:paraId="6DC8EDCC" w14:textId="77777777" w:rsidTr="00E35CBD">
        <w:trPr>
          <w:gridAfter w:val="2"/>
          <w:wAfter w:w="3138" w:type="dxa"/>
          <w:trHeight w:val="48"/>
        </w:trPr>
        <w:tc>
          <w:tcPr>
            <w:tcW w:w="1842" w:type="dxa"/>
            <w:vMerge/>
            <w:tcBorders>
              <w:left w:val="single" w:sz="5" w:space="0" w:color="000000"/>
              <w:right w:val="single" w:sz="5" w:space="0" w:color="000000"/>
            </w:tcBorders>
          </w:tcPr>
          <w:p w14:paraId="6D140ADB" w14:textId="77777777" w:rsidR="008B2F7A" w:rsidRPr="00930A31" w:rsidRDefault="008B2F7A" w:rsidP="00E35C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4F15305"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20c</w:t>
            </w:r>
          </w:p>
        </w:tc>
        <w:tc>
          <w:tcPr>
            <w:tcW w:w="6218" w:type="dxa"/>
            <w:tcBorders>
              <w:top w:val="single" w:sz="5" w:space="0" w:color="000000"/>
              <w:left w:val="single" w:sz="5" w:space="0" w:color="000000"/>
              <w:bottom w:val="single" w:sz="5" w:space="0" w:color="000000"/>
              <w:right w:val="single" w:sz="5" w:space="0" w:color="000000"/>
            </w:tcBorders>
          </w:tcPr>
          <w:p w14:paraId="290AAA07"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569" w:type="dxa"/>
            <w:tcBorders>
              <w:top w:val="single" w:sz="5" w:space="0" w:color="000000"/>
              <w:left w:val="single" w:sz="5" w:space="0" w:color="000000"/>
              <w:bottom w:val="single" w:sz="5" w:space="0" w:color="000000"/>
              <w:right w:val="single" w:sz="5" w:space="0" w:color="000000"/>
            </w:tcBorders>
          </w:tcPr>
          <w:p w14:paraId="1929A5C3"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NA</w:t>
            </w:r>
          </w:p>
        </w:tc>
      </w:tr>
      <w:tr w:rsidR="008B2F7A" w:rsidRPr="004C1685" w14:paraId="38C7D47C" w14:textId="77777777" w:rsidTr="00E35CBD">
        <w:trPr>
          <w:gridAfter w:val="2"/>
          <w:wAfter w:w="3138" w:type="dxa"/>
          <w:trHeight w:val="48"/>
        </w:trPr>
        <w:tc>
          <w:tcPr>
            <w:tcW w:w="1842" w:type="dxa"/>
            <w:vMerge/>
            <w:tcBorders>
              <w:left w:val="single" w:sz="5" w:space="0" w:color="000000"/>
              <w:bottom w:val="single" w:sz="5" w:space="0" w:color="000000"/>
              <w:right w:val="single" w:sz="5" w:space="0" w:color="000000"/>
            </w:tcBorders>
          </w:tcPr>
          <w:p w14:paraId="5057A1A5" w14:textId="77777777" w:rsidR="008B2F7A" w:rsidRPr="00930A31" w:rsidRDefault="008B2F7A" w:rsidP="00E35C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E11E6B"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20d</w:t>
            </w:r>
          </w:p>
        </w:tc>
        <w:tc>
          <w:tcPr>
            <w:tcW w:w="6218" w:type="dxa"/>
            <w:tcBorders>
              <w:top w:val="single" w:sz="5" w:space="0" w:color="000000"/>
              <w:left w:val="single" w:sz="5" w:space="0" w:color="000000"/>
              <w:bottom w:val="single" w:sz="5" w:space="0" w:color="000000"/>
              <w:right w:val="single" w:sz="5" w:space="0" w:color="000000"/>
            </w:tcBorders>
          </w:tcPr>
          <w:p w14:paraId="7358C2CA"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569" w:type="dxa"/>
            <w:tcBorders>
              <w:top w:val="single" w:sz="5" w:space="0" w:color="000000"/>
              <w:left w:val="single" w:sz="5" w:space="0" w:color="000000"/>
              <w:bottom w:val="single" w:sz="5" w:space="0" w:color="000000"/>
              <w:right w:val="single" w:sz="5" w:space="0" w:color="000000"/>
            </w:tcBorders>
          </w:tcPr>
          <w:p w14:paraId="2F35AA02" w14:textId="4DE7F6BE"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 xml:space="preserve">Figure 3 </w:t>
            </w:r>
          </w:p>
        </w:tc>
      </w:tr>
      <w:tr w:rsidR="008B2F7A" w:rsidRPr="004C1685" w14:paraId="55B8B451" w14:textId="77777777" w:rsidTr="00E35CBD">
        <w:trPr>
          <w:gridAfter w:val="2"/>
          <w:wAfter w:w="3138" w:type="dxa"/>
          <w:trHeight w:val="48"/>
        </w:trPr>
        <w:tc>
          <w:tcPr>
            <w:tcW w:w="1842" w:type="dxa"/>
            <w:tcBorders>
              <w:top w:val="single" w:sz="5" w:space="0" w:color="000000"/>
              <w:left w:val="single" w:sz="5" w:space="0" w:color="000000"/>
              <w:bottom w:val="single" w:sz="5" w:space="0" w:color="000000"/>
              <w:right w:val="single" w:sz="5" w:space="0" w:color="000000"/>
            </w:tcBorders>
          </w:tcPr>
          <w:p w14:paraId="652F7701"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8F55906"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21</w:t>
            </w:r>
          </w:p>
        </w:tc>
        <w:tc>
          <w:tcPr>
            <w:tcW w:w="6218" w:type="dxa"/>
            <w:tcBorders>
              <w:top w:val="single" w:sz="5" w:space="0" w:color="000000"/>
              <w:left w:val="single" w:sz="5" w:space="0" w:color="000000"/>
              <w:bottom w:val="single" w:sz="5" w:space="0" w:color="000000"/>
              <w:right w:val="single" w:sz="5" w:space="0" w:color="000000"/>
            </w:tcBorders>
          </w:tcPr>
          <w:p w14:paraId="27651818"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569" w:type="dxa"/>
            <w:tcBorders>
              <w:top w:val="single" w:sz="5" w:space="0" w:color="000000"/>
              <w:left w:val="single" w:sz="5" w:space="0" w:color="000000"/>
              <w:bottom w:val="single" w:sz="5" w:space="0" w:color="000000"/>
              <w:right w:val="single" w:sz="5" w:space="0" w:color="000000"/>
            </w:tcBorders>
          </w:tcPr>
          <w:p w14:paraId="6C5A0D2F"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NA</w:t>
            </w:r>
          </w:p>
        </w:tc>
      </w:tr>
      <w:tr w:rsidR="008B2F7A" w:rsidRPr="004C1685" w14:paraId="1BBA23AA" w14:textId="77777777" w:rsidTr="00E35CBD">
        <w:trPr>
          <w:gridAfter w:val="2"/>
          <w:wAfter w:w="3138" w:type="dxa"/>
          <w:trHeight w:val="48"/>
        </w:trPr>
        <w:tc>
          <w:tcPr>
            <w:tcW w:w="1842" w:type="dxa"/>
            <w:tcBorders>
              <w:top w:val="single" w:sz="5" w:space="0" w:color="000000"/>
              <w:left w:val="single" w:sz="5" w:space="0" w:color="000000"/>
              <w:bottom w:val="single" w:sz="5" w:space="0" w:color="000000"/>
              <w:right w:val="single" w:sz="5" w:space="0" w:color="000000"/>
            </w:tcBorders>
          </w:tcPr>
          <w:p w14:paraId="29EA6503"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031F8E9"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22</w:t>
            </w:r>
          </w:p>
        </w:tc>
        <w:tc>
          <w:tcPr>
            <w:tcW w:w="6218" w:type="dxa"/>
            <w:tcBorders>
              <w:top w:val="single" w:sz="5" w:space="0" w:color="000000"/>
              <w:left w:val="single" w:sz="5" w:space="0" w:color="000000"/>
              <w:bottom w:val="single" w:sz="5" w:space="0" w:color="000000"/>
              <w:right w:val="single" w:sz="5" w:space="0" w:color="000000"/>
            </w:tcBorders>
          </w:tcPr>
          <w:p w14:paraId="3826CDCC"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569" w:type="dxa"/>
            <w:tcBorders>
              <w:top w:val="single" w:sz="5" w:space="0" w:color="000000"/>
              <w:left w:val="single" w:sz="5" w:space="0" w:color="000000"/>
              <w:bottom w:val="single" w:sz="5" w:space="0" w:color="000000"/>
              <w:right w:val="single" w:sz="5" w:space="0" w:color="000000"/>
            </w:tcBorders>
          </w:tcPr>
          <w:p w14:paraId="43B1EC11"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Additional file 5</w:t>
            </w:r>
          </w:p>
        </w:tc>
      </w:tr>
      <w:tr w:rsidR="008B2F7A" w:rsidRPr="004C1685" w14:paraId="152A22A7" w14:textId="77777777" w:rsidTr="00E35CBD">
        <w:trPr>
          <w:trHeight w:val="24"/>
        </w:trPr>
        <w:tc>
          <w:tcPr>
            <w:tcW w:w="86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EF70247" w14:textId="77777777" w:rsidR="008B2F7A" w:rsidRPr="00930A31" w:rsidRDefault="008B2F7A" w:rsidP="00E35CBD">
            <w:pPr>
              <w:pStyle w:val="Default"/>
              <w:rPr>
                <w:rFonts w:ascii="Arial" w:hAnsi="Arial" w:cs="Arial"/>
                <w:sz w:val="18"/>
                <w:szCs w:val="18"/>
              </w:rPr>
            </w:pPr>
            <w:r w:rsidRPr="00930A31">
              <w:rPr>
                <w:rFonts w:ascii="Arial" w:hAnsi="Arial" w:cs="Arial"/>
                <w:b/>
                <w:bCs/>
                <w:sz w:val="18"/>
                <w:szCs w:val="18"/>
              </w:rPr>
              <w:t xml:space="preserve">DISCUSSION </w:t>
            </w:r>
          </w:p>
        </w:tc>
        <w:tc>
          <w:tcPr>
            <w:tcW w:w="1569" w:type="dxa"/>
            <w:tcBorders>
              <w:top w:val="double" w:sz="5" w:space="0" w:color="000000"/>
              <w:left w:val="single" w:sz="5" w:space="0" w:color="000000"/>
              <w:bottom w:val="single" w:sz="5" w:space="0" w:color="000000"/>
              <w:right w:val="single" w:sz="5" w:space="0" w:color="000000"/>
            </w:tcBorders>
            <w:shd w:val="clear" w:color="auto" w:fill="FFFFCC"/>
          </w:tcPr>
          <w:p w14:paraId="751F4F9B" w14:textId="77777777" w:rsidR="008B2F7A" w:rsidRPr="00930A31" w:rsidRDefault="008B2F7A" w:rsidP="00E35CBD">
            <w:pPr>
              <w:pStyle w:val="Default"/>
              <w:jc w:val="center"/>
              <w:rPr>
                <w:rFonts w:ascii="Arial" w:hAnsi="Arial" w:cs="Arial"/>
                <w:color w:val="auto"/>
                <w:sz w:val="18"/>
                <w:szCs w:val="18"/>
              </w:rPr>
            </w:pPr>
          </w:p>
        </w:tc>
        <w:tc>
          <w:tcPr>
            <w:tcW w:w="1569" w:type="dxa"/>
          </w:tcPr>
          <w:p w14:paraId="4D3DEA23" w14:textId="77777777" w:rsidR="008B2F7A" w:rsidRPr="004C1685" w:rsidRDefault="008B2F7A" w:rsidP="00E35CBD">
            <w:pPr>
              <w:spacing w:line="240" w:lineRule="auto"/>
            </w:pPr>
          </w:p>
        </w:tc>
        <w:tc>
          <w:tcPr>
            <w:tcW w:w="1569" w:type="dxa"/>
          </w:tcPr>
          <w:p w14:paraId="5B4C3214" w14:textId="77777777" w:rsidR="008B2F7A" w:rsidRPr="004C1685" w:rsidRDefault="008B2F7A" w:rsidP="00E35CBD">
            <w:pPr>
              <w:spacing w:line="240" w:lineRule="auto"/>
            </w:pPr>
          </w:p>
        </w:tc>
      </w:tr>
      <w:tr w:rsidR="008B2F7A" w:rsidRPr="004C1685" w14:paraId="570EB09C" w14:textId="77777777" w:rsidTr="00E35CBD">
        <w:trPr>
          <w:gridAfter w:val="2"/>
          <w:wAfter w:w="3138" w:type="dxa"/>
          <w:trHeight w:val="48"/>
        </w:trPr>
        <w:tc>
          <w:tcPr>
            <w:tcW w:w="1842" w:type="dxa"/>
            <w:vMerge w:val="restart"/>
            <w:tcBorders>
              <w:top w:val="single" w:sz="5" w:space="0" w:color="000000"/>
              <w:left w:val="single" w:sz="5" w:space="0" w:color="000000"/>
              <w:right w:val="single" w:sz="5" w:space="0" w:color="000000"/>
            </w:tcBorders>
          </w:tcPr>
          <w:p w14:paraId="0C801E0A"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A0D100B"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23a</w:t>
            </w:r>
          </w:p>
        </w:tc>
        <w:tc>
          <w:tcPr>
            <w:tcW w:w="6218" w:type="dxa"/>
            <w:tcBorders>
              <w:top w:val="single" w:sz="5" w:space="0" w:color="000000"/>
              <w:left w:val="single" w:sz="5" w:space="0" w:color="000000"/>
              <w:bottom w:val="single" w:sz="5" w:space="0" w:color="000000"/>
              <w:right w:val="single" w:sz="5" w:space="0" w:color="000000"/>
            </w:tcBorders>
          </w:tcPr>
          <w:p w14:paraId="522D487E"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569" w:type="dxa"/>
            <w:tcBorders>
              <w:top w:val="single" w:sz="5" w:space="0" w:color="000000"/>
              <w:left w:val="single" w:sz="5" w:space="0" w:color="000000"/>
              <w:bottom w:val="single" w:sz="5" w:space="0" w:color="000000"/>
              <w:right w:val="single" w:sz="5" w:space="0" w:color="000000"/>
            </w:tcBorders>
          </w:tcPr>
          <w:p w14:paraId="2E42E317"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12 – 13</w:t>
            </w:r>
          </w:p>
        </w:tc>
      </w:tr>
      <w:tr w:rsidR="008B2F7A" w:rsidRPr="004C1685" w14:paraId="084A9180" w14:textId="77777777" w:rsidTr="00E35CBD">
        <w:trPr>
          <w:gridAfter w:val="2"/>
          <w:wAfter w:w="3138" w:type="dxa"/>
          <w:trHeight w:val="48"/>
        </w:trPr>
        <w:tc>
          <w:tcPr>
            <w:tcW w:w="1842" w:type="dxa"/>
            <w:vMerge/>
            <w:tcBorders>
              <w:left w:val="single" w:sz="5" w:space="0" w:color="000000"/>
              <w:right w:val="single" w:sz="5" w:space="0" w:color="000000"/>
            </w:tcBorders>
          </w:tcPr>
          <w:p w14:paraId="699A46E8" w14:textId="77777777" w:rsidR="008B2F7A" w:rsidRPr="00930A31" w:rsidRDefault="008B2F7A" w:rsidP="00E35C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9F243F"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23b</w:t>
            </w:r>
          </w:p>
        </w:tc>
        <w:tc>
          <w:tcPr>
            <w:tcW w:w="6218" w:type="dxa"/>
            <w:tcBorders>
              <w:top w:val="single" w:sz="5" w:space="0" w:color="000000"/>
              <w:left w:val="single" w:sz="5" w:space="0" w:color="000000"/>
              <w:bottom w:val="single" w:sz="5" w:space="0" w:color="000000"/>
              <w:right w:val="single" w:sz="5" w:space="0" w:color="000000"/>
            </w:tcBorders>
          </w:tcPr>
          <w:p w14:paraId="1A3E694B"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569" w:type="dxa"/>
            <w:tcBorders>
              <w:top w:val="single" w:sz="5" w:space="0" w:color="000000"/>
              <w:left w:val="single" w:sz="5" w:space="0" w:color="000000"/>
              <w:bottom w:val="single" w:sz="5" w:space="0" w:color="000000"/>
              <w:right w:val="single" w:sz="5" w:space="0" w:color="000000"/>
            </w:tcBorders>
          </w:tcPr>
          <w:p w14:paraId="675A2501"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8B2F7A" w:rsidRPr="004C1685" w14:paraId="3EEE76C4" w14:textId="77777777" w:rsidTr="00E35CBD">
        <w:trPr>
          <w:gridAfter w:val="2"/>
          <w:wAfter w:w="3138" w:type="dxa"/>
          <w:trHeight w:val="48"/>
        </w:trPr>
        <w:tc>
          <w:tcPr>
            <w:tcW w:w="1842" w:type="dxa"/>
            <w:vMerge/>
            <w:tcBorders>
              <w:left w:val="single" w:sz="5" w:space="0" w:color="000000"/>
              <w:right w:val="single" w:sz="5" w:space="0" w:color="000000"/>
            </w:tcBorders>
          </w:tcPr>
          <w:p w14:paraId="2FBC91D3" w14:textId="77777777" w:rsidR="008B2F7A" w:rsidRPr="00930A31" w:rsidRDefault="008B2F7A" w:rsidP="00E35C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0331993"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23c</w:t>
            </w:r>
          </w:p>
        </w:tc>
        <w:tc>
          <w:tcPr>
            <w:tcW w:w="6218" w:type="dxa"/>
            <w:tcBorders>
              <w:top w:val="single" w:sz="5" w:space="0" w:color="000000"/>
              <w:left w:val="single" w:sz="5" w:space="0" w:color="000000"/>
              <w:bottom w:val="single" w:sz="5" w:space="0" w:color="000000"/>
              <w:right w:val="single" w:sz="5" w:space="0" w:color="000000"/>
            </w:tcBorders>
          </w:tcPr>
          <w:p w14:paraId="73691901"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569" w:type="dxa"/>
            <w:tcBorders>
              <w:top w:val="single" w:sz="5" w:space="0" w:color="000000"/>
              <w:left w:val="single" w:sz="5" w:space="0" w:color="000000"/>
              <w:bottom w:val="single" w:sz="5" w:space="0" w:color="000000"/>
              <w:right w:val="single" w:sz="5" w:space="0" w:color="000000"/>
            </w:tcBorders>
          </w:tcPr>
          <w:p w14:paraId="21F13E44"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8B2F7A" w:rsidRPr="004C1685" w14:paraId="126DF1E0" w14:textId="77777777" w:rsidTr="00E35CBD">
        <w:trPr>
          <w:gridAfter w:val="2"/>
          <w:wAfter w:w="3138" w:type="dxa"/>
          <w:trHeight w:val="48"/>
        </w:trPr>
        <w:tc>
          <w:tcPr>
            <w:tcW w:w="1842" w:type="dxa"/>
            <w:vMerge/>
            <w:tcBorders>
              <w:left w:val="single" w:sz="5" w:space="0" w:color="000000"/>
              <w:bottom w:val="single" w:sz="4" w:space="0" w:color="auto"/>
              <w:right w:val="single" w:sz="5" w:space="0" w:color="000000"/>
            </w:tcBorders>
          </w:tcPr>
          <w:p w14:paraId="5D4F22A8" w14:textId="77777777" w:rsidR="008B2F7A" w:rsidRPr="00930A31" w:rsidRDefault="008B2F7A" w:rsidP="00E35CBD">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3FF15E9F"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23d</w:t>
            </w:r>
          </w:p>
        </w:tc>
        <w:tc>
          <w:tcPr>
            <w:tcW w:w="6218" w:type="dxa"/>
            <w:tcBorders>
              <w:top w:val="single" w:sz="5" w:space="0" w:color="000000"/>
              <w:left w:val="single" w:sz="4" w:space="0" w:color="auto"/>
              <w:bottom w:val="double" w:sz="5" w:space="0" w:color="000000"/>
              <w:right w:val="single" w:sz="5" w:space="0" w:color="000000"/>
            </w:tcBorders>
          </w:tcPr>
          <w:p w14:paraId="29C7E091"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569" w:type="dxa"/>
            <w:tcBorders>
              <w:top w:val="single" w:sz="5" w:space="0" w:color="000000"/>
              <w:left w:val="single" w:sz="5" w:space="0" w:color="000000"/>
              <w:bottom w:val="double" w:sz="5" w:space="0" w:color="000000"/>
              <w:right w:val="single" w:sz="5" w:space="0" w:color="000000"/>
            </w:tcBorders>
          </w:tcPr>
          <w:p w14:paraId="73FED63E" w14:textId="75745A3B"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13</w:t>
            </w:r>
            <w:r w:rsidR="00AF0330">
              <w:rPr>
                <w:rFonts w:ascii="Arial" w:hAnsi="Arial" w:cs="Arial"/>
                <w:color w:val="auto"/>
                <w:sz w:val="18"/>
                <w:szCs w:val="18"/>
              </w:rPr>
              <w:t xml:space="preserve"> - 14</w:t>
            </w:r>
          </w:p>
        </w:tc>
      </w:tr>
      <w:tr w:rsidR="008B2F7A" w:rsidRPr="004C1685" w14:paraId="2238EABD" w14:textId="77777777" w:rsidTr="00E35CBD">
        <w:trPr>
          <w:trHeight w:val="24"/>
        </w:trPr>
        <w:tc>
          <w:tcPr>
            <w:tcW w:w="86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EE4E0B0" w14:textId="77777777" w:rsidR="008B2F7A" w:rsidRPr="00930A31" w:rsidRDefault="008B2F7A" w:rsidP="00E35CBD">
            <w:pPr>
              <w:pStyle w:val="Default"/>
              <w:rPr>
                <w:rFonts w:ascii="Arial" w:hAnsi="Arial" w:cs="Arial"/>
                <w:sz w:val="18"/>
                <w:szCs w:val="18"/>
              </w:rPr>
            </w:pPr>
            <w:r w:rsidRPr="00930A31">
              <w:rPr>
                <w:rFonts w:ascii="Arial" w:hAnsi="Arial" w:cs="Arial"/>
                <w:b/>
                <w:bCs/>
                <w:sz w:val="18"/>
                <w:szCs w:val="18"/>
              </w:rPr>
              <w:t>OTHER INFORMATION</w:t>
            </w:r>
          </w:p>
        </w:tc>
        <w:tc>
          <w:tcPr>
            <w:tcW w:w="1569" w:type="dxa"/>
            <w:tcBorders>
              <w:top w:val="double" w:sz="5" w:space="0" w:color="000000"/>
              <w:left w:val="single" w:sz="5" w:space="0" w:color="000000"/>
              <w:bottom w:val="single" w:sz="5" w:space="0" w:color="000000"/>
              <w:right w:val="single" w:sz="5" w:space="0" w:color="000000"/>
            </w:tcBorders>
            <w:shd w:val="clear" w:color="auto" w:fill="FFFFCC"/>
          </w:tcPr>
          <w:p w14:paraId="4D8C9043" w14:textId="77777777" w:rsidR="008B2F7A" w:rsidRPr="00930A31" w:rsidRDefault="008B2F7A" w:rsidP="00E35CBD">
            <w:pPr>
              <w:pStyle w:val="Default"/>
              <w:jc w:val="center"/>
              <w:rPr>
                <w:rFonts w:ascii="Arial" w:hAnsi="Arial" w:cs="Arial"/>
                <w:color w:val="auto"/>
                <w:sz w:val="18"/>
                <w:szCs w:val="18"/>
              </w:rPr>
            </w:pPr>
          </w:p>
        </w:tc>
        <w:tc>
          <w:tcPr>
            <w:tcW w:w="1569" w:type="dxa"/>
          </w:tcPr>
          <w:p w14:paraId="24872964" w14:textId="77777777" w:rsidR="008B2F7A" w:rsidRPr="004C1685" w:rsidRDefault="008B2F7A" w:rsidP="00E35CBD">
            <w:pPr>
              <w:spacing w:line="240" w:lineRule="auto"/>
            </w:pPr>
          </w:p>
        </w:tc>
        <w:tc>
          <w:tcPr>
            <w:tcW w:w="1569" w:type="dxa"/>
          </w:tcPr>
          <w:p w14:paraId="704BAD01" w14:textId="77777777" w:rsidR="008B2F7A" w:rsidRPr="004C1685" w:rsidRDefault="008B2F7A" w:rsidP="00E35CBD">
            <w:pPr>
              <w:spacing w:line="240" w:lineRule="auto"/>
            </w:pPr>
          </w:p>
        </w:tc>
      </w:tr>
      <w:tr w:rsidR="008B2F7A" w:rsidRPr="004C1685" w14:paraId="54F1399F" w14:textId="77777777" w:rsidTr="00E35CBD">
        <w:trPr>
          <w:gridAfter w:val="2"/>
          <w:wAfter w:w="3138" w:type="dxa"/>
          <w:trHeight w:val="48"/>
        </w:trPr>
        <w:tc>
          <w:tcPr>
            <w:tcW w:w="1842" w:type="dxa"/>
            <w:vMerge w:val="restart"/>
            <w:tcBorders>
              <w:top w:val="single" w:sz="5" w:space="0" w:color="000000"/>
              <w:left w:val="single" w:sz="5" w:space="0" w:color="000000"/>
              <w:right w:val="single" w:sz="5" w:space="0" w:color="000000"/>
            </w:tcBorders>
          </w:tcPr>
          <w:p w14:paraId="7C92135F"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AFE24FE"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24a</w:t>
            </w:r>
          </w:p>
        </w:tc>
        <w:tc>
          <w:tcPr>
            <w:tcW w:w="6218" w:type="dxa"/>
            <w:tcBorders>
              <w:top w:val="single" w:sz="5" w:space="0" w:color="000000"/>
              <w:left w:val="single" w:sz="5" w:space="0" w:color="000000"/>
              <w:bottom w:val="single" w:sz="5" w:space="0" w:color="000000"/>
              <w:right w:val="single" w:sz="5" w:space="0" w:color="000000"/>
            </w:tcBorders>
          </w:tcPr>
          <w:p w14:paraId="52DDD2F4"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569" w:type="dxa"/>
            <w:tcBorders>
              <w:top w:val="single" w:sz="5" w:space="0" w:color="000000"/>
              <w:left w:val="single" w:sz="5" w:space="0" w:color="000000"/>
              <w:bottom w:val="single" w:sz="5" w:space="0" w:color="000000"/>
              <w:right w:val="single" w:sz="5" w:space="0" w:color="000000"/>
            </w:tcBorders>
          </w:tcPr>
          <w:p w14:paraId="22F2BAB3"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8B2F7A" w:rsidRPr="004C1685" w14:paraId="77CBE513" w14:textId="77777777" w:rsidTr="00E35CBD">
        <w:trPr>
          <w:gridAfter w:val="2"/>
          <w:wAfter w:w="3138" w:type="dxa"/>
          <w:trHeight w:val="57"/>
        </w:trPr>
        <w:tc>
          <w:tcPr>
            <w:tcW w:w="1842" w:type="dxa"/>
            <w:vMerge/>
            <w:tcBorders>
              <w:left w:val="single" w:sz="5" w:space="0" w:color="000000"/>
              <w:right w:val="single" w:sz="5" w:space="0" w:color="000000"/>
            </w:tcBorders>
          </w:tcPr>
          <w:p w14:paraId="453C6560" w14:textId="77777777" w:rsidR="008B2F7A" w:rsidRPr="00930A31" w:rsidRDefault="008B2F7A" w:rsidP="00E35C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09DAD5"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24b</w:t>
            </w:r>
          </w:p>
        </w:tc>
        <w:tc>
          <w:tcPr>
            <w:tcW w:w="6218" w:type="dxa"/>
            <w:tcBorders>
              <w:top w:val="single" w:sz="5" w:space="0" w:color="000000"/>
              <w:left w:val="single" w:sz="5" w:space="0" w:color="000000"/>
              <w:bottom w:val="single" w:sz="5" w:space="0" w:color="000000"/>
              <w:right w:val="single" w:sz="5" w:space="0" w:color="000000"/>
            </w:tcBorders>
          </w:tcPr>
          <w:p w14:paraId="4A1CF7BE"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569" w:type="dxa"/>
            <w:tcBorders>
              <w:top w:val="single" w:sz="5" w:space="0" w:color="000000"/>
              <w:left w:val="single" w:sz="5" w:space="0" w:color="000000"/>
              <w:bottom w:val="single" w:sz="5" w:space="0" w:color="000000"/>
              <w:right w:val="single" w:sz="5" w:space="0" w:color="000000"/>
            </w:tcBorders>
          </w:tcPr>
          <w:p w14:paraId="5459101C"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8B2F7A" w:rsidRPr="004C1685" w14:paraId="0354C7BE" w14:textId="77777777" w:rsidTr="00E35CBD">
        <w:trPr>
          <w:gridAfter w:val="2"/>
          <w:wAfter w:w="3138" w:type="dxa"/>
          <w:trHeight w:val="48"/>
        </w:trPr>
        <w:tc>
          <w:tcPr>
            <w:tcW w:w="1842" w:type="dxa"/>
            <w:vMerge/>
            <w:tcBorders>
              <w:left w:val="single" w:sz="5" w:space="0" w:color="000000"/>
              <w:bottom w:val="single" w:sz="5" w:space="0" w:color="000000"/>
              <w:right w:val="single" w:sz="5" w:space="0" w:color="000000"/>
            </w:tcBorders>
          </w:tcPr>
          <w:p w14:paraId="6420011D" w14:textId="77777777" w:rsidR="008B2F7A" w:rsidRPr="00930A31" w:rsidRDefault="008B2F7A" w:rsidP="00E35C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D78F13"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24c</w:t>
            </w:r>
          </w:p>
        </w:tc>
        <w:tc>
          <w:tcPr>
            <w:tcW w:w="6218" w:type="dxa"/>
            <w:tcBorders>
              <w:top w:val="single" w:sz="5" w:space="0" w:color="000000"/>
              <w:left w:val="single" w:sz="5" w:space="0" w:color="000000"/>
              <w:bottom w:val="single" w:sz="5" w:space="0" w:color="000000"/>
              <w:right w:val="single" w:sz="5" w:space="0" w:color="000000"/>
            </w:tcBorders>
          </w:tcPr>
          <w:p w14:paraId="7A98A810"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569" w:type="dxa"/>
            <w:tcBorders>
              <w:top w:val="single" w:sz="5" w:space="0" w:color="000000"/>
              <w:left w:val="single" w:sz="5" w:space="0" w:color="000000"/>
              <w:bottom w:val="single" w:sz="5" w:space="0" w:color="000000"/>
              <w:right w:val="single" w:sz="5" w:space="0" w:color="000000"/>
            </w:tcBorders>
          </w:tcPr>
          <w:p w14:paraId="4D7457B0"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NA</w:t>
            </w:r>
          </w:p>
        </w:tc>
      </w:tr>
      <w:tr w:rsidR="008B2F7A" w:rsidRPr="004C1685" w14:paraId="6E5897F2" w14:textId="77777777" w:rsidTr="00E35CBD">
        <w:trPr>
          <w:gridAfter w:val="2"/>
          <w:wAfter w:w="3138" w:type="dxa"/>
          <w:trHeight w:val="48"/>
        </w:trPr>
        <w:tc>
          <w:tcPr>
            <w:tcW w:w="1842" w:type="dxa"/>
            <w:tcBorders>
              <w:top w:val="single" w:sz="5" w:space="0" w:color="000000"/>
              <w:left w:val="single" w:sz="5" w:space="0" w:color="000000"/>
              <w:bottom w:val="single" w:sz="5" w:space="0" w:color="000000"/>
              <w:right w:val="single" w:sz="5" w:space="0" w:color="000000"/>
            </w:tcBorders>
          </w:tcPr>
          <w:p w14:paraId="667F7E77"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4238F26"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25</w:t>
            </w:r>
          </w:p>
        </w:tc>
        <w:tc>
          <w:tcPr>
            <w:tcW w:w="6218" w:type="dxa"/>
            <w:tcBorders>
              <w:top w:val="single" w:sz="5" w:space="0" w:color="000000"/>
              <w:left w:val="single" w:sz="5" w:space="0" w:color="000000"/>
              <w:bottom w:val="single" w:sz="5" w:space="0" w:color="000000"/>
              <w:right w:val="single" w:sz="5" w:space="0" w:color="000000"/>
            </w:tcBorders>
          </w:tcPr>
          <w:p w14:paraId="23376F36"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569" w:type="dxa"/>
            <w:tcBorders>
              <w:top w:val="single" w:sz="5" w:space="0" w:color="000000"/>
              <w:left w:val="single" w:sz="5" w:space="0" w:color="000000"/>
              <w:bottom w:val="single" w:sz="5" w:space="0" w:color="000000"/>
              <w:right w:val="single" w:sz="5" w:space="0" w:color="000000"/>
            </w:tcBorders>
          </w:tcPr>
          <w:p w14:paraId="20B22C42"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15</w:t>
            </w:r>
          </w:p>
        </w:tc>
      </w:tr>
      <w:tr w:rsidR="008B2F7A" w:rsidRPr="004C1685" w14:paraId="367555DC" w14:textId="77777777" w:rsidTr="00E35CBD">
        <w:trPr>
          <w:gridAfter w:val="2"/>
          <w:wAfter w:w="3138" w:type="dxa"/>
          <w:trHeight w:val="48"/>
        </w:trPr>
        <w:tc>
          <w:tcPr>
            <w:tcW w:w="1842" w:type="dxa"/>
            <w:tcBorders>
              <w:top w:val="single" w:sz="5" w:space="0" w:color="000000"/>
              <w:left w:val="single" w:sz="5" w:space="0" w:color="000000"/>
              <w:bottom w:val="single" w:sz="5" w:space="0" w:color="000000"/>
              <w:right w:val="single" w:sz="5" w:space="0" w:color="000000"/>
            </w:tcBorders>
          </w:tcPr>
          <w:p w14:paraId="57CA130D"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E49C863"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26</w:t>
            </w:r>
          </w:p>
        </w:tc>
        <w:tc>
          <w:tcPr>
            <w:tcW w:w="6218" w:type="dxa"/>
            <w:tcBorders>
              <w:top w:val="single" w:sz="5" w:space="0" w:color="000000"/>
              <w:left w:val="single" w:sz="5" w:space="0" w:color="000000"/>
              <w:bottom w:val="single" w:sz="5" w:space="0" w:color="000000"/>
              <w:right w:val="single" w:sz="5" w:space="0" w:color="000000"/>
            </w:tcBorders>
          </w:tcPr>
          <w:p w14:paraId="6F998907"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569" w:type="dxa"/>
            <w:tcBorders>
              <w:top w:val="single" w:sz="5" w:space="0" w:color="000000"/>
              <w:left w:val="single" w:sz="5" w:space="0" w:color="000000"/>
              <w:bottom w:val="single" w:sz="5" w:space="0" w:color="000000"/>
              <w:right w:val="single" w:sz="5" w:space="0" w:color="000000"/>
            </w:tcBorders>
          </w:tcPr>
          <w:p w14:paraId="702AD68A"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t>Page 15</w:t>
            </w:r>
          </w:p>
        </w:tc>
      </w:tr>
      <w:tr w:rsidR="008B2F7A" w:rsidRPr="004C1685" w14:paraId="2ADED80F" w14:textId="77777777" w:rsidTr="00E35CBD">
        <w:trPr>
          <w:gridAfter w:val="2"/>
          <w:wAfter w:w="3138" w:type="dxa"/>
          <w:trHeight w:val="219"/>
        </w:trPr>
        <w:tc>
          <w:tcPr>
            <w:tcW w:w="1842" w:type="dxa"/>
            <w:tcBorders>
              <w:top w:val="single" w:sz="5" w:space="0" w:color="000000"/>
              <w:left w:val="single" w:sz="5" w:space="0" w:color="000000"/>
              <w:bottom w:val="double" w:sz="5" w:space="0" w:color="000000"/>
              <w:right w:val="single" w:sz="5" w:space="0" w:color="000000"/>
            </w:tcBorders>
          </w:tcPr>
          <w:p w14:paraId="4E6B97C9"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0AAE312" w14:textId="77777777" w:rsidR="008B2F7A" w:rsidRPr="00930A31" w:rsidRDefault="008B2F7A" w:rsidP="00E35CBD">
            <w:pPr>
              <w:pStyle w:val="Default"/>
              <w:spacing w:before="40" w:after="40"/>
              <w:jc w:val="right"/>
              <w:rPr>
                <w:rFonts w:ascii="Arial" w:hAnsi="Arial" w:cs="Arial"/>
                <w:sz w:val="18"/>
                <w:szCs w:val="18"/>
              </w:rPr>
            </w:pPr>
            <w:r w:rsidRPr="00930A31">
              <w:rPr>
                <w:rFonts w:ascii="Arial" w:hAnsi="Arial" w:cs="Arial"/>
                <w:sz w:val="18"/>
                <w:szCs w:val="18"/>
              </w:rPr>
              <w:t>27</w:t>
            </w:r>
          </w:p>
        </w:tc>
        <w:tc>
          <w:tcPr>
            <w:tcW w:w="6218" w:type="dxa"/>
            <w:tcBorders>
              <w:top w:val="single" w:sz="5" w:space="0" w:color="000000"/>
              <w:left w:val="single" w:sz="5" w:space="0" w:color="000000"/>
              <w:bottom w:val="double" w:sz="5" w:space="0" w:color="000000"/>
              <w:right w:val="single" w:sz="5" w:space="0" w:color="000000"/>
            </w:tcBorders>
          </w:tcPr>
          <w:p w14:paraId="06D5F658" w14:textId="77777777" w:rsidR="008B2F7A" w:rsidRPr="00930A31" w:rsidRDefault="008B2F7A" w:rsidP="00E35CBD">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found: template data collection forms; data extracted from included studies; data used for all analyses; analytic code; any other materials used in the </w:t>
            </w:r>
            <w:r w:rsidRPr="00930A31">
              <w:rPr>
                <w:rFonts w:ascii="Arial" w:hAnsi="Arial" w:cs="Arial"/>
                <w:sz w:val="18"/>
                <w:szCs w:val="18"/>
              </w:rPr>
              <w:lastRenderedPageBreak/>
              <w:t>review.</w:t>
            </w:r>
          </w:p>
        </w:tc>
        <w:tc>
          <w:tcPr>
            <w:tcW w:w="1569" w:type="dxa"/>
            <w:tcBorders>
              <w:top w:val="single" w:sz="5" w:space="0" w:color="000000"/>
              <w:left w:val="single" w:sz="5" w:space="0" w:color="000000"/>
              <w:bottom w:val="double" w:sz="5" w:space="0" w:color="000000"/>
              <w:right w:val="single" w:sz="5" w:space="0" w:color="000000"/>
            </w:tcBorders>
          </w:tcPr>
          <w:p w14:paraId="59584869" w14:textId="77777777" w:rsidR="008B2F7A" w:rsidRPr="00930A31" w:rsidRDefault="008B2F7A" w:rsidP="00E35CBD">
            <w:pPr>
              <w:pStyle w:val="Default"/>
              <w:spacing w:before="40" w:after="40"/>
              <w:rPr>
                <w:rFonts w:ascii="Arial" w:hAnsi="Arial" w:cs="Arial"/>
                <w:color w:val="auto"/>
                <w:sz w:val="18"/>
                <w:szCs w:val="18"/>
              </w:rPr>
            </w:pPr>
            <w:r>
              <w:rPr>
                <w:rFonts w:ascii="Arial" w:hAnsi="Arial" w:cs="Arial"/>
                <w:color w:val="auto"/>
                <w:sz w:val="18"/>
                <w:szCs w:val="18"/>
              </w:rPr>
              <w:lastRenderedPageBreak/>
              <w:t>Page 15</w:t>
            </w:r>
          </w:p>
        </w:tc>
      </w:tr>
    </w:tbl>
    <w:p w14:paraId="42139137" w14:textId="77777777" w:rsidR="008B2F7A" w:rsidRPr="00363B8D" w:rsidRDefault="008B2F7A" w:rsidP="008B2F7A">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10.1136/bmj.n71</w:t>
      </w:r>
    </w:p>
    <w:p w14:paraId="03B6B5B0" w14:textId="77777777" w:rsidR="008B2F7A" w:rsidRDefault="008B2F7A" w:rsidP="008B2F7A">
      <w:pPr>
        <w:rPr>
          <w:color w:val="000000" w:themeColor="text1"/>
        </w:rPr>
      </w:pPr>
    </w:p>
    <w:p w14:paraId="1364D816" w14:textId="77777777" w:rsidR="008B2F7A" w:rsidRPr="00B43294" w:rsidRDefault="008B2F7A" w:rsidP="008B2F7A">
      <w:pPr>
        <w:rPr>
          <w:color w:val="000000" w:themeColor="text1"/>
        </w:rPr>
      </w:pPr>
      <w:r w:rsidRPr="00116630">
        <w:rPr>
          <w:color w:val="000000" w:themeColor="text1"/>
        </w:rPr>
        <w:t xml:space="preserve">Additional file </w:t>
      </w:r>
      <w:r>
        <w:rPr>
          <w:color w:val="000000" w:themeColor="text1"/>
        </w:rPr>
        <w:t>2</w:t>
      </w:r>
    </w:p>
    <w:tbl>
      <w:tblPr>
        <w:tblStyle w:val="TableGrid"/>
        <w:tblW w:w="0" w:type="auto"/>
        <w:tblLook w:val="04A0" w:firstRow="1" w:lastRow="0" w:firstColumn="1" w:lastColumn="0" w:noHBand="0" w:noVBand="1"/>
      </w:tblPr>
      <w:tblGrid>
        <w:gridCol w:w="9016"/>
      </w:tblGrid>
      <w:tr w:rsidR="008B2F7A" w:rsidRPr="00B43294" w14:paraId="2961DABF" w14:textId="77777777" w:rsidTr="00E35CBD">
        <w:tc>
          <w:tcPr>
            <w:tcW w:w="9016" w:type="dxa"/>
          </w:tcPr>
          <w:p w14:paraId="1EC291D8" w14:textId="77777777" w:rsidR="008B2F7A" w:rsidRPr="00B43294" w:rsidRDefault="008B2F7A" w:rsidP="00E35CBD">
            <w:pPr>
              <w:jc w:val="center"/>
              <w:rPr>
                <w:rFonts w:cs="Times New Roman"/>
                <w:b/>
                <w:bCs/>
                <w:color w:val="000000" w:themeColor="text1"/>
              </w:rPr>
            </w:pPr>
            <w:r w:rsidRPr="00B43294">
              <w:rPr>
                <w:rFonts w:cs="Times New Roman"/>
                <w:b/>
                <w:bCs/>
                <w:color w:val="000000" w:themeColor="text1"/>
              </w:rPr>
              <w:t>Hypothyroidism</w:t>
            </w:r>
          </w:p>
        </w:tc>
      </w:tr>
      <w:tr w:rsidR="008B2F7A" w:rsidRPr="00B43294" w14:paraId="7E259850" w14:textId="77777777" w:rsidTr="00E35CBD">
        <w:tc>
          <w:tcPr>
            <w:tcW w:w="9016" w:type="dxa"/>
          </w:tcPr>
          <w:p w14:paraId="2A118B9C" w14:textId="77777777" w:rsidR="008B2F7A" w:rsidRPr="00B43294" w:rsidRDefault="008B2F7A" w:rsidP="00E35CBD">
            <w:pPr>
              <w:rPr>
                <w:rFonts w:cs="Times New Roman"/>
                <w:color w:val="000000" w:themeColor="text1"/>
              </w:rPr>
            </w:pPr>
            <w:r w:rsidRPr="00B43294">
              <w:rPr>
                <w:rFonts w:cs="Times New Roman"/>
                <w:color w:val="000000" w:themeColor="text1"/>
              </w:rPr>
              <w:t xml:space="preserve">((hypothyroidism) OR (TSH) OR (thyrotropin) OR (T4) OR (thyroid stimulating hormone)) </w:t>
            </w:r>
          </w:p>
        </w:tc>
      </w:tr>
      <w:tr w:rsidR="008B2F7A" w:rsidRPr="00B43294" w14:paraId="5F4CAE3D" w14:textId="77777777" w:rsidTr="00E35CBD">
        <w:tc>
          <w:tcPr>
            <w:tcW w:w="9016" w:type="dxa"/>
          </w:tcPr>
          <w:p w14:paraId="0351418F" w14:textId="77777777" w:rsidR="008B2F7A" w:rsidRPr="00B43294" w:rsidRDefault="008B2F7A" w:rsidP="00E35CBD">
            <w:pPr>
              <w:jc w:val="center"/>
              <w:rPr>
                <w:rFonts w:cs="Times New Roman"/>
                <w:b/>
                <w:bCs/>
                <w:color w:val="000000" w:themeColor="text1"/>
              </w:rPr>
            </w:pPr>
            <w:r w:rsidRPr="00B43294">
              <w:rPr>
                <w:rFonts w:cs="Times New Roman"/>
                <w:b/>
                <w:bCs/>
                <w:color w:val="000000" w:themeColor="text1"/>
              </w:rPr>
              <w:t>Treatment</w:t>
            </w:r>
          </w:p>
        </w:tc>
      </w:tr>
      <w:tr w:rsidR="008B2F7A" w:rsidRPr="00B43294" w14:paraId="7A964813" w14:textId="77777777" w:rsidTr="00E35CBD">
        <w:tc>
          <w:tcPr>
            <w:tcW w:w="9016" w:type="dxa"/>
          </w:tcPr>
          <w:p w14:paraId="1BC54935" w14:textId="77777777" w:rsidR="008B2F7A" w:rsidRPr="00B43294" w:rsidRDefault="008B2F7A" w:rsidP="00E35CBD">
            <w:pPr>
              <w:rPr>
                <w:rFonts w:cs="Times New Roman"/>
                <w:color w:val="000000" w:themeColor="text1"/>
              </w:rPr>
            </w:pPr>
            <w:r w:rsidRPr="00B43294">
              <w:rPr>
                <w:rFonts w:cs="Times New Roman"/>
                <w:color w:val="000000" w:themeColor="text1"/>
              </w:rPr>
              <w:t>((levothyroxine) OR (LT4))</w:t>
            </w:r>
          </w:p>
        </w:tc>
      </w:tr>
      <w:tr w:rsidR="008B2F7A" w:rsidRPr="00B43294" w14:paraId="3174E57E" w14:textId="77777777" w:rsidTr="00E35CBD">
        <w:tc>
          <w:tcPr>
            <w:tcW w:w="9016" w:type="dxa"/>
          </w:tcPr>
          <w:p w14:paraId="7257E83A" w14:textId="77777777" w:rsidR="008B2F7A" w:rsidRPr="00B43294" w:rsidRDefault="008B2F7A" w:rsidP="00E35CBD">
            <w:pPr>
              <w:jc w:val="center"/>
              <w:rPr>
                <w:rFonts w:cs="Times New Roman"/>
                <w:b/>
                <w:bCs/>
                <w:color w:val="000000" w:themeColor="text1"/>
              </w:rPr>
            </w:pPr>
            <w:r w:rsidRPr="00B43294">
              <w:rPr>
                <w:rFonts w:cs="Times New Roman"/>
                <w:b/>
                <w:bCs/>
                <w:color w:val="000000" w:themeColor="text1"/>
              </w:rPr>
              <w:t>Cardiovascular / bone health</w:t>
            </w:r>
          </w:p>
        </w:tc>
      </w:tr>
      <w:tr w:rsidR="008B2F7A" w:rsidRPr="00B43294" w14:paraId="27549F92" w14:textId="77777777" w:rsidTr="00E35CBD">
        <w:tc>
          <w:tcPr>
            <w:tcW w:w="9016" w:type="dxa"/>
          </w:tcPr>
          <w:p w14:paraId="6C94E651" w14:textId="77777777" w:rsidR="008B2F7A" w:rsidRPr="00B43294" w:rsidRDefault="008B2F7A" w:rsidP="00E35CBD">
            <w:pPr>
              <w:rPr>
                <w:rFonts w:cs="Times New Roman"/>
                <w:color w:val="000000" w:themeColor="text1"/>
              </w:rPr>
            </w:pPr>
            <w:r w:rsidRPr="00B43294">
              <w:rPr>
                <w:rFonts w:cs="Times New Roman"/>
                <w:color w:val="000000" w:themeColor="text1"/>
              </w:rPr>
              <w:t>((angina) OR (myocardial infarction) OR (stroke) OR (peripheral vascular disease) OR (stent) OR (revascularisation) OR (cardiovascular death) OR (cardiovascular mortality) OR (fracture) OR (osteoporosis))</w:t>
            </w:r>
          </w:p>
        </w:tc>
      </w:tr>
      <w:tr w:rsidR="008B2F7A" w:rsidRPr="00B43294" w14:paraId="1A4D31A3" w14:textId="77777777" w:rsidTr="00E35CBD">
        <w:tc>
          <w:tcPr>
            <w:tcW w:w="9016" w:type="dxa"/>
          </w:tcPr>
          <w:p w14:paraId="747A7E53" w14:textId="77777777" w:rsidR="008B2F7A" w:rsidRPr="00B43294" w:rsidRDefault="008B2F7A" w:rsidP="00E35CBD">
            <w:pPr>
              <w:jc w:val="center"/>
              <w:rPr>
                <w:rFonts w:cs="Times New Roman"/>
                <w:b/>
                <w:bCs/>
                <w:color w:val="000000" w:themeColor="text1"/>
              </w:rPr>
            </w:pPr>
            <w:r w:rsidRPr="00B43294">
              <w:rPr>
                <w:rFonts w:cs="Times New Roman"/>
                <w:b/>
                <w:bCs/>
                <w:color w:val="000000" w:themeColor="text1"/>
              </w:rPr>
              <w:t>Age</w:t>
            </w:r>
          </w:p>
        </w:tc>
      </w:tr>
      <w:tr w:rsidR="008B2F7A" w:rsidRPr="00B43294" w14:paraId="2F265A36" w14:textId="77777777" w:rsidTr="00E35CBD">
        <w:tc>
          <w:tcPr>
            <w:tcW w:w="9016" w:type="dxa"/>
          </w:tcPr>
          <w:p w14:paraId="1E75FAE1" w14:textId="77777777" w:rsidR="008B2F7A" w:rsidRPr="00B43294" w:rsidRDefault="008B2F7A" w:rsidP="00E35CBD">
            <w:pPr>
              <w:rPr>
                <w:rFonts w:cs="Times New Roman"/>
                <w:color w:val="000000" w:themeColor="text1"/>
              </w:rPr>
            </w:pPr>
            <w:r w:rsidRPr="00B43294">
              <w:rPr>
                <w:rFonts w:cs="Times New Roman"/>
                <w:color w:val="000000" w:themeColor="text1"/>
              </w:rPr>
              <w:t>((elderly) OR (aging) OR (over) OR (age)</w:t>
            </w:r>
            <w:r>
              <w:rPr>
                <w:rFonts w:cs="Times New Roman"/>
                <w:color w:val="000000" w:themeColor="text1"/>
              </w:rPr>
              <w:t xml:space="preserve"> </w:t>
            </w:r>
            <w:r w:rsidRPr="00B43294">
              <w:rPr>
                <w:rFonts w:cs="Times New Roman"/>
                <w:color w:val="000000" w:themeColor="text1"/>
              </w:rPr>
              <w:t>OR (ageing)</w:t>
            </w:r>
            <w:r>
              <w:rPr>
                <w:rFonts w:cs="Times New Roman"/>
                <w:color w:val="000000" w:themeColor="text1"/>
              </w:rPr>
              <w:t xml:space="preserve"> </w:t>
            </w:r>
            <w:r w:rsidRPr="00B43294">
              <w:rPr>
                <w:rFonts w:cs="Times New Roman"/>
                <w:color w:val="000000" w:themeColor="text1"/>
              </w:rPr>
              <w:t>OR (aged)</w:t>
            </w:r>
            <w:r>
              <w:rPr>
                <w:rFonts w:cs="Times New Roman"/>
                <w:color w:val="000000" w:themeColor="text1"/>
              </w:rPr>
              <w:t xml:space="preserve"> </w:t>
            </w:r>
            <w:r w:rsidRPr="00B43294">
              <w:rPr>
                <w:rFonts w:cs="Times New Roman"/>
                <w:color w:val="000000" w:themeColor="text1"/>
              </w:rPr>
              <w:t>OR (older)</w:t>
            </w:r>
            <w:r>
              <w:rPr>
                <w:rFonts w:cs="Times New Roman"/>
                <w:color w:val="000000" w:themeColor="text1"/>
              </w:rPr>
              <w:t xml:space="preserve"> </w:t>
            </w:r>
            <w:r w:rsidRPr="00B43294">
              <w:rPr>
                <w:rFonts w:cs="Times New Roman"/>
                <w:color w:val="000000" w:themeColor="text1"/>
              </w:rPr>
              <w:t>OR (old))</w:t>
            </w:r>
          </w:p>
        </w:tc>
      </w:tr>
      <w:tr w:rsidR="008B2F7A" w:rsidRPr="00B43294" w14:paraId="09874BBF" w14:textId="77777777" w:rsidTr="00E35CBD">
        <w:tc>
          <w:tcPr>
            <w:tcW w:w="9016" w:type="dxa"/>
          </w:tcPr>
          <w:p w14:paraId="6D5FA69A" w14:textId="77777777" w:rsidR="008B2F7A" w:rsidRPr="00B43294" w:rsidRDefault="008B2F7A" w:rsidP="00E35CBD">
            <w:pPr>
              <w:jc w:val="center"/>
              <w:rPr>
                <w:rFonts w:cs="Times New Roman"/>
                <w:b/>
                <w:bCs/>
                <w:color w:val="000000" w:themeColor="text1"/>
              </w:rPr>
            </w:pPr>
            <w:r w:rsidRPr="00B43294">
              <w:rPr>
                <w:rFonts w:cs="Times New Roman"/>
                <w:b/>
                <w:bCs/>
                <w:color w:val="000000" w:themeColor="text1"/>
              </w:rPr>
              <w:t>Study type</w:t>
            </w:r>
          </w:p>
        </w:tc>
      </w:tr>
      <w:tr w:rsidR="008B2F7A" w:rsidRPr="00B43294" w14:paraId="70B2FD66" w14:textId="77777777" w:rsidTr="00E35CBD">
        <w:tc>
          <w:tcPr>
            <w:tcW w:w="9016" w:type="dxa"/>
          </w:tcPr>
          <w:p w14:paraId="2671A426" w14:textId="77777777" w:rsidR="008B2F7A" w:rsidRPr="00B43294" w:rsidRDefault="008B2F7A" w:rsidP="00E35CBD">
            <w:pPr>
              <w:rPr>
                <w:rFonts w:cs="Times New Roman"/>
                <w:color w:val="000000" w:themeColor="text1"/>
              </w:rPr>
            </w:pPr>
            <w:r w:rsidRPr="00B43294">
              <w:rPr>
                <w:rFonts w:cs="Times New Roman"/>
                <w:color w:val="000000" w:themeColor="text1"/>
              </w:rPr>
              <w:t>((cohort) OR (cross-sectional) OR (observational study) OR (case control) OR (retrospective) OR (prospective) OR (population) OR (trial) OR (study) OR (case-control) OR (longitudinal) OR (follow-up) OR (</w:t>
            </w:r>
            <w:proofErr w:type="spellStart"/>
            <w:r w:rsidRPr="00B43294">
              <w:rPr>
                <w:rFonts w:cs="Times New Roman"/>
                <w:color w:val="000000" w:themeColor="text1"/>
              </w:rPr>
              <w:t>followup</w:t>
            </w:r>
            <w:proofErr w:type="spellEnd"/>
            <w:r w:rsidRPr="00B43294">
              <w:rPr>
                <w:rFonts w:cs="Times New Roman"/>
                <w:color w:val="000000" w:themeColor="text1"/>
              </w:rPr>
              <w:t>))</w:t>
            </w:r>
          </w:p>
        </w:tc>
      </w:tr>
    </w:tbl>
    <w:p w14:paraId="1DB029B8" w14:textId="77777777" w:rsidR="008B2F7A" w:rsidRPr="00B43294" w:rsidRDefault="008B2F7A" w:rsidP="008B2F7A">
      <w:pPr>
        <w:spacing w:line="240" w:lineRule="auto"/>
        <w:rPr>
          <w:color w:val="000000" w:themeColor="text1"/>
        </w:rPr>
      </w:pPr>
    </w:p>
    <w:p w14:paraId="0A3D2E78" w14:textId="77777777" w:rsidR="008B2F7A" w:rsidRPr="00B43294" w:rsidRDefault="008B2F7A" w:rsidP="008B2F7A">
      <w:pPr>
        <w:spacing w:line="240" w:lineRule="auto"/>
        <w:rPr>
          <w:color w:val="000000" w:themeColor="text1"/>
        </w:rPr>
      </w:pPr>
      <w:r w:rsidRPr="00116630">
        <w:rPr>
          <w:color w:val="000000" w:themeColor="text1"/>
        </w:rPr>
        <w:t xml:space="preserve">Additional file </w:t>
      </w:r>
      <w:r>
        <w:rPr>
          <w:color w:val="000000" w:themeColor="text1"/>
        </w:rPr>
        <w:t>3</w:t>
      </w:r>
    </w:p>
    <w:p w14:paraId="682C7507" w14:textId="77777777" w:rsidR="008B2F7A" w:rsidRPr="00B43294" w:rsidRDefault="008B2F7A" w:rsidP="008B2F7A">
      <w:pPr>
        <w:spacing w:line="240" w:lineRule="auto"/>
        <w:rPr>
          <w:color w:val="000000" w:themeColor="text1"/>
        </w:rPr>
      </w:pPr>
    </w:p>
    <w:tbl>
      <w:tblPr>
        <w:tblStyle w:val="TableGrid"/>
        <w:tblW w:w="9498" w:type="dxa"/>
        <w:tblLook w:val="04A0" w:firstRow="1" w:lastRow="0" w:firstColumn="1" w:lastColumn="0" w:noHBand="0" w:noVBand="1"/>
      </w:tblPr>
      <w:tblGrid>
        <w:gridCol w:w="2268"/>
        <w:gridCol w:w="1701"/>
        <w:gridCol w:w="5529"/>
      </w:tblGrid>
      <w:tr w:rsidR="008B2F7A" w:rsidRPr="00B43294" w14:paraId="685041FD" w14:textId="77777777" w:rsidTr="00E35CBD">
        <w:tc>
          <w:tcPr>
            <w:tcW w:w="2268" w:type="dxa"/>
            <w:tcBorders>
              <w:top w:val="nil"/>
              <w:left w:val="nil"/>
              <w:bottom w:val="single" w:sz="4" w:space="0" w:color="auto"/>
              <w:right w:val="nil"/>
            </w:tcBorders>
          </w:tcPr>
          <w:p w14:paraId="0C9279AB"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Bias type</w:t>
            </w:r>
          </w:p>
        </w:tc>
        <w:tc>
          <w:tcPr>
            <w:tcW w:w="1701" w:type="dxa"/>
            <w:tcBorders>
              <w:top w:val="nil"/>
              <w:left w:val="nil"/>
              <w:bottom w:val="single" w:sz="4" w:space="0" w:color="auto"/>
              <w:right w:val="nil"/>
            </w:tcBorders>
          </w:tcPr>
          <w:p w14:paraId="6A524CB7"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Judgement</w:t>
            </w:r>
          </w:p>
        </w:tc>
        <w:tc>
          <w:tcPr>
            <w:tcW w:w="5529" w:type="dxa"/>
            <w:tcBorders>
              <w:top w:val="nil"/>
              <w:left w:val="nil"/>
              <w:bottom w:val="single" w:sz="4" w:space="0" w:color="auto"/>
              <w:right w:val="nil"/>
            </w:tcBorders>
          </w:tcPr>
          <w:p w14:paraId="72560023"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Support for judgement</w:t>
            </w:r>
          </w:p>
        </w:tc>
      </w:tr>
      <w:tr w:rsidR="008B2F7A" w:rsidRPr="00B43294" w14:paraId="7DCAB7AE" w14:textId="77777777" w:rsidTr="00E35CBD">
        <w:tc>
          <w:tcPr>
            <w:tcW w:w="2268" w:type="dxa"/>
            <w:tcBorders>
              <w:top w:val="single" w:sz="4" w:space="0" w:color="auto"/>
              <w:bottom w:val="single" w:sz="4" w:space="0" w:color="auto"/>
              <w:right w:val="nil"/>
            </w:tcBorders>
          </w:tcPr>
          <w:p w14:paraId="6A0069BD"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Gencer, 2020</w:t>
            </w:r>
            <w:r>
              <w:rPr>
                <w:rFonts w:cs="Times New Roman"/>
                <w:b/>
                <w:bCs/>
                <w:color w:val="000000" w:themeColor="text1"/>
                <w:sz w:val="22"/>
                <w:szCs w:val="22"/>
              </w:rPr>
              <w:t xml:space="preserve"> </w:t>
            </w:r>
            <w:r>
              <w:rPr>
                <w:rFonts w:cs="Times New Roman"/>
                <w:b/>
                <w:bCs/>
                <w:color w:val="000000" w:themeColor="text1"/>
                <w:sz w:val="22"/>
                <w:szCs w:val="22"/>
              </w:rPr>
              <w:fldChar w:fldCharType="begin"/>
            </w:r>
            <w:r>
              <w:rPr>
                <w:rFonts w:cs="Times New Roman"/>
                <w:b/>
                <w:bCs/>
                <w:color w:val="000000" w:themeColor="text1"/>
                <w:sz w:val="22"/>
                <w:szCs w:val="22"/>
              </w:rPr>
              <w:instrText xml:space="preserve"> ADDIN ZOTERO_ITEM CSL_CITATION {"citationID":"RIXdNxjT","properties":{"formattedCitation":"(61)","plainCitation":"(61)","noteIndex":0},"citationItems":[{"id":23,"uris":["http://zotero.org/users/8587829/items/9Q4EXC38","http://zotero.org/users/8587829/items/2ST589TN"],"itemData":{"id":23,"type":"article-journal","abstract":"BACKGROUND: Subclinical hypothyroidism has been associated with heart failure, but only small trials assessed whether treatment with levothyroxine has an impact on cardiac function.\nMETHODS: In a randomized, double-blind, placebo-controlled, trial nested within the TRUST trial, Swiss participants ages ≥65 years with subclinical hypothyroidism (thyroid-stimulating hormone [TSH] 4.60-19.99 mIU/L; free thyroxine level within reference range) were randomized to levothyroxine (starting dose of 50 µg daily) to achieve TSH normalization or placebo. The primary outcomes were the left ventricular ejection fraction for systolic function and the ratio between mitral peak velocity of early filling to early diastolic mitral annular velocity (E/e' ratio) for diastolic function. Secondary outcomes included e' lateral/septal, left atrial volume index, and systolic pulmonary artery pressure.\nRESULTS: A total of 185 participants (mean age 74.1 years, 47% women) underwent echocardiography at the end of the trial. After a median treatment duration of 18.4 months, the mean TSH decreased from 6.35 mIU/L to 3.55 mIU/L with levothyroxine (n = 96), and it remained elevated at 5.29 mIU/L with placebo (n = 89). The adjusted between-group difference was not significant for the mean left ventricular ejection fraction (62.7% vs 62.5%, difference = 0.4%, 95% confidence interval -1.8% to 2.5%, P = 0.72) and the E/e' ratio (10.6 vs 10.1, difference 0.4, 95% confidence interval -0.7 to 1.4, P = 0.47). No differences were found for the secondary diastolic function parameters or for interaction according to sex, baseline TSH, preexisting heart failure, and treatment duration (P value &gt;0.05).\nCONCLUSION: Systolic and diastolic heart function did not differ after treatment with levothyroxine compared with placebo in older adults with mild subclinical hypothyroidism.","container-title":"The American Journal of Medicine","DOI":"10.1016/j.amjmed.2020.01.018","ISSN":"1555-7162","issue":"7","journalAbbreviation":"Am J Med","language":"eng","note":"PMID: 32171774","page":"848-856.e5","source":"PubMed","title":"The Impact of Levothyroxine on Cardiac Function in Older Adults With Mild Subclinical Hypothyroidism: A Randomized Clinical Trial","title-short":"The Impact of Levothyroxine on Cardiac Function in Older Adults With Mild Subclinical Hypothyroidism","volume":"133","author":[{"family":"Gencer","given":"Baris"},{"family":"Moutzouri","given":"Elisavet"},{"family":"Blum","given":"Manuel R."},{"family":"Feller","given":"Martin"},{"family":"Collet","given":"Tinh-Hai"},{"family":"Delgiovane","given":"Cinzia"},{"family":"Costa","given":"Bruno R.","non-dropping-particle":"da"},{"family":"Buffle","given":"Eric"},{"family":"Monney","given":"Pierre"},{"family":"Gabus","given":"Vincent"},{"family":"Müller","given":"Hajo"},{"family":"Sykiotis","given":"Gerasimos P."},{"family":"Kearney","given":"Patricia"},{"family":"Gussekloo","given":"Jacobijn"},{"family":"Westendorp","given":"Rudi"},{"family":"Stott","given":"David J."},{"family":"Bauer","given":"Douglas C."},{"family":"Rodondi","given":"Nicolas"}],"issued":{"date-parts":[["2020",7]]}}}],"schema":"https://github.com/citation-style-language/schema/raw/master/csl-citation.json"} </w:instrText>
            </w:r>
            <w:r>
              <w:rPr>
                <w:rFonts w:cs="Times New Roman"/>
                <w:b/>
                <w:bCs/>
                <w:color w:val="000000" w:themeColor="text1"/>
                <w:sz w:val="22"/>
                <w:szCs w:val="22"/>
              </w:rPr>
              <w:fldChar w:fldCharType="separate"/>
            </w:r>
            <w:r>
              <w:rPr>
                <w:rFonts w:cs="Times New Roman"/>
                <w:b/>
                <w:bCs/>
                <w:noProof/>
                <w:color w:val="000000" w:themeColor="text1"/>
                <w:sz w:val="22"/>
                <w:szCs w:val="22"/>
              </w:rPr>
              <w:t>(61)</w:t>
            </w:r>
            <w:r>
              <w:rPr>
                <w:rFonts w:cs="Times New Roman"/>
                <w:b/>
                <w:bCs/>
                <w:color w:val="000000" w:themeColor="text1"/>
                <w:sz w:val="22"/>
                <w:szCs w:val="22"/>
              </w:rPr>
              <w:fldChar w:fldCharType="end"/>
            </w:r>
          </w:p>
        </w:tc>
        <w:tc>
          <w:tcPr>
            <w:tcW w:w="1701" w:type="dxa"/>
            <w:tcBorders>
              <w:top w:val="single" w:sz="4" w:space="0" w:color="auto"/>
              <w:left w:val="nil"/>
              <w:bottom w:val="single" w:sz="4" w:space="0" w:color="auto"/>
              <w:right w:val="nil"/>
            </w:tcBorders>
          </w:tcPr>
          <w:p w14:paraId="2CE567E7" w14:textId="77777777" w:rsidR="008B2F7A" w:rsidRPr="00B43294" w:rsidRDefault="008B2F7A" w:rsidP="00E35CBD">
            <w:pPr>
              <w:rPr>
                <w:rFonts w:cs="Times New Roman"/>
                <w:color w:val="000000" w:themeColor="text1"/>
                <w:sz w:val="22"/>
                <w:szCs w:val="22"/>
              </w:rPr>
            </w:pPr>
          </w:p>
        </w:tc>
        <w:tc>
          <w:tcPr>
            <w:tcW w:w="5529" w:type="dxa"/>
            <w:tcBorders>
              <w:top w:val="single" w:sz="4" w:space="0" w:color="auto"/>
              <w:left w:val="nil"/>
              <w:bottom w:val="single" w:sz="4" w:space="0" w:color="auto"/>
            </w:tcBorders>
          </w:tcPr>
          <w:p w14:paraId="77CFE680"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Low risk</w:t>
            </w:r>
          </w:p>
        </w:tc>
      </w:tr>
      <w:tr w:rsidR="008B2F7A" w:rsidRPr="00B43294" w14:paraId="6772D5D1" w14:textId="77777777" w:rsidTr="00E35CBD">
        <w:tc>
          <w:tcPr>
            <w:tcW w:w="2268" w:type="dxa"/>
            <w:tcBorders>
              <w:top w:val="single" w:sz="4" w:space="0" w:color="auto"/>
              <w:left w:val="nil"/>
              <w:bottom w:val="nil"/>
              <w:right w:val="nil"/>
            </w:tcBorders>
          </w:tcPr>
          <w:p w14:paraId="64F57FBA"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Selection bias</w:t>
            </w:r>
          </w:p>
        </w:tc>
        <w:tc>
          <w:tcPr>
            <w:tcW w:w="1701" w:type="dxa"/>
            <w:tcBorders>
              <w:top w:val="single" w:sz="4" w:space="0" w:color="auto"/>
              <w:left w:val="nil"/>
              <w:bottom w:val="nil"/>
              <w:right w:val="nil"/>
            </w:tcBorders>
          </w:tcPr>
          <w:p w14:paraId="3931E39A"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single" w:sz="4" w:space="0" w:color="auto"/>
              <w:left w:val="nil"/>
              <w:bottom w:val="nil"/>
              <w:right w:val="nil"/>
            </w:tcBorders>
          </w:tcPr>
          <w:p w14:paraId="49F56D67"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Randomisation method involved randomly permuted blocks on a 1:1 ratio</w:t>
            </w:r>
          </w:p>
        </w:tc>
      </w:tr>
      <w:tr w:rsidR="008B2F7A" w:rsidRPr="00B43294" w14:paraId="1B1BED54" w14:textId="77777777" w:rsidTr="00E35CBD">
        <w:tc>
          <w:tcPr>
            <w:tcW w:w="2268" w:type="dxa"/>
            <w:tcBorders>
              <w:top w:val="nil"/>
              <w:left w:val="nil"/>
              <w:bottom w:val="nil"/>
              <w:right w:val="nil"/>
            </w:tcBorders>
          </w:tcPr>
          <w:p w14:paraId="3B81A51E"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lastRenderedPageBreak/>
              <w:t xml:space="preserve">Attrition bias </w:t>
            </w:r>
          </w:p>
        </w:tc>
        <w:tc>
          <w:tcPr>
            <w:tcW w:w="1701" w:type="dxa"/>
            <w:tcBorders>
              <w:top w:val="nil"/>
              <w:left w:val="nil"/>
              <w:bottom w:val="nil"/>
              <w:right w:val="nil"/>
            </w:tcBorders>
          </w:tcPr>
          <w:p w14:paraId="77A842D7"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0D19353C"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The reason for any excluded participants is given</w:t>
            </w:r>
          </w:p>
        </w:tc>
      </w:tr>
      <w:tr w:rsidR="008B2F7A" w:rsidRPr="00B43294" w14:paraId="46E7BD7E" w14:textId="77777777" w:rsidTr="00E35CBD">
        <w:tc>
          <w:tcPr>
            <w:tcW w:w="2268" w:type="dxa"/>
            <w:tcBorders>
              <w:top w:val="nil"/>
              <w:left w:val="nil"/>
              <w:bottom w:val="nil"/>
              <w:right w:val="nil"/>
            </w:tcBorders>
          </w:tcPr>
          <w:p w14:paraId="196C81A4"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Performance bias</w:t>
            </w:r>
          </w:p>
        </w:tc>
        <w:tc>
          <w:tcPr>
            <w:tcW w:w="1701" w:type="dxa"/>
            <w:tcBorders>
              <w:top w:val="nil"/>
              <w:left w:val="nil"/>
              <w:bottom w:val="nil"/>
              <w:right w:val="nil"/>
            </w:tcBorders>
          </w:tcPr>
          <w:p w14:paraId="72B6270C"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5104F996"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Double-blinded</w:t>
            </w:r>
          </w:p>
        </w:tc>
      </w:tr>
      <w:tr w:rsidR="008B2F7A" w:rsidRPr="00B43294" w14:paraId="7B6BF3CA" w14:textId="77777777" w:rsidTr="00E35CBD">
        <w:tc>
          <w:tcPr>
            <w:tcW w:w="2268" w:type="dxa"/>
            <w:tcBorders>
              <w:top w:val="nil"/>
              <w:left w:val="nil"/>
              <w:bottom w:val="nil"/>
              <w:right w:val="nil"/>
            </w:tcBorders>
          </w:tcPr>
          <w:p w14:paraId="435D67FC"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Detection bias</w:t>
            </w:r>
          </w:p>
        </w:tc>
        <w:tc>
          <w:tcPr>
            <w:tcW w:w="1701" w:type="dxa"/>
            <w:tcBorders>
              <w:top w:val="nil"/>
              <w:left w:val="nil"/>
              <w:bottom w:val="nil"/>
              <w:right w:val="nil"/>
            </w:tcBorders>
          </w:tcPr>
          <w:p w14:paraId="716B06E2"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31F41239"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Double-blinded</w:t>
            </w:r>
          </w:p>
        </w:tc>
      </w:tr>
      <w:tr w:rsidR="008B2F7A" w:rsidRPr="00B43294" w14:paraId="57EA26B2" w14:textId="77777777" w:rsidTr="00E35CBD">
        <w:tc>
          <w:tcPr>
            <w:tcW w:w="2268" w:type="dxa"/>
            <w:tcBorders>
              <w:top w:val="nil"/>
              <w:left w:val="nil"/>
              <w:bottom w:val="nil"/>
              <w:right w:val="nil"/>
            </w:tcBorders>
          </w:tcPr>
          <w:p w14:paraId="7774797A"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Reporting bias</w:t>
            </w:r>
          </w:p>
        </w:tc>
        <w:tc>
          <w:tcPr>
            <w:tcW w:w="1701" w:type="dxa"/>
            <w:tcBorders>
              <w:top w:val="nil"/>
              <w:left w:val="nil"/>
              <w:bottom w:val="nil"/>
              <w:right w:val="nil"/>
            </w:tcBorders>
          </w:tcPr>
          <w:p w14:paraId="4A652924"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25E8329B"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All prespecified outcomes are reported</w:t>
            </w:r>
          </w:p>
        </w:tc>
      </w:tr>
      <w:tr w:rsidR="008B2F7A" w:rsidRPr="00B43294" w14:paraId="72AB0339" w14:textId="77777777" w:rsidTr="00E35CBD">
        <w:tc>
          <w:tcPr>
            <w:tcW w:w="2268" w:type="dxa"/>
            <w:tcBorders>
              <w:top w:val="nil"/>
              <w:left w:val="nil"/>
              <w:bottom w:val="single" w:sz="4" w:space="0" w:color="auto"/>
              <w:right w:val="nil"/>
            </w:tcBorders>
          </w:tcPr>
          <w:p w14:paraId="4CDB51F4"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Other bias</w:t>
            </w:r>
          </w:p>
        </w:tc>
        <w:tc>
          <w:tcPr>
            <w:tcW w:w="1701" w:type="dxa"/>
            <w:tcBorders>
              <w:top w:val="nil"/>
              <w:left w:val="nil"/>
              <w:bottom w:val="single" w:sz="4" w:space="0" w:color="auto"/>
              <w:right w:val="nil"/>
            </w:tcBorders>
          </w:tcPr>
          <w:p w14:paraId="14E3EEEF"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w:t>
            </w:r>
          </w:p>
        </w:tc>
        <w:tc>
          <w:tcPr>
            <w:tcW w:w="5529" w:type="dxa"/>
            <w:tcBorders>
              <w:top w:val="nil"/>
              <w:left w:val="nil"/>
              <w:bottom w:val="single" w:sz="4" w:space="0" w:color="auto"/>
              <w:right w:val="nil"/>
            </w:tcBorders>
          </w:tcPr>
          <w:p w14:paraId="075212E1"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w:t>
            </w:r>
          </w:p>
        </w:tc>
      </w:tr>
      <w:tr w:rsidR="008B2F7A" w:rsidRPr="00B43294" w14:paraId="3C2D7377" w14:textId="77777777" w:rsidTr="00E35CBD">
        <w:tc>
          <w:tcPr>
            <w:tcW w:w="3969" w:type="dxa"/>
            <w:gridSpan w:val="2"/>
            <w:tcBorders>
              <w:bottom w:val="single" w:sz="4" w:space="0" w:color="auto"/>
              <w:right w:val="nil"/>
            </w:tcBorders>
          </w:tcPr>
          <w:p w14:paraId="25A79878"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Gonzalez Rodriguez, 2020</w:t>
            </w:r>
            <w:r>
              <w:rPr>
                <w:rFonts w:cs="Times New Roman"/>
                <w:b/>
                <w:bCs/>
                <w:color w:val="000000" w:themeColor="text1"/>
                <w:sz w:val="22"/>
                <w:szCs w:val="22"/>
              </w:rPr>
              <w:t xml:space="preserve"> </w:t>
            </w:r>
            <w:r>
              <w:rPr>
                <w:rFonts w:cs="Times New Roman"/>
                <w:b/>
                <w:bCs/>
                <w:color w:val="000000" w:themeColor="text1"/>
                <w:sz w:val="22"/>
                <w:szCs w:val="22"/>
              </w:rPr>
              <w:fldChar w:fldCharType="begin"/>
            </w:r>
            <w:r>
              <w:rPr>
                <w:rFonts w:cs="Times New Roman"/>
                <w:b/>
                <w:bCs/>
                <w:color w:val="000000" w:themeColor="text1"/>
                <w:sz w:val="22"/>
                <w:szCs w:val="22"/>
              </w:rPr>
              <w:instrText xml:space="preserve"> ADDIN ZOTERO_ITEM CSL_CITATION {"citationID":"A8oTvuBd","properties":{"formattedCitation":"(12)","plainCitation":"(12)","noteIndex":0},"citationItems":[{"id":1013,"uris":["http://zotero.org/users/8587829/items/FLM9DTMY","http://zotero.org/users/8587829/items/HVV6K6EZ"],"itemData":{"id":1013,"type":"article-journal","abstract":"CONTEXT: Both thyroid dysfunction and levothyroxine (LT4) therapy have been associated with bone loss, but studies on the effect of LT4 for subclinical hypothyroidism (SHypo) on bone yielded conflicting results.\nOBJECTIVE: To assess the effect of LT4 treatment on bone mineral density (BMD), Trabecular Bone Score (TBS), and bone turnover markers (BTMs) in older adults with SHypo.\nDESIGN AND INTERVENTION: Planned nested substudy of the double-blind placebo-controlled TRUST trial. Participants with SHypo were randomized to LT4 with dose titration versus placebo with computerized mock titration.\nSETTING AND PARTICIPANTS: 196 community-dwelling adults over 65 years enrolled at the Swiss TRUST sites had baseline and 1-year follow-up bone examinations; 4 participants withdrew due to adverse events not related to treatment.\nMAIN OUTCOME MEASURES: One-year percentage changes of BMD, TBS, and 2 serum BTMs (serum CTX-1 [sCTX] and procollagen type 1 N-terminal polypeptide [P1NP]). Student's t-test for unadjusted analyses and linear regression adjusted for clinical center and sex were performed.\nRESULTS: Mean age was 74.3 years ± 5.7, 45.4% were women, and 19.6% were osteoporotic. The unadjusted 1-year change in lumbar spine BMD was similar between LT4 (+0.8%) and placebo-treated groups (-0.6%; between-groups difference +1.4%: 95% confidence interval [CI] -0.1 to 2.9, P = .059). Likewise, there were no between-group differences in 1-year change in TBS (-1.3%: 95% CI -3.1 to 0.6, P = .19), total hip BMD (-0.2%: 95% CI -1.1 to 0.1, P = .61), or BTMs levels (sCTX +24.1%: 95% CI -7.9 to 56.2, P = .14), or after adjustment for clinical centers and sex.\nCONCLUSIONS: Over 1-year levothyroxine had no effect on bone health in older adults with SHypo.\nREGISTRATION: ClinicalTrial.gov NCT01660126 and NCT02491008.","container-title":"The Journal of Clinical Endocrinology and Metabolism","DOI":"10.1210/clinem/dgz058","ISSN":"1945-7197","issue":"1","journalAbbreviation":"J Clin Endocrinol Metab","language":"eng","note":"PMID: 31702015","page":"dgz058","source":"PubMed","title":"Skeletal Effects of Levothyroxine for Subclinical Hypothyroidism in Older Adults: A TRUST Randomized Trial Nested Study","title-short":"Skeletal Effects of Levothyroxine for Subclinical Hypothyroidism in Older Adults","volume":"105","author":[{"family":"Gonzalez Rodriguez","given":"Elena"},{"family":"Stuber","given":"Mirah"},{"family":"Del Giovane","given":"Cinzia"},{"family":"Feller","given":"Martin"},{"family":"Collet","given":"Tinh-Hai"},{"family":"Löwe","given":"Axel L."},{"family":"Blum","given":"Manuel R."},{"family":"Vliet","given":"Nicolien A.","non-dropping-particle":"van"},{"family":"Heemst","given":"Diana","non-dropping-particle":"van"},{"family":"Kearney","given":"Patricia M."},{"family":"Gussekloo","given":"Jacobijn"},{"family":"Mooijaart","given":"Simon"},{"family":"Westendorp","given":"Rudi G. J."},{"family":"Stott","given":"David J."},{"family":"Aeberli","given":"Daniel"},{"family":"Bauer","given":"Douglas C."},{"family":"Hans","given":"Didier"},{"family":"Rodondi","given":"Nicolas"}],"issued":{"date-parts":[["2020",1,1]]}}}],"schema":"https://github.com/citation-style-language/schema/raw/master/csl-citation.json"} </w:instrText>
            </w:r>
            <w:r>
              <w:rPr>
                <w:rFonts w:cs="Times New Roman"/>
                <w:b/>
                <w:bCs/>
                <w:color w:val="000000" w:themeColor="text1"/>
                <w:sz w:val="22"/>
                <w:szCs w:val="22"/>
              </w:rPr>
              <w:fldChar w:fldCharType="separate"/>
            </w:r>
            <w:r>
              <w:rPr>
                <w:rFonts w:cs="Times New Roman"/>
                <w:b/>
                <w:bCs/>
                <w:noProof/>
                <w:color w:val="000000" w:themeColor="text1"/>
                <w:sz w:val="22"/>
                <w:szCs w:val="22"/>
              </w:rPr>
              <w:t>(12)</w:t>
            </w:r>
            <w:r>
              <w:rPr>
                <w:rFonts w:cs="Times New Roman"/>
                <w:b/>
                <w:bCs/>
                <w:color w:val="000000" w:themeColor="text1"/>
                <w:sz w:val="22"/>
                <w:szCs w:val="22"/>
              </w:rPr>
              <w:fldChar w:fldCharType="end"/>
            </w:r>
          </w:p>
        </w:tc>
        <w:tc>
          <w:tcPr>
            <w:tcW w:w="5529" w:type="dxa"/>
            <w:tcBorders>
              <w:left w:val="nil"/>
              <w:bottom w:val="single" w:sz="4" w:space="0" w:color="auto"/>
            </w:tcBorders>
          </w:tcPr>
          <w:p w14:paraId="299109B0"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Low risk</w:t>
            </w:r>
          </w:p>
        </w:tc>
      </w:tr>
      <w:tr w:rsidR="008B2F7A" w:rsidRPr="00B43294" w14:paraId="0AFBD773" w14:textId="77777777" w:rsidTr="00E35CBD">
        <w:tc>
          <w:tcPr>
            <w:tcW w:w="2268" w:type="dxa"/>
            <w:tcBorders>
              <w:left w:val="nil"/>
              <w:bottom w:val="nil"/>
              <w:right w:val="nil"/>
            </w:tcBorders>
          </w:tcPr>
          <w:p w14:paraId="36B35D7E"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Selection bias</w:t>
            </w:r>
          </w:p>
        </w:tc>
        <w:tc>
          <w:tcPr>
            <w:tcW w:w="1701" w:type="dxa"/>
            <w:tcBorders>
              <w:left w:val="nil"/>
              <w:bottom w:val="nil"/>
              <w:right w:val="nil"/>
            </w:tcBorders>
          </w:tcPr>
          <w:p w14:paraId="1A168CA2"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left w:val="nil"/>
              <w:bottom w:val="nil"/>
              <w:right w:val="nil"/>
            </w:tcBorders>
          </w:tcPr>
          <w:p w14:paraId="6E1DDEDE"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Randomisation method involved randomly permuted blocks on a 1:1 ratio</w:t>
            </w:r>
          </w:p>
        </w:tc>
      </w:tr>
      <w:tr w:rsidR="008B2F7A" w:rsidRPr="00B43294" w14:paraId="7702DC1A" w14:textId="77777777" w:rsidTr="00E35CBD">
        <w:tc>
          <w:tcPr>
            <w:tcW w:w="2268" w:type="dxa"/>
            <w:tcBorders>
              <w:top w:val="nil"/>
              <w:left w:val="nil"/>
              <w:bottom w:val="nil"/>
              <w:right w:val="nil"/>
            </w:tcBorders>
          </w:tcPr>
          <w:p w14:paraId="7A85005C"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 xml:space="preserve">Attrition bias </w:t>
            </w:r>
          </w:p>
        </w:tc>
        <w:tc>
          <w:tcPr>
            <w:tcW w:w="1701" w:type="dxa"/>
            <w:tcBorders>
              <w:top w:val="nil"/>
              <w:left w:val="nil"/>
              <w:bottom w:val="nil"/>
              <w:right w:val="nil"/>
            </w:tcBorders>
          </w:tcPr>
          <w:p w14:paraId="5B6BC25B"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500BFD57"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The reason for any excluded participants is given</w:t>
            </w:r>
          </w:p>
        </w:tc>
      </w:tr>
      <w:tr w:rsidR="008B2F7A" w:rsidRPr="00B43294" w14:paraId="38B553C8" w14:textId="77777777" w:rsidTr="00E35CBD">
        <w:tc>
          <w:tcPr>
            <w:tcW w:w="2268" w:type="dxa"/>
            <w:tcBorders>
              <w:top w:val="nil"/>
              <w:left w:val="nil"/>
              <w:bottom w:val="nil"/>
              <w:right w:val="nil"/>
            </w:tcBorders>
          </w:tcPr>
          <w:p w14:paraId="43C2C80F"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Performance bias</w:t>
            </w:r>
          </w:p>
        </w:tc>
        <w:tc>
          <w:tcPr>
            <w:tcW w:w="1701" w:type="dxa"/>
            <w:tcBorders>
              <w:top w:val="nil"/>
              <w:left w:val="nil"/>
              <w:bottom w:val="nil"/>
              <w:right w:val="nil"/>
            </w:tcBorders>
          </w:tcPr>
          <w:p w14:paraId="2281AF9B"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643AA413"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Double-blinded</w:t>
            </w:r>
          </w:p>
        </w:tc>
      </w:tr>
      <w:tr w:rsidR="008B2F7A" w:rsidRPr="00B43294" w14:paraId="63DBE405" w14:textId="77777777" w:rsidTr="00E35CBD">
        <w:tc>
          <w:tcPr>
            <w:tcW w:w="2268" w:type="dxa"/>
            <w:tcBorders>
              <w:top w:val="nil"/>
              <w:left w:val="nil"/>
              <w:bottom w:val="nil"/>
              <w:right w:val="nil"/>
            </w:tcBorders>
          </w:tcPr>
          <w:p w14:paraId="1F5BE232"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Detection bias</w:t>
            </w:r>
          </w:p>
        </w:tc>
        <w:tc>
          <w:tcPr>
            <w:tcW w:w="1701" w:type="dxa"/>
            <w:tcBorders>
              <w:top w:val="nil"/>
              <w:left w:val="nil"/>
              <w:bottom w:val="nil"/>
              <w:right w:val="nil"/>
            </w:tcBorders>
          </w:tcPr>
          <w:p w14:paraId="23015708"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05749099"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Double-blinded</w:t>
            </w:r>
          </w:p>
        </w:tc>
      </w:tr>
      <w:tr w:rsidR="008B2F7A" w:rsidRPr="00B43294" w14:paraId="34EEC2BD" w14:textId="77777777" w:rsidTr="00E35CBD">
        <w:tc>
          <w:tcPr>
            <w:tcW w:w="2268" w:type="dxa"/>
            <w:tcBorders>
              <w:top w:val="nil"/>
              <w:left w:val="nil"/>
              <w:bottom w:val="nil"/>
              <w:right w:val="nil"/>
            </w:tcBorders>
          </w:tcPr>
          <w:p w14:paraId="05C774A1"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Reporting bias</w:t>
            </w:r>
          </w:p>
        </w:tc>
        <w:tc>
          <w:tcPr>
            <w:tcW w:w="1701" w:type="dxa"/>
            <w:tcBorders>
              <w:top w:val="nil"/>
              <w:left w:val="nil"/>
              <w:bottom w:val="nil"/>
              <w:right w:val="nil"/>
            </w:tcBorders>
          </w:tcPr>
          <w:p w14:paraId="4FD1EBAD"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434B259D"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All prespecified outcomes are reported</w:t>
            </w:r>
          </w:p>
        </w:tc>
      </w:tr>
      <w:tr w:rsidR="008B2F7A" w:rsidRPr="00B43294" w14:paraId="5ED4D609" w14:textId="77777777" w:rsidTr="00E35CBD">
        <w:tc>
          <w:tcPr>
            <w:tcW w:w="2268" w:type="dxa"/>
            <w:tcBorders>
              <w:top w:val="nil"/>
              <w:left w:val="nil"/>
              <w:bottom w:val="single" w:sz="4" w:space="0" w:color="auto"/>
              <w:right w:val="nil"/>
            </w:tcBorders>
          </w:tcPr>
          <w:p w14:paraId="46B1AA2C"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Other bias</w:t>
            </w:r>
          </w:p>
        </w:tc>
        <w:tc>
          <w:tcPr>
            <w:tcW w:w="1701" w:type="dxa"/>
            <w:tcBorders>
              <w:top w:val="nil"/>
              <w:left w:val="nil"/>
              <w:bottom w:val="single" w:sz="4" w:space="0" w:color="auto"/>
              <w:right w:val="nil"/>
            </w:tcBorders>
          </w:tcPr>
          <w:p w14:paraId="28DA27D6"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w:t>
            </w:r>
          </w:p>
        </w:tc>
        <w:tc>
          <w:tcPr>
            <w:tcW w:w="5529" w:type="dxa"/>
            <w:tcBorders>
              <w:top w:val="nil"/>
              <w:left w:val="nil"/>
              <w:bottom w:val="single" w:sz="4" w:space="0" w:color="auto"/>
              <w:right w:val="nil"/>
            </w:tcBorders>
          </w:tcPr>
          <w:p w14:paraId="54370C04"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w:t>
            </w:r>
          </w:p>
        </w:tc>
      </w:tr>
      <w:tr w:rsidR="008B2F7A" w:rsidRPr="00B43294" w14:paraId="16E46F24" w14:textId="77777777" w:rsidTr="00E35CBD">
        <w:tc>
          <w:tcPr>
            <w:tcW w:w="2268" w:type="dxa"/>
            <w:tcBorders>
              <w:bottom w:val="single" w:sz="4" w:space="0" w:color="auto"/>
              <w:right w:val="nil"/>
            </w:tcBorders>
          </w:tcPr>
          <w:p w14:paraId="2623F648"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Mooijaart, 2019</w:t>
            </w:r>
            <w:r>
              <w:rPr>
                <w:rFonts w:cs="Times New Roman"/>
                <w:b/>
                <w:bCs/>
                <w:color w:val="000000" w:themeColor="text1"/>
                <w:sz w:val="22"/>
                <w:szCs w:val="22"/>
              </w:rPr>
              <w:t xml:space="preserve"> </w:t>
            </w:r>
            <w:r>
              <w:rPr>
                <w:rFonts w:cs="Times New Roman"/>
                <w:b/>
                <w:bCs/>
                <w:color w:val="000000" w:themeColor="text1"/>
                <w:sz w:val="22"/>
                <w:szCs w:val="22"/>
              </w:rPr>
              <w:fldChar w:fldCharType="begin"/>
            </w:r>
            <w:r>
              <w:rPr>
                <w:rFonts w:cs="Times New Roman"/>
                <w:b/>
                <w:bCs/>
                <w:color w:val="000000" w:themeColor="text1"/>
                <w:sz w:val="22"/>
                <w:szCs w:val="22"/>
              </w:rPr>
              <w:instrText xml:space="preserve"> ADDIN ZOTERO_ITEM CSL_CITATION {"citationID":"ZuXNumIL","properties":{"formattedCitation":"(63)","plainCitation":"(63)","noteIndex":0},"citationItems":[{"id":1491,"uris":["http://zotero.org/users/8587829/items/2CNXI2VX","http://zotero.org/users/8587829/items/4BWPCN6P"],"itemData":{"id":1491,"type":"article-journal","abstract":"Importance: It is unclear whether levothyroxine treatment provides clinically important benefits in adults aged 80 years and older with subclinical hypothyroidism.\nObjective: To determine the association of levothyroxine treatment for subclinical hypothyroidism with thyroid-related quality of life in adults aged 80 years and older.\nDesign, Setting, and Participants: Prospectively planned combined analysis of data involving community-dwelling adults aged 80 years and older with subclinical hypothyroidism. Data from a randomized clinical trial were combined with a subgroup of participants aged 80 years and older from a second clinical trial. The trials were conducted between April 2013 and May 2018. Final follow-up was May 4, 2018.\nExposures: Participants were randomly assigned to receive levothyroxine (n = 112; 52 participants from the first trial and 60 from the second trial) or placebo (n = 139; 53 participants from the first trial and 86 from the second trial).\nMain Outcomes and Measures: Co-primary outcomes were Thyroid-Related Quality of Life Patient-Reported Outcome (ThyPRO) questionnaire scores for the domains of hypothyroid symptoms and tiredness at 1 year (range, 0-100; higher scores indicate worse quality of life; minimal clinically important difference, 9).\nResults: Of 251 participants (mean age, 85 years; 118 [47%] women), 105 were included from the first clinical trial and 146 were included from the second clinical trial. A total of 212 participants (84%) completed the study. The hypothyroid symptoms score decreased from 21.7 at baseline to 19.3 at 12 months in the levothyroxine group vs from 19.8 at baseline to 17.4 at 12 months in the placebo group (adjusted between-group difference, 1.3 [95% CI, -2.7 to 5.2]; P = .53). The tiredness score increased from 25.5 at baseline to 28.2 at 12 months in the levothyroxine group vs from 25.1 at baseline to 28.7 at 12 months in the placebo group (adjusted between-group difference, -0.1 [95% CI, -4.5 to 4.3]; P = .96). At least 1 adverse event occurred in 33 participants (29.5%) in the levothyroxine group (the most common adverse event was cerebrovascular accident, which occurred in 3 participants [2.2%]) and 40 participants (28.8%) in the placebo group (the most common adverse event was pneumonia, which occurred in 4 [3.6%] participants).\nConclusions and Relevance: In this prospectively planned analysis of data from 2 clinical trials involving adults aged 80 years and older with subclinical hypothyroidism, treatment with levothyroxine, compared with placebo, was not significantly associated with improvement in hypothyroid symptoms or fatigue. These findings do not support routine use of levothyroxine for treatment of subclinical hypothyroidism in adults aged 80 years and older.\nTrial Registration: ClinicalTrials.gov Identifier: NCT01660126; Netherlands Trial Register: NTR3851.","container-title":"JAMA","DOI":"10.1001/jama.2019.17274","ISSN":"1538-3598","issue":"20","journalAbbreviation":"JAMA","language":"eng","note":"PMID: 31664429\nPMCID: PMC6822162","page":"1977-1986","source":"PubMed","title":"Association Between Levothyroxine Treatment and Thyroid-Related Symptoms Among Adults Aged 80 Years and Older With Subclinical Hypothyroidism","volume":"322","author":[{"family":"Mooijaart","given":"Simon P."},{"family":"Du Puy","given":"Robert S."},{"family":"Stott","given":"David J."},{"family":"Kearney","given":"Patricia M."},{"family":"Rodondi","given":"Nicolas"},{"family":"Westendorp","given":"Rudi G. J."},{"family":"Elzen","given":"Wendy P. J.","non-dropping-particle":"den"},{"family":"Postmus","given":"Iris"},{"family":"Poortvliet","given":"Rosalinde K. E."},{"family":"Heemst","given":"Diana","non-dropping-particle":"van"},{"family":"Munster","given":"Barbara C.","non-dropping-particle":"van"},{"family":"Peeters","given":"Robin P."},{"family":"Ford","given":"Ian"},{"family":"Kean","given":"Sharon"},{"family":"Messow","given":"Claudia-Martina"},{"family":"Blum","given":"Manuel R."},{"family":"Collet","given":"Tinh-Hai"},{"family":"Watt","given":"Torquil"},{"family":"Dekkers","given":"Olaf M."},{"family":"Jukema","given":"J. Wouter"},{"family":"Smit","given":"Johannes W. A."},{"family":"Langhorne","given":"Peter"},{"family":"Gussekloo","given":"Jacobijn"}],"issued":{"date-parts":[["2019",11,26]]}}}],"schema":"https://github.com/citation-style-language/schema/raw/master/csl-citation.json"} </w:instrText>
            </w:r>
            <w:r>
              <w:rPr>
                <w:rFonts w:cs="Times New Roman"/>
                <w:b/>
                <w:bCs/>
                <w:color w:val="000000" w:themeColor="text1"/>
                <w:sz w:val="22"/>
                <w:szCs w:val="22"/>
              </w:rPr>
              <w:fldChar w:fldCharType="separate"/>
            </w:r>
            <w:r>
              <w:rPr>
                <w:rFonts w:cs="Times New Roman"/>
                <w:b/>
                <w:bCs/>
                <w:noProof/>
                <w:color w:val="000000" w:themeColor="text1"/>
                <w:sz w:val="22"/>
                <w:szCs w:val="22"/>
              </w:rPr>
              <w:t>(63)</w:t>
            </w:r>
            <w:r>
              <w:rPr>
                <w:rFonts w:cs="Times New Roman"/>
                <w:b/>
                <w:bCs/>
                <w:color w:val="000000" w:themeColor="text1"/>
                <w:sz w:val="22"/>
                <w:szCs w:val="22"/>
              </w:rPr>
              <w:fldChar w:fldCharType="end"/>
            </w:r>
          </w:p>
        </w:tc>
        <w:tc>
          <w:tcPr>
            <w:tcW w:w="1701" w:type="dxa"/>
            <w:tcBorders>
              <w:left w:val="nil"/>
              <w:bottom w:val="single" w:sz="4" w:space="0" w:color="auto"/>
              <w:right w:val="nil"/>
            </w:tcBorders>
          </w:tcPr>
          <w:p w14:paraId="4CABE7EB" w14:textId="77777777" w:rsidR="008B2F7A" w:rsidRPr="00B43294" w:rsidRDefault="008B2F7A" w:rsidP="00E35CBD">
            <w:pPr>
              <w:rPr>
                <w:rFonts w:cs="Times New Roman"/>
                <w:color w:val="000000" w:themeColor="text1"/>
                <w:sz w:val="22"/>
                <w:szCs w:val="22"/>
              </w:rPr>
            </w:pPr>
          </w:p>
        </w:tc>
        <w:tc>
          <w:tcPr>
            <w:tcW w:w="5529" w:type="dxa"/>
            <w:tcBorders>
              <w:left w:val="nil"/>
              <w:bottom w:val="single" w:sz="4" w:space="0" w:color="auto"/>
            </w:tcBorders>
          </w:tcPr>
          <w:p w14:paraId="79ED1250"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Moderate risk</w:t>
            </w:r>
          </w:p>
        </w:tc>
      </w:tr>
      <w:tr w:rsidR="008B2F7A" w:rsidRPr="00B43294" w14:paraId="5AD08499" w14:textId="77777777" w:rsidTr="00E35CBD">
        <w:tc>
          <w:tcPr>
            <w:tcW w:w="2268" w:type="dxa"/>
            <w:tcBorders>
              <w:left w:val="nil"/>
              <w:bottom w:val="nil"/>
              <w:right w:val="nil"/>
            </w:tcBorders>
          </w:tcPr>
          <w:p w14:paraId="54887718"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Selection bias</w:t>
            </w:r>
          </w:p>
        </w:tc>
        <w:tc>
          <w:tcPr>
            <w:tcW w:w="1701" w:type="dxa"/>
            <w:tcBorders>
              <w:left w:val="nil"/>
              <w:bottom w:val="nil"/>
              <w:right w:val="nil"/>
            </w:tcBorders>
          </w:tcPr>
          <w:p w14:paraId="124DA458"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Moderate risk</w:t>
            </w:r>
          </w:p>
        </w:tc>
        <w:tc>
          <w:tcPr>
            <w:tcW w:w="5529" w:type="dxa"/>
            <w:tcBorders>
              <w:left w:val="nil"/>
              <w:bottom w:val="nil"/>
              <w:right w:val="nil"/>
            </w:tcBorders>
          </w:tcPr>
          <w:p w14:paraId="47A68887"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Randomisation method not stated for the IEMO80+ trial</w:t>
            </w:r>
          </w:p>
        </w:tc>
      </w:tr>
      <w:tr w:rsidR="008B2F7A" w:rsidRPr="00B43294" w14:paraId="0EBFD837" w14:textId="77777777" w:rsidTr="00E35CBD">
        <w:tc>
          <w:tcPr>
            <w:tcW w:w="2268" w:type="dxa"/>
            <w:tcBorders>
              <w:top w:val="nil"/>
              <w:left w:val="nil"/>
              <w:bottom w:val="nil"/>
              <w:right w:val="nil"/>
            </w:tcBorders>
          </w:tcPr>
          <w:p w14:paraId="0C7BCE75"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 xml:space="preserve">Attrition bias </w:t>
            </w:r>
          </w:p>
        </w:tc>
        <w:tc>
          <w:tcPr>
            <w:tcW w:w="1701" w:type="dxa"/>
            <w:tcBorders>
              <w:top w:val="nil"/>
              <w:left w:val="nil"/>
              <w:bottom w:val="nil"/>
              <w:right w:val="nil"/>
            </w:tcBorders>
          </w:tcPr>
          <w:p w14:paraId="04AC0F10"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Moderate risk</w:t>
            </w:r>
          </w:p>
        </w:tc>
        <w:tc>
          <w:tcPr>
            <w:tcW w:w="5529" w:type="dxa"/>
            <w:tcBorders>
              <w:top w:val="nil"/>
              <w:left w:val="nil"/>
              <w:bottom w:val="nil"/>
              <w:right w:val="nil"/>
            </w:tcBorders>
          </w:tcPr>
          <w:p w14:paraId="57CA80E6"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The reason for excluded participants is not given. A high proportion discontinued treatment (32%)</w:t>
            </w:r>
          </w:p>
        </w:tc>
      </w:tr>
      <w:tr w:rsidR="008B2F7A" w:rsidRPr="00B43294" w14:paraId="0A7A73D0" w14:textId="77777777" w:rsidTr="00E35CBD">
        <w:tc>
          <w:tcPr>
            <w:tcW w:w="2268" w:type="dxa"/>
            <w:tcBorders>
              <w:top w:val="nil"/>
              <w:left w:val="nil"/>
              <w:bottom w:val="nil"/>
              <w:right w:val="nil"/>
            </w:tcBorders>
          </w:tcPr>
          <w:p w14:paraId="70D67598"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Performance bias</w:t>
            </w:r>
          </w:p>
        </w:tc>
        <w:tc>
          <w:tcPr>
            <w:tcW w:w="1701" w:type="dxa"/>
            <w:tcBorders>
              <w:top w:val="nil"/>
              <w:left w:val="nil"/>
              <w:bottom w:val="nil"/>
              <w:right w:val="nil"/>
            </w:tcBorders>
          </w:tcPr>
          <w:p w14:paraId="6E6A2A39"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79E2BD05"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Double-blinded</w:t>
            </w:r>
          </w:p>
        </w:tc>
      </w:tr>
      <w:tr w:rsidR="008B2F7A" w:rsidRPr="00B43294" w14:paraId="476A8431" w14:textId="77777777" w:rsidTr="00E35CBD">
        <w:tc>
          <w:tcPr>
            <w:tcW w:w="2268" w:type="dxa"/>
            <w:tcBorders>
              <w:top w:val="nil"/>
              <w:left w:val="nil"/>
              <w:bottom w:val="nil"/>
              <w:right w:val="nil"/>
            </w:tcBorders>
          </w:tcPr>
          <w:p w14:paraId="16B9A3F1"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Detection bias</w:t>
            </w:r>
          </w:p>
        </w:tc>
        <w:tc>
          <w:tcPr>
            <w:tcW w:w="1701" w:type="dxa"/>
            <w:tcBorders>
              <w:top w:val="nil"/>
              <w:left w:val="nil"/>
              <w:bottom w:val="nil"/>
              <w:right w:val="nil"/>
            </w:tcBorders>
          </w:tcPr>
          <w:p w14:paraId="6AD322EC"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40EFB7C9"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Double-blinded</w:t>
            </w:r>
          </w:p>
        </w:tc>
      </w:tr>
      <w:tr w:rsidR="008B2F7A" w:rsidRPr="00B43294" w14:paraId="7151CFBF" w14:textId="77777777" w:rsidTr="00E35CBD">
        <w:tc>
          <w:tcPr>
            <w:tcW w:w="2268" w:type="dxa"/>
            <w:tcBorders>
              <w:top w:val="nil"/>
              <w:left w:val="nil"/>
              <w:bottom w:val="nil"/>
              <w:right w:val="nil"/>
            </w:tcBorders>
          </w:tcPr>
          <w:p w14:paraId="5C5E3466"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Reporting bias</w:t>
            </w:r>
          </w:p>
        </w:tc>
        <w:tc>
          <w:tcPr>
            <w:tcW w:w="1701" w:type="dxa"/>
            <w:tcBorders>
              <w:top w:val="nil"/>
              <w:left w:val="nil"/>
              <w:bottom w:val="nil"/>
              <w:right w:val="nil"/>
            </w:tcBorders>
          </w:tcPr>
          <w:p w14:paraId="250D1CC6"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0315AB1B"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All prespecified outcomes are reported</w:t>
            </w:r>
          </w:p>
        </w:tc>
      </w:tr>
      <w:tr w:rsidR="008B2F7A" w:rsidRPr="00B43294" w14:paraId="24818441" w14:textId="77777777" w:rsidTr="00E35CBD">
        <w:tc>
          <w:tcPr>
            <w:tcW w:w="2268" w:type="dxa"/>
            <w:tcBorders>
              <w:top w:val="nil"/>
              <w:left w:val="nil"/>
              <w:bottom w:val="single" w:sz="4" w:space="0" w:color="auto"/>
              <w:right w:val="nil"/>
            </w:tcBorders>
          </w:tcPr>
          <w:p w14:paraId="6A9BC148"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Other bias</w:t>
            </w:r>
          </w:p>
        </w:tc>
        <w:tc>
          <w:tcPr>
            <w:tcW w:w="1701" w:type="dxa"/>
            <w:tcBorders>
              <w:top w:val="nil"/>
              <w:left w:val="nil"/>
              <w:bottom w:val="single" w:sz="4" w:space="0" w:color="auto"/>
              <w:right w:val="nil"/>
            </w:tcBorders>
          </w:tcPr>
          <w:p w14:paraId="7452D154"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w:t>
            </w:r>
          </w:p>
        </w:tc>
        <w:tc>
          <w:tcPr>
            <w:tcW w:w="5529" w:type="dxa"/>
            <w:tcBorders>
              <w:top w:val="nil"/>
              <w:left w:val="nil"/>
              <w:bottom w:val="single" w:sz="4" w:space="0" w:color="auto"/>
              <w:right w:val="nil"/>
            </w:tcBorders>
          </w:tcPr>
          <w:p w14:paraId="28356C1E" w14:textId="77777777" w:rsidR="008B2F7A" w:rsidRPr="00B43294" w:rsidRDefault="008B2F7A" w:rsidP="00E35CBD">
            <w:pPr>
              <w:rPr>
                <w:rFonts w:cs="Times New Roman"/>
                <w:color w:val="000000" w:themeColor="text1"/>
                <w:sz w:val="22"/>
                <w:szCs w:val="22"/>
              </w:rPr>
            </w:pPr>
          </w:p>
        </w:tc>
      </w:tr>
      <w:tr w:rsidR="008B2F7A" w:rsidRPr="00B43294" w14:paraId="0CDDB2D3" w14:textId="77777777" w:rsidTr="00E35CBD">
        <w:tc>
          <w:tcPr>
            <w:tcW w:w="2268" w:type="dxa"/>
            <w:tcBorders>
              <w:bottom w:val="single" w:sz="4" w:space="0" w:color="auto"/>
              <w:right w:val="nil"/>
            </w:tcBorders>
          </w:tcPr>
          <w:p w14:paraId="17BB84C9"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Stott, 2017</w:t>
            </w:r>
            <w:r>
              <w:rPr>
                <w:rFonts w:cs="Times New Roman"/>
                <w:b/>
                <w:bCs/>
                <w:color w:val="000000" w:themeColor="text1"/>
                <w:sz w:val="22"/>
                <w:szCs w:val="22"/>
              </w:rPr>
              <w:t xml:space="preserve"> </w:t>
            </w:r>
            <w:r>
              <w:rPr>
                <w:rFonts w:cs="Times New Roman"/>
                <w:b/>
                <w:bCs/>
                <w:color w:val="000000" w:themeColor="text1"/>
                <w:sz w:val="22"/>
                <w:szCs w:val="22"/>
              </w:rPr>
              <w:fldChar w:fldCharType="begin"/>
            </w:r>
            <w:r>
              <w:rPr>
                <w:rFonts w:cs="Times New Roman"/>
                <w:b/>
                <w:bCs/>
                <w:color w:val="000000" w:themeColor="text1"/>
                <w:sz w:val="22"/>
                <w:szCs w:val="22"/>
              </w:rPr>
              <w:instrText xml:space="preserve"> ADDIN ZOTERO_ITEM CSL_CITATION {"citationID":"q839dANz","properties":{"formattedCitation":"(62)","plainCitation":"(62)","noteIndex":0},"citationItems":[{"id":1283,"uris":["http://zotero.org/users/8587829/items/ZHBVEMYN","http://zotero.org/users/8587829/items/27JXP7KP"],"itemData":{"id":1283,"type":"article-journal","archive_location":"WOS:000404259200007","container-title":"New England Journal of Medicine","DOI":"10.1056/NEJMoa1603825","ISSN":"0028-4793","issue":"26","page":"2534-2544","title":"Thyroid Hormone Therapy for Older Adults with Subclinical Hypothyroidism","volume":"376","author":[{"family":"Stott","given":"DJ"},{"family":"Rodondi","given":"N"},{"family":"Kearney","given":"PM"},{"family":"Ford","given":"I"},{"family":"Westendorp","given":"RGJ"},{"family":"Mooijaart","given":"SP"},{"family":"Sattar","given":"N"},{"family":"Aubert","given":"CE"},{"family":"Aujesky","given":"D"},{"family":"Bauer","given":"DC"},{"family":"Baumgartner","given":"C"},{"family":"Blum","given":"MR"},{"family":"Browne","given":"JP"},{"family":"Byrne","given":"S"},{"family":"Collet","given":"TH"},{"family":"Dekkers","given":"OM"},{"family":"Elzen","given":"WPJ","non-dropping-particle":"den"},{"family":"Du Puy","given":"RS"},{"family":"Ellis","given":"G"},{"family":"Feller","given":"M"},{"family":"Floriani","given":"C"},{"family":"Hendry","given":"K"},{"family":"Hurley","given":"C"},{"family":"Jukema","given":"JW"},{"family":"Kean","given":"S"},{"family":"Kelly","given":"M"},{"family":"Krebs","given":"D"},{"family":"Langhorne","given":"P"},{"family":"McCarthy","given":"G"},{"family":"McCarthy","given":"V"},{"family":"McConnachie","given":"A"},{"family":"McDade","given":"M"},{"family":"Messow","given":"M"},{"family":"O'Flynn","given":"A"},{"family":"O'Riordan","given":"D"},{"family":"Poortvliet","given":"RKE"},{"family":"Quinn","given":"TJ"},{"family":"Russell","given":"A"},{"family":"Sinnott","given":"C"},{"family":"Smit","given":"JWA"},{"family":"Van Dorland","given":"HA"},{"family":"Walsh","given":"KA"},{"family":"Walsh","given":"EK"},{"family":"Watt","given":"T"},{"family":"Wilson","given":"R"},{"family":"Gussekloo","given":"J"},{"literal":"TRUST Study Grp"}],"issued":{"date-parts":[["2017",6,29]]}}}],"schema":"https://github.com/citation-style-language/schema/raw/master/csl-citation.json"} </w:instrText>
            </w:r>
            <w:r>
              <w:rPr>
                <w:rFonts w:cs="Times New Roman"/>
                <w:b/>
                <w:bCs/>
                <w:color w:val="000000" w:themeColor="text1"/>
                <w:sz w:val="22"/>
                <w:szCs w:val="22"/>
              </w:rPr>
              <w:fldChar w:fldCharType="separate"/>
            </w:r>
            <w:r>
              <w:rPr>
                <w:rFonts w:cs="Times New Roman"/>
                <w:b/>
                <w:bCs/>
                <w:noProof/>
                <w:color w:val="000000" w:themeColor="text1"/>
                <w:sz w:val="22"/>
                <w:szCs w:val="22"/>
              </w:rPr>
              <w:t>(62)</w:t>
            </w:r>
            <w:r>
              <w:rPr>
                <w:rFonts w:cs="Times New Roman"/>
                <w:b/>
                <w:bCs/>
                <w:color w:val="000000" w:themeColor="text1"/>
                <w:sz w:val="22"/>
                <w:szCs w:val="22"/>
              </w:rPr>
              <w:fldChar w:fldCharType="end"/>
            </w:r>
          </w:p>
        </w:tc>
        <w:tc>
          <w:tcPr>
            <w:tcW w:w="1701" w:type="dxa"/>
            <w:tcBorders>
              <w:left w:val="nil"/>
              <w:bottom w:val="single" w:sz="4" w:space="0" w:color="auto"/>
              <w:right w:val="nil"/>
            </w:tcBorders>
          </w:tcPr>
          <w:p w14:paraId="0FE1DE53" w14:textId="77777777" w:rsidR="008B2F7A" w:rsidRPr="00B43294" w:rsidRDefault="008B2F7A" w:rsidP="00E35CBD">
            <w:pPr>
              <w:rPr>
                <w:rFonts w:cs="Times New Roman"/>
                <w:color w:val="000000" w:themeColor="text1"/>
                <w:sz w:val="22"/>
                <w:szCs w:val="22"/>
              </w:rPr>
            </w:pPr>
          </w:p>
        </w:tc>
        <w:tc>
          <w:tcPr>
            <w:tcW w:w="5529" w:type="dxa"/>
            <w:tcBorders>
              <w:left w:val="nil"/>
              <w:bottom w:val="single" w:sz="4" w:space="0" w:color="auto"/>
              <w:right w:val="single" w:sz="4" w:space="0" w:color="auto"/>
            </w:tcBorders>
          </w:tcPr>
          <w:p w14:paraId="671ADEAE"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Low risk</w:t>
            </w:r>
          </w:p>
        </w:tc>
      </w:tr>
      <w:tr w:rsidR="008B2F7A" w:rsidRPr="00B43294" w14:paraId="61E84BC3" w14:textId="77777777" w:rsidTr="00E35CBD">
        <w:tc>
          <w:tcPr>
            <w:tcW w:w="2268" w:type="dxa"/>
            <w:tcBorders>
              <w:left w:val="nil"/>
              <w:bottom w:val="nil"/>
              <w:right w:val="nil"/>
            </w:tcBorders>
          </w:tcPr>
          <w:p w14:paraId="3021F490"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Selection bias</w:t>
            </w:r>
          </w:p>
        </w:tc>
        <w:tc>
          <w:tcPr>
            <w:tcW w:w="1701" w:type="dxa"/>
            <w:tcBorders>
              <w:left w:val="nil"/>
              <w:bottom w:val="nil"/>
              <w:right w:val="nil"/>
            </w:tcBorders>
          </w:tcPr>
          <w:p w14:paraId="21AFFCB9"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left w:val="nil"/>
              <w:bottom w:val="nil"/>
              <w:right w:val="nil"/>
            </w:tcBorders>
          </w:tcPr>
          <w:p w14:paraId="777F18D3"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Randomisation method involved randomly permuted blocks on a 1:1 ratio</w:t>
            </w:r>
          </w:p>
        </w:tc>
      </w:tr>
      <w:tr w:rsidR="008B2F7A" w:rsidRPr="00B43294" w14:paraId="09252216" w14:textId="77777777" w:rsidTr="00E35CBD">
        <w:tc>
          <w:tcPr>
            <w:tcW w:w="2268" w:type="dxa"/>
            <w:tcBorders>
              <w:top w:val="nil"/>
              <w:left w:val="nil"/>
              <w:bottom w:val="nil"/>
              <w:right w:val="nil"/>
            </w:tcBorders>
          </w:tcPr>
          <w:p w14:paraId="27AF7473"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 xml:space="preserve">Attrition bias </w:t>
            </w:r>
          </w:p>
        </w:tc>
        <w:tc>
          <w:tcPr>
            <w:tcW w:w="1701" w:type="dxa"/>
            <w:tcBorders>
              <w:top w:val="nil"/>
              <w:left w:val="nil"/>
              <w:bottom w:val="nil"/>
              <w:right w:val="nil"/>
            </w:tcBorders>
          </w:tcPr>
          <w:p w14:paraId="111315E1"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243B11C3"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The reason for any excluded participants is given</w:t>
            </w:r>
          </w:p>
        </w:tc>
      </w:tr>
      <w:tr w:rsidR="008B2F7A" w:rsidRPr="00B43294" w14:paraId="76EFFEFF" w14:textId="77777777" w:rsidTr="00E35CBD">
        <w:tc>
          <w:tcPr>
            <w:tcW w:w="2268" w:type="dxa"/>
            <w:tcBorders>
              <w:top w:val="nil"/>
              <w:left w:val="nil"/>
              <w:bottom w:val="nil"/>
              <w:right w:val="nil"/>
            </w:tcBorders>
          </w:tcPr>
          <w:p w14:paraId="70995AF7"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Performance bias</w:t>
            </w:r>
          </w:p>
        </w:tc>
        <w:tc>
          <w:tcPr>
            <w:tcW w:w="1701" w:type="dxa"/>
            <w:tcBorders>
              <w:top w:val="nil"/>
              <w:left w:val="nil"/>
              <w:bottom w:val="nil"/>
              <w:right w:val="nil"/>
            </w:tcBorders>
          </w:tcPr>
          <w:p w14:paraId="46439FAE"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2B51A9E8"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Double-blinded</w:t>
            </w:r>
          </w:p>
        </w:tc>
      </w:tr>
      <w:tr w:rsidR="008B2F7A" w:rsidRPr="00B43294" w14:paraId="28A3587A" w14:textId="77777777" w:rsidTr="00E35CBD">
        <w:tc>
          <w:tcPr>
            <w:tcW w:w="2268" w:type="dxa"/>
            <w:tcBorders>
              <w:top w:val="nil"/>
              <w:left w:val="nil"/>
              <w:bottom w:val="nil"/>
              <w:right w:val="nil"/>
            </w:tcBorders>
          </w:tcPr>
          <w:p w14:paraId="7016750B"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Detection bias</w:t>
            </w:r>
          </w:p>
        </w:tc>
        <w:tc>
          <w:tcPr>
            <w:tcW w:w="1701" w:type="dxa"/>
            <w:tcBorders>
              <w:top w:val="nil"/>
              <w:left w:val="nil"/>
              <w:bottom w:val="nil"/>
              <w:right w:val="nil"/>
            </w:tcBorders>
          </w:tcPr>
          <w:p w14:paraId="2895234E"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7C7827FF"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Double-blinded</w:t>
            </w:r>
          </w:p>
        </w:tc>
      </w:tr>
      <w:tr w:rsidR="008B2F7A" w:rsidRPr="00B43294" w14:paraId="1BEB871A" w14:textId="77777777" w:rsidTr="00E35CBD">
        <w:tc>
          <w:tcPr>
            <w:tcW w:w="2268" w:type="dxa"/>
            <w:tcBorders>
              <w:top w:val="nil"/>
              <w:left w:val="nil"/>
              <w:bottom w:val="nil"/>
              <w:right w:val="nil"/>
            </w:tcBorders>
          </w:tcPr>
          <w:p w14:paraId="1D85F6F2"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lastRenderedPageBreak/>
              <w:t>Reporting bias</w:t>
            </w:r>
          </w:p>
        </w:tc>
        <w:tc>
          <w:tcPr>
            <w:tcW w:w="1701" w:type="dxa"/>
            <w:tcBorders>
              <w:top w:val="nil"/>
              <w:left w:val="nil"/>
              <w:bottom w:val="nil"/>
              <w:right w:val="nil"/>
            </w:tcBorders>
          </w:tcPr>
          <w:p w14:paraId="375F655A"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61BFF374"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All prespecified outcomes are reported. However, primary outcomes were changed.</w:t>
            </w:r>
          </w:p>
        </w:tc>
      </w:tr>
      <w:tr w:rsidR="008B2F7A" w:rsidRPr="00B43294" w14:paraId="7EBB7FFB" w14:textId="77777777" w:rsidTr="00E35CBD">
        <w:tc>
          <w:tcPr>
            <w:tcW w:w="2268" w:type="dxa"/>
            <w:tcBorders>
              <w:top w:val="nil"/>
              <w:left w:val="nil"/>
              <w:bottom w:val="single" w:sz="4" w:space="0" w:color="auto"/>
              <w:right w:val="nil"/>
            </w:tcBorders>
          </w:tcPr>
          <w:p w14:paraId="35AAC1BE"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Other bias</w:t>
            </w:r>
          </w:p>
        </w:tc>
        <w:tc>
          <w:tcPr>
            <w:tcW w:w="1701" w:type="dxa"/>
            <w:tcBorders>
              <w:top w:val="nil"/>
              <w:left w:val="nil"/>
              <w:bottom w:val="single" w:sz="4" w:space="0" w:color="auto"/>
              <w:right w:val="nil"/>
            </w:tcBorders>
          </w:tcPr>
          <w:p w14:paraId="72D772EF"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w:t>
            </w:r>
          </w:p>
        </w:tc>
        <w:tc>
          <w:tcPr>
            <w:tcW w:w="5529" w:type="dxa"/>
            <w:tcBorders>
              <w:top w:val="nil"/>
              <w:left w:val="nil"/>
              <w:bottom w:val="single" w:sz="4" w:space="0" w:color="auto"/>
              <w:right w:val="nil"/>
            </w:tcBorders>
          </w:tcPr>
          <w:p w14:paraId="4E611DA7"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w:t>
            </w:r>
          </w:p>
        </w:tc>
      </w:tr>
      <w:tr w:rsidR="008B2F7A" w:rsidRPr="00B43294" w14:paraId="64880266" w14:textId="77777777" w:rsidTr="00E35CBD">
        <w:tc>
          <w:tcPr>
            <w:tcW w:w="2268" w:type="dxa"/>
            <w:tcBorders>
              <w:bottom w:val="single" w:sz="4" w:space="0" w:color="auto"/>
              <w:right w:val="nil"/>
            </w:tcBorders>
          </w:tcPr>
          <w:p w14:paraId="7A29CB19"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Zijlstra, 2021</w:t>
            </w:r>
            <w:r>
              <w:rPr>
                <w:rFonts w:cs="Times New Roman"/>
                <w:b/>
                <w:bCs/>
                <w:color w:val="000000" w:themeColor="text1"/>
                <w:sz w:val="22"/>
                <w:szCs w:val="22"/>
              </w:rPr>
              <w:t xml:space="preserve"> </w:t>
            </w:r>
            <w:r>
              <w:rPr>
                <w:rFonts w:cs="Times New Roman"/>
                <w:b/>
                <w:bCs/>
                <w:color w:val="000000" w:themeColor="text1"/>
                <w:sz w:val="22"/>
                <w:szCs w:val="22"/>
              </w:rPr>
              <w:fldChar w:fldCharType="begin"/>
            </w:r>
            <w:r>
              <w:rPr>
                <w:rFonts w:cs="Times New Roman"/>
                <w:b/>
                <w:bCs/>
                <w:color w:val="000000" w:themeColor="text1"/>
                <w:sz w:val="22"/>
                <w:szCs w:val="22"/>
              </w:rPr>
              <w:instrText xml:space="preserve"> ADDIN ZOTERO_ITEM CSL_CITATION {"citationID":"RHmjZdrs","properties":{"formattedCitation":"(59)","plainCitation":"(59)","noteIndex":0},"citationItems":[{"id":1218,"uris":["http://zotero.org/users/8587829/items/ZFWHWSXW","http://zotero.org/users/8587829/items/RNNL8YCL"],"itemData":{"id":1218,"type":"article-journal","abstract":"Background: The cardiovascular effects of treating older adults with subclinical hypothyroidism (SCH) are uncertain. Although concerns have been raised regarding a potential increase in cardiovascular side effects from thyroid hormone replacement, undertreatment may also increase the risk of cardiovascular events, especially for patients with cardiovascular disease (CVD). Objective: To determine the effects of levothyroxine treatment on cardiovascular outcomes in older adults with SCH. Methods: Combined data of two parallel randomised double‐blind placebo‐controlled trials TRUST (Thyroid hormone Replacement for Untreated older adults with Subclinical hypothyroidism – a randomised placebo controlled Trial) and IEMO80+ (the Institute for Evidence‐Based Medicine in Old Age 80‐plus thyroid trial) were analysed as one‐stage individual participant data. Participants aged ≥65 years for TRUST (n=737) and ≥80 years for IEMO80+ (n=105) with SCH, defined by elevated TSH with fT4 within the reference range, were included. Participants were randomly assigned to receive placebo or levothyroxine, with titration of the dose until TSH level was within the reference range. Cardiovascular events and cardiovascular side effects of overtreatment (new‐onset atrial fibrillation and heart failure) were investigated, including stratified analyses according to CVD history and age. Results: The median [IQR] age was 75.0 [69.7–81.1] years, and 448 participants (53.2%) were women. The mean TSH was 6.38± SD 5.7 mIU/L at baseline and decreased at 1 year to 5.66 ± 3.3 mIU/L in the placebo group, compared with 3.66 ± 2.1 mIU/L in the levothyroxine group (p&lt;0.001), at a median dose of 50 μg. Levothyroxine did not significantly change the risk of any of the prespecified cardiovascular outcomes, including cardiovascular events (HR 0.74 [0.41–1.25]), atrial fibrillation (HR 0.69 [0.32–1.52]), or heart failure (0.41 [0.13–1.35]), or all‐cause mortality (HR 1.28 [0.54–3.03]), irrespective of history of CVD and age. Conclusion: Treatment with levothyroxine did not significantly change the risk of cardiovascular outcomes in older adults with subclinical hypothyroidism, irrespective of a history of cardiovascular disease and age. Clinical Trial Registration: [ClinicalTrials.gov], identifier [NCT01660126] (TRUST); Netherlands Trial Register: NTR3851 (IEMO80+).","archive_location":"CN-02285545","container-title":"Frontiers in Endocrinology","DOI":"10.3389/fendo.2021.674841","journalAbbreviation":"Frontiers in Endocrinology","title":"Levothyroxine Treatment and Cardiovascular Outcomes in Older People With Subclinical Hypothyroidism: Pooled Individual Results of Two Randomised Controlled Trials","volume":"12","author":[{"family":"Zijlstra","given":"LE"},{"family":"Jukema","given":"JW"},{"family":"Westendorp","given":"RGJ"},{"family":"Du Puy","given":"RS"},{"family":"Poortvliet","given":"RKE"},{"family":"Kearney","given":"PM"},{"family":"O'Keeffe","given":"L"},{"family":"Dekkers","given":"OM"},{"family":"Blum","given":"MR"},{"family":"Rodondi","given":"N"},{"literal":"et al."}],"issued":{"date-parts":[["2021"]]}}}],"schema":"https://github.com/citation-style-language/schema/raw/master/csl-citation.json"} </w:instrText>
            </w:r>
            <w:r>
              <w:rPr>
                <w:rFonts w:cs="Times New Roman"/>
                <w:b/>
                <w:bCs/>
                <w:color w:val="000000" w:themeColor="text1"/>
                <w:sz w:val="22"/>
                <w:szCs w:val="22"/>
              </w:rPr>
              <w:fldChar w:fldCharType="separate"/>
            </w:r>
            <w:r>
              <w:rPr>
                <w:rFonts w:cs="Times New Roman"/>
                <w:b/>
                <w:bCs/>
                <w:noProof/>
                <w:color w:val="000000" w:themeColor="text1"/>
                <w:sz w:val="22"/>
                <w:szCs w:val="22"/>
              </w:rPr>
              <w:t>(59)</w:t>
            </w:r>
            <w:r>
              <w:rPr>
                <w:rFonts w:cs="Times New Roman"/>
                <w:b/>
                <w:bCs/>
                <w:color w:val="000000" w:themeColor="text1"/>
                <w:sz w:val="22"/>
                <w:szCs w:val="22"/>
              </w:rPr>
              <w:fldChar w:fldCharType="end"/>
            </w:r>
          </w:p>
        </w:tc>
        <w:tc>
          <w:tcPr>
            <w:tcW w:w="1701" w:type="dxa"/>
            <w:tcBorders>
              <w:left w:val="nil"/>
              <w:bottom w:val="single" w:sz="4" w:space="0" w:color="auto"/>
              <w:right w:val="nil"/>
            </w:tcBorders>
          </w:tcPr>
          <w:p w14:paraId="30617525" w14:textId="77777777" w:rsidR="008B2F7A" w:rsidRPr="00B43294" w:rsidRDefault="008B2F7A" w:rsidP="00E35CBD">
            <w:pPr>
              <w:rPr>
                <w:rFonts w:cs="Times New Roman"/>
                <w:color w:val="000000" w:themeColor="text1"/>
                <w:sz w:val="22"/>
                <w:szCs w:val="22"/>
              </w:rPr>
            </w:pPr>
          </w:p>
        </w:tc>
        <w:tc>
          <w:tcPr>
            <w:tcW w:w="5529" w:type="dxa"/>
            <w:tcBorders>
              <w:left w:val="nil"/>
              <w:bottom w:val="single" w:sz="4" w:space="0" w:color="auto"/>
            </w:tcBorders>
          </w:tcPr>
          <w:p w14:paraId="25D7D80C"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Moderate risk</w:t>
            </w:r>
          </w:p>
        </w:tc>
      </w:tr>
      <w:tr w:rsidR="008B2F7A" w:rsidRPr="00B43294" w14:paraId="04635D84" w14:textId="77777777" w:rsidTr="00E35CBD">
        <w:tc>
          <w:tcPr>
            <w:tcW w:w="2268" w:type="dxa"/>
            <w:tcBorders>
              <w:left w:val="nil"/>
              <w:bottom w:val="nil"/>
              <w:right w:val="nil"/>
            </w:tcBorders>
          </w:tcPr>
          <w:p w14:paraId="50D0EC2E"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Selection bias</w:t>
            </w:r>
          </w:p>
        </w:tc>
        <w:tc>
          <w:tcPr>
            <w:tcW w:w="1701" w:type="dxa"/>
            <w:tcBorders>
              <w:left w:val="nil"/>
              <w:bottom w:val="nil"/>
              <w:right w:val="nil"/>
            </w:tcBorders>
          </w:tcPr>
          <w:p w14:paraId="7A01747A"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Moderate risk</w:t>
            </w:r>
          </w:p>
        </w:tc>
        <w:tc>
          <w:tcPr>
            <w:tcW w:w="5529" w:type="dxa"/>
            <w:tcBorders>
              <w:left w:val="nil"/>
              <w:bottom w:val="nil"/>
              <w:right w:val="nil"/>
            </w:tcBorders>
          </w:tcPr>
          <w:p w14:paraId="24DE6F5F"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Randomisation method not stated for the IEMO80+ trial</w:t>
            </w:r>
          </w:p>
        </w:tc>
      </w:tr>
      <w:tr w:rsidR="008B2F7A" w:rsidRPr="00B43294" w14:paraId="65DE7AD1" w14:textId="77777777" w:rsidTr="00E35CBD">
        <w:tc>
          <w:tcPr>
            <w:tcW w:w="2268" w:type="dxa"/>
            <w:tcBorders>
              <w:top w:val="nil"/>
              <w:left w:val="nil"/>
              <w:bottom w:val="nil"/>
              <w:right w:val="nil"/>
            </w:tcBorders>
          </w:tcPr>
          <w:p w14:paraId="730747CC"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 xml:space="preserve">Attrition bias </w:t>
            </w:r>
          </w:p>
        </w:tc>
        <w:tc>
          <w:tcPr>
            <w:tcW w:w="1701" w:type="dxa"/>
            <w:tcBorders>
              <w:top w:val="nil"/>
              <w:left w:val="nil"/>
              <w:bottom w:val="nil"/>
              <w:right w:val="nil"/>
            </w:tcBorders>
          </w:tcPr>
          <w:p w14:paraId="795A5BCF"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Moderate risk</w:t>
            </w:r>
          </w:p>
        </w:tc>
        <w:tc>
          <w:tcPr>
            <w:tcW w:w="5529" w:type="dxa"/>
            <w:tcBorders>
              <w:top w:val="nil"/>
              <w:left w:val="nil"/>
              <w:bottom w:val="nil"/>
              <w:right w:val="nil"/>
            </w:tcBorders>
          </w:tcPr>
          <w:p w14:paraId="1A811A66"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The reason for any excluded participants is not given</w:t>
            </w:r>
          </w:p>
        </w:tc>
      </w:tr>
      <w:tr w:rsidR="008B2F7A" w:rsidRPr="00B43294" w14:paraId="5D6F3C3E" w14:textId="77777777" w:rsidTr="00E35CBD">
        <w:tc>
          <w:tcPr>
            <w:tcW w:w="2268" w:type="dxa"/>
            <w:tcBorders>
              <w:top w:val="nil"/>
              <w:left w:val="nil"/>
              <w:bottom w:val="nil"/>
              <w:right w:val="nil"/>
            </w:tcBorders>
          </w:tcPr>
          <w:p w14:paraId="231A93DF"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Performance bias</w:t>
            </w:r>
          </w:p>
        </w:tc>
        <w:tc>
          <w:tcPr>
            <w:tcW w:w="1701" w:type="dxa"/>
            <w:tcBorders>
              <w:top w:val="nil"/>
              <w:left w:val="nil"/>
              <w:bottom w:val="nil"/>
              <w:right w:val="nil"/>
            </w:tcBorders>
          </w:tcPr>
          <w:p w14:paraId="4DA793B9"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30DB0583"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Double-blinded</w:t>
            </w:r>
          </w:p>
        </w:tc>
      </w:tr>
      <w:tr w:rsidR="008B2F7A" w:rsidRPr="00B43294" w14:paraId="2CFC3ECD" w14:textId="77777777" w:rsidTr="00E35CBD">
        <w:tc>
          <w:tcPr>
            <w:tcW w:w="2268" w:type="dxa"/>
            <w:tcBorders>
              <w:top w:val="nil"/>
              <w:left w:val="nil"/>
              <w:bottom w:val="nil"/>
              <w:right w:val="nil"/>
            </w:tcBorders>
          </w:tcPr>
          <w:p w14:paraId="0F670592"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Detection bias</w:t>
            </w:r>
          </w:p>
        </w:tc>
        <w:tc>
          <w:tcPr>
            <w:tcW w:w="1701" w:type="dxa"/>
            <w:tcBorders>
              <w:top w:val="nil"/>
              <w:left w:val="nil"/>
              <w:bottom w:val="nil"/>
              <w:right w:val="nil"/>
            </w:tcBorders>
          </w:tcPr>
          <w:p w14:paraId="7E4D6CDB"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7B55FDF3"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Double-blinded</w:t>
            </w:r>
          </w:p>
        </w:tc>
      </w:tr>
      <w:tr w:rsidR="008B2F7A" w:rsidRPr="00B43294" w14:paraId="72AF1179" w14:textId="77777777" w:rsidTr="00E35CBD">
        <w:tc>
          <w:tcPr>
            <w:tcW w:w="2268" w:type="dxa"/>
            <w:tcBorders>
              <w:top w:val="nil"/>
              <w:left w:val="nil"/>
              <w:bottom w:val="nil"/>
              <w:right w:val="nil"/>
            </w:tcBorders>
          </w:tcPr>
          <w:p w14:paraId="64020B1F"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Reporting bias</w:t>
            </w:r>
          </w:p>
        </w:tc>
        <w:tc>
          <w:tcPr>
            <w:tcW w:w="1701" w:type="dxa"/>
            <w:tcBorders>
              <w:top w:val="nil"/>
              <w:left w:val="nil"/>
              <w:bottom w:val="nil"/>
              <w:right w:val="nil"/>
            </w:tcBorders>
          </w:tcPr>
          <w:p w14:paraId="3D719D7F"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Low risk</w:t>
            </w:r>
          </w:p>
        </w:tc>
        <w:tc>
          <w:tcPr>
            <w:tcW w:w="5529" w:type="dxa"/>
            <w:tcBorders>
              <w:top w:val="nil"/>
              <w:left w:val="nil"/>
              <w:bottom w:val="nil"/>
              <w:right w:val="nil"/>
            </w:tcBorders>
          </w:tcPr>
          <w:p w14:paraId="4AB3E6EE"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All prespecified outcomes are reported</w:t>
            </w:r>
          </w:p>
        </w:tc>
      </w:tr>
      <w:tr w:rsidR="008B2F7A" w:rsidRPr="00B43294" w14:paraId="7F1C6364" w14:textId="77777777" w:rsidTr="00E35CBD">
        <w:tc>
          <w:tcPr>
            <w:tcW w:w="2268" w:type="dxa"/>
            <w:tcBorders>
              <w:top w:val="nil"/>
              <w:left w:val="nil"/>
              <w:bottom w:val="nil"/>
              <w:right w:val="nil"/>
            </w:tcBorders>
          </w:tcPr>
          <w:p w14:paraId="413E4711"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Other bias</w:t>
            </w:r>
          </w:p>
        </w:tc>
        <w:tc>
          <w:tcPr>
            <w:tcW w:w="1701" w:type="dxa"/>
            <w:tcBorders>
              <w:top w:val="nil"/>
              <w:left w:val="nil"/>
              <w:bottom w:val="nil"/>
              <w:right w:val="nil"/>
            </w:tcBorders>
          </w:tcPr>
          <w:p w14:paraId="0D39379D"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w:t>
            </w:r>
          </w:p>
        </w:tc>
        <w:tc>
          <w:tcPr>
            <w:tcW w:w="5529" w:type="dxa"/>
            <w:tcBorders>
              <w:top w:val="nil"/>
              <w:left w:val="nil"/>
              <w:bottom w:val="nil"/>
              <w:right w:val="nil"/>
            </w:tcBorders>
          </w:tcPr>
          <w:p w14:paraId="67172CBE"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w:t>
            </w:r>
          </w:p>
        </w:tc>
      </w:tr>
    </w:tbl>
    <w:p w14:paraId="7F1DE285" w14:textId="77777777" w:rsidR="008B2F7A" w:rsidRDefault="008B2F7A" w:rsidP="008B2F7A">
      <w:pPr>
        <w:spacing w:line="240" w:lineRule="auto"/>
        <w:rPr>
          <w:color w:val="000000" w:themeColor="text1"/>
        </w:rPr>
      </w:pPr>
      <w:r w:rsidRPr="00B43294">
        <w:rPr>
          <w:color w:val="000000" w:themeColor="text1"/>
        </w:rPr>
        <w:t xml:space="preserve"> </w:t>
      </w:r>
    </w:p>
    <w:p w14:paraId="3887F770" w14:textId="77777777" w:rsidR="008B2F7A" w:rsidRPr="00B43294" w:rsidRDefault="008B2F7A" w:rsidP="008B2F7A">
      <w:pPr>
        <w:spacing w:line="240" w:lineRule="auto"/>
        <w:rPr>
          <w:color w:val="000000" w:themeColor="text1"/>
        </w:rPr>
      </w:pPr>
      <w:r w:rsidRPr="00116630">
        <w:rPr>
          <w:color w:val="000000" w:themeColor="text1"/>
        </w:rPr>
        <w:t xml:space="preserve">Additional file </w:t>
      </w:r>
      <w:r>
        <w:rPr>
          <w:color w:val="000000" w:themeColor="text1"/>
        </w:rPr>
        <w:t>4</w:t>
      </w:r>
    </w:p>
    <w:tbl>
      <w:tblPr>
        <w:tblStyle w:val="TableGrid"/>
        <w:tblW w:w="9498" w:type="dxa"/>
        <w:tblLook w:val="04A0" w:firstRow="1" w:lastRow="0" w:firstColumn="1" w:lastColumn="0" w:noHBand="0" w:noVBand="1"/>
      </w:tblPr>
      <w:tblGrid>
        <w:gridCol w:w="2268"/>
        <w:gridCol w:w="1701"/>
        <w:gridCol w:w="5529"/>
      </w:tblGrid>
      <w:tr w:rsidR="008B2F7A" w:rsidRPr="00B43294" w14:paraId="69FD4659" w14:textId="77777777" w:rsidTr="00E35CBD">
        <w:tc>
          <w:tcPr>
            <w:tcW w:w="2268" w:type="dxa"/>
            <w:tcBorders>
              <w:top w:val="nil"/>
              <w:left w:val="nil"/>
              <w:bottom w:val="single" w:sz="4" w:space="0" w:color="auto"/>
              <w:right w:val="nil"/>
            </w:tcBorders>
          </w:tcPr>
          <w:p w14:paraId="532C458C"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Bias type</w:t>
            </w:r>
          </w:p>
        </w:tc>
        <w:tc>
          <w:tcPr>
            <w:tcW w:w="1701" w:type="dxa"/>
            <w:tcBorders>
              <w:top w:val="nil"/>
              <w:left w:val="nil"/>
              <w:bottom w:val="single" w:sz="4" w:space="0" w:color="auto"/>
              <w:right w:val="nil"/>
            </w:tcBorders>
          </w:tcPr>
          <w:p w14:paraId="6474FF19"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Judgement</w:t>
            </w:r>
          </w:p>
        </w:tc>
        <w:tc>
          <w:tcPr>
            <w:tcW w:w="5529" w:type="dxa"/>
            <w:tcBorders>
              <w:top w:val="nil"/>
              <w:left w:val="nil"/>
              <w:bottom w:val="single" w:sz="4" w:space="0" w:color="auto"/>
              <w:right w:val="nil"/>
            </w:tcBorders>
          </w:tcPr>
          <w:p w14:paraId="776B49DB"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Support for judgement</w:t>
            </w:r>
          </w:p>
        </w:tc>
      </w:tr>
      <w:tr w:rsidR="008B2F7A" w:rsidRPr="00B43294" w14:paraId="6C585B16" w14:textId="77777777" w:rsidTr="00E35CBD">
        <w:tc>
          <w:tcPr>
            <w:tcW w:w="2268" w:type="dxa"/>
            <w:tcBorders>
              <w:top w:val="single" w:sz="4" w:space="0" w:color="auto"/>
              <w:bottom w:val="single" w:sz="4" w:space="0" w:color="auto"/>
              <w:right w:val="nil"/>
            </w:tcBorders>
          </w:tcPr>
          <w:p w14:paraId="3480C4D6"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Andersen, 2015</w:t>
            </w:r>
            <w:r>
              <w:rPr>
                <w:rFonts w:cs="Times New Roman"/>
                <w:b/>
                <w:bCs/>
                <w:color w:val="000000" w:themeColor="text1"/>
                <w:sz w:val="22"/>
                <w:szCs w:val="22"/>
              </w:rPr>
              <w:t xml:space="preserve"> </w:t>
            </w:r>
            <w:r>
              <w:rPr>
                <w:rFonts w:cs="Times New Roman"/>
                <w:b/>
                <w:bCs/>
                <w:color w:val="000000" w:themeColor="text1"/>
                <w:sz w:val="22"/>
                <w:szCs w:val="22"/>
              </w:rPr>
              <w:fldChar w:fldCharType="begin"/>
            </w:r>
            <w:r>
              <w:rPr>
                <w:rFonts w:cs="Times New Roman"/>
                <w:b/>
                <w:bCs/>
                <w:color w:val="000000" w:themeColor="text1"/>
                <w:sz w:val="22"/>
                <w:szCs w:val="22"/>
              </w:rPr>
              <w:instrText xml:space="preserve"> ADDIN ZOTERO_ITEM CSL_CITATION {"citationID":"topHVHH4","properties":{"formattedCitation":"(58)","plainCitation":"(58)","noteIndex":0},"citationItems":[{"id":1335,"uris":["http://zotero.org/users/8587829/items/TCV8L799","http://zotero.org/users/8587829/items/9279MN2N"],"itemData":{"id":1335,"type":"article-journal","abstract":"BACKGROUND: Subclinical hypothyroidism is associated with a number of cardiovascular risk factors, yet only limited data exist on long-term outcome of levothyroxine treatment of this condition with respect to hard end-points. The aim of this retrospective cohort study was to determine effects of levothyroxine treatment on myocardial infarction (MI), cardiovascular death and all-cause mortality, in patients with subclinical hypothyroidism.\nMETHODS AND RESULTS: Primary care patients aged 18 years and older that underwent thyroid function tests between 2000 and 2009 were enrolled. Participants were identified by individual-level linkage of nationwide registers. Patients with subclinical hypothyroidism at baseline were included in the study. Exclusion criteria included a history of thyroid disease, related medication or medication affecting thyroid function. The total cohort comprised 628,953 patients of which 12,212 (1.9%) had subclinical hypothyroidism (mean age 55.2 [SD ± 18.8] years; 79.8% female). Within the first six months 2,483 (20.3%) patients claimed a prescription for levothyroxine. During a median follow-up of 5.0 (IQR: 5.2) years, 358 MI's and 1,566 (12.8%) deaths were observed. Out of these, 766 of the deaths were cardiovascular related. No beneficial effects were found in levothyroxine treated patients on MI (IRR 1.08 [95% CI: 0.81 to 1.44]), cardiovascular death (IRR 1.02 [95% CI: 0.83 to 1.25]) or all-cause mortality (IRR 1.03 [95% CI: 0.90 to 1.19]), except in patients under the age of 65 years (IRR 0.63 [95% CI: 0.40 to 0.99]).\nCONCLUSION: Levothyroxine substitution in subclinical hypothyroid patients does not indicate an association with lower mortality or decreased risk of MI.","container-title":"PloS One","DOI":"10.1371/journal.pone.0129793","ISSN":"1932-6203","issue":"6","journalAbbreviation":"PLoS One","language":"eng","note":"PMID: 26069971\nPMCID: PMC4466400","page":"e0129793","source":"PubMed","title":"Levothyroxine Substitution in Patients with Subclinical Hypothyroidism and the Risk of Myocardial Infarction and Mortality","volume":"10","author":[{"family":"Andersen","given":"Mette Nygaard"},{"family":"Olsen","given":"Anne-Marie Schjerning"},{"family":"Madsen","given":"Jesper Clausager"},{"family":"Faber","given":"Jens"},{"family":"Torp-Pedersen","given":"Christian"},{"family":"Gislason","given":"Gunnar Hilmar"},{"family":"Selmer","given":"Christian"}],"issued":{"date-parts":[["2015"]]}}}],"schema":"https://github.com/citation-style-language/schema/raw/master/csl-citation.json"} </w:instrText>
            </w:r>
            <w:r>
              <w:rPr>
                <w:rFonts w:cs="Times New Roman"/>
                <w:b/>
                <w:bCs/>
                <w:color w:val="000000" w:themeColor="text1"/>
                <w:sz w:val="22"/>
                <w:szCs w:val="22"/>
              </w:rPr>
              <w:fldChar w:fldCharType="separate"/>
            </w:r>
            <w:r>
              <w:rPr>
                <w:rFonts w:cs="Times New Roman"/>
                <w:b/>
                <w:bCs/>
                <w:noProof/>
                <w:color w:val="000000" w:themeColor="text1"/>
                <w:sz w:val="22"/>
                <w:szCs w:val="22"/>
              </w:rPr>
              <w:t>(58)</w:t>
            </w:r>
            <w:r>
              <w:rPr>
                <w:rFonts w:cs="Times New Roman"/>
                <w:b/>
                <w:bCs/>
                <w:color w:val="000000" w:themeColor="text1"/>
                <w:sz w:val="22"/>
                <w:szCs w:val="22"/>
              </w:rPr>
              <w:fldChar w:fldCharType="end"/>
            </w:r>
          </w:p>
        </w:tc>
        <w:tc>
          <w:tcPr>
            <w:tcW w:w="1701" w:type="dxa"/>
            <w:tcBorders>
              <w:top w:val="single" w:sz="4" w:space="0" w:color="auto"/>
              <w:left w:val="nil"/>
              <w:bottom w:val="single" w:sz="4" w:space="0" w:color="auto"/>
              <w:right w:val="nil"/>
            </w:tcBorders>
          </w:tcPr>
          <w:p w14:paraId="4B0C0CEC" w14:textId="77777777" w:rsidR="008B2F7A" w:rsidRPr="00B43294" w:rsidRDefault="008B2F7A" w:rsidP="00E35CBD">
            <w:pPr>
              <w:rPr>
                <w:rFonts w:cs="Times New Roman"/>
                <w:color w:val="000000" w:themeColor="text1"/>
                <w:sz w:val="22"/>
                <w:szCs w:val="22"/>
              </w:rPr>
            </w:pPr>
          </w:p>
        </w:tc>
        <w:tc>
          <w:tcPr>
            <w:tcW w:w="5529" w:type="dxa"/>
            <w:tcBorders>
              <w:top w:val="single" w:sz="4" w:space="0" w:color="auto"/>
              <w:left w:val="nil"/>
              <w:bottom w:val="single" w:sz="4" w:space="0" w:color="auto"/>
            </w:tcBorders>
          </w:tcPr>
          <w:p w14:paraId="2858A901" w14:textId="77777777" w:rsidR="008B2F7A" w:rsidRPr="00B43294" w:rsidRDefault="008B2F7A" w:rsidP="00E35CBD">
            <w:pPr>
              <w:rPr>
                <w:rFonts w:cs="Times New Roman"/>
                <w:color w:val="000000" w:themeColor="text1"/>
                <w:sz w:val="22"/>
                <w:szCs w:val="22"/>
              </w:rPr>
            </w:pP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p>
        </w:tc>
      </w:tr>
      <w:tr w:rsidR="008B2F7A" w:rsidRPr="00B43294" w14:paraId="352BB13A" w14:textId="77777777" w:rsidTr="00E35CBD">
        <w:tc>
          <w:tcPr>
            <w:tcW w:w="2268" w:type="dxa"/>
            <w:tcBorders>
              <w:top w:val="single" w:sz="4" w:space="0" w:color="auto"/>
              <w:left w:val="nil"/>
              <w:bottom w:val="nil"/>
              <w:right w:val="nil"/>
            </w:tcBorders>
          </w:tcPr>
          <w:p w14:paraId="14AB3F06"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 xml:space="preserve">Selection </w:t>
            </w:r>
          </w:p>
        </w:tc>
        <w:tc>
          <w:tcPr>
            <w:tcW w:w="1701" w:type="dxa"/>
            <w:tcBorders>
              <w:top w:val="single" w:sz="4" w:space="0" w:color="auto"/>
              <w:left w:val="nil"/>
              <w:bottom w:val="nil"/>
              <w:right w:val="nil"/>
            </w:tcBorders>
          </w:tcPr>
          <w:p w14:paraId="089D8F8B" w14:textId="77777777" w:rsidR="008B2F7A" w:rsidRPr="00B43294" w:rsidRDefault="008B2F7A" w:rsidP="00E35CBD">
            <w:pPr>
              <w:rPr>
                <w:rFonts w:cs="Times New Roman"/>
                <w:color w:val="000000" w:themeColor="text1"/>
                <w:sz w:val="22"/>
                <w:szCs w:val="22"/>
              </w:rPr>
            </w:pP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p>
        </w:tc>
        <w:tc>
          <w:tcPr>
            <w:tcW w:w="5529" w:type="dxa"/>
            <w:tcBorders>
              <w:top w:val="single" w:sz="4" w:space="0" w:color="auto"/>
              <w:left w:val="nil"/>
              <w:bottom w:val="nil"/>
              <w:right w:val="nil"/>
            </w:tcBorders>
          </w:tcPr>
          <w:p w14:paraId="1F986A1E"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 xml:space="preserve">Five reliable and secure database registers were used for this study, representing the entire Danish population. All exposed and unexposed </w:t>
            </w:r>
            <w:r w:rsidRPr="004A4530">
              <w:rPr>
                <w:rFonts w:cs="Times New Roman"/>
                <w:color w:val="000000" w:themeColor="text1"/>
                <w:sz w:val="22"/>
                <w:szCs w:val="22"/>
              </w:rPr>
              <w:t>participants</w:t>
            </w:r>
            <w:r w:rsidRPr="00B43294">
              <w:rPr>
                <w:rFonts w:cs="Times New Roman"/>
                <w:color w:val="000000" w:themeColor="text1"/>
                <w:sz w:val="22"/>
                <w:szCs w:val="22"/>
              </w:rPr>
              <w:t xml:space="preserve"> were from the same population. There was no exclusion of </w:t>
            </w:r>
            <w:r w:rsidRPr="004A4530">
              <w:rPr>
                <w:rFonts w:cs="Times New Roman"/>
                <w:color w:val="000000" w:themeColor="text1"/>
                <w:sz w:val="22"/>
                <w:szCs w:val="22"/>
              </w:rPr>
              <w:t>participants</w:t>
            </w:r>
            <w:r w:rsidRPr="00B43294">
              <w:rPr>
                <w:rFonts w:cs="Times New Roman"/>
                <w:color w:val="000000" w:themeColor="text1"/>
                <w:sz w:val="22"/>
                <w:szCs w:val="22"/>
              </w:rPr>
              <w:t xml:space="preserve"> with heart disease at the start of the study.</w:t>
            </w:r>
          </w:p>
        </w:tc>
      </w:tr>
      <w:tr w:rsidR="008B2F7A" w:rsidRPr="00B43294" w14:paraId="4431DB93" w14:textId="77777777" w:rsidTr="00E35CBD">
        <w:tc>
          <w:tcPr>
            <w:tcW w:w="2268" w:type="dxa"/>
            <w:tcBorders>
              <w:top w:val="nil"/>
              <w:left w:val="nil"/>
              <w:bottom w:val="nil"/>
              <w:right w:val="nil"/>
            </w:tcBorders>
          </w:tcPr>
          <w:p w14:paraId="683ADDFA"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 xml:space="preserve">Comparability </w:t>
            </w:r>
          </w:p>
        </w:tc>
        <w:tc>
          <w:tcPr>
            <w:tcW w:w="1701" w:type="dxa"/>
            <w:tcBorders>
              <w:top w:val="nil"/>
              <w:left w:val="nil"/>
              <w:bottom w:val="nil"/>
              <w:right w:val="nil"/>
            </w:tcBorders>
          </w:tcPr>
          <w:p w14:paraId="3562ACD8" w14:textId="77777777" w:rsidR="008B2F7A" w:rsidRPr="00B43294" w:rsidRDefault="008B2F7A" w:rsidP="00E35CBD">
            <w:pPr>
              <w:rPr>
                <w:rFonts w:cs="Times New Roman"/>
                <w:color w:val="000000" w:themeColor="text1"/>
                <w:sz w:val="22"/>
                <w:szCs w:val="22"/>
              </w:rPr>
            </w:pP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p>
        </w:tc>
        <w:tc>
          <w:tcPr>
            <w:tcW w:w="5529" w:type="dxa"/>
            <w:tcBorders>
              <w:top w:val="nil"/>
              <w:left w:val="nil"/>
              <w:bottom w:val="nil"/>
              <w:right w:val="nil"/>
            </w:tcBorders>
          </w:tcPr>
          <w:p w14:paraId="258D98F6"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Confounders have been adjusted for</w:t>
            </w:r>
          </w:p>
        </w:tc>
      </w:tr>
      <w:tr w:rsidR="008B2F7A" w:rsidRPr="00B43294" w14:paraId="14DA814B" w14:textId="77777777" w:rsidTr="00E35CBD">
        <w:tc>
          <w:tcPr>
            <w:tcW w:w="2268" w:type="dxa"/>
            <w:tcBorders>
              <w:top w:val="nil"/>
              <w:left w:val="nil"/>
              <w:bottom w:val="nil"/>
              <w:right w:val="nil"/>
            </w:tcBorders>
          </w:tcPr>
          <w:p w14:paraId="47C177CF"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Outcome</w:t>
            </w:r>
          </w:p>
        </w:tc>
        <w:tc>
          <w:tcPr>
            <w:tcW w:w="1701" w:type="dxa"/>
            <w:tcBorders>
              <w:top w:val="nil"/>
              <w:left w:val="nil"/>
              <w:bottom w:val="nil"/>
              <w:right w:val="nil"/>
            </w:tcBorders>
          </w:tcPr>
          <w:p w14:paraId="641E1F22" w14:textId="77777777" w:rsidR="008B2F7A" w:rsidRPr="00B43294" w:rsidRDefault="008B2F7A" w:rsidP="00E35CBD">
            <w:pPr>
              <w:rPr>
                <w:rFonts w:cs="Times New Roman"/>
                <w:color w:val="000000" w:themeColor="text1"/>
                <w:sz w:val="22"/>
                <w:szCs w:val="22"/>
              </w:rPr>
            </w:pP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p>
        </w:tc>
        <w:tc>
          <w:tcPr>
            <w:tcW w:w="5529" w:type="dxa"/>
            <w:tcBorders>
              <w:top w:val="nil"/>
              <w:left w:val="nil"/>
              <w:bottom w:val="nil"/>
              <w:right w:val="nil"/>
            </w:tcBorders>
          </w:tcPr>
          <w:p w14:paraId="729D3A82"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 xml:space="preserve">ICD and medication codes were used. There was a median follow-up of 5.0 years. A statement was made regarding </w:t>
            </w:r>
            <w:r w:rsidRPr="004A4530">
              <w:rPr>
                <w:rFonts w:cs="Times New Roman"/>
                <w:color w:val="000000" w:themeColor="text1"/>
                <w:sz w:val="22"/>
                <w:szCs w:val="22"/>
              </w:rPr>
              <w:t>participants</w:t>
            </w:r>
            <w:r w:rsidRPr="00B43294">
              <w:rPr>
                <w:rFonts w:cs="Times New Roman"/>
                <w:color w:val="000000" w:themeColor="text1"/>
                <w:sz w:val="22"/>
                <w:szCs w:val="22"/>
              </w:rPr>
              <w:t xml:space="preserve"> lost to follow-up.</w:t>
            </w:r>
          </w:p>
        </w:tc>
      </w:tr>
      <w:tr w:rsidR="008B2F7A" w:rsidRPr="00B43294" w14:paraId="1BED0E01" w14:textId="77777777" w:rsidTr="00E35CBD">
        <w:tc>
          <w:tcPr>
            <w:tcW w:w="2268" w:type="dxa"/>
            <w:tcBorders>
              <w:top w:val="single" w:sz="4" w:space="0" w:color="auto"/>
              <w:bottom w:val="single" w:sz="4" w:space="0" w:color="auto"/>
              <w:right w:val="nil"/>
            </w:tcBorders>
          </w:tcPr>
          <w:p w14:paraId="1D9EDBA9" w14:textId="77777777" w:rsidR="008B2F7A" w:rsidRPr="00B43294" w:rsidRDefault="008B2F7A" w:rsidP="00E35CBD">
            <w:pPr>
              <w:rPr>
                <w:rFonts w:cs="Times New Roman"/>
                <w:color w:val="000000" w:themeColor="text1"/>
                <w:sz w:val="22"/>
                <w:szCs w:val="22"/>
              </w:rPr>
            </w:pPr>
            <w:r w:rsidRPr="00B43294">
              <w:rPr>
                <w:rFonts w:cs="Times New Roman"/>
                <w:b/>
                <w:bCs/>
                <w:color w:val="000000" w:themeColor="text1"/>
                <w:sz w:val="22"/>
                <w:szCs w:val="22"/>
              </w:rPr>
              <w:t>Razvi, 2012</w:t>
            </w:r>
            <w:r>
              <w:rPr>
                <w:rFonts w:cs="Times New Roman"/>
                <w:b/>
                <w:bCs/>
                <w:color w:val="000000" w:themeColor="text1"/>
                <w:sz w:val="22"/>
                <w:szCs w:val="22"/>
              </w:rPr>
              <w:t xml:space="preserve"> </w:t>
            </w:r>
            <w:r>
              <w:rPr>
                <w:rFonts w:cs="Times New Roman"/>
                <w:b/>
                <w:bCs/>
                <w:color w:val="000000" w:themeColor="text1"/>
                <w:sz w:val="22"/>
                <w:szCs w:val="22"/>
              </w:rPr>
              <w:fldChar w:fldCharType="begin"/>
            </w:r>
            <w:r>
              <w:rPr>
                <w:rFonts w:cs="Times New Roman"/>
                <w:b/>
                <w:bCs/>
                <w:color w:val="000000" w:themeColor="text1"/>
                <w:sz w:val="22"/>
                <w:szCs w:val="22"/>
              </w:rPr>
              <w:instrText xml:space="preserve"> ADDIN ZOTERO_ITEM CSL_CITATION {"citationID":"0xBRRdu0","properties":{"formattedCitation":"(60)","plainCitation":"(60)","noteIndex":0},"citationItems":[{"id":1217,"uris":["http://zotero.org/users/8587829/items/XCH3CNMX"],"itemData":{"id":1217,"type":"article-journal","abstract":"BACKGROUND Subclinical hypothyroidism (SCH) has been associated with ischemic heart disease (IHD); however, it is unknown whether treatment of SCH with levothyroxine sodium will reduce the risk of IHD. The aim of this study was to investigate the association between levothyroxine treatment of SCH with IHD morbidity and mortality. METHODS We used the United Kingdom General Practitioner Research Database to identify individuals with new SCH (serum thyrotropin levels of 5.01-10.0 mIU/L and normal free thyroxine levels) recorded during 2001 with outcomes analyzed until March 2009. All analyses were performed separately for younger (40-70 years) and older (&amp;gt;70 years) individuals. Hazard ratios (HRs) for IHD events (fatal and nonfatal) were calculated after adjustment for conventional IHD risk factors, baseline serum thyrotropin levels, and initiation of levothyroxine treatment as a time-dependent covariate. RESULTS Subclinical hypothyroidism was identified in 3093 younger and 1642 older individuals. For a median follow-up period of 7.6 years, 52.8% and 49.9% of younger and older patients with SCH were treated with levothyroxine, respectively. There were 68 incident IHD events in 1634 younger patients treated with levothyroxine (4.2%) vs 97 IHD events in 1459 untreated individuals (6.6%) (multivariate-adjusted HR, 0.61; 95% CI, 0.39-0.95). In contrast, in the older group there were 104 events in 819 treated patients (12.7%) vs 88 events in 823 untreated individuals (10.7%) (HR, 0.99; 95% CI, 0.59-1.33). CONCLUSIONS Treatment of SCH with levothyroxine was associated with fewer IHD events in younger individuals, but this was not evident in older people. An appropriately powered randomized controlled trial of levothyroxine in SCH examining vascular outcomes is now warranted.","container-title":"Archives of Internal Medicine","DOI":"10.1001/archinternmed.2012.1159","ISSN":"1538-3679","issue":"10","journalAbbreviation":"Arch Intern Med","language":"eng","note":"PMID: 22529180","page":"811-817","source":"PubMed","title":"Levothyroxine treatment of subclinical hypothyroidism, fatal and nonfatal cardiovascular events, and mortality","volume":"172","author":[{"family":"Razvi","given":"Salman"},{"family":"Weaver","given":"Jolanta U."},{"family":"Butler","given":"Timothy J."},{"family":"Pearce","given":"Simon H. S."}],"issued":{"date-parts":[["2012",5,28]]}}}],"schema":"https://github.com/citation-style-language/schema/raw/master/csl-citation.json"} </w:instrText>
            </w:r>
            <w:r>
              <w:rPr>
                <w:rFonts w:cs="Times New Roman"/>
                <w:b/>
                <w:bCs/>
                <w:color w:val="000000" w:themeColor="text1"/>
                <w:sz w:val="22"/>
                <w:szCs w:val="22"/>
              </w:rPr>
              <w:fldChar w:fldCharType="separate"/>
            </w:r>
            <w:r>
              <w:rPr>
                <w:rFonts w:cs="Times New Roman"/>
                <w:b/>
                <w:bCs/>
                <w:noProof/>
                <w:color w:val="000000" w:themeColor="text1"/>
                <w:sz w:val="22"/>
                <w:szCs w:val="22"/>
              </w:rPr>
              <w:t>(60)</w:t>
            </w:r>
            <w:r>
              <w:rPr>
                <w:rFonts w:cs="Times New Roman"/>
                <w:b/>
                <w:bCs/>
                <w:color w:val="000000" w:themeColor="text1"/>
                <w:sz w:val="22"/>
                <w:szCs w:val="22"/>
              </w:rPr>
              <w:fldChar w:fldCharType="end"/>
            </w:r>
          </w:p>
        </w:tc>
        <w:tc>
          <w:tcPr>
            <w:tcW w:w="1701" w:type="dxa"/>
            <w:tcBorders>
              <w:top w:val="single" w:sz="4" w:space="0" w:color="auto"/>
              <w:left w:val="nil"/>
              <w:bottom w:val="single" w:sz="4" w:space="0" w:color="auto"/>
              <w:right w:val="nil"/>
            </w:tcBorders>
          </w:tcPr>
          <w:p w14:paraId="725DABD2" w14:textId="77777777" w:rsidR="008B2F7A" w:rsidRPr="00B43294" w:rsidRDefault="008B2F7A" w:rsidP="00E35CBD">
            <w:pPr>
              <w:rPr>
                <w:rFonts w:cs="Times New Roman"/>
                <w:color w:val="000000" w:themeColor="text1"/>
                <w:sz w:val="22"/>
                <w:szCs w:val="22"/>
              </w:rPr>
            </w:pPr>
          </w:p>
        </w:tc>
        <w:tc>
          <w:tcPr>
            <w:tcW w:w="5529" w:type="dxa"/>
            <w:tcBorders>
              <w:top w:val="single" w:sz="4" w:space="0" w:color="auto"/>
              <w:left w:val="nil"/>
              <w:bottom w:val="single" w:sz="4" w:space="0" w:color="auto"/>
            </w:tcBorders>
          </w:tcPr>
          <w:p w14:paraId="0E9597CB" w14:textId="77777777" w:rsidR="008B2F7A" w:rsidRPr="00B43294" w:rsidRDefault="008B2F7A" w:rsidP="00E35CBD">
            <w:pPr>
              <w:rPr>
                <w:rFonts w:cs="Times New Roman"/>
                <w:color w:val="000000" w:themeColor="text1"/>
                <w:sz w:val="22"/>
                <w:szCs w:val="22"/>
              </w:rPr>
            </w:pP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p>
        </w:tc>
      </w:tr>
      <w:tr w:rsidR="008B2F7A" w:rsidRPr="00B43294" w14:paraId="56FA7F84" w14:textId="77777777" w:rsidTr="00E35CBD">
        <w:tc>
          <w:tcPr>
            <w:tcW w:w="2268" w:type="dxa"/>
            <w:tcBorders>
              <w:top w:val="single" w:sz="4" w:space="0" w:color="auto"/>
              <w:left w:val="nil"/>
              <w:bottom w:val="nil"/>
              <w:right w:val="nil"/>
            </w:tcBorders>
          </w:tcPr>
          <w:p w14:paraId="703F0C3C"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 xml:space="preserve">Selection </w:t>
            </w:r>
          </w:p>
        </w:tc>
        <w:tc>
          <w:tcPr>
            <w:tcW w:w="1701" w:type="dxa"/>
            <w:tcBorders>
              <w:top w:val="single" w:sz="4" w:space="0" w:color="auto"/>
              <w:left w:val="nil"/>
              <w:bottom w:val="nil"/>
              <w:right w:val="nil"/>
            </w:tcBorders>
          </w:tcPr>
          <w:p w14:paraId="3DC54BC3" w14:textId="77777777" w:rsidR="008B2F7A" w:rsidRPr="00B43294" w:rsidRDefault="008B2F7A" w:rsidP="00E35CBD">
            <w:pPr>
              <w:rPr>
                <w:rFonts w:cs="Times New Roman"/>
                <w:color w:val="000000" w:themeColor="text1"/>
                <w:sz w:val="22"/>
                <w:szCs w:val="22"/>
              </w:rPr>
            </w:pP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p>
        </w:tc>
        <w:tc>
          <w:tcPr>
            <w:tcW w:w="5529" w:type="dxa"/>
            <w:tcBorders>
              <w:top w:val="single" w:sz="4" w:space="0" w:color="auto"/>
              <w:left w:val="nil"/>
              <w:bottom w:val="nil"/>
              <w:right w:val="nil"/>
            </w:tcBorders>
          </w:tcPr>
          <w:p w14:paraId="54F85C51"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 xml:space="preserve">The United Kingdom General Practitioner Research Database was used, representing the UK population. All exposed and unexposed </w:t>
            </w:r>
            <w:r w:rsidRPr="004A4530">
              <w:rPr>
                <w:rFonts w:cs="Times New Roman"/>
                <w:color w:val="000000" w:themeColor="text1"/>
                <w:sz w:val="22"/>
                <w:szCs w:val="22"/>
              </w:rPr>
              <w:t>participants</w:t>
            </w:r>
            <w:r w:rsidRPr="00B43294">
              <w:rPr>
                <w:rFonts w:cs="Times New Roman"/>
                <w:color w:val="000000" w:themeColor="text1"/>
                <w:sz w:val="22"/>
                <w:szCs w:val="22"/>
              </w:rPr>
              <w:t xml:space="preserve"> were from the same </w:t>
            </w:r>
            <w:r w:rsidRPr="00B43294">
              <w:rPr>
                <w:rFonts w:cs="Times New Roman"/>
                <w:color w:val="000000" w:themeColor="text1"/>
                <w:sz w:val="22"/>
                <w:szCs w:val="22"/>
              </w:rPr>
              <w:lastRenderedPageBreak/>
              <w:t>population. P</w:t>
            </w:r>
            <w:r w:rsidRPr="004A4530">
              <w:rPr>
                <w:rFonts w:cs="Times New Roman"/>
                <w:color w:val="000000" w:themeColor="text1"/>
                <w:sz w:val="22"/>
                <w:szCs w:val="22"/>
              </w:rPr>
              <w:t>articipants</w:t>
            </w:r>
            <w:r w:rsidRPr="00B43294">
              <w:rPr>
                <w:rFonts w:cs="Times New Roman"/>
                <w:color w:val="000000" w:themeColor="text1"/>
                <w:sz w:val="22"/>
                <w:szCs w:val="22"/>
              </w:rPr>
              <w:t xml:space="preserve"> with a history of ischemic heart disease or cerebrovascular disease were excluded.</w:t>
            </w:r>
          </w:p>
        </w:tc>
      </w:tr>
      <w:tr w:rsidR="008B2F7A" w:rsidRPr="00B43294" w14:paraId="3E3877CE" w14:textId="77777777" w:rsidTr="00E35CBD">
        <w:tc>
          <w:tcPr>
            <w:tcW w:w="2268" w:type="dxa"/>
            <w:tcBorders>
              <w:top w:val="nil"/>
              <w:left w:val="nil"/>
              <w:bottom w:val="nil"/>
              <w:right w:val="nil"/>
            </w:tcBorders>
          </w:tcPr>
          <w:p w14:paraId="62FAE0F7"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lastRenderedPageBreak/>
              <w:t>Comparability</w:t>
            </w:r>
          </w:p>
        </w:tc>
        <w:tc>
          <w:tcPr>
            <w:tcW w:w="1701" w:type="dxa"/>
            <w:tcBorders>
              <w:top w:val="nil"/>
              <w:left w:val="nil"/>
              <w:bottom w:val="nil"/>
              <w:right w:val="nil"/>
            </w:tcBorders>
          </w:tcPr>
          <w:p w14:paraId="4D9540CA" w14:textId="77777777" w:rsidR="008B2F7A" w:rsidRPr="00B43294" w:rsidRDefault="008B2F7A" w:rsidP="00E35CBD">
            <w:pPr>
              <w:rPr>
                <w:rFonts w:cs="Times New Roman"/>
                <w:color w:val="000000" w:themeColor="text1"/>
                <w:sz w:val="22"/>
                <w:szCs w:val="22"/>
              </w:rPr>
            </w:pP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p>
        </w:tc>
        <w:tc>
          <w:tcPr>
            <w:tcW w:w="5529" w:type="dxa"/>
            <w:tcBorders>
              <w:top w:val="nil"/>
              <w:left w:val="nil"/>
              <w:bottom w:val="nil"/>
              <w:right w:val="nil"/>
            </w:tcBorders>
          </w:tcPr>
          <w:p w14:paraId="71E37626"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Confounders have been adjusted for</w:t>
            </w:r>
          </w:p>
        </w:tc>
      </w:tr>
      <w:tr w:rsidR="008B2F7A" w:rsidRPr="00B43294" w14:paraId="02C2F226" w14:textId="77777777" w:rsidTr="00E35CBD">
        <w:tc>
          <w:tcPr>
            <w:tcW w:w="2268" w:type="dxa"/>
            <w:tcBorders>
              <w:top w:val="nil"/>
              <w:left w:val="nil"/>
              <w:bottom w:val="nil"/>
              <w:right w:val="nil"/>
            </w:tcBorders>
          </w:tcPr>
          <w:p w14:paraId="1758F82C" w14:textId="77777777" w:rsidR="008B2F7A" w:rsidRPr="00B43294" w:rsidRDefault="008B2F7A" w:rsidP="00E35CBD">
            <w:pPr>
              <w:rPr>
                <w:rFonts w:cs="Times New Roman"/>
                <w:color w:val="000000" w:themeColor="text1"/>
                <w:sz w:val="22"/>
                <w:szCs w:val="22"/>
              </w:rPr>
            </w:pPr>
            <w:r w:rsidRPr="00B43294">
              <w:rPr>
                <w:rFonts w:cs="Times New Roman"/>
                <w:color w:val="000000" w:themeColor="text1"/>
                <w:sz w:val="22"/>
                <w:szCs w:val="22"/>
              </w:rPr>
              <w:t xml:space="preserve">Outcome </w:t>
            </w:r>
          </w:p>
        </w:tc>
        <w:tc>
          <w:tcPr>
            <w:tcW w:w="1701" w:type="dxa"/>
            <w:tcBorders>
              <w:top w:val="nil"/>
              <w:left w:val="nil"/>
              <w:bottom w:val="nil"/>
              <w:right w:val="nil"/>
            </w:tcBorders>
          </w:tcPr>
          <w:p w14:paraId="4B357DC2" w14:textId="77777777" w:rsidR="008B2F7A" w:rsidRPr="00B43294" w:rsidRDefault="008B2F7A" w:rsidP="00E35CBD">
            <w:pPr>
              <w:rPr>
                <w:rFonts w:cs="Times New Roman"/>
                <w:color w:val="000000" w:themeColor="text1"/>
                <w:sz w:val="22"/>
                <w:szCs w:val="22"/>
              </w:rPr>
            </w:pP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r w:rsidRPr="00B43294">
              <w:rPr>
                <w:rFonts w:ascii="Wingdings" w:hAnsi="Wingdings"/>
                <w:b/>
                <w:bCs/>
                <w:color w:val="000000" w:themeColor="text1"/>
                <w:sz w:val="22"/>
                <w:szCs w:val="22"/>
              </w:rPr>
              <w:t></w:t>
            </w:r>
          </w:p>
        </w:tc>
        <w:tc>
          <w:tcPr>
            <w:tcW w:w="5529" w:type="dxa"/>
            <w:tcBorders>
              <w:top w:val="nil"/>
              <w:left w:val="nil"/>
              <w:bottom w:val="nil"/>
              <w:right w:val="nil"/>
            </w:tcBorders>
          </w:tcPr>
          <w:p w14:paraId="5E266A25" w14:textId="77777777" w:rsidR="008B2F7A" w:rsidRPr="00B43294" w:rsidRDefault="008B2F7A" w:rsidP="00E35CBD">
            <w:pPr>
              <w:keepNext/>
              <w:rPr>
                <w:rFonts w:cs="Times New Roman"/>
                <w:color w:val="000000" w:themeColor="text1"/>
                <w:sz w:val="22"/>
                <w:szCs w:val="22"/>
              </w:rPr>
            </w:pPr>
            <w:r w:rsidRPr="00B43294">
              <w:rPr>
                <w:rFonts w:cs="Times New Roman"/>
                <w:color w:val="000000" w:themeColor="text1"/>
                <w:sz w:val="22"/>
                <w:szCs w:val="22"/>
              </w:rPr>
              <w:t xml:space="preserve">ICD and Read codes used. Individual prescribing records were used for medication codes. There was a median follow-up of 5.2 </w:t>
            </w:r>
            <w:r w:rsidRPr="004A4530">
              <w:rPr>
                <w:rFonts w:cs="Times New Roman"/>
                <w:color w:val="000000" w:themeColor="text1"/>
                <w:sz w:val="22"/>
                <w:szCs w:val="22"/>
              </w:rPr>
              <w:t>years. P</w:t>
            </w:r>
            <w:r w:rsidRPr="004A4530">
              <w:rPr>
                <w:rFonts w:cs="Arial"/>
                <w:color w:val="000000" w:themeColor="text1"/>
                <w:sz w:val="22"/>
                <w:szCs w:val="22"/>
              </w:rPr>
              <w:t>articipants</w:t>
            </w:r>
            <w:r w:rsidRPr="004A4530">
              <w:rPr>
                <w:rFonts w:cs="Times New Roman"/>
                <w:color w:val="000000" w:themeColor="text1"/>
                <w:sz w:val="22"/>
                <w:szCs w:val="22"/>
              </w:rPr>
              <w:t xml:space="preserve"> with</w:t>
            </w:r>
            <w:r w:rsidRPr="00B43294">
              <w:rPr>
                <w:rFonts w:cs="Times New Roman"/>
                <w:color w:val="000000" w:themeColor="text1"/>
                <w:sz w:val="22"/>
                <w:szCs w:val="22"/>
              </w:rPr>
              <w:t xml:space="preserve"> a lack of follow-up were excluded at baseline.</w:t>
            </w:r>
          </w:p>
        </w:tc>
      </w:tr>
    </w:tbl>
    <w:p w14:paraId="0BD05414" w14:textId="77777777" w:rsidR="008B2F7A" w:rsidRPr="00B43294" w:rsidRDefault="008B2F7A" w:rsidP="008B2F7A">
      <w:pPr>
        <w:rPr>
          <w:color w:val="000000" w:themeColor="text1"/>
        </w:rPr>
      </w:pPr>
    </w:p>
    <w:p w14:paraId="5236468E" w14:textId="77777777" w:rsidR="008B2F7A" w:rsidRPr="00B43294" w:rsidRDefault="008B2F7A" w:rsidP="008B2F7A">
      <w:pPr>
        <w:rPr>
          <w:color w:val="000000" w:themeColor="text1"/>
        </w:rPr>
      </w:pPr>
      <w:r w:rsidRPr="00116630">
        <w:rPr>
          <w:color w:val="000000" w:themeColor="text1"/>
        </w:rPr>
        <w:t xml:space="preserve">Additional file </w:t>
      </w:r>
      <w:r>
        <w:rPr>
          <w:color w:val="000000" w:themeColor="text1"/>
        </w:rPr>
        <w:t>5</w:t>
      </w:r>
    </w:p>
    <w:tbl>
      <w:tblPr>
        <w:tblStyle w:val="TableGrid"/>
        <w:tblpPr w:leftFromText="180" w:rightFromText="180" w:vertAnchor="text" w:horzAnchor="margin" w:tblpXSpec="center" w:tblpY="310"/>
        <w:tblW w:w="10201" w:type="dxa"/>
        <w:tblLook w:val="04A0" w:firstRow="1" w:lastRow="0" w:firstColumn="1" w:lastColumn="0" w:noHBand="0" w:noVBand="1"/>
      </w:tblPr>
      <w:tblGrid>
        <w:gridCol w:w="1286"/>
        <w:gridCol w:w="1296"/>
        <w:gridCol w:w="1552"/>
        <w:gridCol w:w="1552"/>
        <w:gridCol w:w="1569"/>
        <w:gridCol w:w="1665"/>
        <w:gridCol w:w="1281"/>
      </w:tblGrid>
      <w:tr w:rsidR="008B2F7A" w:rsidRPr="00B43294" w14:paraId="1B358AFB" w14:textId="77777777" w:rsidTr="00E35CBD">
        <w:trPr>
          <w:trHeight w:val="706"/>
        </w:trPr>
        <w:tc>
          <w:tcPr>
            <w:tcW w:w="1286" w:type="dxa"/>
          </w:tcPr>
          <w:p w14:paraId="073D8468" w14:textId="77777777" w:rsidR="008B2F7A" w:rsidRPr="00B43294" w:rsidRDefault="008B2F7A" w:rsidP="00E35CBD">
            <w:pPr>
              <w:rPr>
                <w:rFonts w:cs="Times New Roman"/>
                <w:b/>
                <w:bCs/>
                <w:color w:val="000000" w:themeColor="text1"/>
                <w:sz w:val="20"/>
                <w:szCs w:val="20"/>
              </w:rPr>
            </w:pPr>
            <w:r w:rsidRPr="00B43294">
              <w:rPr>
                <w:rFonts w:cs="Times New Roman"/>
                <w:b/>
                <w:bCs/>
                <w:color w:val="000000" w:themeColor="text1"/>
                <w:sz w:val="20"/>
                <w:szCs w:val="20"/>
              </w:rPr>
              <w:t>First author, year</w:t>
            </w:r>
          </w:p>
        </w:tc>
        <w:tc>
          <w:tcPr>
            <w:tcW w:w="1296" w:type="dxa"/>
          </w:tcPr>
          <w:p w14:paraId="5E0D3144" w14:textId="77777777" w:rsidR="008B2F7A" w:rsidRPr="00B43294" w:rsidRDefault="008B2F7A" w:rsidP="00E35CBD">
            <w:pPr>
              <w:rPr>
                <w:rFonts w:cs="Times New Roman"/>
                <w:b/>
                <w:bCs/>
                <w:color w:val="000000" w:themeColor="text1"/>
                <w:sz w:val="20"/>
                <w:szCs w:val="20"/>
              </w:rPr>
            </w:pPr>
            <w:r w:rsidRPr="00B43294">
              <w:rPr>
                <w:rFonts w:cs="Times New Roman"/>
                <w:b/>
                <w:bCs/>
                <w:color w:val="000000" w:themeColor="text1"/>
                <w:sz w:val="20"/>
                <w:szCs w:val="20"/>
              </w:rPr>
              <w:t>Risk of bias</w:t>
            </w:r>
          </w:p>
        </w:tc>
        <w:tc>
          <w:tcPr>
            <w:tcW w:w="1552" w:type="dxa"/>
          </w:tcPr>
          <w:p w14:paraId="3B27F357" w14:textId="77777777" w:rsidR="008B2F7A" w:rsidRPr="00B43294" w:rsidRDefault="008B2F7A" w:rsidP="00E35CBD">
            <w:pPr>
              <w:rPr>
                <w:rFonts w:cs="Times New Roman"/>
                <w:b/>
                <w:bCs/>
                <w:color w:val="000000" w:themeColor="text1"/>
                <w:sz w:val="20"/>
                <w:szCs w:val="20"/>
              </w:rPr>
            </w:pPr>
            <w:r w:rsidRPr="00B43294">
              <w:rPr>
                <w:rFonts w:cs="Times New Roman"/>
                <w:b/>
                <w:bCs/>
                <w:color w:val="000000" w:themeColor="text1"/>
                <w:sz w:val="20"/>
                <w:szCs w:val="20"/>
              </w:rPr>
              <w:t>Imprecision</w:t>
            </w:r>
          </w:p>
        </w:tc>
        <w:tc>
          <w:tcPr>
            <w:tcW w:w="1552" w:type="dxa"/>
          </w:tcPr>
          <w:p w14:paraId="06AF3131" w14:textId="77777777" w:rsidR="008B2F7A" w:rsidRPr="00B43294" w:rsidRDefault="008B2F7A" w:rsidP="00E35CBD">
            <w:pPr>
              <w:rPr>
                <w:rFonts w:cs="Times New Roman"/>
                <w:b/>
                <w:bCs/>
                <w:color w:val="000000" w:themeColor="text1"/>
                <w:sz w:val="20"/>
                <w:szCs w:val="20"/>
              </w:rPr>
            </w:pPr>
            <w:r w:rsidRPr="00B43294">
              <w:rPr>
                <w:rFonts w:cs="Times New Roman"/>
                <w:b/>
                <w:bCs/>
                <w:color w:val="000000" w:themeColor="text1"/>
                <w:sz w:val="20"/>
                <w:szCs w:val="20"/>
              </w:rPr>
              <w:t>Inconsistency</w:t>
            </w:r>
          </w:p>
        </w:tc>
        <w:tc>
          <w:tcPr>
            <w:tcW w:w="1569" w:type="dxa"/>
          </w:tcPr>
          <w:p w14:paraId="09FEDD73" w14:textId="77777777" w:rsidR="008B2F7A" w:rsidRPr="00B43294" w:rsidRDefault="008B2F7A" w:rsidP="00E35CBD">
            <w:pPr>
              <w:rPr>
                <w:rFonts w:cs="Times New Roman"/>
                <w:b/>
                <w:bCs/>
                <w:color w:val="000000" w:themeColor="text1"/>
                <w:sz w:val="20"/>
                <w:szCs w:val="20"/>
              </w:rPr>
            </w:pPr>
            <w:r w:rsidRPr="00B43294">
              <w:rPr>
                <w:rFonts w:cs="Times New Roman"/>
                <w:b/>
                <w:bCs/>
                <w:color w:val="000000" w:themeColor="text1"/>
                <w:sz w:val="20"/>
                <w:szCs w:val="20"/>
              </w:rPr>
              <w:t>Indirectness</w:t>
            </w:r>
          </w:p>
        </w:tc>
        <w:tc>
          <w:tcPr>
            <w:tcW w:w="1665" w:type="dxa"/>
          </w:tcPr>
          <w:p w14:paraId="1182448B" w14:textId="77777777" w:rsidR="008B2F7A" w:rsidRPr="00B43294" w:rsidRDefault="008B2F7A" w:rsidP="00E35CBD">
            <w:pPr>
              <w:rPr>
                <w:rFonts w:cs="Times New Roman"/>
                <w:b/>
                <w:bCs/>
                <w:color w:val="000000" w:themeColor="text1"/>
                <w:sz w:val="20"/>
                <w:szCs w:val="20"/>
              </w:rPr>
            </w:pPr>
            <w:r w:rsidRPr="00B43294">
              <w:rPr>
                <w:rFonts w:cs="Times New Roman"/>
                <w:b/>
                <w:bCs/>
                <w:color w:val="000000" w:themeColor="text1"/>
                <w:sz w:val="20"/>
                <w:szCs w:val="20"/>
              </w:rPr>
              <w:t>Other considerations</w:t>
            </w:r>
          </w:p>
        </w:tc>
        <w:tc>
          <w:tcPr>
            <w:tcW w:w="1281" w:type="dxa"/>
          </w:tcPr>
          <w:p w14:paraId="4D8C5213" w14:textId="77777777" w:rsidR="008B2F7A" w:rsidRPr="00B43294" w:rsidRDefault="008B2F7A" w:rsidP="00E35CBD">
            <w:pPr>
              <w:rPr>
                <w:rFonts w:cs="Times New Roman"/>
                <w:b/>
                <w:bCs/>
                <w:color w:val="000000" w:themeColor="text1"/>
                <w:sz w:val="20"/>
                <w:szCs w:val="20"/>
              </w:rPr>
            </w:pPr>
            <w:r w:rsidRPr="00B43294">
              <w:rPr>
                <w:rFonts w:cs="Times New Roman"/>
                <w:b/>
                <w:bCs/>
                <w:color w:val="000000" w:themeColor="text1"/>
                <w:sz w:val="20"/>
                <w:szCs w:val="20"/>
              </w:rPr>
              <w:t xml:space="preserve">Overall quality </w:t>
            </w:r>
          </w:p>
        </w:tc>
      </w:tr>
      <w:tr w:rsidR="008B2F7A" w:rsidRPr="00B43294" w14:paraId="69555868" w14:textId="77777777" w:rsidTr="00E35CBD">
        <w:trPr>
          <w:trHeight w:val="904"/>
        </w:trPr>
        <w:tc>
          <w:tcPr>
            <w:tcW w:w="1286" w:type="dxa"/>
          </w:tcPr>
          <w:p w14:paraId="70217E1F"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Andersen, 2015</w:t>
            </w:r>
            <w:r>
              <w:rPr>
                <w:rFonts w:cs="Times New Roman"/>
                <w:color w:val="000000" w:themeColor="text1"/>
                <w:sz w:val="20"/>
                <w:szCs w:val="20"/>
              </w:rPr>
              <w:t xml:space="preserve"> </w:t>
            </w:r>
            <w:r>
              <w:rPr>
                <w:rFonts w:cs="Times New Roman"/>
                <w:color w:val="000000" w:themeColor="text1"/>
                <w:sz w:val="20"/>
                <w:szCs w:val="20"/>
              </w:rPr>
              <w:fldChar w:fldCharType="begin"/>
            </w:r>
            <w:r>
              <w:rPr>
                <w:rFonts w:cs="Times New Roman"/>
                <w:color w:val="000000" w:themeColor="text1"/>
                <w:sz w:val="20"/>
                <w:szCs w:val="20"/>
              </w:rPr>
              <w:instrText xml:space="preserve"> ADDIN ZOTERO_ITEM CSL_CITATION {"citationID":"iypC6HUx","properties":{"formattedCitation":"(58)","plainCitation":"(58)","noteIndex":0},"citationItems":[{"id":1335,"uris":["http://zotero.org/users/8587829/items/TCV8L799","http://zotero.org/users/8587829/items/9279MN2N"],"itemData":{"id":1335,"type":"article-journal","abstract":"BACKGROUND: Subclinical hypothyroidism is associated with a number of cardiovascular risk factors, yet only limited data exist on long-term outcome of levothyroxine treatment of this condition with respect to hard end-points. The aim of this retrospective cohort study was to determine effects of levothyroxine treatment on myocardial infarction (MI), cardiovascular death and all-cause mortality, in patients with subclinical hypothyroidism.\nMETHODS AND RESULTS: Primary care patients aged 18 years and older that underwent thyroid function tests between 2000 and 2009 were enrolled. Participants were identified by individual-level linkage of nationwide registers. Patients with subclinical hypothyroidism at baseline were included in the study. Exclusion criteria included a history of thyroid disease, related medication or medication affecting thyroid function. The total cohort comprised 628,953 patients of which 12,212 (1.9%) had subclinical hypothyroidism (mean age 55.2 [SD ± 18.8] years; 79.8% female). Within the first six months 2,483 (20.3%) patients claimed a prescription for levothyroxine. During a median follow-up of 5.0 (IQR: 5.2) years, 358 MI's and 1,566 (12.8%) deaths were observed. Out of these, 766 of the deaths were cardiovascular related. No beneficial effects were found in levothyroxine treated patients on MI (IRR 1.08 [95% CI: 0.81 to 1.44]), cardiovascular death (IRR 1.02 [95% CI: 0.83 to 1.25]) or all-cause mortality (IRR 1.03 [95% CI: 0.90 to 1.19]), except in patients under the age of 65 years (IRR 0.63 [95% CI: 0.40 to 0.99]).\nCONCLUSION: Levothyroxine substitution in subclinical hypothyroid patients does not indicate an association with lower mortality or decreased risk of MI.","container-title":"PloS One","DOI":"10.1371/journal.pone.0129793","ISSN":"1932-6203","issue":"6","journalAbbreviation":"PLoS One","language":"eng","note":"PMID: 26069971\nPMCID: PMC4466400","page":"e0129793","source":"PubMed","title":"Levothyroxine Substitution in Patients with Subclinical Hypothyroidism and the Risk of Myocardial Infarction and Mortality","volume":"10","author":[{"family":"Andersen","given":"Mette Nygaard"},{"family":"Olsen","given":"Anne-Marie Schjerning"},{"family":"Madsen","given":"Jesper Clausager"},{"family":"Faber","given":"Jens"},{"family":"Torp-Pedersen","given":"Christian"},{"family":"Gislason","given":"Gunnar Hilmar"},{"family":"Selmer","given":"Christian"}],"issued":{"date-parts":[["2015"]]}}}],"schema":"https://github.com/citation-style-language/schema/raw/master/csl-citation.json"} </w:instrText>
            </w:r>
            <w:r>
              <w:rPr>
                <w:rFonts w:cs="Times New Roman"/>
                <w:color w:val="000000" w:themeColor="text1"/>
                <w:sz w:val="20"/>
                <w:szCs w:val="20"/>
              </w:rPr>
              <w:fldChar w:fldCharType="separate"/>
            </w:r>
            <w:r>
              <w:rPr>
                <w:rFonts w:cs="Times New Roman"/>
                <w:noProof/>
                <w:color w:val="000000" w:themeColor="text1"/>
                <w:sz w:val="20"/>
                <w:szCs w:val="20"/>
              </w:rPr>
              <w:t>(58)</w:t>
            </w:r>
            <w:r>
              <w:rPr>
                <w:rFonts w:cs="Times New Roman"/>
                <w:color w:val="000000" w:themeColor="text1"/>
                <w:sz w:val="20"/>
                <w:szCs w:val="20"/>
              </w:rPr>
              <w:fldChar w:fldCharType="end"/>
            </w:r>
          </w:p>
        </w:tc>
        <w:tc>
          <w:tcPr>
            <w:tcW w:w="1296" w:type="dxa"/>
          </w:tcPr>
          <w:p w14:paraId="4FF05B47"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shd w:val="clear" w:color="auto" w:fill="FFFFFF"/>
              </w:rPr>
              <w:t>No serious risk of bias</w:t>
            </w:r>
          </w:p>
        </w:tc>
        <w:tc>
          <w:tcPr>
            <w:tcW w:w="1552" w:type="dxa"/>
          </w:tcPr>
          <w:p w14:paraId="52EAA1E9"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No serious imprecision</w:t>
            </w:r>
          </w:p>
        </w:tc>
        <w:tc>
          <w:tcPr>
            <w:tcW w:w="1552" w:type="dxa"/>
          </w:tcPr>
          <w:p w14:paraId="0E524FCC"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shd w:val="clear" w:color="auto" w:fill="FFFFFF"/>
              </w:rPr>
              <w:t>No serious inconsistency</w:t>
            </w:r>
          </w:p>
        </w:tc>
        <w:tc>
          <w:tcPr>
            <w:tcW w:w="1569" w:type="dxa"/>
          </w:tcPr>
          <w:p w14:paraId="06CC0B05"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No serious indirectness</w:t>
            </w:r>
          </w:p>
        </w:tc>
        <w:tc>
          <w:tcPr>
            <w:tcW w:w="1665" w:type="dxa"/>
          </w:tcPr>
          <w:p w14:paraId="5CCF8459"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None</w:t>
            </w:r>
          </w:p>
        </w:tc>
        <w:tc>
          <w:tcPr>
            <w:tcW w:w="1281" w:type="dxa"/>
          </w:tcPr>
          <w:p w14:paraId="201539C1"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High</w:t>
            </w:r>
          </w:p>
        </w:tc>
      </w:tr>
      <w:tr w:rsidR="008B2F7A" w:rsidRPr="00B43294" w14:paraId="38152714" w14:textId="77777777" w:rsidTr="00E35CBD">
        <w:trPr>
          <w:trHeight w:val="904"/>
        </w:trPr>
        <w:tc>
          <w:tcPr>
            <w:tcW w:w="1286" w:type="dxa"/>
          </w:tcPr>
          <w:p w14:paraId="0A2D8FEF"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Gencer, 2020</w:t>
            </w:r>
            <w:r>
              <w:rPr>
                <w:rFonts w:cs="Times New Roman"/>
                <w:color w:val="000000" w:themeColor="text1"/>
                <w:sz w:val="20"/>
                <w:szCs w:val="20"/>
              </w:rPr>
              <w:t xml:space="preserve"> </w:t>
            </w:r>
            <w:r>
              <w:rPr>
                <w:rFonts w:cs="Times New Roman"/>
                <w:color w:val="000000" w:themeColor="text1"/>
                <w:sz w:val="20"/>
                <w:szCs w:val="20"/>
              </w:rPr>
              <w:fldChar w:fldCharType="begin"/>
            </w:r>
            <w:r>
              <w:rPr>
                <w:rFonts w:cs="Times New Roman"/>
                <w:color w:val="000000" w:themeColor="text1"/>
                <w:sz w:val="20"/>
                <w:szCs w:val="20"/>
              </w:rPr>
              <w:instrText xml:space="preserve"> ADDIN ZOTERO_ITEM CSL_CITATION {"citationID":"p74lbGlC","properties":{"formattedCitation":"(61)","plainCitation":"(61)","noteIndex":0},"citationItems":[{"id":23,"uris":["http://zotero.org/users/8587829/items/9Q4EXC38","http://zotero.org/users/8587829/items/2ST589TN"],"itemData":{"id":23,"type":"article-journal","abstract":"BACKGROUND: Subclinical hypothyroidism has been associated with heart failure, but only small trials assessed whether treatment with levothyroxine has an impact on cardiac function.\nMETHODS: In a randomized, double-blind, placebo-controlled, trial nested within the TRUST trial, Swiss participants ages ≥65 years with subclinical hypothyroidism (thyroid-stimulating hormone [TSH] 4.60-19.99 mIU/L; free thyroxine level within reference range) were randomized to levothyroxine (starting dose of 50 µg daily) to achieve TSH normalization or placebo. The primary outcomes were the left ventricular ejection fraction for systolic function and the ratio between mitral peak velocity of early filling to early diastolic mitral annular velocity (E/e' ratio) for diastolic function. Secondary outcomes included e' lateral/septal, left atrial volume index, and systolic pulmonary artery pressure.\nRESULTS: A total of 185 participants (mean age 74.1 years, 47% women) underwent echocardiography at the end of the trial. After a median treatment duration of 18.4 months, the mean TSH decreased from 6.35 mIU/L to 3.55 mIU/L with levothyroxine (n = 96), and it remained elevated at 5.29 mIU/L with placebo (n = 89). The adjusted between-group difference was not significant for the mean left ventricular ejection fraction (62.7% vs 62.5%, difference = 0.4%, 95% confidence interval -1.8% to 2.5%, P = 0.72) and the E/e' ratio (10.6 vs 10.1, difference 0.4, 95% confidence interval -0.7 to 1.4, P = 0.47). No differences were found for the secondary diastolic function parameters or for interaction according to sex, baseline TSH, preexisting heart failure, and treatment duration (P value &gt;0.05).\nCONCLUSION: Systolic and diastolic heart function did not differ after treatment with levothyroxine compared with placebo in older adults with mild subclinical hypothyroidism.","container-title":"The American Journal of Medicine","DOI":"10.1016/j.amjmed.2020.01.018","ISSN":"1555-7162","issue":"7","journalAbbreviation":"Am J Med","language":"eng","note":"PMID: 32171774","page":"848-856.e5","source":"PubMed","title":"The Impact of Levothyroxine on Cardiac Function in Older Adults With Mild Subclinical Hypothyroidism: A Randomized Clinical Trial","title-short":"The Impact of Levothyroxine on Cardiac Function in Older Adults With Mild Subclinical Hypothyroidism","volume":"133","author":[{"family":"Gencer","given":"Baris"},{"family":"Moutzouri","given":"Elisavet"},{"family":"Blum","given":"Manuel R."},{"family":"Feller","given":"Martin"},{"family":"Collet","given":"Tinh-Hai"},{"family":"Delgiovane","given":"Cinzia"},{"family":"Costa","given":"Bruno R.","non-dropping-particle":"da"},{"family":"Buffle","given":"Eric"},{"family":"Monney","given":"Pierre"},{"family":"Gabus","given":"Vincent"},{"family":"Müller","given":"Hajo"},{"family":"Sykiotis","given":"Gerasimos P."},{"family":"Kearney","given":"Patricia"},{"family":"Gussekloo","given":"Jacobijn"},{"family":"Westendorp","given":"Rudi"},{"family":"Stott","given":"David J."},{"family":"Bauer","given":"Douglas C."},{"family":"Rodondi","given":"Nicolas"}],"issued":{"date-parts":[["2020",7]]}}}],"schema":"https://github.com/citation-style-language/schema/raw/master/csl-citation.json"} </w:instrText>
            </w:r>
            <w:r>
              <w:rPr>
                <w:rFonts w:cs="Times New Roman"/>
                <w:color w:val="000000" w:themeColor="text1"/>
                <w:sz w:val="20"/>
                <w:szCs w:val="20"/>
              </w:rPr>
              <w:fldChar w:fldCharType="separate"/>
            </w:r>
            <w:r>
              <w:rPr>
                <w:rFonts w:cs="Times New Roman"/>
                <w:noProof/>
                <w:color w:val="000000" w:themeColor="text1"/>
                <w:sz w:val="20"/>
                <w:szCs w:val="20"/>
              </w:rPr>
              <w:t>(61)</w:t>
            </w:r>
            <w:r>
              <w:rPr>
                <w:rFonts w:cs="Times New Roman"/>
                <w:color w:val="000000" w:themeColor="text1"/>
                <w:sz w:val="20"/>
                <w:szCs w:val="20"/>
              </w:rPr>
              <w:fldChar w:fldCharType="end"/>
            </w:r>
          </w:p>
        </w:tc>
        <w:tc>
          <w:tcPr>
            <w:tcW w:w="1296" w:type="dxa"/>
          </w:tcPr>
          <w:p w14:paraId="10F78ADC" w14:textId="77777777" w:rsidR="008B2F7A" w:rsidRPr="00B43294" w:rsidRDefault="008B2F7A" w:rsidP="00E35CBD">
            <w:pPr>
              <w:rPr>
                <w:rFonts w:cs="Times New Roman"/>
                <w:color w:val="000000" w:themeColor="text1"/>
                <w:sz w:val="20"/>
                <w:szCs w:val="20"/>
                <w:shd w:val="clear" w:color="auto" w:fill="FFFFFF"/>
              </w:rPr>
            </w:pPr>
            <w:r w:rsidRPr="00B43294">
              <w:rPr>
                <w:rFonts w:cs="Times New Roman"/>
                <w:color w:val="000000" w:themeColor="text1"/>
                <w:sz w:val="20"/>
                <w:szCs w:val="20"/>
                <w:shd w:val="clear" w:color="auto" w:fill="FFFFFF"/>
              </w:rPr>
              <w:t>No serious risk of bias</w:t>
            </w:r>
          </w:p>
        </w:tc>
        <w:tc>
          <w:tcPr>
            <w:tcW w:w="1552" w:type="dxa"/>
          </w:tcPr>
          <w:p w14:paraId="0396D4E5"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No serious imprecision</w:t>
            </w:r>
          </w:p>
        </w:tc>
        <w:tc>
          <w:tcPr>
            <w:tcW w:w="1552" w:type="dxa"/>
          </w:tcPr>
          <w:p w14:paraId="4C7206CB" w14:textId="77777777" w:rsidR="008B2F7A" w:rsidRPr="00B43294" w:rsidRDefault="008B2F7A" w:rsidP="00E35CBD">
            <w:pPr>
              <w:rPr>
                <w:rFonts w:cs="Times New Roman"/>
                <w:color w:val="000000" w:themeColor="text1"/>
                <w:sz w:val="20"/>
                <w:szCs w:val="20"/>
                <w:shd w:val="clear" w:color="auto" w:fill="FFFFFF"/>
              </w:rPr>
            </w:pPr>
            <w:r w:rsidRPr="00B43294">
              <w:rPr>
                <w:rFonts w:cs="Times New Roman"/>
                <w:color w:val="000000" w:themeColor="text1"/>
                <w:sz w:val="20"/>
                <w:szCs w:val="20"/>
                <w:shd w:val="clear" w:color="auto" w:fill="FFFFFF"/>
              </w:rPr>
              <w:t>No serious inconsistency</w:t>
            </w:r>
          </w:p>
        </w:tc>
        <w:tc>
          <w:tcPr>
            <w:tcW w:w="1569" w:type="dxa"/>
          </w:tcPr>
          <w:p w14:paraId="4D7B7D07"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No serious indirectness</w:t>
            </w:r>
          </w:p>
        </w:tc>
        <w:tc>
          <w:tcPr>
            <w:tcW w:w="1665" w:type="dxa"/>
          </w:tcPr>
          <w:p w14:paraId="157842DF"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None</w:t>
            </w:r>
          </w:p>
        </w:tc>
        <w:tc>
          <w:tcPr>
            <w:tcW w:w="1281" w:type="dxa"/>
          </w:tcPr>
          <w:p w14:paraId="41AA29DF"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High</w:t>
            </w:r>
          </w:p>
        </w:tc>
      </w:tr>
      <w:tr w:rsidR="008B2F7A" w:rsidRPr="00B43294" w14:paraId="7C06D001" w14:textId="77777777" w:rsidTr="00E35CBD">
        <w:trPr>
          <w:trHeight w:val="975"/>
        </w:trPr>
        <w:tc>
          <w:tcPr>
            <w:tcW w:w="1286" w:type="dxa"/>
          </w:tcPr>
          <w:p w14:paraId="1E8906A8"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Gonzalez Rodriguez, 2020</w:t>
            </w:r>
            <w:r>
              <w:rPr>
                <w:rFonts w:cs="Times New Roman"/>
                <w:color w:val="000000" w:themeColor="text1"/>
                <w:sz w:val="20"/>
                <w:szCs w:val="20"/>
              </w:rPr>
              <w:t xml:space="preserve"> </w:t>
            </w:r>
            <w:r>
              <w:rPr>
                <w:rFonts w:cs="Times New Roman"/>
                <w:color w:val="000000" w:themeColor="text1"/>
                <w:sz w:val="20"/>
                <w:szCs w:val="20"/>
              </w:rPr>
              <w:fldChar w:fldCharType="begin"/>
            </w:r>
            <w:r>
              <w:rPr>
                <w:rFonts w:cs="Times New Roman"/>
                <w:color w:val="000000" w:themeColor="text1"/>
                <w:sz w:val="20"/>
                <w:szCs w:val="20"/>
              </w:rPr>
              <w:instrText xml:space="preserve"> ADDIN ZOTERO_ITEM CSL_CITATION {"citationID":"nsY8BpO0","properties":{"formattedCitation":"(12)","plainCitation":"(12)","noteIndex":0},"citationItems":[{"id":1013,"uris":["http://zotero.org/users/8587829/items/FLM9DTMY","http://zotero.org/users/8587829/items/HVV6K6EZ"],"itemData":{"id":1013,"type":"article-journal","abstract":"CONTEXT: Both thyroid dysfunction and levothyroxine (LT4) therapy have been associated with bone loss, but studies on the effect of LT4 for subclinical hypothyroidism (SHypo) on bone yielded conflicting results.\nOBJECTIVE: To assess the effect of LT4 treatment on bone mineral density (BMD), Trabecular Bone Score (TBS), and bone turnover markers (BTMs) in older adults with SHypo.\nDESIGN AND INTERVENTION: Planned nested substudy of the double-blind placebo-controlled TRUST trial. Participants with SHypo were randomized to LT4 with dose titration versus placebo with computerized mock titration.\nSETTING AND PARTICIPANTS: 196 community-dwelling adults over 65 years enrolled at the Swiss TRUST sites had baseline and 1-year follow-up bone examinations; 4 participants withdrew due to adverse events not related to treatment.\nMAIN OUTCOME MEASURES: One-year percentage changes of BMD, TBS, and 2 serum BTMs (serum CTX-1 [sCTX] and procollagen type 1 N-terminal polypeptide [P1NP]). Student's t-test for unadjusted analyses and linear regression adjusted for clinical center and sex were performed.\nRESULTS: Mean age was 74.3 years ± 5.7, 45.4% were women, and 19.6% were osteoporotic. The unadjusted 1-year change in lumbar spine BMD was similar between LT4 (+0.8%) and placebo-treated groups (-0.6%; between-groups difference +1.4%: 95% confidence interval [CI] -0.1 to 2.9, P = .059). Likewise, there were no between-group differences in 1-year change in TBS (-1.3%: 95% CI -3.1 to 0.6, P = .19), total hip BMD (-0.2%: 95% CI -1.1 to 0.1, P = .61), or BTMs levels (sCTX +24.1%: 95% CI -7.9 to 56.2, P = .14), or after adjustment for clinical centers and sex.\nCONCLUSIONS: Over 1-year levothyroxine had no effect on bone health in older adults with SHypo.\nREGISTRATION: ClinicalTrial.gov NCT01660126 and NCT02491008.","container-title":"The Journal of Clinical Endocrinology and Metabolism","DOI":"10.1210/clinem/dgz058","ISSN":"1945-7197","issue":"1","journalAbbreviation":"J Clin Endocrinol Metab","language":"eng","note":"PMID: 31702015","page":"dgz058","source":"PubMed","title":"Skeletal Effects of Levothyroxine for Subclinical Hypothyroidism in Older Adults: A TRUST Randomized Trial Nested Study","title-short":"Skeletal Effects of Levothyroxine for Subclinical Hypothyroidism in Older Adults","volume":"105","author":[{"family":"Gonzalez Rodriguez","given":"Elena"},{"family":"Stuber","given":"Mirah"},{"family":"Del Giovane","given":"Cinzia"},{"family":"Feller","given":"Martin"},{"family":"Collet","given":"Tinh-Hai"},{"family":"Löwe","given":"Axel L."},{"family":"Blum","given":"Manuel R."},{"family":"Vliet","given":"Nicolien A.","non-dropping-particle":"van"},{"family":"Heemst","given":"Diana","non-dropping-particle":"van"},{"family":"Kearney","given":"Patricia M."},{"family":"Gussekloo","given":"Jacobijn"},{"family":"Mooijaart","given":"Simon"},{"family":"Westendorp","given":"Rudi G. J."},{"family":"Stott","given":"David J."},{"family":"Aeberli","given":"Daniel"},{"family":"Bauer","given":"Douglas C."},{"family":"Hans","given":"Didier"},{"family":"Rodondi","given":"Nicolas"}],"issued":{"date-parts":[["2020",1,1]]}}}],"schema":"https://github.com/citation-style-language/schema/raw/master/csl-citation.json"} </w:instrText>
            </w:r>
            <w:r>
              <w:rPr>
                <w:rFonts w:cs="Times New Roman"/>
                <w:color w:val="000000" w:themeColor="text1"/>
                <w:sz w:val="20"/>
                <w:szCs w:val="20"/>
              </w:rPr>
              <w:fldChar w:fldCharType="separate"/>
            </w:r>
            <w:r>
              <w:rPr>
                <w:rFonts w:cs="Times New Roman"/>
                <w:noProof/>
                <w:color w:val="000000" w:themeColor="text1"/>
                <w:sz w:val="20"/>
                <w:szCs w:val="20"/>
              </w:rPr>
              <w:t>(12)</w:t>
            </w:r>
            <w:r>
              <w:rPr>
                <w:rFonts w:cs="Times New Roman"/>
                <w:color w:val="000000" w:themeColor="text1"/>
                <w:sz w:val="20"/>
                <w:szCs w:val="20"/>
              </w:rPr>
              <w:fldChar w:fldCharType="end"/>
            </w:r>
          </w:p>
        </w:tc>
        <w:tc>
          <w:tcPr>
            <w:tcW w:w="1296" w:type="dxa"/>
          </w:tcPr>
          <w:p w14:paraId="09D10D16"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shd w:val="clear" w:color="auto" w:fill="FFFFFF"/>
              </w:rPr>
              <w:t>No serious risk of bias</w:t>
            </w:r>
          </w:p>
        </w:tc>
        <w:tc>
          <w:tcPr>
            <w:tcW w:w="1552" w:type="dxa"/>
          </w:tcPr>
          <w:p w14:paraId="33EFC55B" w14:textId="77777777" w:rsidR="008B2F7A" w:rsidRPr="00B43294" w:rsidRDefault="008B2F7A" w:rsidP="00E35CBD">
            <w:pPr>
              <w:rPr>
                <w:rFonts w:cs="Times New Roman"/>
                <w:color w:val="000000" w:themeColor="text1"/>
                <w:sz w:val="20"/>
                <w:szCs w:val="20"/>
                <w:shd w:val="clear" w:color="auto" w:fill="FFFFFF"/>
                <w:vertAlign w:val="superscript"/>
              </w:rPr>
            </w:pPr>
            <w:r w:rsidRPr="00B43294">
              <w:rPr>
                <w:rFonts w:cs="Times New Roman"/>
                <w:color w:val="000000" w:themeColor="text1"/>
                <w:sz w:val="20"/>
                <w:szCs w:val="20"/>
              </w:rPr>
              <w:t>No serious imprecision</w:t>
            </w:r>
          </w:p>
        </w:tc>
        <w:tc>
          <w:tcPr>
            <w:tcW w:w="1552" w:type="dxa"/>
          </w:tcPr>
          <w:p w14:paraId="10730F06"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shd w:val="clear" w:color="auto" w:fill="FFFFFF"/>
              </w:rPr>
              <w:t>No serious inconsistency</w:t>
            </w:r>
          </w:p>
        </w:tc>
        <w:tc>
          <w:tcPr>
            <w:tcW w:w="1569" w:type="dxa"/>
          </w:tcPr>
          <w:p w14:paraId="2914204A"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No serious indirectness</w:t>
            </w:r>
          </w:p>
        </w:tc>
        <w:tc>
          <w:tcPr>
            <w:tcW w:w="1665" w:type="dxa"/>
          </w:tcPr>
          <w:p w14:paraId="042778D3"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None</w:t>
            </w:r>
          </w:p>
        </w:tc>
        <w:tc>
          <w:tcPr>
            <w:tcW w:w="1281" w:type="dxa"/>
          </w:tcPr>
          <w:p w14:paraId="7952E421"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High</w:t>
            </w:r>
          </w:p>
        </w:tc>
      </w:tr>
      <w:tr w:rsidR="008B2F7A" w:rsidRPr="00B43294" w14:paraId="6E2E18E9" w14:textId="77777777" w:rsidTr="00E35CBD">
        <w:trPr>
          <w:trHeight w:val="973"/>
        </w:trPr>
        <w:tc>
          <w:tcPr>
            <w:tcW w:w="1286" w:type="dxa"/>
          </w:tcPr>
          <w:p w14:paraId="2C66A688"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Mooijaart, 2019</w:t>
            </w:r>
            <w:r>
              <w:rPr>
                <w:rFonts w:cs="Times New Roman"/>
                <w:color w:val="000000" w:themeColor="text1"/>
                <w:sz w:val="20"/>
                <w:szCs w:val="20"/>
              </w:rPr>
              <w:t xml:space="preserve"> </w:t>
            </w:r>
            <w:r>
              <w:rPr>
                <w:rFonts w:cs="Times New Roman"/>
                <w:color w:val="000000" w:themeColor="text1"/>
                <w:sz w:val="20"/>
                <w:szCs w:val="20"/>
              </w:rPr>
              <w:fldChar w:fldCharType="begin"/>
            </w:r>
            <w:r>
              <w:rPr>
                <w:rFonts w:cs="Times New Roman"/>
                <w:color w:val="000000" w:themeColor="text1"/>
                <w:sz w:val="20"/>
                <w:szCs w:val="20"/>
              </w:rPr>
              <w:instrText xml:space="preserve"> ADDIN ZOTERO_ITEM CSL_CITATION {"citationID":"6kEUhfBX","properties":{"formattedCitation":"(63)","plainCitation":"(63)","noteIndex":0},"citationItems":[{"id":1491,"uris":["http://zotero.org/users/8587829/items/2CNXI2VX","http://zotero.org/users/8587829/items/4BWPCN6P"],"itemData":{"id":1491,"type":"article-journal","abstract":"Importance: It is unclear whether levothyroxine treatment provides clinically important benefits in adults aged 80 years and older with subclinical hypothyroidism.\nObjective: To determine the association of levothyroxine treatment for subclinical hypothyroidism with thyroid-related quality of life in adults aged 80 years and older.\nDesign, Setting, and Participants: Prospectively planned combined analysis of data involving community-dwelling adults aged 80 years and older with subclinical hypothyroidism. Data from a randomized clinical trial were combined with a subgroup of participants aged 80 years and older from a second clinical trial. The trials were conducted between April 2013 and May 2018. Final follow-up was May 4, 2018.\nExposures: Participants were randomly assigned to receive levothyroxine (n = 112; 52 participants from the first trial and 60 from the second trial) or placebo (n = 139; 53 participants from the first trial and 86 from the second trial).\nMain Outcomes and Measures: Co-primary outcomes were Thyroid-Related Quality of Life Patient-Reported Outcome (ThyPRO) questionnaire scores for the domains of hypothyroid symptoms and tiredness at 1 year (range, 0-100; higher scores indicate worse quality of life; minimal clinically important difference, 9).\nResults: Of 251 participants (mean age, 85 years; 118 [47%] women), 105 were included from the first clinical trial and 146 were included from the second clinical trial. A total of 212 participants (84%) completed the study. The hypothyroid symptoms score decreased from 21.7 at baseline to 19.3 at 12 months in the levothyroxine group vs from 19.8 at baseline to 17.4 at 12 months in the placebo group (adjusted between-group difference, 1.3 [95% CI, -2.7 to 5.2]; P = .53). The tiredness score increased from 25.5 at baseline to 28.2 at 12 months in the levothyroxine group vs from 25.1 at baseline to 28.7 at 12 months in the placebo group (adjusted between-group difference, -0.1 [95% CI, -4.5 to 4.3]; P = .96). At least 1 adverse event occurred in 33 participants (29.5%) in the levothyroxine group (the most common adverse event was cerebrovascular accident, which occurred in 3 participants [2.2%]) and 40 participants (28.8%) in the placebo group (the most common adverse event was pneumonia, which occurred in 4 [3.6%] participants).\nConclusions and Relevance: In this prospectively planned analysis of data from 2 clinical trials involving adults aged 80 years and older with subclinical hypothyroidism, treatment with levothyroxine, compared with placebo, was not significantly associated with improvement in hypothyroid symptoms or fatigue. These findings do not support routine use of levothyroxine for treatment of subclinical hypothyroidism in adults aged 80 years and older.\nTrial Registration: ClinicalTrials.gov Identifier: NCT01660126; Netherlands Trial Register: NTR3851.","container-title":"JAMA","DOI":"10.1001/jama.2019.17274","ISSN":"1538-3598","issue":"20","journalAbbreviation":"JAMA","language":"eng","note":"PMID: 31664429\nPMCID: PMC6822162","page":"1977-1986","source":"PubMed","title":"Association Between Levothyroxine Treatment and Thyroid-Related Symptoms Among Adults Aged 80 Years and Older With Subclinical Hypothyroidism","volume":"322","author":[{"family":"Mooijaart","given":"Simon P."},{"family":"Du Puy","given":"Robert S."},{"family":"Stott","given":"David J."},{"family":"Kearney","given":"Patricia M."},{"family":"Rodondi","given":"Nicolas"},{"family":"Westendorp","given":"Rudi G. J."},{"family":"Elzen","given":"Wendy P. J.","non-dropping-particle":"den"},{"family":"Postmus","given":"Iris"},{"family":"Poortvliet","given":"Rosalinde K. E."},{"family":"Heemst","given":"Diana","non-dropping-particle":"van"},{"family":"Munster","given":"Barbara C.","non-dropping-particle":"van"},{"family":"Peeters","given":"Robin P."},{"family":"Ford","given":"Ian"},{"family":"Kean","given":"Sharon"},{"family":"Messow","given":"Claudia-Martina"},{"family":"Blum","given":"Manuel R."},{"family":"Collet","given":"Tinh-Hai"},{"family":"Watt","given":"Torquil"},{"family":"Dekkers","given":"Olaf M."},{"family":"Jukema","given":"J. Wouter"},{"family":"Smit","given":"Johannes W. A."},{"family":"Langhorne","given":"Peter"},{"family":"Gussekloo","given":"Jacobijn"}],"issued":{"date-parts":[["2019",11,26]]}}}],"schema":"https://github.com/citation-style-language/schema/raw/master/csl-citation.json"} </w:instrText>
            </w:r>
            <w:r>
              <w:rPr>
                <w:rFonts w:cs="Times New Roman"/>
                <w:color w:val="000000" w:themeColor="text1"/>
                <w:sz w:val="20"/>
                <w:szCs w:val="20"/>
              </w:rPr>
              <w:fldChar w:fldCharType="separate"/>
            </w:r>
            <w:r>
              <w:rPr>
                <w:rFonts w:cs="Times New Roman"/>
                <w:noProof/>
                <w:color w:val="000000" w:themeColor="text1"/>
                <w:sz w:val="20"/>
                <w:szCs w:val="20"/>
              </w:rPr>
              <w:t>(63)</w:t>
            </w:r>
            <w:r>
              <w:rPr>
                <w:rFonts w:cs="Times New Roman"/>
                <w:color w:val="000000" w:themeColor="text1"/>
                <w:sz w:val="20"/>
                <w:szCs w:val="20"/>
              </w:rPr>
              <w:fldChar w:fldCharType="end"/>
            </w:r>
          </w:p>
        </w:tc>
        <w:tc>
          <w:tcPr>
            <w:tcW w:w="1296" w:type="dxa"/>
          </w:tcPr>
          <w:p w14:paraId="790F8618"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shd w:val="clear" w:color="auto" w:fill="FFFFFF"/>
              </w:rPr>
              <w:t>Moderate risk of bias</w:t>
            </w:r>
          </w:p>
        </w:tc>
        <w:tc>
          <w:tcPr>
            <w:tcW w:w="1552" w:type="dxa"/>
          </w:tcPr>
          <w:p w14:paraId="63984CFD" w14:textId="77777777" w:rsidR="008B2F7A" w:rsidRPr="00B43294" w:rsidRDefault="008B2F7A" w:rsidP="00E35CBD">
            <w:pPr>
              <w:rPr>
                <w:rFonts w:cs="Times New Roman"/>
                <w:color w:val="000000" w:themeColor="text1"/>
                <w:sz w:val="20"/>
                <w:szCs w:val="20"/>
                <w:shd w:val="clear" w:color="auto" w:fill="FFFFFF"/>
                <w:vertAlign w:val="superscript"/>
              </w:rPr>
            </w:pPr>
            <w:r w:rsidRPr="00B43294">
              <w:rPr>
                <w:rFonts w:cs="Times New Roman"/>
                <w:color w:val="000000" w:themeColor="text1"/>
                <w:sz w:val="20"/>
                <w:szCs w:val="20"/>
              </w:rPr>
              <w:t>Serious</w:t>
            </w:r>
          </w:p>
        </w:tc>
        <w:tc>
          <w:tcPr>
            <w:tcW w:w="1552" w:type="dxa"/>
          </w:tcPr>
          <w:p w14:paraId="64CE72EE"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shd w:val="clear" w:color="auto" w:fill="FFFFFF"/>
              </w:rPr>
              <w:t>No serious inconsistency</w:t>
            </w:r>
          </w:p>
        </w:tc>
        <w:tc>
          <w:tcPr>
            <w:tcW w:w="1569" w:type="dxa"/>
          </w:tcPr>
          <w:p w14:paraId="5F1BF950"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No serious indirectness</w:t>
            </w:r>
          </w:p>
        </w:tc>
        <w:tc>
          <w:tcPr>
            <w:tcW w:w="1665" w:type="dxa"/>
          </w:tcPr>
          <w:p w14:paraId="4F385EA2"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None</w:t>
            </w:r>
          </w:p>
        </w:tc>
        <w:tc>
          <w:tcPr>
            <w:tcW w:w="1281" w:type="dxa"/>
          </w:tcPr>
          <w:p w14:paraId="40934E42" w14:textId="77777777" w:rsidR="008B2F7A" w:rsidRPr="00B43294" w:rsidRDefault="008B2F7A" w:rsidP="00E35CBD">
            <w:pPr>
              <w:keepNext/>
              <w:rPr>
                <w:rFonts w:cs="Times New Roman"/>
                <w:color w:val="000000" w:themeColor="text1"/>
                <w:sz w:val="20"/>
                <w:szCs w:val="20"/>
              </w:rPr>
            </w:pPr>
            <w:r w:rsidRPr="00B43294">
              <w:rPr>
                <w:rFonts w:cs="Times New Roman"/>
                <w:color w:val="000000" w:themeColor="text1"/>
                <w:sz w:val="20"/>
                <w:szCs w:val="20"/>
              </w:rPr>
              <w:t>Moderate</w:t>
            </w:r>
          </w:p>
        </w:tc>
      </w:tr>
      <w:tr w:rsidR="008B2F7A" w:rsidRPr="00B43294" w14:paraId="17970A28" w14:textId="77777777" w:rsidTr="00E35CBD">
        <w:trPr>
          <w:trHeight w:val="1270"/>
        </w:trPr>
        <w:tc>
          <w:tcPr>
            <w:tcW w:w="1286" w:type="dxa"/>
          </w:tcPr>
          <w:p w14:paraId="797E81CD" w14:textId="77777777" w:rsidR="008B2F7A" w:rsidRDefault="008B2F7A" w:rsidP="00E35CBD">
            <w:pPr>
              <w:rPr>
                <w:rFonts w:cs="Times New Roman"/>
                <w:color w:val="000000" w:themeColor="text1"/>
                <w:sz w:val="20"/>
                <w:szCs w:val="20"/>
              </w:rPr>
            </w:pPr>
            <w:r w:rsidRPr="00B43294">
              <w:rPr>
                <w:rFonts w:cs="Times New Roman"/>
                <w:color w:val="000000" w:themeColor="text1"/>
                <w:sz w:val="20"/>
                <w:szCs w:val="20"/>
              </w:rPr>
              <w:t xml:space="preserve">Razvi, </w:t>
            </w:r>
          </w:p>
          <w:p w14:paraId="0546898A"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2012</w:t>
            </w:r>
            <w:r>
              <w:rPr>
                <w:rFonts w:cs="Times New Roman"/>
                <w:color w:val="000000" w:themeColor="text1"/>
                <w:sz w:val="20"/>
                <w:szCs w:val="20"/>
              </w:rPr>
              <w:t xml:space="preserve"> </w:t>
            </w:r>
            <w:r>
              <w:rPr>
                <w:rFonts w:cs="Times New Roman"/>
                <w:color w:val="000000" w:themeColor="text1"/>
                <w:sz w:val="20"/>
                <w:szCs w:val="20"/>
              </w:rPr>
              <w:fldChar w:fldCharType="begin"/>
            </w:r>
            <w:r>
              <w:rPr>
                <w:rFonts w:cs="Times New Roman"/>
                <w:color w:val="000000" w:themeColor="text1"/>
                <w:sz w:val="20"/>
                <w:szCs w:val="20"/>
              </w:rPr>
              <w:instrText xml:space="preserve"> ADDIN ZOTERO_ITEM CSL_CITATION {"citationID":"2BalgbfD","properties":{"formattedCitation":"(60)","plainCitation":"(60)","noteIndex":0},"citationItems":[{"id":1217,"uris":["http://zotero.org/users/8587829/items/XCH3CNMX"],"itemData":{"id":1217,"type":"article-journal","abstract":"BACKGROUND Subclinical hypothyroidism (SCH) has been associated with ischemic heart disease (IHD); however, it is unknown whether treatment of SCH with levothyroxine sodium will reduce the risk of IHD. The aim of this study was to investigate the association between levothyroxine treatment of SCH with IHD morbidity and mortality. METHODS We used the United Kingdom General Practitioner Research Database to identify individuals with new SCH (serum thyrotropin levels of 5.01-10.0 mIU/L and normal free thyroxine levels) recorded during 2001 with outcomes analyzed until March 2009. All analyses were performed separately for younger (40-70 years) and older (&amp;gt;70 years) individuals. Hazard ratios (HRs) for IHD events (fatal and nonfatal) were calculated after adjustment for conventional IHD risk factors, baseline serum thyrotropin levels, and initiation of levothyroxine treatment as a time-dependent covariate. RESULTS Subclinical hypothyroidism was identified in 3093 younger and 1642 older individuals. For a median follow-up period of 7.6 years, 52.8% and 49.9% of younger and older patients with SCH were treated with levothyroxine, respectively. There were 68 incident IHD events in 1634 younger patients treated with levothyroxine (4.2%) vs 97 IHD events in 1459 untreated individuals (6.6%) (multivariate-adjusted HR, 0.61; 95% CI, 0.39-0.95). In contrast, in the older group there were 104 events in 819 treated patients (12.7%) vs 88 events in 823 untreated individuals (10.7%) (HR, 0.99; 95% CI, 0.59-1.33). CONCLUSIONS Treatment of SCH with levothyroxine was associated with fewer IHD events in younger individuals, but this was not evident in older people. An appropriately powered randomized controlled trial of levothyroxine in SCH examining vascular outcomes is now warranted.","container-title":"Archives of Internal Medicine","DOI":"10.1001/archinternmed.2012.1159","ISSN":"1538-3679","issue":"10","journalAbbreviation":"Arch Intern Med","language":"eng","note":"PMID: 22529180","page":"811-817","source":"PubMed","title":"Levothyroxine treatment of subclinical hypothyroidism, fatal and nonfatal cardiovascular events, and mortality","volume":"172","author":[{"family":"Razvi","given":"Salman"},{"family":"Weaver","given":"Jolanta U."},{"family":"Butler","given":"Timothy J."},{"family":"Pearce","given":"Simon H. S."}],"issued":{"date-parts":[["2012",5,28]]}}}],"schema":"https://github.com/citation-style-language/schema/raw/master/csl-citation.json"} </w:instrText>
            </w:r>
            <w:r>
              <w:rPr>
                <w:rFonts w:cs="Times New Roman"/>
                <w:color w:val="000000" w:themeColor="text1"/>
                <w:sz w:val="20"/>
                <w:szCs w:val="20"/>
              </w:rPr>
              <w:fldChar w:fldCharType="separate"/>
            </w:r>
            <w:r>
              <w:rPr>
                <w:rFonts w:cs="Times New Roman"/>
                <w:noProof/>
                <w:color w:val="000000" w:themeColor="text1"/>
                <w:sz w:val="20"/>
                <w:szCs w:val="20"/>
              </w:rPr>
              <w:t>(60)</w:t>
            </w:r>
            <w:r>
              <w:rPr>
                <w:rFonts w:cs="Times New Roman"/>
                <w:color w:val="000000" w:themeColor="text1"/>
                <w:sz w:val="20"/>
                <w:szCs w:val="20"/>
              </w:rPr>
              <w:fldChar w:fldCharType="end"/>
            </w:r>
          </w:p>
        </w:tc>
        <w:tc>
          <w:tcPr>
            <w:tcW w:w="1296" w:type="dxa"/>
          </w:tcPr>
          <w:p w14:paraId="7E17348B"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shd w:val="clear" w:color="auto" w:fill="FFFFFF"/>
              </w:rPr>
              <w:t>No serious risk of bias</w:t>
            </w:r>
          </w:p>
        </w:tc>
        <w:tc>
          <w:tcPr>
            <w:tcW w:w="1552" w:type="dxa"/>
          </w:tcPr>
          <w:p w14:paraId="5B47A84A" w14:textId="77777777" w:rsidR="008B2F7A" w:rsidRPr="00B43294" w:rsidRDefault="008B2F7A" w:rsidP="00E35CBD">
            <w:pPr>
              <w:rPr>
                <w:rFonts w:cs="Times New Roman"/>
                <w:color w:val="000000" w:themeColor="text1"/>
                <w:sz w:val="20"/>
                <w:szCs w:val="20"/>
                <w:shd w:val="clear" w:color="auto" w:fill="FFFFFF"/>
              </w:rPr>
            </w:pPr>
            <w:r w:rsidRPr="00B43294">
              <w:rPr>
                <w:rFonts w:cs="Times New Roman"/>
                <w:color w:val="000000" w:themeColor="text1"/>
                <w:sz w:val="20"/>
                <w:szCs w:val="20"/>
              </w:rPr>
              <w:t>Serious</w:t>
            </w:r>
          </w:p>
        </w:tc>
        <w:tc>
          <w:tcPr>
            <w:tcW w:w="1552" w:type="dxa"/>
          </w:tcPr>
          <w:p w14:paraId="670FF905" w14:textId="77777777" w:rsidR="008B2F7A" w:rsidRPr="00B43294" w:rsidRDefault="008B2F7A" w:rsidP="00E35CBD">
            <w:pPr>
              <w:rPr>
                <w:rFonts w:cs="Times New Roman"/>
                <w:color w:val="000000" w:themeColor="text1"/>
                <w:sz w:val="20"/>
                <w:szCs w:val="20"/>
                <w:shd w:val="clear" w:color="auto" w:fill="FFFFFF"/>
              </w:rPr>
            </w:pPr>
            <w:r w:rsidRPr="00B43294">
              <w:rPr>
                <w:rFonts w:cs="Times New Roman"/>
                <w:color w:val="000000" w:themeColor="text1"/>
                <w:sz w:val="20"/>
                <w:szCs w:val="20"/>
                <w:shd w:val="clear" w:color="auto" w:fill="FFFFFF"/>
              </w:rPr>
              <w:t>No serious inconsistency</w:t>
            </w:r>
          </w:p>
        </w:tc>
        <w:tc>
          <w:tcPr>
            <w:tcW w:w="1569" w:type="dxa"/>
          </w:tcPr>
          <w:p w14:paraId="6AD1225C"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No serious indirectness</w:t>
            </w:r>
          </w:p>
        </w:tc>
        <w:tc>
          <w:tcPr>
            <w:tcW w:w="1665" w:type="dxa"/>
          </w:tcPr>
          <w:p w14:paraId="742012B0" w14:textId="77777777" w:rsidR="008B2F7A" w:rsidRPr="00B43294" w:rsidRDefault="008B2F7A" w:rsidP="00E35CBD">
            <w:pPr>
              <w:rPr>
                <w:rFonts w:cs="Times New Roman"/>
                <w:color w:val="000000" w:themeColor="text1"/>
                <w:sz w:val="20"/>
                <w:szCs w:val="20"/>
                <w:shd w:val="clear" w:color="auto" w:fill="FFFFFF"/>
              </w:rPr>
            </w:pPr>
            <w:r w:rsidRPr="00B43294">
              <w:rPr>
                <w:rFonts w:cs="Times New Roman"/>
                <w:color w:val="000000" w:themeColor="text1"/>
                <w:sz w:val="20"/>
                <w:szCs w:val="20"/>
              </w:rPr>
              <w:t>None</w:t>
            </w:r>
          </w:p>
        </w:tc>
        <w:tc>
          <w:tcPr>
            <w:tcW w:w="1281" w:type="dxa"/>
          </w:tcPr>
          <w:p w14:paraId="0D79E01A" w14:textId="77777777" w:rsidR="008B2F7A" w:rsidRPr="00B43294" w:rsidRDefault="008B2F7A" w:rsidP="00E35CBD">
            <w:pPr>
              <w:keepNext/>
              <w:rPr>
                <w:rFonts w:cs="Times New Roman"/>
                <w:color w:val="000000" w:themeColor="text1"/>
                <w:sz w:val="20"/>
                <w:szCs w:val="20"/>
              </w:rPr>
            </w:pPr>
            <w:r w:rsidRPr="00B43294">
              <w:rPr>
                <w:rFonts w:cs="Times New Roman"/>
                <w:color w:val="000000" w:themeColor="text1"/>
                <w:sz w:val="20"/>
                <w:szCs w:val="20"/>
              </w:rPr>
              <w:t>High</w:t>
            </w:r>
          </w:p>
        </w:tc>
      </w:tr>
      <w:tr w:rsidR="008B2F7A" w:rsidRPr="00B43294" w14:paraId="03E08CA1" w14:textId="77777777" w:rsidTr="00E35CBD">
        <w:trPr>
          <w:trHeight w:val="866"/>
        </w:trPr>
        <w:tc>
          <w:tcPr>
            <w:tcW w:w="1286" w:type="dxa"/>
          </w:tcPr>
          <w:p w14:paraId="186D69AA" w14:textId="77777777" w:rsidR="008B2F7A" w:rsidRDefault="008B2F7A" w:rsidP="00E35CBD">
            <w:pPr>
              <w:rPr>
                <w:rFonts w:cs="Times New Roman"/>
                <w:color w:val="000000" w:themeColor="text1"/>
                <w:sz w:val="20"/>
                <w:szCs w:val="20"/>
              </w:rPr>
            </w:pPr>
            <w:r w:rsidRPr="00B43294">
              <w:rPr>
                <w:rFonts w:cs="Times New Roman"/>
                <w:color w:val="000000" w:themeColor="text1"/>
                <w:sz w:val="20"/>
                <w:szCs w:val="20"/>
              </w:rPr>
              <w:t xml:space="preserve">Stott, </w:t>
            </w:r>
          </w:p>
          <w:p w14:paraId="387B5D06"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2017</w:t>
            </w:r>
            <w:r>
              <w:rPr>
                <w:rFonts w:cs="Times New Roman"/>
                <w:color w:val="000000" w:themeColor="text1"/>
                <w:sz w:val="20"/>
                <w:szCs w:val="20"/>
              </w:rPr>
              <w:t xml:space="preserve"> </w:t>
            </w:r>
            <w:r>
              <w:rPr>
                <w:rFonts w:cs="Times New Roman"/>
                <w:color w:val="000000" w:themeColor="text1"/>
                <w:sz w:val="20"/>
                <w:szCs w:val="20"/>
              </w:rPr>
              <w:fldChar w:fldCharType="begin"/>
            </w:r>
            <w:r>
              <w:rPr>
                <w:rFonts w:cs="Times New Roman"/>
                <w:color w:val="000000" w:themeColor="text1"/>
                <w:sz w:val="20"/>
                <w:szCs w:val="20"/>
              </w:rPr>
              <w:instrText xml:space="preserve"> ADDIN ZOTERO_ITEM CSL_CITATION {"citationID":"oFmI7MUO","properties":{"formattedCitation":"(62)","plainCitation":"(62)","noteIndex":0},"citationItems":[{"id":1283,"uris":["http://zotero.org/users/8587829/items/ZHBVEMYN","http://zotero.org/users/8587829/items/27JXP7KP"],"itemData":{"id":1283,"type":"article-journal","archive_location":"WOS:000404259200007","container-title":"New England Journal of Medicine","DOI":"10.1056/NEJMoa1603825","ISSN":"0028-4793","issue":"26","page":"2534-2544","title":"Thyroid Hormone Therapy for Older Adults with Subclinical Hypothyroidism","volume":"376","author":[{"family":"Stott","given":"DJ"},{"family":"Rodondi","given":"N"},{"family":"Kearney","given":"PM"},{"family":"Ford","given":"I"},{"family":"Westendorp","given":"RGJ"},{"family":"Mooijaart","given":"SP"},{"family":"Sattar","given":"N"},{"family":"Aubert","given":"CE"},{"family":"Aujesky","given":"D"},{"family":"Bauer","given":"DC"},{"family":"Baumgartner","given":"C"},{"family":"Blum","given":"MR"},{"family":"Browne","given":"JP"},{"family":"Byrne","given":"S"},{"family":"Collet","given":"TH"},{"family":"Dekkers","given":"OM"},{"family":"Elzen","given":"WPJ","non-dropping-particle":"den"},{"family":"Du Puy","given":"RS"},{"family":"Ellis","given":"G"},{"family":"Feller","given":"M"},{"family":"Floriani","given":"C"},{"family":"Hendry","given":"K"},{"family":"Hurley","given":"C"},{"family":"Jukema","given":"JW"},{"family":"Kean","given":"S"},{"family":"Kelly","given":"M"},{"family":"Krebs","given":"D"},{"family":"Langhorne","given":"P"},{"family":"McCarthy","given":"G"},{"family":"McCarthy","given":"V"},{"family":"McConnachie","given":"A"},{"family":"McDade","given":"M"},{"family":"Messow","given":"M"},{"family":"O'Flynn","given":"A"},{"family":"O'Riordan","given":"D"},{"family":"Poortvliet","given":"RKE"},{"family":"Quinn","given":"TJ"},{"family":"Russell","given":"A"},{"family":"Sinnott","given":"C"},{"family":"Smit","given":"JWA"},{"family":"Van Dorland","given":"HA"},{"family":"Walsh","given":"KA"},{"family":"Walsh","given":"EK"},{"family":"Watt","given":"T"},{"family":"Wilson","given":"R"},{"family":"Gussekloo","given":"J"},{"literal":"TRUST Study Grp"}],"issued":{"date-parts":[["2017",6,29]]}}}],"schema":"https://github.com/citation-style-language/schema/raw/master/csl-citation.json"} </w:instrText>
            </w:r>
            <w:r>
              <w:rPr>
                <w:rFonts w:cs="Times New Roman"/>
                <w:color w:val="000000" w:themeColor="text1"/>
                <w:sz w:val="20"/>
                <w:szCs w:val="20"/>
              </w:rPr>
              <w:fldChar w:fldCharType="separate"/>
            </w:r>
            <w:r>
              <w:rPr>
                <w:rFonts w:cs="Times New Roman"/>
                <w:noProof/>
                <w:color w:val="000000" w:themeColor="text1"/>
                <w:sz w:val="20"/>
                <w:szCs w:val="20"/>
              </w:rPr>
              <w:t>(62)</w:t>
            </w:r>
            <w:r>
              <w:rPr>
                <w:rFonts w:cs="Times New Roman"/>
                <w:color w:val="000000" w:themeColor="text1"/>
                <w:sz w:val="20"/>
                <w:szCs w:val="20"/>
              </w:rPr>
              <w:fldChar w:fldCharType="end"/>
            </w:r>
          </w:p>
        </w:tc>
        <w:tc>
          <w:tcPr>
            <w:tcW w:w="1296" w:type="dxa"/>
          </w:tcPr>
          <w:p w14:paraId="6FAC86D8"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shd w:val="clear" w:color="auto" w:fill="FFFFFF"/>
              </w:rPr>
              <w:t>No serious risk of bias</w:t>
            </w:r>
          </w:p>
        </w:tc>
        <w:tc>
          <w:tcPr>
            <w:tcW w:w="1552" w:type="dxa"/>
          </w:tcPr>
          <w:p w14:paraId="48BDFA3D" w14:textId="77777777" w:rsidR="008B2F7A" w:rsidRPr="00B43294" w:rsidRDefault="008B2F7A" w:rsidP="00E35CBD">
            <w:pPr>
              <w:rPr>
                <w:rFonts w:cs="Times New Roman"/>
                <w:color w:val="000000" w:themeColor="text1"/>
                <w:sz w:val="20"/>
                <w:szCs w:val="20"/>
                <w:shd w:val="clear" w:color="auto" w:fill="FFFFFF"/>
              </w:rPr>
            </w:pPr>
            <w:r w:rsidRPr="00B43294">
              <w:rPr>
                <w:rFonts w:cs="Times New Roman"/>
                <w:color w:val="000000" w:themeColor="text1"/>
                <w:sz w:val="20"/>
                <w:szCs w:val="20"/>
              </w:rPr>
              <w:t>Serious</w:t>
            </w:r>
          </w:p>
        </w:tc>
        <w:tc>
          <w:tcPr>
            <w:tcW w:w="1552" w:type="dxa"/>
          </w:tcPr>
          <w:p w14:paraId="3B35D40C" w14:textId="77777777" w:rsidR="008B2F7A" w:rsidRPr="00B43294" w:rsidRDefault="008B2F7A" w:rsidP="00E35CBD">
            <w:pPr>
              <w:rPr>
                <w:rFonts w:cs="Times New Roman"/>
                <w:color w:val="000000" w:themeColor="text1"/>
                <w:sz w:val="20"/>
                <w:szCs w:val="20"/>
                <w:shd w:val="clear" w:color="auto" w:fill="FFFFFF"/>
              </w:rPr>
            </w:pPr>
            <w:r w:rsidRPr="00B43294">
              <w:rPr>
                <w:rFonts w:cs="Times New Roman"/>
                <w:color w:val="000000" w:themeColor="text1"/>
                <w:sz w:val="20"/>
                <w:szCs w:val="20"/>
                <w:shd w:val="clear" w:color="auto" w:fill="FFFFFF"/>
              </w:rPr>
              <w:t>No serious inconsistency</w:t>
            </w:r>
          </w:p>
        </w:tc>
        <w:tc>
          <w:tcPr>
            <w:tcW w:w="1569" w:type="dxa"/>
          </w:tcPr>
          <w:p w14:paraId="1B149AB1"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No serious indirectness</w:t>
            </w:r>
          </w:p>
        </w:tc>
        <w:tc>
          <w:tcPr>
            <w:tcW w:w="1665" w:type="dxa"/>
          </w:tcPr>
          <w:p w14:paraId="007F32F9" w14:textId="77777777" w:rsidR="008B2F7A" w:rsidRPr="00B43294" w:rsidRDefault="008B2F7A" w:rsidP="00E35CBD">
            <w:pPr>
              <w:rPr>
                <w:rFonts w:cs="Times New Roman"/>
                <w:color w:val="000000" w:themeColor="text1"/>
                <w:sz w:val="20"/>
                <w:szCs w:val="20"/>
                <w:shd w:val="clear" w:color="auto" w:fill="FFFFFF"/>
              </w:rPr>
            </w:pPr>
            <w:r w:rsidRPr="00B43294">
              <w:rPr>
                <w:rFonts w:cs="Times New Roman"/>
                <w:color w:val="000000" w:themeColor="text1"/>
                <w:sz w:val="20"/>
                <w:szCs w:val="20"/>
              </w:rPr>
              <w:t>None</w:t>
            </w:r>
          </w:p>
        </w:tc>
        <w:tc>
          <w:tcPr>
            <w:tcW w:w="1281" w:type="dxa"/>
          </w:tcPr>
          <w:p w14:paraId="2AD3368D" w14:textId="77777777" w:rsidR="008B2F7A" w:rsidRPr="00B43294" w:rsidRDefault="008B2F7A" w:rsidP="00E35CBD">
            <w:pPr>
              <w:keepNext/>
              <w:rPr>
                <w:rFonts w:cs="Times New Roman"/>
                <w:color w:val="000000" w:themeColor="text1"/>
                <w:sz w:val="20"/>
                <w:szCs w:val="20"/>
              </w:rPr>
            </w:pPr>
            <w:r w:rsidRPr="00B43294">
              <w:rPr>
                <w:rFonts w:cs="Times New Roman"/>
                <w:color w:val="000000" w:themeColor="text1"/>
                <w:sz w:val="20"/>
                <w:szCs w:val="20"/>
              </w:rPr>
              <w:t>High</w:t>
            </w:r>
          </w:p>
        </w:tc>
      </w:tr>
      <w:tr w:rsidR="008B2F7A" w:rsidRPr="00B43294" w14:paraId="7612249C" w14:textId="77777777" w:rsidTr="00E35CBD">
        <w:trPr>
          <w:trHeight w:val="1077"/>
        </w:trPr>
        <w:tc>
          <w:tcPr>
            <w:tcW w:w="1286" w:type="dxa"/>
          </w:tcPr>
          <w:p w14:paraId="587FAD74"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Zijlstra, 2021</w:t>
            </w:r>
            <w:r>
              <w:rPr>
                <w:rFonts w:cs="Times New Roman"/>
                <w:color w:val="000000" w:themeColor="text1"/>
                <w:sz w:val="20"/>
                <w:szCs w:val="20"/>
              </w:rPr>
              <w:t xml:space="preserve"> </w:t>
            </w:r>
            <w:r>
              <w:rPr>
                <w:rFonts w:cs="Times New Roman"/>
                <w:color w:val="000000" w:themeColor="text1"/>
                <w:sz w:val="20"/>
                <w:szCs w:val="20"/>
              </w:rPr>
              <w:fldChar w:fldCharType="begin"/>
            </w:r>
            <w:r>
              <w:rPr>
                <w:rFonts w:cs="Times New Roman"/>
                <w:color w:val="000000" w:themeColor="text1"/>
                <w:sz w:val="20"/>
                <w:szCs w:val="20"/>
              </w:rPr>
              <w:instrText xml:space="preserve"> ADDIN ZOTERO_ITEM CSL_CITATION {"citationID":"PI89p7T6","properties":{"formattedCitation":"(59)","plainCitation":"(59)","noteIndex":0},"citationItems":[{"id":1218,"uris":["http://zotero.org/users/8587829/items/ZFWHWSXW","http://zotero.org/users/8587829/items/RNNL8YCL"],"itemData":{"id":1218,"type":"article-journal","abstract":"Background: The cardiovascular effects of treating older adults with subclinical hypothyroidism (SCH) are uncertain. Although concerns have been raised regarding a potential increase in cardiovascular side effects from thyroid hormone replacement, undertreatment may also increase the risk of cardiovascular events, especially for patients with cardiovascular disease (CVD). Objective: To determine the effects of levothyroxine treatment on cardiovascular outcomes in older adults with SCH. Methods: Combined data of two parallel randomised double‐blind placebo‐controlled trials TRUST (Thyroid hormone Replacement for Untreated older adults with Subclinical hypothyroidism – a randomised placebo controlled Trial) and IEMO80+ (the Institute for Evidence‐Based Medicine in Old Age 80‐plus thyroid trial) were analysed as one‐stage individual participant data. Participants aged ≥65 years for TRUST (n=737) and ≥80 years for IEMO80+ (n=105) with SCH, defined by elevated TSH with fT4 within the reference range, were included. Participants were randomly assigned to receive placebo or levothyroxine, with titration of the dose until TSH level was within the reference range. Cardiovascular events and cardiovascular side effects of overtreatment (new‐onset atrial fibrillation and heart failure) were investigated, including stratified analyses according to CVD history and age. Results: The median [IQR] age was 75.0 [69.7–81.1] years, and 448 participants (53.2%) were women. The mean TSH was 6.38± SD 5.7 mIU/L at baseline and decreased at 1 year to 5.66 ± 3.3 mIU/L in the placebo group, compared with 3.66 ± 2.1 mIU/L in the levothyroxine group (p&lt;0.001), at a median dose of 50 μg. Levothyroxine did not significantly change the risk of any of the prespecified cardiovascular outcomes, including cardiovascular events (HR 0.74 [0.41–1.25]), atrial fibrillation (HR 0.69 [0.32–1.52]), or heart failure (0.41 [0.13–1.35]), or all‐cause mortality (HR 1.28 [0.54–3.03]), irrespective of history of CVD and age. Conclusion: Treatment with levothyroxine did not significantly change the risk of cardiovascular outcomes in older adults with subclinical hypothyroidism, irrespective of a history of cardiovascular disease and age. Clinical Trial Registration: [ClinicalTrials.gov], identifier [NCT01660126] (TRUST); Netherlands Trial Register: NTR3851 (IEMO80+).","archive_location":"CN-02285545","container-title":"Frontiers in Endocrinology","DOI":"10.3389/fendo.2021.674841","journalAbbreviation":"Frontiers in Endocrinology","title":"Levothyroxine Treatment and Cardiovascular Outcomes in Older People With Subclinical Hypothyroidism: Pooled Individual Results of Two Randomised Controlled Trials","volume":"12","author":[{"family":"Zijlstra","given":"LE"},{"family":"Jukema","given":"JW"},{"family":"Westendorp","given":"RGJ"},{"family":"Du Puy","given":"RS"},{"family":"Poortvliet","given":"RKE"},{"family":"Kearney","given":"PM"},{"family":"O'Keeffe","given":"L"},{"family":"Dekkers","given":"OM"},{"family":"Blum","given":"MR"},{"family":"Rodondi","given":"N"},{"literal":"et al."}],"issued":{"date-parts":[["2021"]]}}}],"schema":"https://github.com/citation-style-language/schema/raw/master/csl-citation.json"} </w:instrText>
            </w:r>
            <w:r>
              <w:rPr>
                <w:rFonts w:cs="Times New Roman"/>
                <w:color w:val="000000" w:themeColor="text1"/>
                <w:sz w:val="20"/>
                <w:szCs w:val="20"/>
              </w:rPr>
              <w:fldChar w:fldCharType="separate"/>
            </w:r>
            <w:r>
              <w:rPr>
                <w:rFonts w:cs="Times New Roman"/>
                <w:noProof/>
                <w:color w:val="000000" w:themeColor="text1"/>
                <w:sz w:val="20"/>
                <w:szCs w:val="20"/>
              </w:rPr>
              <w:t>(59)</w:t>
            </w:r>
            <w:r>
              <w:rPr>
                <w:rFonts w:cs="Times New Roman"/>
                <w:color w:val="000000" w:themeColor="text1"/>
                <w:sz w:val="20"/>
                <w:szCs w:val="20"/>
              </w:rPr>
              <w:fldChar w:fldCharType="end"/>
            </w:r>
          </w:p>
        </w:tc>
        <w:tc>
          <w:tcPr>
            <w:tcW w:w="1296" w:type="dxa"/>
          </w:tcPr>
          <w:p w14:paraId="352E1CBC"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shd w:val="clear" w:color="auto" w:fill="FFFFFF"/>
              </w:rPr>
              <w:t>Moderate risk of bias</w:t>
            </w:r>
          </w:p>
        </w:tc>
        <w:tc>
          <w:tcPr>
            <w:tcW w:w="1552" w:type="dxa"/>
          </w:tcPr>
          <w:p w14:paraId="45113582" w14:textId="77777777" w:rsidR="008B2F7A" w:rsidRPr="00B43294" w:rsidRDefault="008B2F7A" w:rsidP="00E35CBD">
            <w:pPr>
              <w:rPr>
                <w:rFonts w:cs="Times New Roman"/>
                <w:color w:val="000000" w:themeColor="text1"/>
                <w:sz w:val="20"/>
                <w:szCs w:val="20"/>
                <w:shd w:val="clear" w:color="auto" w:fill="FFFFFF"/>
                <w:vertAlign w:val="superscript"/>
              </w:rPr>
            </w:pPr>
            <w:r w:rsidRPr="00B43294">
              <w:rPr>
                <w:rFonts w:cs="Times New Roman"/>
                <w:color w:val="000000" w:themeColor="text1"/>
                <w:sz w:val="20"/>
                <w:szCs w:val="20"/>
              </w:rPr>
              <w:t>No serious imprecision</w:t>
            </w:r>
          </w:p>
        </w:tc>
        <w:tc>
          <w:tcPr>
            <w:tcW w:w="1552" w:type="dxa"/>
          </w:tcPr>
          <w:p w14:paraId="403E9491"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shd w:val="clear" w:color="auto" w:fill="FFFFFF"/>
              </w:rPr>
              <w:t>No serious inconsistency</w:t>
            </w:r>
          </w:p>
        </w:tc>
        <w:tc>
          <w:tcPr>
            <w:tcW w:w="1569" w:type="dxa"/>
          </w:tcPr>
          <w:p w14:paraId="3BD65E6F"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No serious indirectness</w:t>
            </w:r>
          </w:p>
        </w:tc>
        <w:tc>
          <w:tcPr>
            <w:tcW w:w="1665" w:type="dxa"/>
          </w:tcPr>
          <w:p w14:paraId="29F1A769" w14:textId="77777777" w:rsidR="008B2F7A" w:rsidRPr="00B43294" w:rsidRDefault="008B2F7A" w:rsidP="00E35CBD">
            <w:pPr>
              <w:rPr>
                <w:rFonts w:cs="Times New Roman"/>
                <w:color w:val="000000" w:themeColor="text1"/>
                <w:sz w:val="20"/>
                <w:szCs w:val="20"/>
              </w:rPr>
            </w:pPr>
            <w:r w:rsidRPr="00B43294">
              <w:rPr>
                <w:rFonts w:cs="Times New Roman"/>
                <w:color w:val="000000" w:themeColor="text1"/>
                <w:sz w:val="20"/>
                <w:szCs w:val="20"/>
              </w:rPr>
              <w:t>None</w:t>
            </w:r>
          </w:p>
          <w:p w14:paraId="36B02DE1" w14:textId="77777777" w:rsidR="008B2F7A" w:rsidRPr="00B43294" w:rsidRDefault="008B2F7A" w:rsidP="00E35CBD">
            <w:pPr>
              <w:rPr>
                <w:rFonts w:cs="Times New Roman"/>
                <w:color w:val="000000" w:themeColor="text1"/>
                <w:sz w:val="20"/>
                <w:szCs w:val="20"/>
                <w:shd w:val="clear" w:color="auto" w:fill="FFFFFF"/>
              </w:rPr>
            </w:pPr>
          </w:p>
        </w:tc>
        <w:tc>
          <w:tcPr>
            <w:tcW w:w="1281" w:type="dxa"/>
          </w:tcPr>
          <w:p w14:paraId="1FDCD633" w14:textId="77777777" w:rsidR="008B2F7A" w:rsidRPr="00B43294" w:rsidRDefault="008B2F7A" w:rsidP="00E35CBD">
            <w:pPr>
              <w:keepNext/>
              <w:rPr>
                <w:rFonts w:cs="Times New Roman"/>
                <w:color w:val="000000" w:themeColor="text1"/>
                <w:sz w:val="20"/>
                <w:szCs w:val="20"/>
              </w:rPr>
            </w:pPr>
            <w:r w:rsidRPr="00B43294">
              <w:rPr>
                <w:rFonts w:cs="Times New Roman"/>
                <w:color w:val="000000" w:themeColor="text1"/>
                <w:sz w:val="20"/>
                <w:szCs w:val="20"/>
              </w:rPr>
              <w:t>High</w:t>
            </w:r>
          </w:p>
        </w:tc>
      </w:tr>
    </w:tbl>
    <w:p w14:paraId="31137CD1" w14:textId="77777777" w:rsidR="008B2F7A" w:rsidRPr="00B43294" w:rsidRDefault="008B2F7A" w:rsidP="008B2F7A">
      <w:pPr>
        <w:rPr>
          <w:rFonts w:cs="Times New Roman"/>
          <w:color w:val="000000" w:themeColor="text1"/>
        </w:rPr>
      </w:pPr>
    </w:p>
    <w:p w14:paraId="52029A6C" w14:textId="77777777" w:rsidR="00373BDB" w:rsidRDefault="00373BDB"/>
    <w:sectPr w:rsidR="00373BDB" w:rsidSect="000451E6">
      <w:footerReference w:type="even" r:id="rId6"/>
      <w:footerReference w:type="default" r:id="rId7"/>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274E3" w14:textId="77777777" w:rsidR="000451E6" w:rsidRDefault="000451E6">
      <w:pPr>
        <w:spacing w:line="240" w:lineRule="auto"/>
      </w:pPr>
      <w:r>
        <w:separator/>
      </w:r>
    </w:p>
  </w:endnote>
  <w:endnote w:type="continuationSeparator" w:id="0">
    <w:p w14:paraId="680EF8A5" w14:textId="77777777" w:rsidR="000451E6" w:rsidRDefault="000451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2236575"/>
      <w:docPartObj>
        <w:docPartGallery w:val="Page Numbers (Bottom of Page)"/>
        <w:docPartUnique/>
      </w:docPartObj>
    </w:sdtPr>
    <w:sdtContent>
      <w:p w14:paraId="6D8FD8C5" w14:textId="77777777" w:rsidR="00690B99" w:rsidRDefault="00690B99" w:rsidP="002A0D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7BFFB8" w14:textId="77777777" w:rsidR="00690B99" w:rsidRDefault="00690B99" w:rsidP="008C68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7473037"/>
      <w:docPartObj>
        <w:docPartGallery w:val="Page Numbers (Bottom of Page)"/>
        <w:docPartUnique/>
      </w:docPartObj>
    </w:sdtPr>
    <w:sdtContent>
      <w:p w14:paraId="75ADDE93" w14:textId="77777777" w:rsidR="00690B99" w:rsidRDefault="00690B99" w:rsidP="002A0D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A40A79D" w14:textId="77777777" w:rsidR="00690B99" w:rsidRDefault="00690B99" w:rsidP="008C68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55D26" w14:textId="77777777" w:rsidR="000451E6" w:rsidRDefault="000451E6">
      <w:pPr>
        <w:spacing w:line="240" w:lineRule="auto"/>
      </w:pPr>
      <w:r>
        <w:separator/>
      </w:r>
    </w:p>
  </w:footnote>
  <w:footnote w:type="continuationSeparator" w:id="0">
    <w:p w14:paraId="05667205" w14:textId="77777777" w:rsidR="000451E6" w:rsidRDefault="000451E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B99"/>
    <w:rsid w:val="000451E6"/>
    <w:rsid w:val="000868F8"/>
    <w:rsid w:val="00126039"/>
    <w:rsid w:val="0015645E"/>
    <w:rsid w:val="001678DC"/>
    <w:rsid w:val="001B0E56"/>
    <w:rsid w:val="00225995"/>
    <w:rsid w:val="00262F09"/>
    <w:rsid w:val="00373BDB"/>
    <w:rsid w:val="00451152"/>
    <w:rsid w:val="00531C87"/>
    <w:rsid w:val="00636F8B"/>
    <w:rsid w:val="00690B99"/>
    <w:rsid w:val="006B40B0"/>
    <w:rsid w:val="006C0DFA"/>
    <w:rsid w:val="006E1421"/>
    <w:rsid w:val="00752D46"/>
    <w:rsid w:val="00847AAD"/>
    <w:rsid w:val="00896A7E"/>
    <w:rsid w:val="008A14CE"/>
    <w:rsid w:val="008B2F7A"/>
    <w:rsid w:val="00922AD8"/>
    <w:rsid w:val="00A61F71"/>
    <w:rsid w:val="00A662F1"/>
    <w:rsid w:val="00AB766D"/>
    <w:rsid w:val="00AF0330"/>
    <w:rsid w:val="00AF28A9"/>
    <w:rsid w:val="00B15C90"/>
    <w:rsid w:val="00B55B76"/>
    <w:rsid w:val="00B74197"/>
    <w:rsid w:val="00BA1F9E"/>
    <w:rsid w:val="00C6425A"/>
    <w:rsid w:val="00CB4CFD"/>
    <w:rsid w:val="00CD04A4"/>
    <w:rsid w:val="00E953FA"/>
    <w:rsid w:val="00EB6F4E"/>
    <w:rsid w:val="00ED1ADB"/>
    <w:rsid w:val="00FE7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C80591C"/>
  <w15:chartTrackingRefBased/>
  <w15:docId w15:val="{285BBE37-688D-0544-AD45-92CB0D09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B99"/>
    <w:pPr>
      <w:spacing w:line="480" w:lineRule="auto"/>
    </w:pPr>
    <w:rPr>
      <w:rFonts w:ascii="Times New Roman" w:hAnsi="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0B99"/>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90B99"/>
    <w:pPr>
      <w:tabs>
        <w:tab w:val="center" w:pos="4513"/>
        <w:tab w:val="right" w:pos="9026"/>
      </w:tabs>
      <w:jc w:val="both"/>
    </w:pPr>
    <w:rPr>
      <w:color w:val="000000" w:themeColor="text1"/>
      <w:sz w:val="20"/>
    </w:rPr>
  </w:style>
  <w:style w:type="character" w:customStyle="1" w:styleId="FooterChar">
    <w:name w:val="Footer Char"/>
    <w:basedOn w:val="DefaultParagraphFont"/>
    <w:link w:val="Footer"/>
    <w:uiPriority w:val="99"/>
    <w:rsid w:val="00690B99"/>
    <w:rPr>
      <w:rFonts w:ascii="Times New Roman" w:hAnsi="Times New Roman"/>
      <w:color w:val="000000" w:themeColor="text1"/>
      <w:kern w:val="0"/>
      <w:sz w:val="20"/>
      <w14:ligatures w14:val="none"/>
    </w:rPr>
  </w:style>
  <w:style w:type="character" w:styleId="PageNumber">
    <w:name w:val="page number"/>
    <w:basedOn w:val="DefaultParagraphFont"/>
    <w:uiPriority w:val="99"/>
    <w:semiHidden/>
    <w:unhideWhenUsed/>
    <w:rsid w:val="00690B99"/>
  </w:style>
  <w:style w:type="character" w:styleId="LineNumber">
    <w:name w:val="line number"/>
    <w:basedOn w:val="DefaultParagraphFont"/>
    <w:uiPriority w:val="99"/>
    <w:semiHidden/>
    <w:unhideWhenUsed/>
    <w:rsid w:val="00690B99"/>
  </w:style>
  <w:style w:type="paragraph" w:customStyle="1" w:styleId="Default">
    <w:name w:val="Default"/>
    <w:rsid w:val="00A662F1"/>
    <w:pPr>
      <w:widowControl w:val="0"/>
      <w:autoSpaceDE w:val="0"/>
      <w:autoSpaceDN w:val="0"/>
      <w:adjustRightInd w:val="0"/>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8806</Words>
  <Characters>50198</Characters>
  <Application>Microsoft Office Word</Application>
  <DocSecurity>0</DocSecurity>
  <Lines>418</Lines>
  <Paragraphs>117</Paragraphs>
  <ScaleCrop>false</ScaleCrop>
  <Company/>
  <LinksUpToDate>false</LinksUpToDate>
  <CharactersWithSpaces>58887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Holley (Researcher)</dc:creator>
  <cp:keywords/>
  <dc:description/>
  <cp:lastModifiedBy>Mia Holley (Researcher)</cp:lastModifiedBy>
  <cp:revision>35</cp:revision>
  <dcterms:created xsi:type="dcterms:W3CDTF">2023-10-16T08:17:00Z</dcterms:created>
  <dcterms:modified xsi:type="dcterms:W3CDTF">2024-03-06T12:13:00Z</dcterms:modified>
</cp:coreProperties>
</file>