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7395C" w14:textId="2D9F4718" w:rsidR="00F55BE6" w:rsidRPr="00F55BE6" w:rsidRDefault="00F55BE6" w:rsidP="005C2860">
      <w:pPr>
        <w:rPr>
          <w:b/>
          <w:bCs/>
          <w:sz w:val="36"/>
          <w:szCs w:val="36"/>
          <w:u w:val="single"/>
        </w:rPr>
      </w:pPr>
      <w:r w:rsidRPr="00F55BE6">
        <w:rPr>
          <w:b/>
          <w:bCs/>
          <w:sz w:val="36"/>
          <w:szCs w:val="36"/>
          <w:u w:val="single"/>
        </w:rPr>
        <w:t>Relevant Criteria strings</w:t>
      </w:r>
    </w:p>
    <w:p w14:paraId="0C1FB781" w14:textId="08DB92B1" w:rsidR="00664143" w:rsidRDefault="00664143" w:rsidP="005C2860">
      <w:pPr>
        <w:rPr>
          <w:iCs/>
          <w:sz w:val="24"/>
          <w:szCs w:val="24"/>
        </w:rPr>
      </w:pPr>
      <w:r>
        <w:rPr>
          <w:sz w:val="24"/>
          <w:szCs w:val="24"/>
        </w:rPr>
        <w:t>The following contains the [Relevant criteria] strings for the published dataset.</w:t>
      </w:r>
      <w:r w:rsidR="005C2860" w:rsidRPr="00673082">
        <w:rPr>
          <w:iCs/>
          <w:sz w:val="24"/>
          <w:szCs w:val="24"/>
        </w:rPr>
        <w:t xml:space="preserve"> </w:t>
      </w:r>
      <w:r>
        <w:rPr>
          <w:iCs/>
          <w:sz w:val="24"/>
          <w:szCs w:val="24"/>
        </w:rPr>
        <w:t xml:space="preserve">They were created upon agreement of the researchers FD, NC and PMP based on the descriptions in the publications of the corresponding SLRs. </w:t>
      </w:r>
    </w:p>
    <w:p w14:paraId="68D97401" w14:textId="47D9FD4B" w:rsidR="00664143" w:rsidRPr="004069E2" w:rsidRDefault="00664143" w:rsidP="00664143">
      <w:pPr>
        <w:rPr>
          <w:b/>
          <w:sz w:val="28"/>
          <w:szCs w:val="28"/>
        </w:rPr>
      </w:pPr>
      <w:r>
        <w:rPr>
          <w:b/>
          <w:sz w:val="28"/>
          <w:szCs w:val="28"/>
        </w:rPr>
        <w:t>Appenzeller-Herzog_2020</w:t>
      </w:r>
    </w:p>
    <w:p w14:paraId="4BF56DAF" w14:textId="7A960648" w:rsidR="00664143" w:rsidRPr="00664143" w:rsidRDefault="00664143" w:rsidP="00664143">
      <w:pPr>
        <w:rPr>
          <w:i/>
          <w:sz w:val="24"/>
          <w:szCs w:val="24"/>
        </w:rPr>
      </w:pPr>
      <w:r w:rsidRPr="00664143">
        <w:rPr>
          <w:i/>
          <w:sz w:val="24"/>
          <w:szCs w:val="24"/>
        </w:rPr>
        <w:t>“</w:t>
      </w:r>
      <w:r w:rsidR="000C4D09">
        <w:rPr>
          <w:i/>
          <w:sz w:val="24"/>
          <w:szCs w:val="24"/>
        </w:rPr>
        <w:t>””</w:t>
      </w:r>
    </w:p>
    <w:p w14:paraId="1C48428B" w14:textId="77777777" w:rsidR="000C4D09" w:rsidRPr="000C4D09" w:rsidRDefault="000C4D09" w:rsidP="000C4D09">
      <w:pPr>
        <w:rPr>
          <w:i/>
          <w:sz w:val="24"/>
          <w:szCs w:val="24"/>
        </w:rPr>
      </w:pPr>
      <w:r w:rsidRPr="000C4D09">
        <w:rPr>
          <w:i/>
          <w:sz w:val="24"/>
          <w:szCs w:val="24"/>
        </w:rPr>
        <w:t xml:space="preserve">-Patients with Wilson's Disease of any age or stage </w:t>
      </w:r>
    </w:p>
    <w:p w14:paraId="1B2D9CF3" w14:textId="77777777" w:rsidR="000C4D09" w:rsidRPr="000C4D09" w:rsidRDefault="000C4D09" w:rsidP="000C4D09">
      <w:pPr>
        <w:rPr>
          <w:i/>
          <w:sz w:val="24"/>
          <w:szCs w:val="24"/>
        </w:rPr>
      </w:pPr>
      <w:r w:rsidRPr="000C4D09">
        <w:rPr>
          <w:i/>
          <w:sz w:val="24"/>
          <w:szCs w:val="24"/>
        </w:rPr>
        <w:t xml:space="preserve">        -Study drug has to be one of four established therapies, namely </w:t>
      </w:r>
      <w:proofErr w:type="spellStart"/>
      <w:r w:rsidRPr="000C4D09">
        <w:rPr>
          <w:i/>
          <w:sz w:val="24"/>
          <w:szCs w:val="24"/>
        </w:rPr>
        <w:t>DPen</w:t>
      </w:r>
      <w:proofErr w:type="spellEnd"/>
      <w:r w:rsidRPr="000C4D09">
        <w:rPr>
          <w:i/>
          <w:sz w:val="24"/>
          <w:szCs w:val="24"/>
        </w:rPr>
        <w:t xml:space="preserve">, </w:t>
      </w:r>
      <w:proofErr w:type="spellStart"/>
      <w:r w:rsidRPr="000C4D09">
        <w:rPr>
          <w:i/>
          <w:sz w:val="24"/>
          <w:szCs w:val="24"/>
        </w:rPr>
        <w:t>trientine</w:t>
      </w:r>
      <w:proofErr w:type="spellEnd"/>
      <w:r w:rsidRPr="000C4D09">
        <w:rPr>
          <w:i/>
          <w:sz w:val="24"/>
          <w:szCs w:val="24"/>
        </w:rPr>
        <w:t>, TTM or Zn.</w:t>
      </w:r>
    </w:p>
    <w:p w14:paraId="3FEAD092" w14:textId="77777777" w:rsidR="000C4D09" w:rsidRPr="000C4D09" w:rsidRDefault="000C4D09" w:rsidP="000C4D09">
      <w:pPr>
        <w:rPr>
          <w:i/>
          <w:sz w:val="24"/>
          <w:szCs w:val="24"/>
        </w:rPr>
      </w:pPr>
      <w:r w:rsidRPr="000C4D09">
        <w:rPr>
          <w:i/>
          <w:sz w:val="24"/>
          <w:szCs w:val="24"/>
        </w:rPr>
        <w:t xml:space="preserve">        -Control could be placebo, no treatment or any other treatment that does not include the respective study drug </w:t>
      </w:r>
    </w:p>
    <w:p w14:paraId="2E505705" w14:textId="77777777" w:rsidR="000C4D09" w:rsidRPr="000C4D09" w:rsidRDefault="000C4D09" w:rsidP="000C4D09">
      <w:pPr>
        <w:rPr>
          <w:i/>
          <w:sz w:val="24"/>
          <w:szCs w:val="24"/>
        </w:rPr>
      </w:pPr>
      <w:r w:rsidRPr="000C4D09">
        <w:rPr>
          <w:i/>
          <w:sz w:val="24"/>
          <w:szCs w:val="24"/>
        </w:rPr>
        <w:t xml:space="preserve">        -Concomitant therapies had to be identical in the compared treatment arms</w:t>
      </w:r>
    </w:p>
    <w:p w14:paraId="5B271675" w14:textId="77777777" w:rsidR="000C4D09" w:rsidRPr="000C4D09" w:rsidRDefault="000C4D09" w:rsidP="000C4D09">
      <w:pPr>
        <w:rPr>
          <w:i/>
          <w:sz w:val="24"/>
          <w:szCs w:val="24"/>
        </w:rPr>
      </w:pPr>
      <w:r w:rsidRPr="000C4D09">
        <w:rPr>
          <w:i/>
          <w:sz w:val="24"/>
          <w:szCs w:val="24"/>
        </w:rPr>
        <w:t xml:space="preserve">        -Combination therapy regimens that include the respective monotherapy drug are not considered</w:t>
      </w:r>
    </w:p>
    <w:p w14:paraId="059576D3" w14:textId="77777777" w:rsidR="000C4D09" w:rsidRPr="000C4D09" w:rsidRDefault="000C4D09" w:rsidP="000C4D09">
      <w:pPr>
        <w:rPr>
          <w:i/>
          <w:sz w:val="24"/>
          <w:szCs w:val="24"/>
        </w:rPr>
      </w:pPr>
      <w:r w:rsidRPr="000C4D09">
        <w:rPr>
          <w:i/>
          <w:sz w:val="24"/>
          <w:szCs w:val="24"/>
        </w:rPr>
        <w:t xml:space="preserve">        -Prospective or retrospective studies reported </w:t>
      </w:r>
    </w:p>
    <w:p w14:paraId="51FC3AD8" w14:textId="77777777" w:rsidR="000C4D09" w:rsidRPr="000C4D09" w:rsidRDefault="000C4D09" w:rsidP="000C4D09">
      <w:pPr>
        <w:rPr>
          <w:i/>
          <w:sz w:val="24"/>
          <w:szCs w:val="24"/>
        </w:rPr>
      </w:pPr>
      <w:r w:rsidRPr="000C4D09">
        <w:rPr>
          <w:i/>
          <w:sz w:val="24"/>
          <w:szCs w:val="24"/>
        </w:rPr>
        <w:t xml:space="preserve">        -Randomized, non-randomized controlled trials and comparative observational studies</w:t>
      </w:r>
    </w:p>
    <w:p w14:paraId="546A412A" w14:textId="77777777" w:rsidR="000C4D09" w:rsidRPr="000C4D09" w:rsidRDefault="000C4D09" w:rsidP="000C4D09">
      <w:pPr>
        <w:rPr>
          <w:i/>
          <w:sz w:val="24"/>
          <w:szCs w:val="24"/>
        </w:rPr>
      </w:pPr>
      <w:r w:rsidRPr="000C4D09">
        <w:rPr>
          <w:i/>
          <w:sz w:val="24"/>
          <w:szCs w:val="24"/>
        </w:rPr>
        <w:t xml:space="preserve">        -Animal studies, case reports, case series, cross‐sectional studies, before‐after studies, reviews, letters, abstract‐only publications, editorials, </w:t>
      </w:r>
    </w:p>
    <w:p w14:paraId="6F09133F" w14:textId="77777777" w:rsidR="000C4D09" w:rsidRDefault="000C4D09" w:rsidP="000C4D09">
      <w:pPr>
        <w:rPr>
          <w:i/>
          <w:sz w:val="24"/>
          <w:szCs w:val="24"/>
        </w:rPr>
      </w:pPr>
      <w:r w:rsidRPr="000C4D09">
        <w:rPr>
          <w:i/>
          <w:sz w:val="24"/>
          <w:szCs w:val="24"/>
        </w:rPr>
        <w:t xml:space="preserve">        diagnostic or other testing studies and non‐controlled studies are excluded</w:t>
      </w:r>
    </w:p>
    <w:p w14:paraId="51EEDB02" w14:textId="7DC7A4C5" w:rsidR="00664143" w:rsidRPr="00664143" w:rsidRDefault="000C4D09" w:rsidP="000C4D09">
      <w:pPr>
        <w:rPr>
          <w:i/>
          <w:sz w:val="24"/>
          <w:szCs w:val="24"/>
        </w:rPr>
      </w:pPr>
      <w:r>
        <w:rPr>
          <w:i/>
          <w:sz w:val="24"/>
          <w:szCs w:val="24"/>
        </w:rPr>
        <w:t>””</w:t>
      </w:r>
      <w:r w:rsidR="00664143" w:rsidRPr="00664143">
        <w:rPr>
          <w:i/>
          <w:sz w:val="24"/>
          <w:szCs w:val="24"/>
        </w:rPr>
        <w:t>”</w:t>
      </w:r>
    </w:p>
    <w:p w14:paraId="061744C7" w14:textId="16F195C2" w:rsidR="000C4D09" w:rsidRPr="00A97A45" w:rsidRDefault="00664143" w:rsidP="000C4D09">
      <w:pPr>
        <w:rPr>
          <w:iCs/>
          <w:sz w:val="24"/>
          <w:szCs w:val="24"/>
        </w:rPr>
      </w:pPr>
      <w:r>
        <w:rPr>
          <w:iCs/>
          <w:sz w:val="24"/>
          <w:szCs w:val="24"/>
        </w:rPr>
        <w:t xml:space="preserve">based on </w:t>
      </w:r>
      <w:r w:rsidR="00A97A45">
        <w:rPr>
          <w:iCs/>
          <w:sz w:val="24"/>
          <w:szCs w:val="24"/>
        </w:rPr>
        <w:t xml:space="preserve">Appenzeller-Herzog et al. </w:t>
      </w:r>
      <w:r w:rsidR="00A97A45">
        <w:rPr>
          <w:iCs/>
          <w:sz w:val="24"/>
          <w:szCs w:val="24"/>
        </w:rPr>
        <w:fldChar w:fldCharType="begin"/>
      </w:r>
      <w:r w:rsidR="00732CC9">
        <w:rPr>
          <w:iCs/>
          <w:sz w:val="24"/>
          <w:szCs w:val="24"/>
        </w:rPr>
        <w:instrText xml:space="preserve"> ADDIN ZOTERO_ITEM CSL_CITATION {"citationID":"4HLVVdRN","properties":{"formattedCitation":"(1)","plainCitation":"(1)","noteIndex":0},"citationItems":[{"id":863,"uris":["http://zotero.org/users/local/g0Xo7BsA/items/G7XBM578"],"itemData":{"id":863,"type":"article-journal","container-title":"Liver International","DOI":"10.1111/liv.14179","ISSN":"1478-3223, 1478-3231","issue":"11","journalAbbreviation":"Liver Int","language":"en","page":"2136-2152","source":"DOI.org (Crossref)","title":"Comparative effectiveness of common therapies for Wilson disease: A systematic review and meta‐analysis of controlled studies","title-short":"Comparative effectiveness of common therapies for Wilson disease","volume":"39","author":[{"family":"Appenzeller‐Herzog","given":"Christian"},{"family":"Mathes","given":"Tim"},{"family":"Heeres","given":"Marlies L.S."},{"family":"Weiss","given":"Karl Heinz"},{"family":"Houwen","given":"Roderick H.J."},{"family":"Ewald","given":"Hannah"}],"issued":{"date-parts":[["2019",11]]}}}],"schema":"https://github.com/citation-style-language/schema/raw/master/csl-citation.json"} </w:instrText>
      </w:r>
      <w:r w:rsidR="00A97A45">
        <w:rPr>
          <w:iCs/>
          <w:sz w:val="24"/>
          <w:szCs w:val="24"/>
        </w:rPr>
        <w:fldChar w:fldCharType="separate"/>
      </w:r>
      <w:r w:rsidR="00732CC9" w:rsidRPr="00732CC9">
        <w:rPr>
          <w:iCs/>
          <w:sz w:val="24"/>
          <w:szCs w:val="24"/>
        </w:rPr>
        <w:t>(1)</w:t>
      </w:r>
      <w:r w:rsidR="00A97A45">
        <w:rPr>
          <w:iCs/>
          <w:sz w:val="24"/>
          <w:szCs w:val="24"/>
        </w:rPr>
        <w:fldChar w:fldCharType="end"/>
      </w:r>
      <w:r w:rsidR="00732CC9">
        <w:rPr>
          <w:iCs/>
          <w:sz w:val="24"/>
          <w:szCs w:val="24"/>
        </w:rPr>
        <w:t>.</w:t>
      </w:r>
    </w:p>
    <w:p w14:paraId="28A5625D" w14:textId="694525E8" w:rsidR="000C4D09" w:rsidRPr="004069E2" w:rsidRDefault="000C4D09" w:rsidP="000C4D09">
      <w:pPr>
        <w:rPr>
          <w:b/>
          <w:sz w:val="28"/>
          <w:szCs w:val="28"/>
        </w:rPr>
      </w:pPr>
      <w:r>
        <w:rPr>
          <w:b/>
          <w:sz w:val="28"/>
          <w:szCs w:val="28"/>
        </w:rPr>
        <w:t>Bos_2018</w:t>
      </w:r>
    </w:p>
    <w:p w14:paraId="27868F31" w14:textId="77777777" w:rsidR="000C4D09" w:rsidRPr="000C4D09" w:rsidRDefault="000C4D09" w:rsidP="000C4D09">
      <w:pPr>
        <w:rPr>
          <w:i/>
          <w:sz w:val="24"/>
          <w:szCs w:val="24"/>
        </w:rPr>
      </w:pPr>
      <w:r w:rsidRPr="000C4D09">
        <w:rPr>
          <w:i/>
          <w:sz w:val="24"/>
          <w:szCs w:val="24"/>
        </w:rPr>
        <w:t>"""</w:t>
      </w:r>
    </w:p>
    <w:p w14:paraId="70300E62" w14:textId="77777777" w:rsidR="000C4D09" w:rsidRPr="000C4D09" w:rsidRDefault="000C4D09" w:rsidP="000C4D09">
      <w:pPr>
        <w:rPr>
          <w:i/>
          <w:sz w:val="24"/>
          <w:szCs w:val="24"/>
        </w:rPr>
      </w:pPr>
      <w:r w:rsidRPr="000C4D09">
        <w:rPr>
          <w:i/>
          <w:sz w:val="24"/>
          <w:szCs w:val="24"/>
        </w:rPr>
        <w:t xml:space="preserve">        Inclusion criteria: (1) all studies have to be prospective</w:t>
      </w:r>
    </w:p>
    <w:p w14:paraId="7EA4BFA8" w14:textId="77777777" w:rsidR="000C4D09" w:rsidRPr="000C4D09" w:rsidRDefault="000C4D09" w:rsidP="000C4D09">
      <w:pPr>
        <w:rPr>
          <w:i/>
          <w:sz w:val="24"/>
          <w:szCs w:val="24"/>
        </w:rPr>
      </w:pPr>
      <w:r w:rsidRPr="000C4D09">
        <w:rPr>
          <w:i/>
          <w:sz w:val="24"/>
          <w:szCs w:val="24"/>
        </w:rPr>
        <w:t xml:space="preserve">        population-based cohort studies. Inherent to the nature of</w:t>
      </w:r>
    </w:p>
    <w:p w14:paraId="11598C31" w14:textId="77777777" w:rsidR="000C4D09" w:rsidRPr="000C4D09" w:rsidRDefault="000C4D09" w:rsidP="000C4D09">
      <w:pPr>
        <w:rPr>
          <w:i/>
          <w:sz w:val="24"/>
          <w:szCs w:val="24"/>
        </w:rPr>
      </w:pPr>
      <w:r w:rsidRPr="000C4D09">
        <w:rPr>
          <w:i/>
          <w:sz w:val="24"/>
          <w:szCs w:val="24"/>
        </w:rPr>
        <w:t xml:space="preserve">        population-based studies this means that except for a</w:t>
      </w:r>
    </w:p>
    <w:p w14:paraId="3363E687" w14:textId="77777777" w:rsidR="000C4D09" w:rsidRPr="000C4D09" w:rsidRDefault="000C4D09" w:rsidP="000C4D09">
      <w:pPr>
        <w:rPr>
          <w:i/>
          <w:sz w:val="24"/>
          <w:szCs w:val="24"/>
        </w:rPr>
      </w:pPr>
      <w:r w:rsidRPr="000C4D09">
        <w:rPr>
          <w:i/>
          <w:sz w:val="24"/>
          <w:szCs w:val="24"/>
        </w:rPr>
        <w:t xml:space="preserve">        selection criterion of age, no other selection criteria are</w:t>
      </w:r>
    </w:p>
    <w:p w14:paraId="1A8FA1C3" w14:textId="77777777" w:rsidR="000C4D09" w:rsidRPr="000C4D09" w:rsidRDefault="000C4D09" w:rsidP="000C4D09">
      <w:pPr>
        <w:rPr>
          <w:i/>
          <w:sz w:val="24"/>
          <w:szCs w:val="24"/>
        </w:rPr>
      </w:pPr>
      <w:r w:rsidRPr="000C4D09">
        <w:rPr>
          <w:i/>
          <w:sz w:val="24"/>
          <w:szCs w:val="24"/>
        </w:rPr>
        <w:t xml:space="preserve">        applied; (2) cerebral imaging had to be performed</w:t>
      </w:r>
    </w:p>
    <w:p w14:paraId="133D6BB7" w14:textId="77777777" w:rsidR="000C4D09" w:rsidRPr="000C4D09" w:rsidRDefault="000C4D09" w:rsidP="000C4D09">
      <w:pPr>
        <w:rPr>
          <w:i/>
          <w:sz w:val="24"/>
          <w:szCs w:val="24"/>
        </w:rPr>
      </w:pPr>
      <w:r w:rsidRPr="000C4D09">
        <w:rPr>
          <w:i/>
          <w:sz w:val="24"/>
          <w:szCs w:val="24"/>
        </w:rPr>
        <w:t xml:space="preserve">        (either magnetic resonance imaging [MRI] or computed</w:t>
      </w:r>
    </w:p>
    <w:p w14:paraId="365A15F6" w14:textId="77777777" w:rsidR="000C4D09" w:rsidRPr="000C4D09" w:rsidRDefault="000C4D09" w:rsidP="000C4D09">
      <w:pPr>
        <w:rPr>
          <w:i/>
          <w:sz w:val="24"/>
          <w:szCs w:val="24"/>
        </w:rPr>
      </w:pPr>
      <w:r w:rsidRPr="000C4D09">
        <w:rPr>
          <w:i/>
          <w:sz w:val="24"/>
          <w:szCs w:val="24"/>
        </w:rPr>
        <w:t xml:space="preserve">        tomography) for the visualization of white matter</w:t>
      </w:r>
    </w:p>
    <w:p w14:paraId="390946F9" w14:textId="77777777" w:rsidR="000C4D09" w:rsidRPr="000C4D09" w:rsidRDefault="000C4D09" w:rsidP="000C4D09">
      <w:pPr>
        <w:rPr>
          <w:i/>
          <w:sz w:val="24"/>
          <w:szCs w:val="24"/>
        </w:rPr>
      </w:pPr>
      <w:r w:rsidRPr="000C4D09">
        <w:rPr>
          <w:i/>
          <w:sz w:val="24"/>
          <w:szCs w:val="24"/>
        </w:rPr>
        <w:t xml:space="preserve">        hyperintensities, covert brain infarcts, or microbleeds; (3) all</w:t>
      </w:r>
    </w:p>
    <w:p w14:paraId="33F498AC" w14:textId="77777777" w:rsidR="000C4D09" w:rsidRPr="000C4D09" w:rsidRDefault="000C4D09" w:rsidP="000C4D09">
      <w:pPr>
        <w:rPr>
          <w:i/>
          <w:sz w:val="24"/>
          <w:szCs w:val="24"/>
        </w:rPr>
      </w:pPr>
      <w:r w:rsidRPr="000C4D09">
        <w:rPr>
          <w:i/>
          <w:sz w:val="24"/>
          <w:szCs w:val="24"/>
        </w:rPr>
        <w:lastRenderedPageBreak/>
        <w:t xml:space="preserve">        studies have to have investigated the association of any of the</w:t>
      </w:r>
    </w:p>
    <w:p w14:paraId="4991CCA2" w14:textId="77777777" w:rsidR="000C4D09" w:rsidRPr="000C4D09" w:rsidRDefault="000C4D09" w:rsidP="000C4D09">
      <w:pPr>
        <w:rPr>
          <w:i/>
          <w:sz w:val="24"/>
          <w:szCs w:val="24"/>
        </w:rPr>
      </w:pPr>
      <w:r w:rsidRPr="000C4D09">
        <w:rPr>
          <w:i/>
          <w:sz w:val="24"/>
          <w:szCs w:val="24"/>
        </w:rPr>
        <w:t xml:space="preserve">        three pathologies with the risk of incident all-dementia or</w:t>
      </w:r>
    </w:p>
    <w:p w14:paraId="79644DFF" w14:textId="77777777" w:rsidR="000C4D09" w:rsidRPr="000C4D09" w:rsidRDefault="000C4D09" w:rsidP="000C4D09">
      <w:pPr>
        <w:rPr>
          <w:i/>
          <w:sz w:val="24"/>
          <w:szCs w:val="24"/>
        </w:rPr>
      </w:pPr>
      <w:r w:rsidRPr="000C4D09">
        <w:rPr>
          <w:i/>
          <w:sz w:val="24"/>
          <w:szCs w:val="24"/>
        </w:rPr>
        <w:t xml:space="preserve">        Alzheimer’s disease.</w:t>
      </w:r>
    </w:p>
    <w:p w14:paraId="7D89C05B" w14:textId="5266D814" w:rsidR="000C4D09" w:rsidRDefault="000C4D09" w:rsidP="000C4D09">
      <w:pPr>
        <w:rPr>
          <w:i/>
          <w:sz w:val="24"/>
          <w:szCs w:val="24"/>
        </w:rPr>
      </w:pPr>
      <w:r w:rsidRPr="000C4D09">
        <w:rPr>
          <w:i/>
          <w:sz w:val="24"/>
          <w:szCs w:val="24"/>
        </w:rPr>
        <w:t>"""</w:t>
      </w:r>
    </w:p>
    <w:p w14:paraId="3B715DF9" w14:textId="7F2704D7" w:rsidR="00A97A45" w:rsidRDefault="00A97A45" w:rsidP="000C4D09">
      <w:pPr>
        <w:rPr>
          <w:i/>
          <w:sz w:val="24"/>
          <w:szCs w:val="24"/>
        </w:rPr>
      </w:pPr>
      <w:r>
        <w:rPr>
          <w:iCs/>
          <w:sz w:val="24"/>
          <w:szCs w:val="24"/>
        </w:rPr>
        <w:t>based on Bose et al.</w:t>
      </w:r>
      <w:r w:rsidR="00732CC9">
        <w:rPr>
          <w:iCs/>
          <w:sz w:val="24"/>
          <w:szCs w:val="24"/>
        </w:rPr>
        <w:t xml:space="preserve"> </w:t>
      </w:r>
      <w:r w:rsidR="00732CC9">
        <w:rPr>
          <w:iCs/>
          <w:sz w:val="24"/>
          <w:szCs w:val="24"/>
        </w:rPr>
        <w:fldChar w:fldCharType="begin"/>
      </w:r>
      <w:r w:rsidR="00732CC9">
        <w:rPr>
          <w:iCs/>
          <w:sz w:val="24"/>
          <w:szCs w:val="24"/>
        </w:rPr>
        <w:instrText xml:space="preserve"> ADDIN ZOTERO_ITEM CSL_CITATION {"citationID":"38DTGz6G","properties":{"formattedCitation":"(2)","plainCitation":"(2)","noteIndex":0},"citationItems":[{"id":1003,"uris":["http://zotero.org/users/local/g0Xo7BsA/items/QBIPGEN6"],"itemData":{"id":1003,"type":"article-journal","abstract":"Abstract\n            \n              Introduction\n              Cerebral small vessel disease is increasingly linked to dementia.\n            \n            \n              Methods\n              We systematically searched Medline, Embase, and Cochrane databases for prospective population‐based studies addressing associations of white matter hyperintensities, covert brain infarcts (i.e., clinically silent infarcts), and cerebral microbleeds with risk of all‐dementia or Alzheimer's disease and performed meta‐analyses.\n            \n            \n              Results\n              We identified 11 studies on white matter hyperintensities, covert brain infarcts, or cerebral microbleeds with risk of all‐dementia or Alzheimer's disease. Pooled analyses showed an association of white matter hyperintensity volume and a borderline association of covert brain infarcts with risk of all‐dementia (hazard ratio: 1.39 [95% confidence interval: 1.00; 1.94], N = 3913, and 1.47 [95% confidence interval: 0.97; 2.22], N = 8296). Microbleeds were not statistically significantly associated with an increased risk of all‐dementia (hazard ratio: 1.25 [95% confidence interval: 0.66; 2.38], N = 8739).\n            \n            \n              Discussion\n              White matter hyperintensities are associated with an increased risk of all‐dementia and Alzheimer's disease in the general population. However, studies are warranted to further determine the role of markers of cerebral small vessel disease in dementia.","container-title":"Alzheimer's &amp; Dementia","DOI":"10.1016/j.jalz.2018.04.007","ISSN":"1552-5260, 1552-5279","issue":"11","journalAbbreviation":"Alzheimer's &amp;amp; Dementia","language":"en","page":"1482-1492","source":"DOI.org (Crossref)","title":"Cerebral small vessel disease and the risk of dementia: A systematic review and meta‐analysis of population‐based evidence","title-short":"Cerebral small vessel disease and the risk of dementia","volume":"14","author":[{"family":"Bos","given":"Daniel"},{"family":"Wolters","given":"Frank J."},{"family":"Darweesh","given":"Sirwan K.L."},{"family":"Vernooij","given":"Meike W."},{"family":"De Wolf","given":"Frank"},{"family":"Ikram","given":"M. Arfan"},{"family":"Hofman","given":"Albert"}],"issued":{"date-parts":[["2018",11]]}}}],"schema":"https://github.com/citation-style-language/schema/raw/master/csl-citation.json"} </w:instrText>
      </w:r>
      <w:r w:rsidR="00732CC9">
        <w:rPr>
          <w:iCs/>
          <w:sz w:val="24"/>
          <w:szCs w:val="24"/>
        </w:rPr>
        <w:fldChar w:fldCharType="separate"/>
      </w:r>
      <w:r w:rsidR="00732CC9" w:rsidRPr="00732CC9">
        <w:rPr>
          <w:sz w:val="24"/>
        </w:rPr>
        <w:t>(2)</w:t>
      </w:r>
      <w:r w:rsidR="00732CC9">
        <w:rPr>
          <w:iCs/>
          <w:sz w:val="24"/>
          <w:szCs w:val="24"/>
        </w:rPr>
        <w:fldChar w:fldCharType="end"/>
      </w:r>
      <w:r w:rsidR="00732CC9">
        <w:rPr>
          <w:iCs/>
          <w:sz w:val="24"/>
          <w:szCs w:val="24"/>
        </w:rPr>
        <w:t>.</w:t>
      </w:r>
    </w:p>
    <w:p w14:paraId="5B234CCB" w14:textId="2D8BA7DB" w:rsidR="000C4D09" w:rsidRPr="004069E2" w:rsidRDefault="000C4D09" w:rsidP="000C4D09">
      <w:pPr>
        <w:rPr>
          <w:b/>
          <w:sz w:val="28"/>
          <w:szCs w:val="28"/>
        </w:rPr>
      </w:pPr>
      <w:r>
        <w:rPr>
          <w:b/>
          <w:sz w:val="28"/>
          <w:szCs w:val="28"/>
        </w:rPr>
        <w:t>Donners_2021</w:t>
      </w:r>
    </w:p>
    <w:p w14:paraId="1FB6BAD8" w14:textId="77777777" w:rsidR="000C4D09" w:rsidRPr="000C4D09" w:rsidRDefault="000C4D09" w:rsidP="000C4D09">
      <w:pPr>
        <w:rPr>
          <w:i/>
          <w:sz w:val="24"/>
          <w:szCs w:val="24"/>
        </w:rPr>
      </w:pPr>
      <w:r w:rsidRPr="000C4D09">
        <w:rPr>
          <w:i/>
          <w:sz w:val="24"/>
          <w:szCs w:val="24"/>
        </w:rPr>
        <w:t>"""</w:t>
      </w:r>
    </w:p>
    <w:p w14:paraId="402AB7CD" w14:textId="77777777" w:rsidR="000C4D09" w:rsidRPr="000C4D09" w:rsidRDefault="000C4D09" w:rsidP="000C4D09">
      <w:pPr>
        <w:rPr>
          <w:i/>
          <w:sz w:val="24"/>
          <w:szCs w:val="24"/>
        </w:rPr>
      </w:pPr>
      <w:r w:rsidRPr="000C4D09">
        <w:rPr>
          <w:i/>
          <w:sz w:val="24"/>
          <w:szCs w:val="24"/>
        </w:rPr>
        <w:t xml:space="preserve">        The following inclusion criteria are applied: </w:t>
      </w:r>
      <w:proofErr w:type="spellStart"/>
      <w:r w:rsidRPr="000C4D09">
        <w:rPr>
          <w:i/>
          <w:sz w:val="24"/>
          <w:szCs w:val="24"/>
        </w:rPr>
        <w:t>emicizumab</w:t>
      </w:r>
      <w:proofErr w:type="spellEnd"/>
    </w:p>
    <w:p w14:paraId="41DA0A51" w14:textId="77777777" w:rsidR="000C4D09" w:rsidRPr="000C4D09" w:rsidRDefault="000C4D09" w:rsidP="000C4D09">
      <w:pPr>
        <w:rPr>
          <w:i/>
          <w:sz w:val="24"/>
          <w:szCs w:val="24"/>
        </w:rPr>
      </w:pPr>
      <w:r w:rsidRPr="000C4D09">
        <w:rPr>
          <w:i/>
          <w:sz w:val="24"/>
          <w:szCs w:val="24"/>
        </w:rPr>
        <w:t xml:space="preserve">        studies providing (1) data on humans, (2) original PK data or</w:t>
      </w:r>
    </w:p>
    <w:p w14:paraId="64CA8CE8" w14:textId="77777777" w:rsidR="000C4D09" w:rsidRPr="000C4D09" w:rsidRDefault="000C4D09" w:rsidP="000C4D09">
      <w:pPr>
        <w:rPr>
          <w:i/>
          <w:sz w:val="24"/>
          <w:szCs w:val="24"/>
        </w:rPr>
      </w:pPr>
      <w:r w:rsidRPr="000C4D09">
        <w:rPr>
          <w:i/>
          <w:sz w:val="24"/>
          <w:szCs w:val="24"/>
        </w:rPr>
        <w:t xml:space="preserve">        modeled PK data or PK/PD relationships, and (3) access to</w:t>
      </w:r>
    </w:p>
    <w:p w14:paraId="498C850F" w14:textId="77777777" w:rsidR="000C4D09" w:rsidRPr="000C4D09" w:rsidRDefault="000C4D09" w:rsidP="000C4D09">
      <w:pPr>
        <w:rPr>
          <w:i/>
          <w:sz w:val="24"/>
          <w:szCs w:val="24"/>
        </w:rPr>
      </w:pPr>
      <w:r w:rsidRPr="000C4D09">
        <w:rPr>
          <w:i/>
          <w:sz w:val="24"/>
          <w:szCs w:val="24"/>
        </w:rPr>
        <w:t xml:space="preserve">        the abstract and the full text in English. In the event of doubt</w:t>
      </w:r>
    </w:p>
    <w:p w14:paraId="2ED9760E" w14:textId="77777777" w:rsidR="000C4D09" w:rsidRPr="000C4D09" w:rsidRDefault="000C4D09" w:rsidP="000C4D09">
      <w:pPr>
        <w:rPr>
          <w:i/>
          <w:sz w:val="24"/>
          <w:szCs w:val="24"/>
        </w:rPr>
      </w:pPr>
      <w:r w:rsidRPr="000C4D09">
        <w:rPr>
          <w:i/>
          <w:sz w:val="24"/>
          <w:szCs w:val="24"/>
        </w:rPr>
        <w:t xml:space="preserve">        regarding eligibility, the records or articles should be included.</w:t>
      </w:r>
    </w:p>
    <w:p w14:paraId="10244978" w14:textId="58BFD7BB" w:rsidR="000C4D09" w:rsidRPr="004A74A9" w:rsidRDefault="000C4D09" w:rsidP="000C4D09">
      <w:pPr>
        <w:rPr>
          <w:i/>
          <w:sz w:val="24"/>
          <w:szCs w:val="24"/>
          <w:lang w:val="fr-FR"/>
        </w:rPr>
      </w:pPr>
      <w:r w:rsidRPr="004A74A9">
        <w:rPr>
          <w:i/>
          <w:sz w:val="24"/>
          <w:szCs w:val="24"/>
          <w:lang w:val="fr-FR"/>
        </w:rPr>
        <w:t>"""</w:t>
      </w:r>
    </w:p>
    <w:p w14:paraId="12B18F65" w14:textId="239751BA" w:rsidR="00A97A45" w:rsidRPr="004A74A9" w:rsidRDefault="00A97A45" w:rsidP="000C4D09">
      <w:pPr>
        <w:rPr>
          <w:i/>
          <w:sz w:val="24"/>
          <w:szCs w:val="24"/>
        </w:rPr>
      </w:pPr>
      <w:proofErr w:type="spellStart"/>
      <w:r w:rsidRPr="00A97A45">
        <w:rPr>
          <w:iCs/>
          <w:sz w:val="24"/>
          <w:szCs w:val="24"/>
          <w:lang w:val="fr-FR"/>
        </w:rPr>
        <w:t>based</w:t>
      </w:r>
      <w:proofErr w:type="spellEnd"/>
      <w:r w:rsidRPr="00A97A45">
        <w:rPr>
          <w:iCs/>
          <w:sz w:val="24"/>
          <w:szCs w:val="24"/>
          <w:lang w:val="fr-FR"/>
        </w:rPr>
        <w:t xml:space="preserve"> on </w:t>
      </w:r>
      <w:proofErr w:type="spellStart"/>
      <w:r w:rsidRPr="00A97A45">
        <w:rPr>
          <w:iCs/>
          <w:sz w:val="24"/>
          <w:szCs w:val="24"/>
          <w:lang w:val="fr-FR"/>
        </w:rPr>
        <w:t>Donners</w:t>
      </w:r>
      <w:proofErr w:type="spellEnd"/>
      <w:r w:rsidRPr="00A97A45">
        <w:rPr>
          <w:iCs/>
          <w:sz w:val="24"/>
          <w:szCs w:val="24"/>
          <w:lang w:val="fr-FR"/>
        </w:rPr>
        <w:t xml:space="preserve"> et</w:t>
      </w:r>
      <w:r>
        <w:rPr>
          <w:iCs/>
          <w:sz w:val="24"/>
          <w:szCs w:val="24"/>
          <w:lang w:val="fr-FR"/>
        </w:rPr>
        <w:t xml:space="preserve"> al.</w:t>
      </w:r>
      <w:r w:rsidR="00732CC9">
        <w:rPr>
          <w:iCs/>
          <w:sz w:val="24"/>
          <w:szCs w:val="24"/>
          <w:lang w:val="fr-FR"/>
        </w:rPr>
        <w:t xml:space="preserve"> </w:t>
      </w:r>
      <w:r w:rsidR="00732CC9">
        <w:rPr>
          <w:iCs/>
          <w:sz w:val="24"/>
          <w:szCs w:val="24"/>
          <w:lang w:val="fr-FR"/>
        </w:rPr>
        <w:fldChar w:fldCharType="begin"/>
      </w:r>
      <w:r w:rsidR="00732CC9">
        <w:rPr>
          <w:iCs/>
          <w:sz w:val="24"/>
          <w:szCs w:val="24"/>
          <w:lang w:val="fr-FR"/>
        </w:rPr>
        <w:instrText xml:space="preserve"> ADDIN ZOTERO_ITEM CSL_CITATION {"citationID":"J5oAYfBd","properties":{"formattedCitation":"(3)","plainCitation":"(3)","noteIndex":0},"citationItems":[{"id":1004,"uris":["http://zotero.org/users/local/g0Xo7BsA/items/8CXKL3GE"],"itemData":{"id":1004,"type":"article-journal","container-title":"Clinical Pharmacokinetics","DOI":"10.1007/s40262-021-01042-w","ISSN":"0312-5963, 1179-1926","issue":"11","journalAbbreviation":"Clin Pharmacokinet","language":"en","page":"1395-1406","source":"DOI.org (Crossref)","title":"Pharmacokinetics and Associated Efficacy of Emicizumab in Humans: A Systematic Review","title-short":"Pharmacokinetics and Associated Efficacy of Emicizumab in Humans","volume":"60","author":[{"family":"Donners","given":"Anouk A. M. T."},{"family":"Rademaker","given":"Carin M. A."},{"family":"Bevers","given":"Lisanne A. H."},{"family":"Huitema","given":"Alwin D. R."},{"family":"Schutgens","given":"Roger E. G."},{"family":"Egberts","given":"Toine C. G."},{"family":"Fischer","given":"Kathelijn"}],"issued":{"date-parts":[["2021",11]]}}}],"schema":"https://github.com/citation-style-language/schema/raw/master/csl-citation.json"} </w:instrText>
      </w:r>
      <w:r w:rsidR="00732CC9">
        <w:rPr>
          <w:iCs/>
          <w:sz w:val="24"/>
          <w:szCs w:val="24"/>
          <w:lang w:val="fr-FR"/>
        </w:rPr>
        <w:fldChar w:fldCharType="separate"/>
      </w:r>
      <w:r w:rsidR="00732CC9" w:rsidRPr="00732CC9">
        <w:rPr>
          <w:sz w:val="24"/>
        </w:rPr>
        <w:t>(3)</w:t>
      </w:r>
      <w:r w:rsidR="00732CC9">
        <w:rPr>
          <w:iCs/>
          <w:sz w:val="24"/>
          <w:szCs w:val="24"/>
          <w:lang w:val="fr-FR"/>
        </w:rPr>
        <w:fldChar w:fldCharType="end"/>
      </w:r>
      <w:r w:rsidR="00732CC9" w:rsidRPr="004A74A9">
        <w:rPr>
          <w:iCs/>
          <w:sz w:val="24"/>
          <w:szCs w:val="24"/>
        </w:rPr>
        <w:t>.</w:t>
      </w:r>
    </w:p>
    <w:p w14:paraId="2086B91A" w14:textId="31CCC85A" w:rsidR="000C4D09" w:rsidRPr="004A74A9" w:rsidRDefault="000C4D09" w:rsidP="000C4D09">
      <w:pPr>
        <w:rPr>
          <w:b/>
          <w:sz w:val="28"/>
          <w:szCs w:val="28"/>
        </w:rPr>
      </w:pPr>
      <w:r w:rsidRPr="004A74A9">
        <w:rPr>
          <w:b/>
          <w:sz w:val="28"/>
          <w:szCs w:val="28"/>
        </w:rPr>
        <w:t>Jeyaraman_2021</w:t>
      </w:r>
    </w:p>
    <w:p w14:paraId="43CE765D" w14:textId="77777777" w:rsidR="000C4D09" w:rsidRPr="000C4D09" w:rsidRDefault="000C4D09" w:rsidP="000C4D09">
      <w:pPr>
        <w:rPr>
          <w:i/>
          <w:sz w:val="24"/>
          <w:szCs w:val="24"/>
        </w:rPr>
      </w:pPr>
      <w:r w:rsidRPr="000C4D09">
        <w:rPr>
          <w:i/>
          <w:sz w:val="24"/>
          <w:szCs w:val="24"/>
        </w:rPr>
        <w:t>"""</w:t>
      </w:r>
    </w:p>
    <w:p w14:paraId="629FB556" w14:textId="77777777" w:rsidR="000C4D09" w:rsidRPr="000C4D09" w:rsidRDefault="000C4D09" w:rsidP="000C4D09">
      <w:pPr>
        <w:rPr>
          <w:i/>
          <w:sz w:val="24"/>
          <w:szCs w:val="24"/>
        </w:rPr>
      </w:pPr>
      <w:r w:rsidRPr="000C4D09">
        <w:rPr>
          <w:i/>
          <w:sz w:val="24"/>
          <w:szCs w:val="24"/>
        </w:rPr>
        <w:t xml:space="preserve">        Inclusion Criteria</w:t>
      </w:r>
    </w:p>
    <w:p w14:paraId="23FC7F22" w14:textId="77777777" w:rsidR="000C4D09" w:rsidRPr="000C4D09" w:rsidRDefault="000C4D09" w:rsidP="000C4D09">
      <w:pPr>
        <w:rPr>
          <w:i/>
          <w:sz w:val="24"/>
          <w:szCs w:val="24"/>
        </w:rPr>
      </w:pPr>
      <w:r w:rsidRPr="000C4D09">
        <w:rPr>
          <w:i/>
          <w:sz w:val="24"/>
          <w:szCs w:val="24"/>
        </w:rPr>
        <w:t xml:space="preserve">        Studies are included if they meet the following PICOS criteria:</w:t>
      </w:r>
    </w:p>
    <w:p w14:paraId="28A5FB7E" w14:textId="77777777" w:rsidR="000C4D09" w:rsidRPr="000C4D09" w:rsidRDefault="000C4D09" w:rsidP="000C4D09">
      <w:pPr>
        <w:rPr>
          <w:i/>
          <w:sz w:val="24"/>
          <w:szCs w:val="24"/>
        </w:rPr>
      </w:pPr>
      <w:r w:rsidRPr="000C4D09">
        <w:rPr>
          <w:i/>
          <w:sz w:val="24"/>
          <w:szCs w:val="24"/>
        </w:rPr>
        <w:t xml:space="preserve">        Population: Patients with knee osteoarthritis</w:t>
      </w:r>
    </w:p>
    <w:p w14:paraId="02ADD6D6" w14:textId="77777777" w:rsidR="000C4D09" w:rsidRPr="000C4D09" w:rsidRDefault="000C4D09" w:rsidP="000C4D09">
      <w:pPr>
        <w:rPr>
          <w:i/>
          <w:sz w:val="24"/>
          <w:szCs w:val="24"/>
        </w:rPr>
      </w:pPr>
      <w:r w:rsidRPr="000C4D09">
        <w:rPr>
          <w:i/>
          <w:sz w:val="24"/>
          <w:szCs w:val="24"/>
        </w:rPr>
        <w:t xml:space="preserve">        Intervention: MSC therapy</w:t>
      </w:r>
    </w:p>
    <w:p w14:paraId="62177CD9" w14:textId="77777777" w:rsidR="000C4D09" w:rsidRPr="000C4D09" w:rsidRDefault="000C4D09" w:rsidP="000C4D09">
      <w:pPr>
        <w:rPr>
          <w:i/>
          <w:sz w:val="24"/>
          <w:szCs w:val="24"/>
        </w:rPr>
      </w:pPr>
      <w:r w:rsidRPr="000C4D09">
        <w:rPr>
          <w:i/>
          <w:sz w:val="24"/>
          <w:szCs w:val="24"/>
        </w:rPr>
        <w:t xml:space="preserve">        Comparator: Usual care</w:t>
      </w:r>
    </w:p>
    <w:p w14:paraId="3A1D7803" w14:textId="77777777" w:rsidR="000C4D09" w:rsidRPr="000C4D09" w:rsidRDefault="000C4D09" w:rsidP="000C4D09">
      <w:pPr>
        <w:rPr>
          <w:i/>
          <w:sz w:val="24"/>
          <w:szCs w:val="24"/>
        </w:rPr>
      </w:pPr>
      <w:r w:rsidRPr="000C4D09">
        <w:rPr>
          <w:i/>
          <w:sz w:val="24"/>
          <w:szCs w:val="24"/>
        </w:rPr>
        <w:t xml:space="preserve">        Outcomes: Visual Analog Score (VAS) for Pain, Western Ontario McMaster Universities Osteoarthritis Index (WOMAC), Lysholm Knee Scale (Lysholm), Whole-Organ Magnetic Resonance Imaging Score (WORMS), Knee Osteoarthritis Outcome Score (KOOS), and adverse events</w:t>
      </w:r>
    </w:p>
    <w:p w14:paraId="1791DA24" w14:textId="77777777" w:rsidR="000C4D09" w:rsidRPr="000C4D09" w:rsidRDefault="000C4D09" w:rsidP="000C4D09">
      <w:pPr>
        <w:rPr>
          <w:i/>
          <w:sz w:val="24"/>
          <w:szCs w:val="24"/>
        </w:rPr>
      </w:pPr>
      <w:r w:rsidRPr="000C4D09">
        <w:rPr>
          <w:i/>
          <w:sz w:val="24"/>
          <w:szCs w:val="24"/>
        </w:rPr>
        <w:t xml:space="preserve">        Study Design: Randomized controlled trials</w:t>
      </w:r>
    </w:p>
    <w:p w14:paraId="516A62C1" w14:textId="77777777" w:rsidR="000C4D09" w:rsidRPr="000C4D09" w:rsidRDefault="000C4D09" w:rsidP="000C4D09">
      <w:pPr>
        <w:rPr>
          <w:i/>
          <w:sz w:val="24"/>
          <w:szCs w:val="24"/>
        </w:rPr>
      </w:pPr>
      <w:r w:rsidRPr="000C4D09">
        <w:rPr>
          <w:i/>
          <w:sz w:val="24"/>
          <w:szCs w:val="24"/>
        </w:rPr>
        <w:t xml:space="preserve">        Exclusion Criteria</w:t>
      </w:r>
    </w:p>
    <w:p w14:paraId="795B717B" w14:textId="77777777" w:rsidR="000C4D09" w:rsidRPr="000C4D09" w:rsidRDefault="000C4D09" w:rsidP="000C4D09">
      <w:pPr>
        <w:rPr>
          <w:i/>
          <w:sz w:val="24"/>
          <w:szCs w:val="24"/>
        </w:rPr>
      </w:pPr>
      <w:r w:rsidRPr="000C4D09">
        <w:rPr>
          <w:i/>
          <w:sz w:val="24"/>
          <w:szCs w:val="24"/>
        </w:rPr>
        <w:t xml:space="preserve">        Trials are excluded if they had the following characteristics:</w:t>
      </w:r>
    </w:p>
    <w:p w14:paraId="441D870D" w14:textId="77777777" w:rsidR="000C4D09" w:rsidRPr="000C4D09" w:rsidRDefault="000C4D09" w:rsidP="000C4D09">
      <w:pPr>
        <w:rPr>
          <w:i/>
          <w:sz w:val="24"/>
          <w:szCs w:val="24"/>
        </w:rPr>
      </w:pPr>
      <w:r w:rsidRPr="000C4D09">
        <w:rPr>
          <w:i/>
          <w:sz w:val="24"/>
          <w:szCs w:val="24"/>
        </w:rPr>
        <w:t xml:space="preserve">        1. Observational studies and interventional studies without a comparator group</w:t>
      </w:r>
    </w:p>
    <w:p w14:paraId="3BD2D1DE" w14:textId="77777777" w:rsidR="000C4D09" w:rsidRPr="000C4D09" w:rsidRDefault="000C4D09" w:rsidP="000C4D09">
      <w:pPr>
        <w:rPr>
          <w:i/>
          <w:sz w:val="24"/>
          <w:szCs w:val="24"/>
        </w:rPr>
      </w:pPr>
      <w:r w:rsidRPr="000C4D09">
        <w:rPr>
          <w:i/>
          <w:sz w:val="24"/>
          <w:szCs w:val="24"/>
        </w:rPr>
        <w:t xml:space="preserve">        2. Animal studies involving stem cell therapy for knee osteoarthritis models</w:t>
      </w:r>
    </w:p>
    <w:p w14:paraId="21CA0AD1" w14:textId="77777777" w:rsidR="000C4D09" w:rsidRPr="000C4D09" w:rsidRDefault="000C4D09" w:rsidP="000C4D09">
      <w:pPr>
        <w:rPr>
          <w:i/>
          <w:sz w:val="24"/>
          <w:szCs w:val="24"/>
        </w:rPr>
      </w:pPr>
      <w:r w:rsidRPr="000C4D09">
        <w:rPr>
          <w:i/>
          <w:sz w:val="24"/>
          <w:szCs w:val="24"/>
        </w:rPr>
        <w:t xml:space="preserve">        3. Review</w:t>
      </w:r>
    </w:p>
    <w:p w14:paraId="2B98D095" w14:textId="2ABC2201" w:rsidR="000C4D09" w:rsidRDefault="000C4D09" w:rsidP="000C4D09">
      <w:pPr>
        <w:rPr>
          <w:i/>
          <w:sz w:val="24"/>
          <w:szCs w:val="24"/>
        </w:rPr>
      </w:pPr>
      <w:r w:rsidRPr="000C4D09">
        <w:rPr>
          <w:i/>
          <w:sz w:val="24"/>
          <w:szCs w:val="24"/>
        </w:rPr>
        <w:lastRenderedPageBreak/>
        <w:t>"""</w:t>
      </w:r>
    </w:p>
    <w:p w14:paraId="7C4A6163" w14:textId="7DCDF151" w:rsidR="00A97A45" w:rsidRDefault="00A97A45" w:rsidP="000C4D09">
      <w:pPr>
        <w:rPr>
          <w:i/>
          <w:sz w:val="24"/>
          <w:szCs w:val="24"/>
        </w:rPr>
      </w:pPr>
      <w:r>
        <w:rPr>
          <w:iCs/>
          <w:sz w:val="24"/>
          <w:szCs w:val="24"/>
        </w:rPr>
        <w:t>based on Jeyaraman et al.</w:t>
      </w:r>
      <w:r w:rsidR="00732CC9">
        <w:rPr>
          <w:iCs/>
          <w:sz w:val="24"/>
          <w:szCs w:val="24"/>
        </w:rPr>
        <w:t xml:space="preserve"> </w:t>
      </w:r>
      <w:r w:rsidR="00732CC9">
        <w:rPr>
          <w:iCs/>
          <w:sz w:val="24"/>
          <w:szCs w:val="24"/>
        </w:rPr>
        <w:fldChar w:fldCharType="begin"/>
      </w:r>
      <w:r w:rsidR="00732CC9">
        <w:rPr>
          <w:iCs/>
          <w:sz w:val="24"/>
          <w:szCs w:val="24"/>
        </w:rPr>
        <w:instrText xml:space="preserve"> ADDIN ZOTERO_ITEM CSL_CITATION {"citationID":"U20uk1FJ","properties":{"formattedCitation":"(4)","plainCitation":"(4)","noteIndex":0},"citationItems":[{"id":1006,"uris":["http://zotero.org/users/local/g0Xo7BsA/items/KKJJEBXU"],"itemData":{"id":1006,"type":"article-journal","abstract":"Study Design\n              Meta-analysis.\n            \n            \n              Objectives\n              To compare the efficacy and safety of bone marrow(BM)–derived mesenchymal stem cell(MSCs) and adipose-derived(AD) MSCs in the management of osteoarthritis of knee from randomized controlled trials(RCTs) available in the literature.\n            \n            \n              Materials and Methods\n              We conducted electronic database searche from PubMed, Embase, and Cochrane Library till May 2020 for RCTs analyzing the efficacy and safety of MSCs in management of osteoarthritis of knee. Visual Analog Score(VAS) for Pain, Western Ontario McMaster Universities Osteoarthritis Index(WOMAC), Lysholm Knee Scale(Lysholm), Whole-Organ Magnetic Resonance Imaging Score(WORMS), Knee Osteoarthritis Outcome Score(KOOS), and adverse events were the outcomes analyzed. Analysis was performed in R platform using OpenMeta[Analyst] software.\n            \n            \n              Results\n              Nineteen studies involving 811 patients were included for analysis. None of the studies compared the source of MSCs for osteoarthritis of knee and results were obtained by pooled data analysis of both sources. At 6 months, AD-MSCs showed significantly better VAS( P&lt;0.001, P=0.069) and WOMAC( P=0.134, P=0.441) improvement than BM-MSCs, respectively, compared to controls. At 1 year, AD-MSCs outperformed BM-MSCs compared to their control in measures like WOMAC( P=0.007, P=0.150), KOOS( P&lt;0.001; P=0.658), and WORMS( P&lt;0.001, P=0.041), respectively. Similarly at 24 months, AD-MSCs showed significantly better Lysholm score( P=0.037) than BM-MSCs( P=0.807) although VAS improvement was better with BM-MSCs at 24 months( P&lt;0.001). There were no significant adverse events with either of the MSCs compared to their controls.\n            \n            \n              Conclusion\n              Our analysis establishes the efficacy, safety, and superiority of AD-MSC transplantation, compared to BM-MSC, in the management of osteoarthritis of knee from available literature. Further RCTs are needed to evaluate them together with standardized doses.","container-title":"CARTILAGE","DOI":"10.1177/1947603520951623","ISSN":"1947-6035, 1947-6043","issue":"1_suppl","journalAbbreviation":"CARTILAGE","language":"en","page":"1532S-1547S","source":"DOI.org (Crossref)","title":"Does the Source of Mesenchymal Stem Cell Have an Effect in the Management of Osteoarthritis of the Knee? Meta-Analysis of Randomized Controlled Trials","title-short":"Does the Source of Mesenchymal Stem Cell Have an Effect in the Management of Osteoarthritis of the Knee?","volume":"13","author":[{"family":"Jeyaraman","given":"Madhan"},{"family":"Muthu","given":"Sathish"},{"family":"Ganie","given":"Parvez Ahmad"}],"issued":{"date-parts":[["2021",12]]}}}],"schema":"https://github.com/citation-style-language/schema/raw/master/csl-citation.json"} </w:instrText>
      </w:r>
      <w:r w:rsidR="00732CC9">
        <w:rPr>
          <w:iCs/>
          <w:sz w:val="24"/>
          <w:szCs w:val="24"/>
        </w:rPr>
        <w:fldChar w:fldCharType="separate"/>
      </w:r>
      <w:r w:rsidR="00732CC9" w:rsidRPr="00732CC9">
        <w:rPr>
          <w:sz w:val="24"/>
        </w:rPr>
        <w:t>(4)</w:t>
      </w:r>
      <w:r w:rsidR="00732CC9">
        <w:rPr>
          <w:iCs/>
          <w:sz w:val="24"/>
          <w:szCs w:val="24"/>
        </w:rPr>
        <w:fldChar w:fldCharType="end"/>
      </w:r>
      <w:r w:rsidR="00732CC9">
        <w:rPr>
          <w:iCs/>
          <w:sz w:val="24"/>
          <w:szCs w:val="24"/>
        </w:rPr>
        <w:t>.</w:t>
      </w:r>
    </w:p>
    <w:p w14:paraId="6219F610" w14:textId="7736F8B5" w:rsidR="000C4D09" w:rsidRDefault="000C4D09" w:rsidP="000C4D09">
      <w:pPr>
        <w:rPr>
          <w:b/>
          <w:sz w:val="28"/>
          <w:szCs w:val="28"/>
        </w:rPr>
      </w:pPr>
      <w:r>
        <w:rPr>
          <w:b/>
          <w:sz w:val="28"/>
          <w:szCs w:val="28"/>
        </w:rPr>
        <w:t>Leenaars_2020</w:t>
      </w:r>
    </w:p>
    <w:p w14:paraId="0C045E0A" w14:textId="77777777" w:rsidR="000C4D09" w:rsidRPr="000C4D09" w:rsidRDefault="000C4D09" w:rsidP="000C4D09">
      <w:pPr>
        <w:rPr>
          <w:i/>
          <w:sz w:val="24"/>
          <w:szCs w:val="24"/>
        </w:rPr>
      </w:pPr>
      <w:r w:rsidRPr="000C4D09">
        <w:rPr>
          <w:i/>
          <w:sz w:val="24"/>
          <w:szCs w:val="24"/>
        </w:rPr>
        <w:t>"""</w:t>
      </w:r>
    </w:p>
    <w:p w14:paraId="1E986879" w14:textId="77777777" w:rsidR="000C4D09" w:rsidRPr="000C4D09" w:rsidRDefault="000C4D09" w:rsidP="000C4D09">
      <w:pPr>
        <w:rPr>
          <w:i/>
          <w:sz w:val="24"/>
          <w:szCs w:val="24"/>
        </w:rPr>
      </w:pPr>
      <w:r w:rsidRPr="000C4D09">
        <w:rPr>
          <w:i/>
          <w:sz w:val="24"/>
          <w:szCs w:val="24"/>
        </w:rPr>
        <w:t xml:space="preserve">        Inclusion of all studies in which </w:t>
      </w:r>
      <w:proofErr w:type="spellStart"/>
      <w:r w:rsidRPr="000C4D09">
        <w:rPr>
          <w:i/>
          <w:sz w:val="24"/>
          <w:szCs w:val="24"/>
        </w:rPr>
        <w:t>methotrexat</w:t>
      </w:r>
      <w:proofErr w:type="spellEnd"/>
      <w:r w:rsidRPr="000C4D09">
        <w:rPr>
          <w:i/>
          <w:sz w:val="24"/>
          <w:szCs w:val="24"/>
        </w:rPr>
        <w:t xml:space="preserve"> (MTX) was administered to rheumatoid arthritis (RA) patients or RA animal models. </w:t>
      </w:r>
    </w:p>
    <w:p w14:paraId="57EC9E55" w14:textId="77777777" w:rsidR="000C4D09" w:rsidRPr="000C4D09" w:rsidRDefault="000C4D09" w:rsidP="000C4D09">
      <w:pPr>
        <w:rPr>
          <w:i/>
          <w:sz w:val="24"/>
          <w:szCs w:val="24"/>
        </w:rPr>
      </w:pPr>
      <w:r w:rsidRPr="000C4D09">
        <w:rPr>
          <w:i/>
          <w:sz w:val="24"/>
          <w:szCs w:val="24"/>
        </w:rPr>
        <w:t xml:space="preserve">        Exclusion of studies on other diseases than RA, studies that were not in vivo,</w:t>
      </w:r>
    </w:p>
    <w:p w14:paraId="2B82FB72" w14:textId="77777777" w:rsidR="000C4D09" w:rsidRPr="000C4D09" w:rsidRDefault="000C4D09" w:rsidP="000C4D09">
      <w:pPr>
        <w:rPr>
          <w:i/>
          <w:sz w:val="24"/>
          <w:szCs w:val="24"/>
        </w:rPr>
      </w:pPr>
      <w:r w:rsidRPr="000C4D09">
        <w:rPr>
          <w:i/>
          <w:sz w:val="24"/>
          <w:szCs w:val="24"/>
        </w:rPr>
        <w:t xml:space="preserve">        studies that did not administer MTX (or only had treatment groups co-administering MTX with other</w:t>
      </w:r>
    </w:p>
    <w:p w14:paraId="5AF512B6" w14:textId="77777777" w:rsidR="000C4D09" w:rsidRPr="000C4D09" w:rsidRDefault="000C4D09" w:rsidP="000C4D09">
      <w:pPr>
        <w:rPr>
          <w:i/>
          <w:sz w:val="24"/>
          <w:szCs w:val="24"/>
        </w:rPr>
      </w:pPr>
      <w:r w:rsidRPr="000C4D09">
        <w:rPr>
          <w:i/>
          <w:sz w:val="24"/>
          <w:szCs w:val="24"/>
        </w:rPr>
        <w:t xml:space="preserve">        experimental drugs), studies that did not </w:t>
      </w:r>
      <w:proofErr w:type="spellStart"/>
      <w:r w:rsidRPr="000C4D09">
        <w:rPr>
          <w:i/>
          <w:sz w:val="24"/>
          <w:szCs w:val="24"/>
        </w:rPr>
        <w:t>analyse</w:t>
      </w:r>
      <w:proofErr w:type="spellEnd"/>
      <w:r w:rsidRPr="000C4D09">
        <w:rPr>
          <w:i/>
          <w:sz w:val="24"/>
          <w:szCs w:val="24"/>
        </w:rPr>
        <w:t xml:space="preserve"> efficacy (e.g., safety studies), and publications that</w:t>
      </w:r>
    </w:p>
    <w:p w14:paraId="06DBC935" w14:textId="77777777" w:rsidR="000C4D09" w:rsidRPr="000C4D09" w:rsidRDefault="000C4D09" w:rsidP="000C4D09">
      <w:pPr>
        <w:rPr>
          <w:i/>
          <w:sz w:val="24"/>
          <w:szCs w:val="24"/>
        </w:rPr>
      </w:pPr>
      <w:r w:rsidRPr="000C4D09">
        <w:rPr>
          <w:i/>
          <w:sz w:val="24"/>
          <w:szCs w:val="24"/>
        </w:rPr>
        <w:t xml:space="preserve">        do not contain new data (e.g., reviews and editorials).</w:t>
      </w:r>
    </w:p>
    <w:p w14:paraId="06360993" w14:textId="057C99F1" w:rsidR="000C4D09" w:rsidRPr="004A74A9" w:rsidRDefault="000C4D09" w:rsidP="000C4D09">
      <w:pPr>
        <w:rPr>
          <w:i/>
          <w:sz w:val="24"/>
          <w:szCs w:val="24"/>
          <w:lang w:val="nl-NL"/>
        </w:rPr>
      </w:pPr>
      <w:r w:rsidRPr="004A74A9">
        <w:rPr>
          <w:i/>
          <w:sz w:val="24"/>
          <w:szCs w:val="24"/>
          <w:lang w:val="nl-NL"/>
        </w:rPr>
        <w:t>"""</w:t>
      </w:r>
    </w:p>
    <w:p w14:paraId="6D6D74F2" w14:textId="1AAEBBCA" w:rsidR="00A97A45" w:rsidRPr="004A74A9" w:rsidRDefault="00A97A45" w:rsidP="000C4D09">
      <w:pPr>
        <w:rPr>
          <w:i/>
          <w:sz w:val="24"/>
          <w:szCs w:val="24"/>
          <w:lang w:val="nl-NL"/>
        </w:rPr>
      </w:pPr>
      <w:proofErr w:type="spellStart"/>
      <w:r w:rsidRPr="004A74A9">
        <w:rPr>
          <w:iCs/>
          <w:sz w:val="24"/>
          <w:szCs w:val="24"/>
          <w:lang w:val="nl-NL"/>
        </w:rPr>
        <w:t>based</w:t>
      </w:r>
      <w:proofErr w:type="spellEnd"/>
      <w:r w:rsidRPr="004A74A9">
        <w:rPr>
          <w:iCs/>
          <w:sz w:val="24"/>
          <w:szCs w:val="24"/>
          <w:lang w:val="nl-NL"/>
        </w:rPr>
        <w:t xml:space="preserve"> on Leenaars et al.</w:t>
      </w:r>
      <w:r w:rsidR="00732CC9" w:rsidRPr="004A74A9">
        <w:rPr>
          <w:iCs/>
          <w:sz w:val="24"/>
          <w:szCs w:val="24"/>
          <w:lang w:val="nl-NL"/>
        </w:rPr>
        <w:t xml:space="preserve"> </w:t>
      </w:r>
      <w:r w:rsidR="00732CC9">
        <w:rPr>
          <w:iCs/>
          <w:sz w:val="24"/>
          <w:szCs w:val="24"/>
        </w:rPr>
        <w:fldChar w:fldCharType="begin"/>
      </w:r>
      <w:r w:rsidR="00732CC9" w:rsidRPr="004A74A9">
        <w:rPr>
          <w:iCs/>
          <w:sz w:val="24"/>
          <w:szCs w:val="24"/>
          <w:lang w:val="nl-NL"/>
        </w:rPr>
        <w:instrText xml:space="preserve"> ADDIN ZOTERO_ITEM CSL_CITATION {"citationID":"dOuFSYyB","properties":{"formattedCitation":"(5)","plainCitation":"(5)","noteIndex":0},"citationItems":[{"id":1008,"uris":["http://zotero.org/users/local/g0Xo7BsA/items/89XY7ZZY"],"itemData":{"id":1008,"type":"article-journal","abstract":"Increased awareness and understanding of current practices in translational research is required for informed decision making in drug development. This paper describes a systematic review of methotrexate for rheumatoid arthritis, comparing trial design between 147 animal and 512 human studies. Animal studies generally included fewer subjects than human studies, and less frequently reported randomisation and blinding. In relation to life span, study duration was comparable for animals and humans, but included animals were younger than included humans. Animal studies often comprised males only (61%), human studies always included females (98% included both sexes). Power calculations were poorly reported in both samples. Analyses of human studies more frequently comprised Chi-square tests, those of animal studies more frequently reported analyses of variance. Administration route was more variable, and more frequently reported in animal than human studies. Erythrocyte sedimentation rate and c-reactive protein were analysed more frequently in human than in animal studies. To conclude, experimental designs for animal and human studies are not optimally aligned. However, methotrexate is effective in treating rheumatoid arthritis in animal models and humans. Further evaluation of the available evidence in other research fields is needed to increase the understanding of translational success before we can optimise translational strategies.","container-title":"Animals","DOI":"10.3390/ani10061047","ISSN":"2076-2615","issue":"6","journalAbbreviation":"Animals","language":"en","page":"1047","source":"DOI.org (Crossref)","title":"A Systematic Review Comparing Experimental Design of Animal and Human Methotrexate Efficacy Studies for Rheumatoid Arthritis: Lessons for the Translational Value of Animal Studies","title-short":"A Systematic Review Comparing Experimental Design of Animal and Human Methotrexate Efficacy Studies for Rheumatoid Arthritis","volume":"10","author":[{"family":"Leenaars","given":"Cathalijn"},{"family":"Stafleu","given":"Frans"},{"family":"De Jong","given":"David"},{"family":"Van Berlo","given":"Maikel"},{"family":"Geurts","given":"Tijmen"},{"family":"Coenen-de Roo","given":"Tineke"},{"family":"Prins","given":"Jan-Bas"},{"family":"Kempkes","given":"Rosalie"},{"family":"Elzinga","given":"Janneke"},{"family":"Bleich","given":"André"},{"family":"De Vries","given":"Rob"},{"family":"Meijboom","given":"Franck"},{"family":"Ritskes-Hoitinga","given":"Merel"}],"issued":{"date-parts":[["2020",6,17]]}}}],"schema":"https://github.com/citation-style-language/schema/raw/master/csl-citation.json"} </w:instrText>
      </w:r>
      <w:r w:rsidR="00732CC9">
        <w:rPr>
          <w:iCs/>
          <w:sz w:val="24"/>
          <w:szCs w:val="24"/>
        </w:rPr>
        <w:fldChar w:fldCharType="separate"/>
      </w:r>
      <w:r w:rsidR="00732CC9" w:rsidRPr="004A74A9">
        <w:rPr>
          <w:sz w:val="24"/>
          <w:lang w:val="nl-NL"/>
        </w:rPr>
        <w:t>(5)</w:t>
      </w:r>
      <w:r w:rsidR="00732CC9">
        <w:rPr>
          <w:iCs/>
          <w:sz w:val="24"/>
          <w:szCs w:val="24"/>
        </w:rPr>
        <w:fldChar w:fldCharType="end"/>
      </w:r>
      <w:r w:rsidR="00732CC9" w:rsidRPr="004A74A9">
        <w:rPr>
          <w:iCs/>
          <w:sz w:val="24"/>
          <w:szCs w:val="24"/>
          <w:lang w:val="nl-NL"/>
        </w:rPr>
        <w:t>.</w:t>
      </w:r>
    </w:p>
    <w:p w14:paraId="2F706670" w14:textId="592DA33B" w:rsidR="000C4D09" w:rsidRPr="004A74A9" w:rsidRDefault="000C4D09" w:rsidP="000C4D09">
      <w:pPr>
        <w:rPr>
          <w:b/>
          <w:sz w:val="28"/>
          <w:szCs w:val="28"/>
          <w:lang w:val="nl-NL"/>
        </w:rPr>
      </w:pPr>
      <w:r w:rsidRPr="004A74A9">
        <w:rPr>
          <w:b/>
          <w:sz w:val="28"/>
          <w:szCs w:val="28"/>
          <w:lang w:val="nl-NL"/>
        </w:rPr>
        <w:t>Meijboom_2021</w:t>
      </w:r>
    </w:p>
    <w:p w14:paraId="69DC94C5" w14:textId="77777777" w:rsidR="000C4D09" w:rsidRPr="000C4D09" w:rsidRDefault="000C4D09" w:rsidP="000C4D09">
      <w:pPr>
        <w:rPr>
          <w:i/>
          <w:sz w:val="24"/>
          <w:szCs w:val="24"/>
        </w:rPr>
      </w:pPr>
      <w:r w:rsidRPr="000C4D09">
        <w:rPr>
          <w:i/>
          <w:sz w:val="24"/>
          <w:szCs w:val="24"/>
        </w:rPr>
        <w:t>"""</w:t>
      </w:r>
    </w:p>
    <w:p w14:paraId="4E443397" w14:textId="77777777" w:rsidR="000C4D09" w:rsidRPr="000C4D09" w:rsidRDefault="000C4D09" w:rsidP="000C4D09">
      <w:pPr>
        <w:rPr>
          <w:i/>
          <w:sz w:val="24"/>
          <w:szCs w:val="24"/>
        </w:rPr>
      </w:pPr>
      <w:r w:rsidRPr="000C4D09">
        <w:rPr>
          <w:i/>
          <w:sz w:val="24"/>
          <w:szCs w:val="24"/>
        </w:rPr>
        <w:t xml:space="preserve">        Articles are included if they meet the</w:t>
      </w:r>
    </w:p>
    <w:p w14:paraId="297C0285" w14:textId="77777777" w:rsidR="000C4D09" w:rsidRPr="000C4D09" w:rsidRDefault="000C4D09" w:rsidP="000C4D09">
      <w:pPr>
        <w:rPr>
          <w:i/>
          <w:sz w:val="24"/>
          <w:szCs w:val="24"/>
        </w:rPr>
      </w:pPr>
      <w:r w:rsidRPr="000C4D09">
        <w:rPr>
          <w:i/>
          <w:sz w:val="24"/>
          <w:szCs w:val="24"/>
        </w:rPr>
        <w:t xml:space="preserve">        following criteria: (1) study involved transitioning from a</w:t>
      </w:r>
    </w:p>
    <w:p w14:paraId="157979EB" w14:textId="77777777" w:rsidR="000C4D09" w:rsidRPr="000C4D09" w:rsidRDefault="000C4D09" w:rsidP="000C4D09">
      <w:pPr>
        <w:rPr>
          <w:i/>
          <w:sz w:val="24"/>
          <w:szCs w:val="24"/>
        </w:rPr>
      </w:pPr>
      <w:r w:rsidRPr="000C4D09">
        <w:rPr>
          <w:i/>
          <w:sz w:val="24"/>
          <w:szCs w:val="24"/>
        </w:rPr>
        <w:t xml:space="preserve">        TNF-alpha inhibitor (including etanercept, infliximab, and adalimumab)</w:t>
      </w:r>
    </w:p>
    <w:p w14:paraId="7046D86D" w14:textId="77777777" w:rsidR="000C4D09" w:rsidRPr="000C4D09" w:rsidRDefault="000C4D09" w:rsidP="000C4D09">
      <w:pPr>
        <w:rPr>
          <w:i/>
          <w:sz w:val="24"/>
          <w:szCs w:val="24"/>
        </w:rPr>
      </w:pPr>
      <w:r w:rsidRPr="000C4D09">
        <w:rPr>
          <w:i/>
          <w:sz w:val="24"/>
          <w:szCs w:val="24"/>
        </w:rPr>
        <w:t xml:space="preserve">        originator to a biosimilar, (2) the number of patients</w:t>
      </w:r>
    </w:p>
    <w:p w14:paraId="68E9C64E" w14:textId="77777777" w:rsidR="000C4D09" w:rsidRPr="000C4D09" w:rsidRDefault="000C4D09" w:rsidP="000C4D09">
      <w:pPr>
        <w:rPr>
          <w:i/>
          <w:sz w:val="24"/>
          <w:szCs w:val="24"/>
        </w:rPr>
      </w:pPr>
      <w:r w:rsidRPr="000C4D09">
        <w:rPr>
          <w:i/>
          <w:sz w:val="24"/>
          <w:szCs w:val="24"/>
        </w:rPr>
        <w:t xml:space="preserve">        who </w:t>
      </w:r>
      <w:proofErr w:type="spellStart"/>
      <w:r w:rsidRPr="000C4D09">
        <w:rPr>
          <w:i/>
          <w:sz w:val="24"/>
          <w:szCs w:val="24"/>
        </w:rPr>
        <w:t>retransitioned</w:t>
      </w:r>
      <w:proofErr w:type="spellEnd"/>
      <w:r w:rsidRPr="000C4D09">
        <w:rPr>
          <w:i/>
          <w:sz w:val="24"/>
          <w:szCs w:val="24"/>
        </w:rPr>
        <w:t xml:space="preserve"> is reported or can be calculated, (3)</w:t>
      </w:r>
    </w:p>
    <w:p w14:paraId="6B699026" w14:textId="77777777" w:rsidR="000C4D09" w:rsidRPr="000C4D09" w:rsidRDefault="000C4D09" w:rsidP="000C4D09">
      <w:pPr>
        <w:rPr>
          <w:i/>
          <w:sz w:val="24"/>
          <w:szCs w:val="24"/>
        </w:rPr>
      </w:pPr>
      <w:r w:rsidRPr="000C4D09">
        <w:rPr>
          <w:i/>
          <w:sz w:val="24"/>
          <w:szCs w:val="24"/>
        </w:rPr>
        <w:t xml:space="preserve">        the article is an original research article published in a</w:t>
      </w:r>
    </w:p>
    <w:p w14:paraId="4BCBFEA3" w14:textId="77777777" w:rsidR="000C4D09" w:rsidRPr="000C4D09" w:rsidRDefault="000C4D09" w:rsidP="000C4D09">
      <w:pPr>
        <w:rPr>
          <w:i/>
          <w:sz w:val="24"/>
          <w:szCs w:val="24"/>
        </w:rPr>
      </w:pPr>
      <w:r w:rsidRPr="000C4D09">
        <w:rPr>
          <w:i/>
          <w:sz w:val="24"/>
          <w:szCs w:val="24"/>
        </w:rPr>
        <w:t xml:space="preserve">        peer-reviewed journal, (4) the article included baseline</w:t>
      </w:r>
    </w:p>
    <w:p w14:paraId="6BF47E5E" w14:textId="77777777" w:rsidR="000C4D09" w:rsidRPr="000C4D09" w:rsidRDefault="000C4D09" w:rsidP="000C4D09">
      <w:pPr>
        <w:rPr>
          <w:i/>
          <w:sz w:val="24"/>
          <w:szCs w:val="24"/>
        </w:rPr>
      </w:pPr>
      <w:r w:rsidRPr="000C4D09">
        <w:rPr>
          <w:i/>
          <w:sz w:val="24"/>
          <w:szCs w:val="24"/>
        </w:rPr>
        <w:t xml:space="preserve">        characteristics of the patients who transitioned, (5) the article</w:t>
      </w:r>
    </w:p>
    <w:p w14:paraId="1DA0BD1C" w14:textId="77777777" w:rsidR="000C4D09" w:rsidRPr="000C4D09" w:rsidRDefault="000C4D09" w:rsidP="000C4D09">
      <w:pPr>
        <w:rPr>
          <w:i/>
          <w:sz w:val="24"/>
          <w:szCs w:val="24"/>
        </w:rPr>
      </w:pPr>
      <w:r w:rsidRPr="000C4D09">
        <w:rPr>
          <w:i/>
          <w:sz w:val="24"/>
          <w:szCs w:val="24"/>
        </w:rPr>
        <w:t xml:space="preserve">        is written in English. Transitioning is defined as</w:t>
      </w:r>
    </w:p>
    <w:p w14:paraId="3A839072" w14:textId="77777777" w:rsidR="000C4D09" w:rsidRPr="000C4D09" w:rsidRDefault="000C4D09" w:rsidP="000C4D09">
      <w:pPr>
        <w:rPr>
          <w:i/>
          <w:sz w:val="24"/>
          <w:szCs w:val="24"/>
        </w:rPr>
      </w:pPr>
      <w:r w:rsidRPr="000C4D09">
        <w:rPr>
          <w:i/>
          <w:sz w:val="24"/>
          <w:szCs w:val="24"/>
        </w:rPr>
        <w:t xml:space="preserve">        patients in whom the biosimilar was introduced after the </w:t>
      </w:r>
    </w:p>
    <w:p w14:paraId="644944DF" w14:textId="77777777" w:rsidR="000C4D09" w:rsidRPr="000C4D09" w:rsidRDefault="000C4D09" w:rsidP="000C4D09">
      <w:pPr>
        <w:rPr>
          <w:i/>
          <w:sz w:val="24"/>
          <w:szCs w:val="24"/>
        </w:rPr>
      </w:pPr>
      <w:r w:rsidRPr="000C4D09">
        <w:rPr>
          <w:i/>
          <w:sz w:val="24"/>
          <w:szCs w:val="24"/>
        </w:rPr>
        <w:t xml:space="preserve">        originator, without treatment with other drugs in between.</w:t>
      </w:r>
    </w:p>
    <w:p w14:paraId="69E40895" w14:textId="77777777" w:rsidR="000C4D09" w:rsidRPr="000C4D09" w:rsidRDefault="000C4D09" w:rsidP="000C4D09">
      <w:pPr>
        <w:rPr>
          <w:i/>
          <w:sz w:val="24"/>
          <w:szCs w:val="24"/>
        </w:rPr>
      </w:pPr>
      <w:r w:rsidRPr="000C4D09">
        <w:rPr>
          <w:i/>
          <w:sz w:val="24"/>
          <w:szCs w:val="24"/>
        </w:rPr>
        <w:t xml:space="preserve">        </w:t>
      </w:r>
      <w:proofErr w:type="spellStart"/>
      <w:r w:rsidRPr="000C4D09">
        <w:rPr>
          <w:i/>
          <w:sz w:val="24"/>
          <w:szCs w:val="24"/>
        </w:rPr>
        <w:t>Retransitioning</w:t>
      </w:r>
      <w:proofErr w:type="spellEnd"/>
      <w:r w:rsidRPr="000C4D09">
        <w:rPr>
          <w:i/>
          <w:sz w:val="24"/>
          <w:szCs w:val="24"/>
        </w:rPr>
        <w:t xml:space="preserve"> is defined as restarting the originator</w:t>
      </w:r>
    </w:p>
    <w:p w14:paraId="6C2A39B5" w14:textId="77777777" w:rsidR="000C4D09" w:rsidRPr="000C4D09" w:rsidRDefault="000C4D09" w:rsidP="000C4D09">
      <w:pPr>
        <w:rPr>
          <w:i/>
          <w:sz w:val="24"/>
          <w:szCs w:val="24"/>
        </w:rPr>
      </w:pPr>
      <w:r w:rsidRPr="000C4D09">
        <w:rPr>
          <w:i/>
          <w:sz w:val="24"/>
          <w:szCs w:val="24"/>
        </w:rPr>
        <w:t xml:space="preserve">        directly after discontinuing a biosimilar, without treatment</w:t>
      </w:r>
    </w:p>
    <w:p w14:paraId="2AF4BF14" w14:textId="77777777" w:rsidR="000C4D09" w:rsidRPr="000C4D09" w:rsidRDefault="000C4D09" w:rsidP="000C4D09">
      <w:pPr>
        <w:rPr>
          <w:i/>
          <w:sz w:val="24"/>
          <w:szCs w:val="24"/>
        </w:rPr>
      </w:pPr>
      <w:r w:rsidRPr="000C4D09">
        <w:rPr>
          <w:i/>
          <w:sz w:val="24"/>
          <w:szCs w:val="24"/>
        </w:rPr>
        <w:t xml:space="preserve">        with other drugs in between. In summary, transitioning is</w:t>
      </w:r>
    </w:p>
    <w:p w14:paraId="0A533284" w14:textId="77777777" w:rsidR="000C4D09" w:rsidRPr="000C4D09" w:rsidRDefault="000C4D09" w:rsidP="000C4D09">
      <w:pPr>
        <w:rPr>
          <w:i/>
          <w:sz w:val="24"/>
          <w:szCs w:val="24"/>
        </w:rPr>
      </w:pPr>
      <w:r w:rsidRPr="000C4D09">
        <w:rPr>
          <w:i/>
          <w:sz w:val="24"/>
          <w:szCs w:val="24"/>
        </w:rPr>
        <w:t xml:space="preserve">        defined as switching from the originator to a biosimilar;</w:t>
      </w:r>
    </w:p>
    <w:p w14:paraId="34C5BA09" w14:textId="77777777" w:rsidR="000C4D09" w:rsidRPr="000C4D09" w:rsidRDefault="000C4D09" w:rsidP="000C4D09">
      <w:pPr>
        <w:rPr>
          <w:i/>
          <w:sz w:val="24"/>
          <w:szCs w:val="24"/>
        </w:rPr>
      </w:pPr>
      <w:r w:rsidRPr="000C4D09">
        <w:rPr>
          <w:i/>
          <w:sz w:val="24"/>
          <w:szCs w:val="24"/>
        </w:rPr>
        <w:lastRenderedPageBreak/>
        <w:t xml:space="preserve">        </w:t>
      </w:r>
      <w:proofErr w:type="spellStart"/>
      <w:r w:rsidRPr="000C4D09">
        <w:rPr>
          <w:i/>
          <w:sz w:val="24"/>
          <w:szCs w:val="24"/>
        </w:rPr>
        <w:t>retransitioning</w:t>
      </w:r>
      <w:proofErr w:type="spellEnd"/>
      <w:r w:rsidRPr="000C4D09">
        <w:rPr>
          <w:i/>
          <w:sz w:val="24"/>
          <w:szCs w:val="24"/>
        </w:rPr>
        <w:t xml:space="preserve"> is defined as switching from the originator</w:t>
      </w:r>
    </w:p>
    <w:p w14:paraId="207EBB12" w14:textId="77777777" w:rsidR="000C4D09" w:rsidRPr="000C4D09" w:rsidRDefault="000C4D09" w:rsidP="000C4D09">
      <w:pPr>
        <w:rPr>
          <w:i/>
          <w:sz w:val="24"/>
          <w:szCs w:val="24"/>
        </w:rPr>
      </w:pPr>
      <w:r w:rsidRPr="000C4D09">
        <w:rPr>
          <w:i/>
          <w:sz w:val="24"/>
          <w:szCs w:val="24"/>
        </w:rPr>
        <w:t xml:space="preserve">        to a biosimilar and back to the originator. Both transitioning</w:t>
      </w:r>
    </w:p>
    <w:p w14:paraId="38DB662D" w14:textId="77777777" w:rsidR="000C4D09" w:rsidRPr="000C4D09" w:rsidRDefault="000C4D09" w:rsidP="000C4D09">
      <w:pPr>
        <w:rPr>
          <w:i/>
          <w:sz w:val="24"/>
          <w:szCs w:val="24"/>
        </w:rPr>
      </w:pPr>
      <w:r w:rsidRPr="000C4D09">
        <w:rPr>
          <w:i/>
          <w:sz w:val="24"/>
          <w:szCs w:val="24"/>
        </w:rPr>
        <w:t xml:space="preserve">        and </w:t>
      </w:r>
      <w:proofErr w:type="spellStart"/>
      <w:r w:rsidRPr="000C4D09">
        <w:rPr>
          <w:i/>
          <w:sz w:val="24"/>
          <w:szCs w:val="24"/>
        </w:rPr>
        <w:t>retransitioning</w:t>
      </w:r>
      <w:proofErr w:type="spellEnd"/>
      <w:r w:rsidRPr="000C4D09">
        <w:rPr>
          <w:i/>
          <w:sz w:val="24"/>
          <w:szCs w:val="24"/>
        </w:rPr>
        <w:t xml:space="preserve"> involve changes with the same active</w:t>
      </w:r>
    </w:p>
    <w:p w14:paraId="53EB8E82" w14:textId="77777777" w:rsidR="000C4D09" w:rsidRPr="000C4D09" w:rsidRDefault="000C4D09" w:rsidP="000C4D09">
      <w:pPr>
        <w:rPr>
          <w:i/>
          <w:sz w:val="24"/>
          <w:szCs w:val="24"/>
        </w:rPr>
      </w:pPr>
      <w:r w:rsidRPr="000C4D09">
        <w:rPr>
          <w:i/>
          <w:sz w:val="24"/>
          <w:szCs w:val="24"/>
        </w:rPr>
        <w:t xml:space="preserve">        biological substance.</w:t>
      </w:r>
    </w:p>
    <w:p w14:paraId="5673B194" w14:textId="0270C31E" w:rsidR="000C4D09" w:rsidRDefault="000C4D09" w:rsidP="000C4D09">
      <w:pPr>
        <w:rPr>
          <w:i/>
          <w:sz w:val="24"/>
          <w:szCs w:val="24"/>
        </w:rPr>
      </w:pPr>
      <w:r w:rsidRPr="000C4D09">
        <w:rPr>
          <w:i/>
          <w:sz w:val="24"/>
          <w:szCs w:val="24"/>
        </w:rPr>
        <w:t>"""</w:t>
      </w:r>
    </w:p>
    <w:p w14:paraId="61061EA5" w14:textId="2BE7573F" w:rsidR="00A97A45" w:rsidRDefault="00A97A45" w:rsidP="000C4D09">
      <w:pPr>
        <w:rPr>
          <w:i/>
          <w:sz w:val="24"/>
          <w:szCs w:val="24"/>
        </w:rPr>
      </w:pPr>
      <w:r>
        <w:rPr>
          <w:iCs/>
          <w:sz w:val="24"/>
          <w:szCs w:val="24"/>
        </w:rPr>
        <w:t xml:space="preserve">based on </w:t>
      </w:r>
      <w:proofErr w:type="spellStart"/>
      <w:r>
        <w:rPr>
          <w:iCs/>
          <w:sz w:val="24"/>
          <w:szCs w:val="24"/>
        </w:rPr>
        <w:t>Meijboom</w:t>
      </w:r>
      <w:proofErr w:type="spellEnd"/>
      <w:r>
        <w:rPr>
          <w:iCs/>
          <w:sz w:val="24"/>
          <w:szCs w:val="24"/>
        </w:rPr>
        <w:t xml:space="preserve"> et al.</w:t>
      </w:r>
      <w:r w:rsidR="00732CC9">
        <w:rPr>
          <w:iCs/>
          <w:sz w:val="24"/>
          <w:szCs w:val="24"/>
        </w:rPr>
        <w:t xml:space="preserve"> </w:t>
      </w:r>
      <w:r w:rsidR="00732CC9">
        <w:rPr>
          <w:iCs/>
          <w:sz w:val="24"/>
          <w:szCs w:val="24"/>
        </w:rPr>
        <w:fldChar w:fldCharType="begin"/>
      </w:r>
      <w:r w:rsidR="00732CC9">
        <w:rPr>
          <w:iCs/>
          <w:sz w:val="24"/>
          <w:szCs w:val="24"/>
        </w:rPr>
        <w:instrText xml:space="preserve"> ADDIN ZOTERO_ITEM CSL_CITATION {"citationID":"wLhd2OoP","properties":{"formattedCitation":"(6)","plainCitation":"(6)","noteIndex":0},"citationItems":[{"id":1010,"uris":["http://zotero.org/users/local/g0Xo7BsA/items/4LCLCXSB"],"itemData":{"id":1010,"type":"article-journal","container-title":"BioDrugs","DOI":"10.1007/s40259-021-00508-4","ISSN":"1173-8804, 1179-190X","issue":"1","journalAbbreviation":"BioDrugs","language":"en","page":"27-39","source":"DOI.org (Crossref)","title":"Patients Retransitioning from Biosimilar TNFα Inhibitor to the Corresponding Originator After Initial Transitioning to the Biosimilar: A Systematic Review","title-short":"Patients Retransitioning from Biosimilar TNFα Inhibitor to the Corresponding Originator After Initial Transitioning to the Biosimilar","volume":"36","author":[{"family":"Meijboom","given":"Rosanne W."},{"family":"Gardarsdottir","given":"Helga"},{"family":"Egberts","given":"Toine C. G."},{"family":"Giezen","given":"Thijs J."}],"issued":{"date-parts":[["2022",1]]}}}],"schema":"https://github.com/citation-style-language/schema/raw/master/csl-citation.json"} </w:instrText>
      </w:r>
      <w:r w:rsidR="00732CC9">
        <w:rPr>
          <w:iCs/>
          <w:sz w:val="24"/>
          <w:szCs w:val="24"/>
        </w:rPr>
        <w:fldChar w:fldCharType="separate"/>
      </w:r>
      <w:r w:rsidR="00732CC9" w:rsidRPr="00732CC9">
        <w:rPr>
          <w:sz w:val="24"/>
        </w:rPr>
        <w:t>(6)</w:t>
      </w:r>
      <w:r w:rsidR="00732CC9">
        <w:rPr>
          <w:iCs/>
          <w:sz w:val="24"/>
          <w:szCs w:val="24"/>
        </w:rPr>
        <w:fldChar w:fldCharType="end"/>
      </w:r>
      <w:r w:rsidR="00732CC9">
        <w:rPr>
          <w:iCs/>
          <w:sz w:val="24"/>
          <w:szCs w:val="24"/>
        </w:rPr>
        <w:t>.</w:t>
      </w:r>
    </w:p>
    <w:p w14:paraId="498260B4" w14:textId="468A7896" w:rsidR="00A93230" w:rsidRDefault="00A93230" w:rsidP="00A93230">
      <w:pPr>
        <w:rPr>
          <w:b/>
          <w:sz w:val="28"/>
          <w:szCs w:val="28"/>
        </w:rPr>
      </w:pPr>
      <w:r>
        <w:rPr>
          <w:b/>
          <w:sz w:val="28"/>
          <w:szCs w:val="28"/>
        </w:rPr>
        <w:t>Muthu_2021</w:t>
      </w:r>
    </w:p>
    <w:p w14:paraId="0C02E164" w14:textId="77777777" w:rsidR="00A93230" w:rsidRPr="00A93230" w:rsidRDefault="00A93230" w:rsidP="00A93230">
      <w:pPr>
        <w:rPr>
          <w:i/>
          <w:sz w:val="24"/>
          <w:szCs w:val="24"/>
        </w:rPr>
      </w:pPr>
      <w:r w:rsidRPr="00A93230">
        <w:rPr>
          <w:i/>
          <w:sz w:val="24"/>
          <w:szCs w:val="24"/>
        </w:rPr>
        <w:t>"""</w:t>
      </w:r>
    </w:p>
    <w:p w14:paraId="658D70A0" w14:textId="77777777" w:rsidR="00A93230" w:rsidRPr="00A93230" w:rsidRDefault="00A93230" w:rsidP="00A93230">
      <w:pPr>
        <w:rPr>
          <w:i/>
          <w:sz w:val="24"/>
          <w:szCs w:val="24"/>
        </w:rPr>
      </w:pPr>
      <w:r w:rsidRPr="00A93230">
        <w:rPr>
          <w:i/>
          <w:sz w:val="24"/>
          <w:szCs w:val="24"/>
        </w:rPr>
        <w:t xml:space="preserve">        Inclusion Criteria</w:t>
      </w:r>
    </w:p>
    <w:p w14:paraId="7E269449" w14:textId="77777777" w:rsidR="00A93230" w:rsidRPr="00A93230" w:rsidRDefault="00A93230" w:rsidP="00A93230">
      <w:pPr>
        <w:rPr>
          <w:i/>
          <w:sz w:val="24"/>
          <w:szCs w:val="24"/>
        </w:rPr>
      </w:pPr>
      <w:r w:rsidRPr="00A93230">
        <w:rPr>
          <w:i/>
          <w:sz w:val="24"/>
          <w:szCs w:val="24"/>
        </w:rPr>
        <w:t xml:space="preserve">        To be included, a study should meet the</w:t>
      </w:r>
    </w:p>
    <w:p w14:paraId="2913B433" w14:textId="77777777" w:rsidR="00A93230" w:rsidRPr="00A93230" w:rsidRDefault="00A93230" w:rsidP="00A93230">
      <w:pPr>
        <w:rPr>
          <w:i/>
          <w:sz w:val="24"/>
          <w:szCs w:val="24"/>
        </w:rPr>
      </w:pPr>
      <w:r w:rsidRPr="00A93230">
        <w:rPr>
          <w:i/>
          <w:sz w:val="24"/>
          <w:szCs w:val="24"/>
        </w:rPr>
        <w:t xml:space="preserve">        following criteria:</w:t>
      </w:r>
    </w:p>
    <w:p w14:paraId="73F4CFC8" w14:textId="77777777" w:rsidR="00A93230" w:rsidRPr="00A93230" w:rsidRDefault="00A93230" w:rsidP="00A93230">
      <w:pPr>
        <w:rPr>
          <w:i/>
          <w:sz w:val="24"/>
          <w:szCs w:val="24"/>
        </w:rPr>
      </w:pPr>
      <w:r w:rsidRPr="00A93230">
        <w:rPr>
          <w:i/>
          <w:sz w:val="24"/>
          <w:szCs w:val="24"/>
        </w:rPr>
        <w:t xml:space="preserve">        1. The study should be an RCT with 1:1 parallel </w:t>
      </w:r>
      <w:proofErr w:type="spellStart"/>
      <w:r w:rsidRPr="00A93230">
        <w:rPr>
          <w:i/>
          <w:sz w:val="24"/>
          <w:szCs w:val="24"/>
        </w:rPr>
        <w:t>twoarm</w:t>
      </w:r>
      <w:proofErr w:type="spellEnd"/>
    </w:p>
    <w:p w14:paraId="11D421E5" w14:textId="77777777" w:rsidR="00A93230" w:rsidRPr="00A93230" w:rsidRDefault="00A93230" w:rsidP="00A93230">
      <w:pPr>
        <w:rPr>
          <w:i/>
          <w:sz w:val="24"/>
          <w:szCs w:val="24"/>
        </w:rPr>
      </w:pPr>
      <w:r w:rsidRPr="00A93230">
        <w:rPr>
          <w:i/>
          <w:sz w:val="24"/>
          <w:szCs w:val="24"/>
        </w:rPr>
        <w:t xml:space="preserve">        design.</w:t>
      </w:r>
    </w:p>
    <w:p w14:paraId="122519F2" w14:textId="77777777" w:rsidR="00A93230" w:rsidRPr="00A93230" w:rsidRDefault="00A93230" w:rsidP="00A93230">
      <w:pPr>
        <w:rPr>
          <w:i/>
          <w:sz w:val="24"/>
          <w:szCs w:val="24"/>
        </w:rPr>
      </w:pPr>
      <w:r w:rsidRPr="00A93230">
        <w:rPr>
          <w:i/>
          <w:sz w:val="24"/>
          <w:szCs w:val="24"/>
        </w:rPr>
        <w:t xml:space="preserve">        2. The study must be related to spine surgery involving</w:t>
      </w:r>
    </w:p>
    <w:p w14:paraId="346124E4" w14:textId="77777777" w:rsidR="00A93230" w:rsidRPr="00A93230" w:rsidRDefault="00A93230" w:rsidP="00A93230">
      <w:pPr>
        <w:rPr>
          <w:i/>
          <w:sz w:val="24"/>
          <w:szCs w:val="24"/>
        </w:rPr>
      </w:pPr>
      <w:r w:rsidRPr="00A93230">
        <w:rPr>
          <w:i/>
          <w:sz w:val="24"/>
          <w:szCs w:val="24"/>
        </w:rPr>
        <w:t xml:space="preserve">        preoperative or intraoperative or postoperative variables.</w:t>
      </w:r>
    </w:p>
    <w:p w14:paraId="0DD11FB7" w14:textId="77777777" w:rsidR="00A93230" w:rsidRPr="00A93230" w:rsidRDefault="00A93230" w:rsidP="00A93230">
      <w:pPr>
        <w:rPr>
          <w:i/>
          <w:sz w:val="24"/>
          <w:szCs w:val="24"/>
        </w:rPr>
      </w:pPr>
      <w:r w:rsidRPr="00A93230">
        <w:rPr>
          <w:i/>
          <w:sz w:val="24"/>
          <w:szCs w:val="24"/>
        </w:rPr>
        <w:t xml:space="preserve">        3. The study must have a dichotomous primary or</w:t>
      </w:r>
    </w:p>
    <w:p w14:paraId="2ABA5DA3" w14:textId="77777777" w:rsidR="00A93230" w:rsidRPr="00A93230" w:rsidRDefault="00A93230" w:rsidP="00A93230">
      <w:pPr>
        <w:rPr>
          <w:i/>
          <w:sz w:val="24"/>
          <w:szCs w:val="24"/>
        </w:rPr>
      </w:pPr>
      <w:r w:rsidRPr="00A93230">
        <w:rPr>
          <w:i/>
          <w:sz w:val="24"/>
          <w:szCs w:val="24"/>
        </w:rPr>
        <w:t xml:space="preserve">        secondary outcome.</w:t>
      </w:r>
    </w:p>
    <w:p w14:paraId="4AA70BDC" w14:textId="77777777" w:rsidR="00A93230" w:rsidRPr="00A93230" w:rsidRDefault="00A93230" w:rsidP="00A93230">
      <w:pPr>
        <w:rPr>
          <w:i/>
          <w:sz w:val="24"/>
          <w:szCs w:val="24"/>
        </w:rPr>
      </w:pPr>
      <w:r w:rsidRPr="00A93230">
        <w:rPr>
          <w:i/>
          <w:sz w:val="24"/>
          <w:szCs w:val="24"/>
        </w:rPr>
        <w:t xml:space="preserve">        Exclusion Criteria</w:t>
      </w:r>
    </w:p>
    <w:p w14:paraId="057EC201" w14:textId="77777777" w:rsidR="00A93230" w:rsidRPr="00A93230" w:rsidRDefault="00A93230" w:rsidP="00A93230">
      <w:pPr>
        <w:rPr>
          <w:i/>
          <w:sz w:val="24"/>
          <w:szCs w:val="24"/>
        </w:rPr>
      </w:pPr>
      <w:r w:rsidRPr="00A93230">
        <w:rPr>
          <w:i/>
          <w:sz w:val="24"/>
          <w:szCs w:val="24"/>
        </w:rPr>
        <w:t xml:space="preserve">        1. Studies not involving human subjects.</w:t>
      </w:r>
    </w:p>
    <w:p w14:paraId="6AE553FD" w14:textId="77777777" w:rsidR="00A93230" w:rsidRPr="00A93230" w:rsidRDefault="00A93230" w:rsidP="00A93230">
      <w:pPr>
        <w:rPr>
          <w:i/>
          <w:sz w:val="24"/>
          <w:szCs w:val="24"/>
        </w:rPr>
      </w:pPr>
      <w:r w:rsidRPr="00A93230">
        <w:rPr>
          <w:i/>
          <w:sz w:val="24"/>
          <w:szCs w:val="24"/>
        </w:rPr>
        <w:t xml:space="preserve">        2. Studies with continuous variable outcomes like pain</w:t>
      </w:r>
    </w:p>
    <w:p w14:paraId="7AD3F084" w14:textId="77777777" w:rsidR="00A93230" w:rsidRPr="00A93230" w:rsidRDefault="00A93230" w:rsidP="00A93230">
      <w:pPr>
        <w:rPr>
          <w:i/>
          <w:sz w:val="24"/>
          <w:szCs w:val="24"/>
        </w:rPr>
      </w:pPr>
      <w:r w:rsidRPr="00A93230">
        <w:rPr>
          <w:i/>
          <w:sz w:val="24"/>
          <w:szCs w:val="24"/>
        </w:rPr>
        <w:t xml:space="preserve">        scores, Oswestry Disability Index scores, time to</w:t>
      </w:r>
    </w:p>
    <w:p w14:paraId="2FBEEF77" w14:textId="77777777" w:rsidR="00A93230" w:rsidRPr="00A93230" w:rsidRDefault="00A93230" w:rsidP="00A93230">
      <w:pPr>
        <w:rPr>
          <w:i/>
          <w:sz w:val="24"/>
          <w:szCs w:val="24"/>
        </w:rPr>
      </w:pPr>
      <w:r w:rsidRPr="00A93230">
        <w:rPr>
          <w:i/>
          <w:sz w:val="24"/>
          <w:szCs w:val="24"/>
        </w:rPr>
        <w:t xml:space="preserve">        union without predefined clinical success criteria.</w:t>
      </w:r>
    </w:p>
    <w:p w14:paraId="4AF57748" w14:textId="77777777" w:rsidR="00A93230" w:rsidRPr="00A93230" w:rsidRDefault="00A93230" w:rsidP="00A93230">
      <w:pPr>
        <w:rPr>
          <w:i/>
          <w:sz w:val="24"/>
          <w:szCs w:val="24"/>
        </w:rPr>
      </w:pPr>
      <w:r w:rsidRPr="00A93230">
        <w:rPr>
          <w:i/>
          <w:sz w:val="24"/>
          <w:szCs w:val="24"/>
        </w:rPr>
        <w:t xml:space="preserve">        3. Studies that did not report a statistically significant</w:t>
      </w:r>
    </w:p>
    <w:p w14:paraId="45EDD0D5" w14:textId="77777777" w:rsidR="00A93230" w:rsidRPr="00A93230" w:rsidRDefault="00A93230" w:rsidP="00A93230">
      <w:pPr>
        <w:rPr>
          <w:i/>
          <w:sz w:val="24"/>
          <w:szCs w:val="24"/>
        </w:rPr>
      </w:pPr>
      <w:r w:rsidRPr="00A93230">
        <w:rPr>
          <w:i/>
          <w:sz w:val="24"/>
          <w:szCs w:val="24"/>
        </w:rPr>
        <w:t xml:space="preserve">        primary or secondary outcome measure.</w:t>
      </w:r>
    </w:p>
    <w:p w14:paraId="24B45EEF" w14:textId="4C7FB8C1" w:rsidR="000C4D09" w:rsidRDefault="00A93230" w:rsidP="00A93230">
      <w:pPr>
        <w:rPr>
          <w:i/>
          <w:sz w:val="24"/>
          <w:szCs w:val="24"/>
        </w:rPr>
      </w:pPr>
      <w:r w:rsidRPr="00A93230">
        <w:rPr>
          <w:i/>
          <w:sz w:val="24"/>
          <w:szCs w:val="24"/>
        </w:rPr>
        <w:t>"""</w:t>
      </w:r>
    </w:p>
    <w:p w14:paraId="42CABE38" w14:textId="3B231E62" w:rsidR="00A97A45" w:rsidRDefault="00A97A45" w:rsidP="00A93230">
      <w:pPr>
        <w:rPr>
          <w:i/>
          <w:sz w:val="24"/>
          <w:szCs w:val="24"/>
        </w:rPr>
      </w:pPr>
      <w:r>
        <w:rPr>
          <w:iCs/>
          <w:sz w:val="24"/>
          <w:szCs w:val="24"/>
        </w:rPr>
        <w:t>based on Muthu et al.</w:t>
      </w:r>
      <w:r w:rsidR="00732CC9">
        <w:rPr>
          <w:iCs/>
          <w:sz w:val="24"/>
          <w:szCs w:val="24"/>
        </w:rPr>
        <w:t xml:space="preserve"> </w:t>
      </w:r>
      <w:r w:rsidR="00732CC9">
        <w:rPr>
          <w:iCs/>
          <w:sz w:val="24"/>
          <w:szCs w:val="24"/>
        </w:rPr>
        <w:fldChar w:fldCharType="begin"/>
      </w:r>
      <w:r w:rsidR="00732CC9">
        <w:rPr>
          <w:iCs/>
          <w:sz w:val="24"/>
          <w:szCs w:val="24"/>
        </w:rPr>
        <w:instrText xml:space="preserve"> ADDIN ZOTERO_ITEM CSL_CITATION {"citationID":"IQe1xJOU","properties":{"formattedCitation":"(7)","plainCitation":"(7)","noteIndex":0},"citationItems":[{"id":1012,"uris":["http://zotero.org/users/local/g0Xo7BsA/items/2A9X3DZV"],"itemData":{"id":1012,"type":"article-journal","abstract":"Study Design.\n              Systematic review.\n            \n            \n              Objectives.\n              The aim of this study was to assess the robustness of statistically significant outcomes from randomized control trials (RCTs) in spine surgery using Fragility Index (FI) which is a novel metric measuring the number of events upon which statistical significance of the outcome depends.\n            \n            \n              Summary of Background Data.\n              Many trials in Spine surgery were characterized by fewer outcome events along with small sample size. FI helps us identify the robustness of the results from such studies with statistically significant dichotomous outcomes.\n            \n            \n              Methods.\n              We conducted independent and in duplicate, a systematic review of published RCTs in spine surgery from PubMed Central, Embase, and Cochrane Database. RCTs with 1:1 prospective study design and reporting statistically significant dichotomous primary or secondary outcomes were included. FI was calculated for each RCT and its correlation with various factors was analyzed.\n            \n            \n              Results.\n              \n                Seventy trials met inclusion criteria with a median sample size of 133 (interquartile range [IQR]: 80–218) and median reported events per trial was 38 (IQR: 13–94). The median FI score was 2 (IQR: 0–5), which means if we switch two patients from nonevent to event, the statistical significance of the outcome is lost. The FI score was less than the number of patients lost to follow-up in 28 of 70 trials. The FI score was found to positively correlated with sample size (\n                r\n                 = 0.431,\n                P\n                 = 0.001), total number of outcome events (\n                r\n                 = 0.305,\n                P\n                 = 0.01) while negatively correlated with\n                P\n                value (\n                r\n                 = −0.392,\n                P\n                 = 0.001). Funding, journal impact-factor, risk of bias domains, and year of publication did not have a significant correlation.\n              \n            \n            \n              Conclusion.\n              Statistically significant dichotomous outcomes reported in spine surgery RCTs are more often fragile and outcomes of the patients lost to follow-up could have changed the significance of results and hence it needs caution before transcending their results into clinical application. The addition of FI in routine reporting of RCTs would guide readers on the robustness of the statistical significance of outcomes. RCTs with FI ≥5 without any patient lost to follow-up can be considered to have clinically robust results.\n              \n                Level of Evidence:\n                1","container-title":"Spine","DOI":"10.1097/BRS.0000000000003645","ISSN":"0362-2436, 1528-1159","issue":"3","language":"en","page":"198-208","source":"DOI.org (Crossref)","title":"Fragility Analysis of Statistically Significant Outcomes of Randomized Control Trials in Spine Surgery: A Systematic Review","title-short":"Fragility Analysis of Statistically Significant Outcomes of Randomized Control Trials in Spine Surgery","volume":"46","author":[{"family":"Muthu","given":"Sathish"},{"family":"Ramakrishnan","given":"Eswar"}],"issued":{"date-parts":[["2021",2,1]]}}}],"schema":"https://github.com/citation-style-language/schema/raw/master/csl-citation.json"} </w:instrText>
      </w:r>
      <w:r w:rsidR="00732CC9">
        <w:rPr>
          <w:iCs/>
          <w:sz w:val="24"/>
          <w:szCs w:val="24"/>
        </w:rPr>
        <w:fldChar w:fldCharType="separate"/>
      </w:r>
      <w:r w:rsidR="00732CC9" w:rsidRPr="00732CC9">
        <w:rPr>
          <w:sz w:val="24"/>
        </w:rPr>
        <w:t>(7)</w:t>
      </w:r>
      <w:r w:rsidR="00732CC9">
        <w:rPr>
          <w:iCs/>
          <w:sz w:val="24"/>
          <w:szCs w:val="24"/>
        </w:rPr>
        <w:fldChar w:fldCharType="end"/>
      </w:r>
      <w:r w:rsidR="00732CC9">
        <w:rPr>
          <w:iCs/>
          <w:sz w:val="24"/>
          <w:szCs w:val="24"/>
        </w:rPr>
        <w:t>.</w:t>
      </w:r>
    </w:p>
    <w:p w14:paraId="756621F4" w14:textId="2FBDC884" w:rsidR="00A93230" w:rsidRDefault="00A93230" w:rsidP="00A93230">
      <w:pPr>
        <w:rPr>
          <w:b/>
          <w:sz w:val="28"/>
          <w:szCs w:val="28"/>
        </w:rPr>
      </w:pPr>
      <w:r>
        <w:rPr>
          <w:b/>
          <w:sz w:val="28"/>
          <w:szCs w:val="28"/>
        </w:rPr>
        <w:t>Oud_2018</w:t>
      </w:r>
    </w:p>
    <w:p w14:paraId="58410654" w14:textId="77777777" w:rsidR="00A93230" w:rsidRPr="00A93230" w:rsidRDefault="00A93230" w:rsidP="00A93230">
      <w:pPr>
        <w:rPr>
          <w:i/>
          <w:sz w:val="24"/>
          <w:szCs w:val="24"/>
        </w:rPr>
      </w:pPr>
      <w:r w:rsidRPr="00A93230">
        <w:rPr>
          <w:i/>
          <w:sz w:val="24"/>
          <w:szCs w:val="24"/>
        </w:rPr>
        <w:t>"""</w:t>
      </w:r>
    </w:p>
    <w:p w14:paraId="519CAE3D" w14:textId="77777777" w:rsidR="00A93230" w:rsidRPr="00A93230" w:rsidRDefault="00A93230" w:rsidP="00A93230">
      <w:pPr>
        <w:rPr>
          <w:i/>
          <w:sz w:val="24"/>
          <w:szCs w:val="24"/>
        </w:rPr>
      </w:pPr>
      <w:r w:rsidRPr="00A93230">
        <w:rPr>
          <w:i/>
          <w:sz w:val="24"/>
          <w:szCs w:val="24"/>
        </w:rPr>
        <w:t xml:space="preserve">        Randomized controlled trials (RCT)s on four specialized psychotherapies</w:t>
      </w:r>
    </w:p>
    <w:p w14:paraId="02D53F51" w14:textId="77777777" w:rsidR="00A93230" w:rsidRPr="00A93230" w:rsidRDefault="00A93230" w:rsidP="00A93230">
      <w:pPr>
        <w:rPr>
          <w:i/>
          <w:sz w:val="24"/>
          <w:szCs w:val="24"/>
        </w:rPr>
      </w:pPr>
      <w:r w:rsidRPr="00A93230">
        <w:rPr>
          <w:i/>
          <w:sz w:val="24"/>
          <w:szCs w:val="24"/>
        </w:rPr>
        <w:lastRenderedPageBreak/>
        <w:t xml:space="preserve">        (DBT: dialectic behavior therapy, MBT: mentalization-based treatment, TFP: transference-focused therapy and ST: schema therapy) </w:t>
      </w:r>
    </w:p>
    <w:p w14:paraId="49EAC225" w14:textId="77777777" w:rsidR="00A93230" w:rsidRPr="00A93230" w:rsidRDefault="00A93230" w:rsidP="00A93230">
      <w:pPr>
        <w:rPr>
          <w:i/>
          <w:sz w:val="24"/>
          <w:szCs w:val="24"/>
        </w:rPr>
      </w:pPr>
      <w:r w:rsidRPr="00A93230">
        <w:rPr>
          <w:i/>
          <w:sz w:val="24"/>
          <w:szCs w:val="24"/>
        </w:rPr>
        <w:t xml:space="preserve">        for adults (18 years and older)</w:t>
      </w:r>
    </w:p>
    <w:p w14:paraId="4E26D65E" w14:textId="77777777" w:rsidR="00A93230" w:rsidRPr="00A93230" w:rsidRDefault="00A93230" w:rsidP="00A93230">
      <w:pPr>
        <w:rPr>
          <w:i/>
          <w:sz w:val="24"/>
          <w:szCs w:val="24"/>
        </w:rPr>
      </w:pPr>
      <w:r w:rsidRPr="00A93230">
        <w:rPr>
          <w:i/>
          <w:sz w:val="24"/>
          <w:szCs w:val="24"/>
        </w:rPr>
        <w:t xml:space="preserve">        with Borderline personality disorder (BPD), which includes an individual psychotherapy</w:t>
      </w:r>
    </w:p>
    <w:p w14:paraId="42FAA539" w14:textId="77777777" w:rsidR="00A93230" w:rsidRPr="00A93230" w:rsidRDefault="00A93230" w:rsidP="00A93230">
      <w:pPr>
        <w:rPr>
          <w:i/>
          <w:sz w:val="24"/>
          <w:szCs w:val="24"/>
        </w:rPr>
      </w:pPr>
      <w:r w:rsidRPr="00A93230">
        <w:rPr>
          <w:i/>
          <w:sz w:val="24"/>
          <w:szCs w:val="24"/>
        </w:rPr>
        <w:t xml:space="preserve">        component and had a duration of 16 weeks or more.</w:t>
      </w:r>
    </w:p>
    <w:p w14:paraId="24A143B7" w14:textId="77777777" w:rsidR="00A93230" w:rsidRPr="00A93230" w:rsidRDefault="00A93230" w:rsidP="00A93230">
      <w:pPr>
        <w:rPr>
          <w:i/>
          <w:sz w:val="24"/>
          <w:szCs w:val="24"/>
        </w:rPr>
      </w:pPr>
      <w:r w:rsidRPr="00A93230">
        <w:rPr>
          <w:i/>
          <w:sz w:val="24"/>
          <w:szCs w:val="24"/>
        </w:rPr>
        <w:t xml:space="preserve">        Eligible comparison groups are other protocolized and</w:t>
      </w:r>
    </w:p>
    <w:p w14:paraId="59AF8C4F" w14:textId="77777777" w:rsidR="00A93230" w:rsidRPr="00A93230" w:rsidRDefault="00A93230" w:rsidP="00A93230">
      <w:pPr>
        <w:rPr>
          <w:i/>
          <w:sz w:val="24"/>
          <w:szCs w:val="24"/>
        </w:rPr>
      </w:pPr>
      <w:r w:rsidRPr="00A93230">
        <w:rPr>
          <w:i/>
          <w:sz w:val="24"/>
          <w:szCs w:val="24"/>
        </w:rPr>
        <w:t xml:space="preserve">        specialized psychotherapies, or control groups, for</w:t>
      </w:r>
    </w:p>
    <w:p w14:paraId="3EA6A1D1" w14:textId="77777777" w:rsidR="00A93230" w:rsidRPr="00A93230" w:rsidRDefault="00A93230" w:rsidP="00A93230">
      <w:pPr>
        <w:rPr>
          <w:i/>
          <w:sz w:val="24"/>
          <w:szCs w:val="24"/>
        </w:rPr>
      </w:pPr>
      <w:r w:rsidRPr="00A93230">
        <w:rPr>
          <w:i/>
          <w:sz w:val="24"/>
          <w:szCs w:val="24"/>
        </w:rPr>
        <w:t xml:space="preserve">        example, treatment as usual (TAU), waiting list, attention</w:t>
      </w:r>
    </w:p>
    <w:p w14:paraId="199AB714" w14:textId="77777777" w:rsidR="00A93230" w:rsidRPr="00A93230" w:rsidRDefault="00A93230" w:rsidP="00A93230">
      <w:pPr>
        <w:rPr>
          <w:i/>
          <w:sz w:val="24"/>
          <w:szCs w:val="24"/>
        </w:rPr>
      </w:pPr>
      <w:r w:rsidRPr="00A93230">
        <w:rPr>
          <w:i/>
          <w:sz w:val="24"/>
          <w:szCs w:val="24"/>
        </w:rPr>
        <w:t xml:space="preserve">        control or community treatment by experts (CTBE).</w:t>
      </w:r>
    </w:p>
    <w:p w14:paraId="5F6E402C" w14:textId="77777777" w:rsidR="00A93230" w:rsidRPr="00A93230" w:rsidRDefault="00A93230" w:rsidP="00A93230">
      <w:pPr>
        <w:rPr>
          <w:i/>
          <w:sz w:val="24"/>
          <w:szCs w:val="24"/>
        </w:rPr>
      </w:pPr>
      <w:r w:rsidRPr="00A93230">
        <w:rPr>
          <w:i/>
          <w:sz w:val="24"/>
          <w:szCs w:val="24"/>
        </w:rPr>
        <w:t xml:space="preserve">        Studies are excluded with a cut-off of &lt;66% of the participants</w:t>
      </w:r>
    </w:p>
    <w:p w14:paraId="23A0C3E2" w14:textId="77777777" w:rsidR="00A93230" w:rsidRPr="00A93230" w:rsidRDefault="00A93230" w:rsidP="00A93230">
      <w:pPr>
        <w:rPr>
          <w:i/>
          <w:sz w:val="24"/>
          <w:szCs w:val="24"/>
        </w:rPr>
      </w:pPr>
      <w:r w:rsidRPr="00A93230">
        <w:rPr>
          <w:i/>
          <w:sz w:val="24"/>
          <w:szCs w:val="24"/>
        </w:rPr>
        <w:t xml:space="preserve">        having BPD, unless disaggregated data are provided. Studies are excluded that tested incomplete</w:t>
      </w:r>
    </w:p>
    <w:p w14:paraId="69877E28" w14:textId="77777777" w:rsidR="00A93230" w:rsidRPr="00A93230" w:rsidRDefault="00A93230" w:rsidP="00A93230">
      <w:pPr>
        <w:rPr>
          <w:i/>
          <w:sz w:val="24"/>
          <w:szCs w:val="24"/>
        </w:rPr>
      </w:pPr>
      <w:r w:rsidRPr="00A93230">
        <w:rPr>
          <w:i/>
          <w:sz w:val="24"/>
          <w:szCs w:val="24"/>
        </w:rPr>
        <w:t xml:space="preserve">        versions of specialized treatment, for example,</w:t>
      </w:r>
    </w:p>
    <w:p w14:paraId="0DFFA232" w14:textId="77777777" w:rsidR="00A93230" w:rsidRPr="00A93230" w:rsidRDefault="00A93230" w:rsidP="00A93230">
      <w:pPr>
        <w:rPr>
          <w:i/>
          <w:sz w:val="24"/>
          <w:szCs w:val="24"/>
        </w:rPr>
      </w:pPr>
      <w:r w:rsidRPr="00A93230">
        <w:rPr>
          <w:i/>
          <w:sz w:val="24"/>
          <w:szCs w:val="24"/>
        </w:rPr>
        <w:t xml:space="preserve">        studies that investigated only skills training instead of</w:t>
      </w:r>
    </w:p>
    <w:p w14:paraId="22FE0D97" w14:textId="77777777" w:rsidR="00A93230" w:rsidRPr="00A93230" w:rsidRDefault="00A93230" w:rsidP="00A93230">
      <w:pPr>
        <w:rPr>
          <w:i/>
          <w:sz w:val="24"/>
          <w:szCs w:val="24"/>
        </w:rPr>
      </w:pPr>
      <w:r w:rsidRPr="00A93230">
        <w:rPr>
          <w:i/>
          <w:sz w:val="24"/>
          <w:szCs w:val="24"/>
        </w:rPr>
        <w:t xml:space="preserve">        the full DBT program.</w:t>
      </w:r>
    </w:p>
    <w:p w14:paraId="272945C3" w14:textId="746685CB" w:rsidR="00A93230" w:rsidRDefault="00A93230" w:rsidP="00A93230">
      <w:pPr>
        <w:rPr>
          <w:i/>
          <w:sz w:val="24"/>
          <w:szCs w:val="24"/>
        </w:rPr>
      </w:pPr>
      <w:r w:rsidRPr="00A93230">
        <w:rPr>
          <w:i/>
          <w:sz w:val="24"/>
          <w:szCs w:val="24"/>
        </w:rPr>
        <w:t>"""</w:t>
      </w:r>
    </w:p>
    <w:p w14:paraId="58C7776F" w14:textId="19A7B3A6" w:rsidR="00A97A45" w:rsidRPr="004A74A9" w:rsidRDefault="00A97A45" w:rsidP="00A93230">
      <w:pPr>
        <w:rPr>
          <w:iCs/>
          <w:sz w:val="24"/>
          <w:szCs w:val="24"/>
        </w:rPr>
      </w:pPr>
      <w:r w:rsidRPr="004A74A9">
        <w:rPr>
          <w:iCs/>
          <w:sz w:val="24"/>
          <w:szCs w:val="24"/>
        </w:rPr>
        <w:t>based on Oud et al.</w:t>
      </w:r>
      <w:r w:rsidR="00732CC9" w:rsidRPr="004A74A9">
        <w:rPr>
          <w:iCs/>
          <w:sz w:val="24"/>
          <w:szCs w:val="24"/>
        </w:rPr>
        <w:t xml:space="preserve"> </w:t>
      </w:r>
      <w:r w:rsidR="00732CC9">
        <w:rPr>
          <w:iCs/>
          <w:sz w:val="24"/>
          <w:szCs w:val="24"/>
          <w:lang w:val="fr-FR"/>
        </w:rPr>
        <w:fldChar w:fldCharType="begin"/>
      </w:r>
      <w:r w:rsidR="00732CC9" w:rsidRPr="004A74A9">
        <w:rPr>
          <w:iCs/>
          <w:sz w:val="24"/>
          <w:szCs w:val="24"/>
        </w:rPr>
        <w:instrText xml:space="preserve"> ADDIN ZOTERO_ITEM CSL_CITATION {"citationID":"f134nFe0","properties":{"formattedCitation":"(8)","plainCitation":"(8)","noteIndex":0},"citationItems":[{"id":1013,"uris":["http://zotero.org/users/local/g0Xo7BsA/items/B3Z2AQML"],"itemData":{"id":1013,"type":"article-journal","abstract":"Objective:\n              Borderline personality disorder affects up to 2% of the population and is associated with poor functioning, low quality of life and increased mortality. Psychotherapy is the treatment of choice, but it is unclear whether specialized psychotherapies (dialectical behavior therapy, mentalization-based treatment, transference-focused therapy and schema therapy) are more effective than non-specialized approaches (e.g. protocolized psychological treatment, general psychiatric management). The aim of this systematic review is to investigate the effectiveness of these psychotherapies.\n            \n            \n              Methods:\n              PubMed, PsycINFO, CINAHL, EMBASE and CENTRAL were searched from inception to November 2017. Included randomized controlled trials were assessed on risk of bias and outcomes were meta-analyzed. Confidence in the results was assessed using the Grading of Recommendations Assessment, Development and Evaluation method. The review has been reported following Preferred Reporting Items for Systematic Reviews and Meta-Analyses guidelines.\n            \n            \n              Results:\n              A total of 20 studies with 1375 participants were included. Specialized psychotherapies, when compared to treatment as usual or community treatment by experts, were associated with a medium effect based on moderate quality evidence on overall borderline personality dis</w:instrText>
      </w:r>
      <w:r w:rsidR="00732CC9" w:rsidRPr="00732CC9">
        <w:rPr>
          <w:iCs/>
          <w:sz w:val="24"/>
          <w:szCs w:val="24"/>
        </w:rPr>
        <w:instrText xml:space="preserve">order severity (standardized mean difference = –0.59 [95% confidence interval: –0.90, –0.28]), and dialectical behavior therapy, when compared to treatment as usual, with a small to medium effect on self-injury (standardized mean difference = –0.40 [95% confidence interval: –0.66, –0.13]). Other effect estimates were often inconclusive, mostly due to imprecision.\n            \n            \n              Conclusion:\n              There is moderate quality evidence that specialized psychotherapies are effective in reducing overall borderline personality disorder severity. However, further research should identify which patient groups profit most of the specialized therapies.","container-title":"Australian &amp; New Zealand Journal of Psychiatry","DOI":"10.1177/0004867418791257","ISSN":"0004-8674, 1440-1614","issue":"10","journalAbbreviation":"Aust N Z J Psychiatry","language":"en","page":"949-961","source":"DOI.org (Crossref)","title":"Specialized psychotherapies for adults with borderline personality disorder: A systematic review and meta-analysis","title-short":"Specialized psychotherapies for adults with borderline personality disorder","volume":"52","author":[{"family":"Oud","given":"Matthijs"},{"family":"Arntz","given":"Arnoud"},{"family":"Hermens","given":"Marleen Lm"},{"family":"Verhoef","given":"Rogier"},{"family":"Kendall","given":"Tim"}],"issued":{"date-parts":[["2018",10]]}}}],"schema":"https://github.com/citation-style-language/schema/raw/master/csl-citation.json"} </w:instrText>
      </w:r>
      <w:r w:rsidR="00732CC9">
        <w:rPr>
          <w:iCs/>
          <w:sz w:val="24"/>
          <w:szCs w:val="24"/>
          <w:lang w:val="fr-FR"/>
        </w:rPr>
        <w:fldChar w:fldCharType="separate"/>
      </w:r>
      <w:r w:rsidR="00732CC9" w:rsidRPr="00732CC9">
        <w:rPr>
          <w:sz w:val="24"/>
        </w:rPr>
        <w:t>(8)</w:t>
      </w:r>
      <w:r w:rsidR="00732CC9">
        <w:rPr>
          <w:iCs/>
          <w:sz w:val="24"/>
          <w:szCs w:val="24"/>
          <w:lang w:val="fr-FR"/>
        </w:rPr>
        <w:fldChar w:fldCharType="end"/>
      </w:r>
      <w:r w:rsidR="00732CC9" w:rsidRPr="004A74A9">
        <w:rPr>
          <w:iCs/>
          <w:sz w:val="24"/>
          <w:szCs w:val="24"/>
        </w:rPr>
        <w:t>.</w:t>
      </w:r>
    </w:p>
    <w:p w14:paraId="3F561E61" w14:textId="656AC445" w:rsidR="004A74A9" w:rsidRDefault="004A74A9" w:rsidP="004A74A9">
      <w:pPr>
        <w:rPr>
          <w:b/>
          <w:sz w:val="28"/>
          <w:szCs w:val="28"/>
        </w:rPr>
      </w:pPr>
      <w:r>
        <w:rPr>
          <w:b/>
          <w:sz w:val="28"/>
          <w:szCs w:val="28"/>
        </w:rPr>
        <w:t>Van_de_Schoot_2018</w:t>
      </w:r>
    </w:p>
    <w:p w14:paraId="0B96A114" w14:textId="77777777" w:rsidR="004A74A9" w:rsidRPr="004A74A9" w:rsidRDefault="004A74A9" w:rsidP="004A74A9">
      <w:pPr>
        <w:rPr>
          <w:i/>
          <w:sz w:val="24"/>
          <w:szCs w:val="24"/>
        </w:rPr>
      </w:pPr>
      <w:r w:rsidRPr="004A74A9">
        <w:rPr>
          <w:i/>
          <w:sz w:val="24"/>
          <w:szCs w:val="24"/>
        </w:rPr>
        <w:t>"""</w:t>
      </w:r>
    </w:p>
    <w:p w14:paraId="2CAE24A7" w14:textId="77777777" w:rsidR="004A74A9" w:rsidRPr="004A74A9" w:rsidRDefault="004A74A9" w:rsidP="004A74A9">
      <w:pPr>
        <w:rPr>
          <w:i/>
          <w:sz w:val="24"/>
          <w:szCs w:val="24"/>
        </w:rPr>
      </w:pPr>
      <w:r w:rsidRPr="004A74A9">
        <w:rPr>
          <w:i/>
          <w:sz w:val="24"/>
          <w:szCs w:val="24"/>
        </w:rPr>
        <w:t xml:space="preserve">        (a) longitudinal studies with at least three measurement</w:t>
      </w:r>
    </w:p>
    <w:p w14:paraId="659B7CC4" w14:textId="77777777" w:rsidR="004A74A9" w:rsidRDefault="004A74A9" w:rsidP="004A74A9">
      <w:pPr>
        <w:rPr>
          <w:i/>
          <w:sz w:val="24"/>
          <w:szCs w:val="24"/>
        </w:rPr>
      </w:pPr>
      <w:r w:rsidRPr="004A74A9">
        <w:rPr>
          <w:i/>
          <w:sz w:val="24"/>
          <w:szCs w:val="24"/>
        </w:rPr>
        <w:t xml:space="preserve">        waves measuring posttraumatic stress disorder (PTSD), (b) studies that measured PTSD </w:t>
      </w:r>
      <w:r>
        <w:rPr>
          <w:i/>
          <w:sz w:val="24"/>
          <w:szCs w:val="24"/>
        </w:rPr>
        <w:t xml:space="preserve">          </w:t>
      </w:r>
    </w:p>
    <w:p w14:paraId="17E4173D" w14:textId="41C0993C" w:rsidR="004A74A9" w:rsidRPr="004A74A9" w:rsidRDefault="004A74A9" w:rsidP="004A74A9">
      <w:pPr>
        <w:rPr>
          <w:i/>
          <w:sz w:val="24"/>
          <w:szCs w:val="24"/>
        </w:rPr>
      </w:pPr>
      <w:r>
        <w:rPr>
          <w:i/>
          <w:sz w:val="24"/>
          <w:szCs w:val="24"/>
        </w:rPr>
        <w:t xml:space="preserve">        </w:t>
      </w:r>
      <w:r w:rsidRPr="004A74A9">
        <w:rPr>
          <w:i/>
          <w:sz w:val="24"/>
          <w:szCs w:val="24"/>
        </w:rPr>
        <w:t xml:space="preserve">on a continuous scale via an </w:t>
      </w:r>
      <w:proofErr w:type="spellStart"/>
      <w:r w:rsidRPr="004A74A9">
        <w:rPr>
          <w:i/>
          <w:sz w:val="24"/>
          <w:szCs w:val="24"/>
        </w:rPr>
        <w:t>interviewor</w:t>
      </w:r>
      <w:proofErr w:type="spellEnd"/>
      <w:r w:rsidRPr="004A74A9">
        <w:rPr>
          <w:i/>
          <w:sz w:val="24"/>
          <w:szCs w:val="24"/>
        </w:rPr>
        <w:t xml:space="preserve"> questionnaire, (c) and studies</w:t>
      </w:r>
    </w:p>
    <w:p w14:paraId="245C3C4E" w14:textId="77777777" w:rsidR="004A74A9" w:rsidRPr="004A74A9" w:rsidRDefault="004A74A9" w:rsidP="004A74A9">
      <w:pPr>
        <w:rPr>
          <w:i/>
          <w:sz w:val="24"/>
          <w:szCs w:val="24"/>
        </w:rPr>
      </w:pPr>
      <w:r w:rsidRPr="004A74A9">
        <w:rPr>
          <w:i/>
          <w:sz w:val="24"/>
          <w:szCs w:val="24"/>
        </w:rPr>
        <w:t xml:space="preserve">        that used a clustering method (Latent growth mixture modelling, hierarchical</w:t>
      </w:r>
    </w:p>
    <w:p w14:paraId="01823835" w14:textId="77777777" w:rsidR="004A74A9" w:rsidRPr="004A74A9" w:rsidRDefault="004A74A9" w:rsidP="004A74A9">
      <w:pPr>
        <w:rPr>
          <w:i/>
          <w:sz w:val="24"/>
          <w:szCs w:val="24"/>
        </w:rPr>
      </w:pPr>
      <w:r w:rsidRPr="004A74A9">
        <w:rPr>
          <w:i/>
          <w:sz w:val="24"/>
          <w:szCs w:val="24"/>
        </w:rPr>
        <w:t xml:space="preserve">        cluster analysis), (d) traumatic stress symptoms following events</w:t>
      </w:r>
    </w:p>
    <w:p w14:paraId="7BB301BF" w14:textId="77777777" w:rsidR="004A74A9" w:rsidRPr="004A74A9" w:rsidRDefault="004A74A9" w:rsidP="004A74A9">
      <w:pPr>
        <w:rPr>
          <w:i/>
          <w:sz w:val="24"/>
          <w:szCs w:val="24"/>
        </w:rPr>
      </w:pPr>
      <w:r w:rsidRPr="004A74A9">
        <w:rPr>
          <w:i/>
          <w:sz w:val="24"/>
          <w:szCs w:val="24"/>
        </w:rPr>
        <w:t xml:space="preserve">        that appeared to fulfill DSM-IV criterion A1 for PTSD or acute</w:t>
      </w:r>
    </w:p>
    <w:p w14:paraId="1D56FAF2" w14:textId="77777777" w:rsidR="004A74A9" w:rsidRPr="004A74A9" w:rsidRDefault="004A74A9" w:rsidP="004A74A9">
      <w:pPr>
        <w:rPr>
          <w:i/>
          <w:sz w:val="24"/>
          <w:szCs w:val="24"/>
          <w:lang w:val="nl-NL"/>
        </w:rPr>
      </w:pPr>
      <w:r w:rsidRPr="004A74A9">
        <w:rPr>
          <w:i/>
          <w:sz w:val="24"/>
          <w:szCs w:val="24"/>
        </w:rPr>
        <w:t xml:space="preserve">        </w:t>
      </w:r>
      <w:r w:rsidRPr="004A74A9">
        <w:rPr>
          <w:i/>
          <w:sz w:val="24"/>
          <w:szCs w:val="24"/>
          <w:lang w:val="nl-NL"/>
        </w:rPr>
        <w:t>stress disorder.</w:t>
      </w:r>
    </w:p>
    <w:p w14:paraId="0B65CA69" w14:textId="26BCFA6D" w:rsidR="004A74A9" w:rsidRPr="004A74A9" w:rsidRDefault="004A74A9" w:rsidP="004A74A9">
      <w:pPr>
        <w:rPr>
          <w:i/>
          <w:sz w:val="24"/>
          <w:szCs w:val="24"/>
          <w:lang w:val="nl-NL"/>
        </w:rPr>
      </w:pPr>
      <w:r w:rsidRPr="004A74A9">
        <w:rPr>
          <w:i/>
          <w:sz w:val="24"/>
          <w:szCs w:val="24"/>
          <w:lang w:val="nl-NL"/>
        </w:rPr>
        <w:t xml:space="preserve">  """</w:t>
      </w:r>
    </w:p>
    <w:p w14:paraId="13B6E4C8" w14:textId="41BA3151" w:rsidR="004A74A9" w:rsidRPr="004A74A9" w:rsidRDefault="004A74A9" w:rsidP="00A93230">
      <w:pPr>
        <w:rPr>
          <w:i/>
          <w:sz w:val="24"/>
          <w:szCs w:val="24"/>
          <w:lang w:val="nl-NL"/>
        </w:rPr>
      </w:pPr>
      <w:proofErr w:type="spellStart"/>
      <w:r w:rsidRPr="004A74A9">
        <w:rPr>
          <w:iCs/>
          <w:sz w:val="24"/>
          <w:szCs w:val="24"/>
          <w:lang w:val="nl-NL"/>
        </w:rPr>
        <w:t>based</w:t>
      </w:r>
      <w:proofErr w:type="spellEnd"/>
      <w:r w:rsidRPr="004A74A9">
        <w:rPr>
          <w:iCs/>
          <w:sz w:val="24"/>
          <w:szCs w:val="24"/>
          <w:lang w:val="nl-NL"/>
        </w:rPr>
        <w:t xml:space="preserve"> on </w:t>
      </w:r>
      <w:r w:rsidRPr="004A74A9">
        <w:rPr>
          <w:iCs/>
          <w:sz w:val="24"/>
          <w:szCs w:val="24"/>
          <w:lang w:val="nl-NL"/>
        </w:rPr>
        <w:t>van de Schoot</w:t>
      </w:r>
      <w:r w:rsidRPr="004A74A9">
        <w:rPr>
          <w:iCs/>
          <w:sz w:val="24"/>
          <w:szCs w:val="24"/>
          <w:lang w:val="nl-NL"/>
        </w:rPr>
        <w:t xml:space="preserve"> et al. </w:t>
      </w:r>
      <w:r>
        <w:rPr>
          <w:i/>
          <w:sz w:val="24"/>
          <w:szCs w:val="24"/>
        </w:rPr>
        <w:fldChar w:fldCharType="begin"/>
      </w:r>
      <w:r w:rsidRPr="004A74A9">
        <w:rPr>
          <w:i/>
          <w:sz w:val="24"/>
          <w:szCs w:val="24"/>
          <w:lang w:val="nl-NL"/>
        </w:rPr>
        <w:instrText xml:space="preserve"> ADDIN ZOTERO_ITEM CSL_CITATION {"citationID":"wh2WW7sM","properties":{"formattedCitation":"(9)","plainCitation":"(9)","noteIndex":0},"citationItems":[{"id":1015,"uris":["http://zotero.org/users/local/g0Xo7BsA/items/4GESBE8G"],"itemData":{"id":1015,"type":"article-journal","container-title":"Multivariate Behavioral Research","DOI":"10.1080/00273171.2017.1412293","ISSN":"0027-3171, 1532-7906","issue":"2","journalAbbreviation":"Multivariate Behavioral Research","language":"en","page":"267-291","source":"DOI.org (Crossref)","title":"Bayesian PTSD-Trajectory Analysis with Informed Priors Based on a Systematic Literature Search and Expert Elicitation","volume":"53","author":[{"family":"Van De Schoot","given":"Rens"},{"family":"Sijbrandij","given":"Marit"},{"family":"Depaoli","given":"Sarah"},{"family":"Winter","given":"Sonja D."},{"family":"Olff","given":"Miranda"},{"family":"Van Loey","given":"Nancy E."}],"issued":{"date-parts":[["2018",3,4]]}}}],"schema":"https://github.com/citation-style-language/schema/raw/master/csl-citation.json"} </w:instrText>
      </w:r>
      <w:r>
        <w:rPr>
          <w:i/>
          <w:sz w:val="24"/>
          <w:szCs w:val="24"/>
        </w:rPr>
        <w:fldChar w:fldCharType="separate"/>
      </w:r>
      <w:r w:rsidRPr="004A74A9">
        <w:rPr>
          <w:sz w:val="24"/>
          <w:lang w:val="nl-NL"/>
        </w:rPr>
        <w:t>(9)</w:t>
      </w:r>
      <w:r>
        <w:rPr>
          <w:i/>
          <w:sz w:val="24"/>
          <w:szCs w:val="24"/>
        </w:rPr>
        <w:fldChar w:fldCharType="end"/>
      </w:r>
    </w:p>
    <w:p w14:paraId="7A198CD8" w14:textId="7A725F25" w:rsidR="00664143" w:rsidRDefault="00664143" w:rsidP="005C2860">
      <w:pPr>
        <w:rPr>
          <w:b/>
          <w:sz w:val="28"/>
          <w:szCs w:val="28"/>
        </w:rPr>
      </w:pPr>
      <w:r>
        <w:rPr>
          <w:b/>
          <w:sz w:val="28"/>
          <w:szCs w:val="28"/>
        </w:rPr>
        <w:t>Wolter</w:t>
      </w:r>
      <w:r w:rsidR="00A146B7">
        <w:rPr>
          <w:b/>
          <w:sz w:val="28"/>
          <w:szCs w:val="28"/>
        </w:rPr>
        <w:t>s</w:t>
      </w:r>
      <w:r>
        <w:rPr>
          <w:b/>
          <w:sz w:val="28"/>
          <w:szCs w:val="28"/>
        </w:rPr>
        <w:t>_2019</w:t>
      </w:r>
    </w:p>
    <w:p w14:paraId="4AF14FBB" w14:textId="77777777" w:rsidR="000C4D09" w:rsidRPr="000C4D09" w:rsidRDefault="000C4D09" w:rsidP="000C4D09">
      <w:pPr>
        <w:rPr>
          <w:i/>
          <w:sz w:val="24"/>
          <w:szCs w:val="24"/>
        </w:rPr>
      </w:pPr>
      <w:r w:rsidRPr="000C4D09">
        <w:rPr>
          <w:i/>
          <w:sz w:val="24"/>
          <w:szCs w:val="24"/>
        </w:rPr>
        <w:t>"""</w:t>
      </w:r>
    </w:p>
    <w:p w14:paraId="268CA32F" w14:textId="77777777" w:rsidR="000C4D09" w:rsidRPr="000C4D09" w:rsidRDefault="000C4D09" w:rsidP="000C4D09">
      <w:pPr>
        <w:rPr>
          <w:i/>
          <w:sz w:val="24"/>
          <w:szCs w:val="24"/>
        </w:rPr>
      </w:pPr>
      <w:r w:rsidRPr="000C4D09">
        <w:rPr>
          <w:i/>
          <w:sz w:val="24"/>
          <w:szCs w:val="24"/>
        </w:rPr>
        <w:lastRenderedPageBreak/>
        <w:t xml:space="preserve">        -Prospective studies of humans that report the risk of all-cause dementia or Alzheimer's disease in relation to coronary heart disease or congestive heart failure</w:t>
      </w:r>
    </w:p>
    <w:p w14:paraId="7C5D0B47" w14:textId="77777777" w:rsidR="000C4D09" w:rsidRPr="000C4D09" w:rsidRDefault="000C4D09" w:rsidP="000C4D09">
      <w:pPr>
        <w:rPr>
          <w:i/>
          <w:sz w:val="24"/>
          <w:szCs w:val="24"/>
        </w:rPr>
      </w:pPr>
      <w:r w:rsidRPr="000C4D09">
        <w:rPr>
          <w:i/>
          <w:sz w:val="24"/>
          <w:szCs w:val="24"/>
        </w:rPr>
        <w:t xml:space="preserve">        -Only original articles</w:t>
      </w:r>
    </w:p>
    <w:p w14:paraId="1F7E0A29" w14:textId="77777777" w:rsidR="000C4D09" w:rsidRDefault="000C4D09" w:rsidP="000C4D09">
      <w:pPr>
        <w:rPr>
          <w:i/>
          <w:sz w:val="24"/>
          <w:szCs w:val="24"/>
        </w:rPr>
      </w:pPr>
      <w:r w:rsidRPr="000C4D09">
        <w:rPr>
          <w:i/>
          <w:sz w:val="24"/>
          <w:szCs w:val="24"/>
        </w:rPr>
        <w:t xml:space="preserve">        """</w:t>
      </w:r>
    </w:p>
    <w:p w14:paraId="167BD1F6" w14:textId="2E41B037" w:rsidR="003B3514" w:rsidRDefault="00A97A45" w:rsidP="00A97A45">
      <w:pPr>
        <w:rPr>
          <w:iCs/>
          <w:sz w:val="24"/>
          <w:szCs w:val="24"/>
        </w:rPr>
      </w:pPr>
      <w:r>
        <w:rPr>
          <w:iCs/>
          <w:sz w:val="24"/>
          <w:szCs w:val="24"/>
        </w:rPr>
        <w:t xml:space="preserve">based on Wolters et al. </w:t>
      </w:r>
      <w:r w:rsidR="00732CC9">
        <w:rPr>
          <w:iCs/>
          <w:sz w:val="24"/>
          <w:szCs w:val="24"/>
        </w:rPr>
        <w:fldChar w:fldCharType="begin"/>
      </w:r>
      <w:r w:rsidR="004A74A9">
        <w:rPr>
          <w:iCs/>
          <w:sz w:val="24"/>
          <w:szCs w:val="24"/>
        </w:rPr>
        <w:instrText xml:space="preserve"> ADDIN ZOTERO_ITEM CSL_CITATION {"citationID":"tbqrkafI","properties":{"formattedCitation":"(10)","plainCitation":"(10)","noteIndex":0},"citationItems":[{"id":869,"uris":["http://zotero.org/users/local/g0Xo7BsA/items/HVNGZKEE"],"itemData":{"id":869,"type":"article-journal","container-title":"Alzheimer's &amp; Dementia","DOI":"10.1016/j.jalz.2018.01.007","ISSN":"1552-5260, 1552-5279","issue":"11","journalAbbreviation":"Alzheimer's &amp;amp; Dementia","language":"en","page":"1493-1504","source":"DOI.org (Crossref)","title":"Coronary heart disease, heart failure, and the risk of dementia: A systematic review and meta‐analysis","title-short":"Coronary heart disease, heart failure, and the risk of dementia","volume":"14","author":[{"family":"Wolters","given":"Frank J."},{"family":"Segufa","given":"Reffat A."},{"family":"Darweesh","given":"Sirwan K.L."},{"family":"Bos","given":"Daniel"},{"family":"Ikram","given":"Mohammad Arfan"},{"family":"Sabayan","given":"Behnam"},{"family":"Hofman","given":"Albert"},{"family":"Sedaghat","given":"Sanaz"}],"issued":{"date-parts":[["2018",11]]}}}],"schema":"https://github.com/citation-style-language/schema/raw/master/csl-citation.json"} </w:instrText>
      </w:r>
      <w:r w:rsidR="00732CC9">
        <w:rPr>
          <w:iCs/>
          <w:sz w:val="24"/>
          <w:szCs w:val="24"/>
        </w:rPr>
        <w:fldChar w:fldCharType="separate"/>
      </w:r>
      <w:r w:rsidR="004A74A9" w:rsidRPr="004A74A9">
        <w:rPr>
          <w:sz w:val="24"/>
        </w:rPr>
        <w:t>(10)</w:t>
      </w:r>
      <w:r w:rsidR="00732CC9">
        <w:rPr>
          <w:iCs/>
          <w:sz w:val="24"/>
          <w:szCs w:val="24"/>
        </w:rPr>
        <w:fldChar w:fldCharType="end"/>
      </w:r>
      <w:r w:rsidR="00732CC9">
        <w:rPr>
          <w:iCs/>
          <w:sz w:val="24"/>
          <w:szCs w:val="24"/>
        </w:rPr>
        <w:t>.</w:t>
      </w:r>
    </w:p>
    <w:p w14:paraId="030EE32A" w14:textId="77777777" w:rsidR="00732CC9" w:rsidRDefault="00732CC9" w:rsidP="00A97A45">
      <w:pPr>
        <w:rPr>
          <w:iCs/>
          <w:sz w:val="24"/>
          <w:szCs w:val="24"/>
        </w:rPr>
      </w:pPr>
    </w:p>
    <w:p w14:paraId="398EED22" w14:textId="77777777" w:rsidR="00AE5A7C" w:rsidRPr="00AE5A7C" w:rsidRDefault="00732CC9" w:rsidP="00AE5A7C">
      <w:pPr>
        <w:pStyle w:val="Literaturverzeichnis"/>
        <w:rPr>
          <w:sz w:val="24"/>
          <w:lang w:val="nl-NL"/>
        </w:rPr>
      </w:pPr>
      <w:r>
        <w:rPr>
          <w:iCs/>
        </w:rPr>
        <w:fldChar w:fldCharType="begin"/>
      </w:r>
      <w:r w:rsidR="00AE5A7C">
        <w:rPr>
          <w:iCs/>
        </w:rPr>
        <w:instrText xml:space="preserve"> ADDIN ZOTERO_BIBL {"uncited":[],"omitted":[],"custom":[]} CSL_BIBLIOGRAPHY </w:instrText>
      </w:r>
      <w:r>
        <w:rPr>
          <w:iCs/>
        </w:rPr>
        <w:fldChar w:fldCharType="separate"/>
      </w:r>
      <w:r w:rsidR="00AE5A7C" w:rsidRPr="00AE5A7C">
        <w:rPr>
          <w:sz w:val="24"/>
        </w:rPr>
        <w:t>1.</w:t>
      </w:r>
      <w:r w:rsidR="00AE5A7C" w:rsidRPr="00AE5A7C">
        <w:rPr>
          <w:sz w:val="24"/>
        </w:rPr>
        <w:tab/>
        <w:t xml:space="preserve">Appenzeller‐Herzog C, Mathes T, Heeres MLS, Weiss KH, </w:t>
      </w:r>
      <w:proofErr w:type="spellStart"/>
      <w:r w:rsidR="00AE5A7C" w:rsidRPr="00AE5A7C">
        <w:rPr>
          <w:sz w:val="24"/>
        </w:rPr>
        <w:t>Houwen</w:t>
      </w:r>
      <w:proofErr w:type="spellEnd"/>
      <w:r w:rsidR="00AE5A7C" w:rsidRPr="00AE5A7C">
        <w:rPr>
          <w:sz w:val="24"/>
        </w:rPr>
        <w:t xml:space="preserve"> RHJ, Ewald H. Comparative effectiveness of common therapies for Wilson disease: A systematic review and meta‐analysis of controlled studies. </w:t>
      </w:r>
      <w:proofErr w:type="spellStart"/>
      <w:r w:rsidR="00AE5A7C" w:rsidRPr="00AE5A7C">
        <w:rPr>
          <w:sz w:val="24"/>
          <w:lang w:val="nl-NL"/>
        </w:rPr>
        <w:t>Liver</w:t>
      </w:r>
      <w:proofErr w:type="spellEnd"/>
      <w:r w:rsidR="00AE5A7C" w:rsidRPr="00AE5A7C">
        <w:rPr>
          <w:sz w:val="24"/>
          <w:lang w:val="nl-NL"/>
        </w:rPr>
        <w:t xml:space="preserve"> Int. 2019 Nov;39(11):2136–52. </w:t>
      </w:r>
    </w:p>
    <w:p w14:paraId="3B2BFB02" w14:textId="77777777" w:rsidR="00AE5A7C" w:rsidRPr="00AE5A7C" w:rsidRDefault="00AE5A7C" w:rsidP="00AE5A7C">
      <w:pPr>
        <w:pStyle w:val="Literaturverzeichnis"/>
        <w:rPr>
          <w:sz w:val="24"/>
        </w:rPr>
      </w:pPr>
      <w:r w:rsidRPr="00AE5A7C">
        <w:rPr>
          <w:sz w:val="24"/>
          <w:lang w:val="nl-NL"/>
        </w:rPr>
        <w:t>2.</w:t>
      </w:r>
      <w:r w:rsidRPr="00AE5A7C">
        <w:rPr>
          <w:sz w:val="24"/>
          <w:lang w:val="nl-NL"/>
        </w:rPr>
        <w:tab/>
        <w:t xml:space="preserve">Bos D, Wolters FJ, </w:t>
      </w:r>
      <w:proofErr w:type="spellStart"/>
      <w:r w:rsidRPr="00AE5A7C">
        <w:rPr>
          <w:sz w:val="24"/>
          <w:lang w:val="nl-NL"/>
        </w:rPr>
        <w:t>Darweesh</w:t>
      </w:r>
      <w:proofErr w:type="spellEnd"/>
      <w:r w:rsidRPr="00AE5A7C">
        <w:rPr>
          <w:sz w:val="24"/>
          <w:lang w:val="nl-NL"/>
        </w:rPr>
        <w:t xml:space="preserve"> SKL, </w:t>
      </w:r>
      <w:proofErr w:type="spellStart"/>
      <w:r w:rsidRPr="00AE5A7C">
        <w:rPr>
          <w:sz w:val="24"/>
          <w:lang w:val="nl-NL"/>
        </w:rPr>
        <w:t>Vernooij</w:t>
      </w:r>
      <w:proofErr w:type="spellEnd"/>
      <w:r w:rsidRPr="00AE5A7C">
        <w:rPr>
          <w:sz w:val="24"/>
          <w:lang w:val="nl-NL"/>
        </w:rPr>
        <w:t xml:space="preserve"> MW, De Wolf F, </w:t>
      </w:r>
      <w:proofErr w:type="spellStart"/>
      <w:r w:rsidRPr="00AE5A7C">
        <w:rPr>
          <w:sz w:val="24"/>
          <w:lang w:val="nl-NL"/>
        </w:rPr>
        <w:t>Ikram</w:t>
      </w:r>
      <w:proofErr w:type="spellEnd"/>
      <w:r w:rsidRPr="00AE5A7C">
        <w:rPr>
          <w:sz w:val="24"/>
          <w:lang w:val="nl-NL"/>
        </w:rPr>
        <w:t xml:space="preserve"> MA, et al. </w:t>
      </w:r>
      <w:r w:rsidRPr="00AE5A7C">
        <w:rPr>
          <w:sz w:val="24"/>
        </w:rPr>
        <w:t xml:space="preserve">Cerebral small vessel disease and the risk of dementia: A systematic review and meta‐analysis of population‐based evidence. Alzheimer’s &amp;amp; Dementia. 2018 Nov;14(11):1482–92. </w:t>
      </w:r>
    </w:p>
    <w:p w14:paraId="21494469" w14:textId="77777777" w:rsidR="00AE5A7C" w:rsidRPr="00AE5A7C" w:rsidRDefault="00AE5A7C" w:rsidP="00AE5A7C">
      <w:pPr>
        <w:pStyle w:val="Literaturverzeichnis"/>
        <w:rPr>
          <w:sz w:val="24"/>
        </w:rPr>
      </w:pPr>
      <w:r w:rsidRPr="00AE5A7C">
        <w:rPr>
          <w:sz w:val="24"/>
        </w:rPr>
        <w:t>3.</w:t>
      </w:r>
      <w:r w:rsidRPr="00AE5A7C">
        <w:rPr>
          <w:sz w:val="24"/>
        </w:rPr>
        <w:tab/>
        <w:t xml:space="preserve">Donners AAMT, Rademaker CMA, Bevers LAH, Huitema ADR, </w:t>
      </w:r>
      <w:proofErr w:type="spellStart"/>
      <w:r w:rsidRPr="00AE5A7C">
        <w:rPr>
          <w:sz w:val="24"/>
        </w:rPr>
        <w:t>Schutgens</w:t>
      </w:r>
      <w:proofErr w:type="spellEnd"/>
      <w:r w:rsidRPr="00AE5A7C">
        <w:rPr>
          <w:sz w:val="24"/>
        </w:rPr>
        <w:t xml:space="preserve"> REG, Egberts TCG, et al. Pharmacokinetics and Associated Efficacy of </w:t>
      </w:r>
      <w:proofErr w:type="spellStart"/>
      <w:r w:rsidRPr="00AE5A7C">
        <w:rPr>
          <w:sz w:val="24"/>
        </w:rPr>
        <w:t>Emicizumab</w:t>
      </w:r>
      <w:proofErr w:type="spellEnd"/>
      <w:r w:rsidRPr="00AE5A7C">
        <w:rPr>
          <w:sz w:val="24"/>
        </w:rPr>
        <w:t xml:space="preserve"> in Humans: A Systematic Review. Clin </w:t>
      </w:r>
      <w:proofErr w:type="spellStart"/>
      <w:r w:rsidRPr="00AE5A7C">
        <w:rPr>
          <w:sz w:val="24"/>
        </w:rPr>
        <w:t>Pharmacokinet</w:t>
      </w:r>
      <w:proofErr w:type="spellEnd"/>
      <w:r w:rsidRPr="00AE5A7C">
        <w:rPr>
          <w:sz w:val="24"/>
        </w:rPr>
        <w:t xml:space="preserve">. 2021 Nov;60(11):1395–406. </w:t>
      </w:r>
    </w:p>
    <w:p w14:paraId="12D22AF7" w14:textId="77777777" w:rsidR="00AE5A7C" w:rsidRPr="00AE5A7C" w:rsidRDefault="00AE5A7C" w:rsidP="00AE5A7C">
      <w:pPr>
        <w:pStyle w:val="Literaturverzeichnis"/>
        <w:rPr>
          <w:sz w:val="24"/>
        </w:rPr>
      </w:pPr>
      <w:r w:rsidRPr="00AE5A7C">
        <w:rPr>
          <w:sz w:val="24"/>
        </w:rPr>
        <w:t>4.</w:t>
      </w:r>
      <w:r w:rsidRPr="00AE5A7C">
        <w:rPr>
          <w:sz w:val="24"/>
        </w:rPr>
        <w:tab/>
        <w:t xml:space="preserve">Jeyaraman M, Muthu S, Ganie PA. Does the Source of Mesenchymal Stem Cell Have an Effect in the Management of Osteoarthritis of the Knee? Meta-Analysis of Randomized Controlled Trials. CARTILAGE. 2021 Dec;13(1_suppl):1532S-1547S. </w:t>
      </w:r>
    </w:p>
    <w:p w14:paraId="23C70FC3" w14:textId="77777777" w:rsidR="00AE5A7C" w:rsidRPr="00AE5A7C" w:rsidRDefault="00AE5A7C" w:rsidP="00AE5A7C">
      <w:pPr>
        <w:pStyle w:val="Literaturverzeichnis"/>
        <w:rPr>
          <w:sz w:val="24"/>
        </w:rPr>
      </w:pPr>
      <w:r w:rsidRPr="00AE5A7C">
        <w:rPr>
          <w:sz w:val="24"/>
          <w:lang w:val="nl-NL"/>
        </w:rPr>
        <w:t>5.</w:t>
      </w:r>
      <w:r w:rsidRPr="00AE5A7C">
        <w:rPr>
          <w:sz w:val="24"/>
          <w:lang w:val="nl-NL"/>
        </w:rPr>
        <w:tab/>
        <w:t xml:space="preserve">Leenaars C, </w:t>
      </w:r>
      <w:proofErr w:type="spellStart"/>
      <w:r w:rsidRPr="00AE5A7C">
        <w:rPr>
          <w:sz w:val="24"/>
          <w:lang w:val="nl-NL"/>
        </w:rPr>
        <w:t>Stafleu</w:t>
      </w:r>
      <w:proofErr w:type="spellEnd"/>
      <w:r w:rsidRPr="00AE5A7C">
        <w:rPr>
          <w:sz w:val="24"/>
          <w:lang w:val="nl-NL"/>
        </w:rPr>
        <w:t xml:space="preserve"> F, De Jong D, Van Berlo M, Geurts T, Coenen-de Roo T, et al. </w:t>
      </w:r>
      <w:r w:rsidRPr="00AE5A7C">
        <w:rPr>
          <w:sz w:val="24"/>
        </w:rPr>
        <w:t xml:space="preserve">A Systematic Review Comparing Experimental Design of Animal and Human Methotrexate Efficacy Studies for Rheumatoid Arthritis: Lessons for the Translational Value of Animal Studies. Animals. 2020 Jun 17;10(6):1047. </w:t>
      </w:r>
    </w:p>
    <w:p w14:paraId="26B47100" w14:textId="77777777" w:rsidR="00AE5A7C" w:rsidRPr="00AE5A7C" w:rsidRDefault="00AE5A7C" w:rsidP="00AE5A7C">
      <w:pPr>
        <w:pStyle w:val="Literaturverzeichnis"/>
        <w:rPr>
          <w:sz w:val="24"/>
        </w:rPr>
      </w:pPr>
      <w:r w:rsidRPr="00AE5A7C">
        <w:rPr>
          <w:sz w:val="24"/>
        </w:rPr>
        <w:t>6.</w:t>
      </w:r>
      <w:r w:rsidRPr="00AE5A7C">
        <w:rPr>
          <w:sz w:val="24"/>
        </w:rPr>
        <w:tab/>
      </w:r>
      <w:proofErr w:type="spellStart"/>
      <w:r w:rsidRPr="00AE5A7C">
        <w:rPr>
          <w:sz w:val="24"/>
        </w:rPr>
        <w:t>Meijboom</w:t>
      </w:r>
      <w:proofErr w:type="spellEnd"/>
      <w:r w:rsidRPr="00AE5A7C">
        <w:rPr>
          <w:sz w:val="24"/>
        </w:rPr>
        <w:t xml:space="preserve"> RW, Gardarsdottir H, Egberts TCG, </w:t>
      </w:r>
      <w:proofErr w:type="spellStart"/>
      <w:r w:rsidRPr="00AE5A7C">
        <w:rPr>
          <w:sz w:val="24"/>
        </w:rPr>
        <w:t>Giezen</w:t>
      </w:r>
      <w:proofErr w:type="spellEnd"/>
      <w:r w:rsidRPr="00AE5A7C">
        <w:rPr>
          <w:sz w:val="24"/>
        </w:rPr>
        <w:t xml:space="preserve"> TJ. Patients </w:t>
      </w:r>
      <w:proofErr w:type="spellStart"/>
      <w:r w:rsidRPr="00AE5A7C">
        <w:rPr>
          <w:sz w:val="24"/>
        </w:rPr>
        <w:t>Retransitioning</w:t>
      </w:r>
      <w:proofErr w:type="spellEnd"/>
      <w:r w:rsidRPr="00AE5A7C">
        <w:rPr>
          <w:sz w:val="24"/>
        </w:rPr>
        <w:t xml:space="preserve"> from Biosimilar TNFα Inhibitor to the Corresponding Originator After Initial Transitioning to the Biosimilar: A Systematic Review. </w:t>
      </w:r>
      <w:proofErr w:type="spellStart"/>
      <w:r w:rsidRPr="00AE5A7C">
        <w:rPr>
          <w:sz w:val="24"/>
        </w:rPr>
        <w:t>BioDrugs</w:t>
      </w:r>
      <w:proofErr w:type="spellEnd"/>
      <w:r w:rsidRPr="00AE5A7C">
        <w:rPr>
          <w:sz w:val="24"/>
        </w:rPr>
        <w:t xml:space="preserve">. 2022 Jan;36(1):27–39. </w:t>
      </w:r>
    </w:p>
    <w:p w14:paraId="735FD993" w14:textId="77777777" w:rsidR="00AE5A7C" w:rsidRPr="00AE5A7C" w:rsidRDefault="00AE5A7C" w:rsidP="00AE5A7C">
      <w:pPr>
        <w:pStyle w:val="Literaturverzeichnis"/>
        <w:rPr>
          <w:sz w:val="24"/>
        </w:rPr>
      </w:pPr>
      <w:r w:rsidRPr="00AE5A7C">
        <w:rPr>
          <w:sz w:val="24"/>
        </w:rPr>
        <w:t>7.</w:t>
      </w:r>
      <w:r w:rsidRPr="00AE5A7C">
        <w:rPr>
          <w:sz w:val="24"/>
        </w:rPr>
        <w:tab/>
        <w:t xml:space="preserve">Muthu S, Ramakrishnan E. Fragility Analysis of Statistically Significant Outcomes of Randomized Control Trials in Spine Surgery: A Systematic Review. Spine. 2021 Feb 1;46(3):198–208. </w:t>
      </w:r>
    </w:p>
    <w:p w14:paraId="3F2ACEAB" w14:textId="77777777" w:rsidR="00AE5A7C" w:rsidRPr="00AE5A7C" w:rsidRDefault="00AE5A7C" w:rsidP="00AE5A7C">
      <w:pPr>
        <w:pStyle w:val="Literaturverzeichnis"/>
        <w:rPr>
          <w:sz w:val="24"/>
          <w:lang w:val="nl-NL"/>
        </w:rPr>
      </w:pPr>
      <w:r w:rsidRPr="00AE5A7C">
        <w:rPr>
          <w:sz w:val="24"/>
        </w:rPr>
        <w:t>8.</w:t>
      </w:r>
      <w:r w:rsidRPr="00AE5A7C">
        <w:rPr>
          <w:sz w:val="24"/>
        </w:rPr>
        <w:tab/>
        <w:t xml:space="preserve">Oud M, Arntz A, Hermens ML, Verhoef R, Kendall T. Specialized psychotherapies for adults with borderline personality disorder: A systematic review and meta-analysis. </w:t>
      </w:r>
      <w:proofErr w:type="spellStart"/>
      <w:r w:rsidRPr="00AE5A7C">
        <w:rPr>
          <w:sz w:val="24"/>
          <w:lang w:val="nl-NL"/>
        </w:rPr>
        <w:t>Aust</w:t>
      </w:r>
      <w:proofErr w:type="spellEnd"/>
      <w:r w:rsidRPr="00AE5A7C">
        <w:rPr>
          <w:sz w:val="24"/>
          <w:lang w:val="nl-NL"/>
        </w:rPr>
        <w:t xml:space="preserve"> N Z J </w:t>
      </w:r>
      <w:proofErr w:type="spellStart"/>
      <w:r w:rsidRPr="00AE5A7C">
        <w:rPr>
          <w:sz w:val="24"/>
          <w:lang w:val="nl-NL"/>
        </w:rPr>
        <w:t>Psychiatry</w:t>
      </w:r>
      <w:proofErr w:type="spellEnd"/>
      <w:r w:rsidRPr="00AE5A7C">
        <w:rPr>
          <w:sz w:val="24"/>
          <w:lang w:val="nl-NL"/>
        </w:rPr>
        <w:t xml:space="preserve">. 2018 Oct;52(10):949–61. </w:t>
      </w:r>
    </w:p>
    <w:p w14:paraId="6847501C" w14:textId="77777777" w:rsidR="00AE5A7C" w:rsidRPr="00AE5A7C" w:rsidRDefault="00AE5A7C" w:rsidP="00AE5A7C">
      <w:pPr>
        <w:pStyle w:val="Literaturverzeichnis"/>
        <w:rPr>
          <w:sz w:val="24"/>
        </w:rPr>
      </w:pPr>
      <w:r w:rsidRPr="00AE5A7C">
        <w:rPr>
          <w:sz w:val="24"/>
          <w:lang w:val="nl-NL"/>
        </w:rPr>
        <w:t>9.</w:t>
      </w:r>
      <w:r w:rsidRPr="00AE5A7C">
        <w:rPr>
          <w:sz w:val="24"/>
          <w:lang w:val="nl-NL"/>
        </w:rPr>
        <w:tab/>
        <w:t xml:space="preserve">Van De Schoot R, </w:t>
      </w:r>
      <w:proofErr w:type="spellStart"/>
      <w:r w:rsidRPr="00AE5A7C">
        <w:rPr>
          <w:sz w:val="24"/>
          <w:lang w:val="nl-NL"/>
        </w:rPr>
        <w:t>Sijbrandij</w:t>
      </w:r>
      <w:proofErr w:type="spellEnd"/>
      <w:r w:rsidRPr="00AE5A7C">
        <w:rPr>
          <w:sz w:val="24"/>
          <w:lang w:val="nl-NL"/>
        </w:rPr>
        <w:t xml:space="preserve"> M, </w:t>
      </w:r>
      <w:proofErr w:type="spellStart"/>
      <w:r w:rsidRPr="00AE5A7C">
        <w:rPr>
          <w:sz w:val="24"/>
          <w:lang w:val="nl-NL"/>
        </w:rPr>
        <w:t>Depaoli</w:t>
      </w:r>
      <w:proofErr w:type="spellEnd"/>
      <w:r w:rsidRPr="00AE5A7C">
        <w:rPr>
          <w:sz w:val="24"/>
          <w:lang w:val="nl-NL"/>
        </w:rPr>
        <w:t xml:space="preserve"> S, Winter SD, </w:t>
      </w:r>
      <w:proofErr w:type="spellStart"/>
      <w:r w:rsidRPr="00AE5A7C">
        <w:rPr>
          <w:sz w:val="24"/>
          <w:lang w:val="nl-NL"/>
        </w:rPr>
        <w:t>Olff</w:t>
      </w:r>
      <w:proofErr w:type="spellEnd"/>
      <w:r w:rsidRPr="00AE5A7C">
        <w:rPr>
          <w:sz w:val="24"/>
          <w:lang w:val="nl-NL"/>
        </w:rPr>
        <w:t xml:space="preserve"> M, Van </w:t>
      </w:r>
      <w:proofErr w:type="spellStart"/>
      <w:r w:rsidRPr="00AE5A7C">
        <w:rPr>
          <w:sz w:val="24"/>
          <w:lang w:val="nl-NL"/>
        </w:rPr>
        <w:t>Loey</w:t>
      </w:r>
      <w:proofErr w:type="spellEnd"/>
      <w:r w:rsidRPr="00AE5A7C">
        <w:rPr>
          <w:sz w:val="24"/>
          <w:lang w:val="nl-NL"/>
        </w:rPr>
        <w:t xml:space="preserve"> NE. </w:t>
      </w:r>
      <w:r w:rsidRPr="00AE5A7C">
        <w:rPr>
          <w:sz w:val="24"/>
        </w:rPr>
        <w:t xml:space="preserve">Bayesian PTSD-Trajectory Analysis with Informed Priors Based on a Systematic Literature Search and Expert Elicitation. Multivariate Behavioral Research. 2018 Mar 4;53(2):267–91. </w:t>
      </w:r>
    </w:p>
    <w:p w14:paraId="12D921C9" w14:textId="261A2990" w:rsidR="00AE5A7C" w:rsidRPr="00AE5A7C" w:rsidRDefault="00AE5A7C" w:rsidP="00AE5A7C">
      <w:pPr>
        <w:pStyle w:val="Literaturverzeichnis"/>
        <w:rPr>
          <w:sz w:val="24"/>
        </w:rPr>
      </w:pPr>
      <w:r w:rsidRPr="00AE5A7C">
        <w:rPr>
          <w:sz w:val="24"/>
        </w:rPr>
        <w:t>10.</w:t>
      </w:r>
      <w:r>
        <w:rPr>
          <w:sz w:val="24"/>
        </w:rPr>
        <w:t xml:space="preserve"> </w:t>
      </w:r>
      <w:r w:rsidRPr="00AE5A7C">
        <w:rPr>
          <w:sz w:val="24"/>
        </w:rPr>
        <w:t xml:space="preserve">Wolters FJ, </w:t>
      </w:r>
      <w:proofErr w:type="spellStart"/>
      <w:r w:rsidRPr="00AE5A7C">
        <w:rPr>
          <w:sz w:val="24"/>
        </w:rPr>
        <w:t>Segufa</w:t>
      </w:r>
      <w:proofErr w:type="spellEnd"/>
      <w:r w:rsidRPr="00AE5A7C">
        <w:rPr>
          <w:sz w:val="24"/>
        </w:rPr>
        <w:t xml:space="preserve"> RA, </w:t>
      </w:r>
      <w:proofErr w:type="spellStart"/>
      <w:r w:rsidRPr="00AE5A7C">
        <w:rPr>
          <w:sz w:val="24"/>
        </w:rPr>
        <w:t>Darweesh</w:t>
      </w:r>
      <w:proofErr w:type="spellEnd"/>
      <w:r w:rsidRPr="00AE5A7C">
        <w:rPr>
          <w:sz w:val="24"/>
        </w:rPr>
        <w:t xml:space="preserve"> SKL, Bos D, Ikram MA, </w:t>
      </w:r>
      <w:proofErr w:type="spellStart"/>
      <w:r w:rsidRPr="00AE5A7C">
        <w:rPr>
          <w:sz w:val="24"/>
        </w:rPr>
        <w:t>Sabayan</w:t>
      </w:r>
      <w:proofErr w:type="spellEnd"/>
      <w:r w:rsidRPr="00AE5A7C">
        <w:rPr>
          <w:sz w:val="24"/>
        </w:rPr>
        <w:t xml:space="preserve"> B, et al. Coronary heart disease, heart failure, and the risk of dementia: A systematic review and meta‐analysis. Alzheimer’s &amp;amp; Dementia. 2018 Nov;14(11):1493–504. </w:t>
      </w:r>
    </w:p>
    <w:p w14:paraId="06A840D8" w14:textId="0C649BD0" w:rsidR="00732CC9" w:rsidRPr="00A97A45" w:rsidRDefault="00732CC9" w:rsidP="00A97A45">
      <w:pPr>
        <w:rPr>
          <w:iCs/>
          <w:sz w:val="24"/>
          <w:szCs w:val="24"/>
        </w:rPr>
      </w:pPr>
      <w:r>
        <w:rPr>
          <w:iCs/>
          <w:sz w:val="24"/>
          <w:szCs w:val="24"/>
        </w:rPr>
        <w:lastRenderedPageBreak/>
        <w:fldChar w:fldCharType="end"/>
      </w:r>
    </w:p>
    <w:sectPr w:rsidR="00732CC9" w:rsidRPr="00A97A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9756C"/>
    <w:multiLevelType w:val="hybridMultilevel"/>
    <w:tmpl w:val="E58E0AAC"/>
    <w:lvl w:ilvl="0" w:tplc="24005982">
      <w:numFmt w:val="bullet"/>
      <w:lvlText w:val="-"/>
      <w:lvlJc w:val="left"/>
      <w:pPr>
        <w:ind w:left="1155" w:hanging="360"/>
      </w:pPr>
      <w:rPr>
        <w:rFonts w:ascii="Calibri" w:eastAsia="Calibri" w:hAnsi="Calibri" w:cs="Calibri" w:hint="default"/>
      </w:rPr>
    </w:lvl>
    <w:lvl w:ilvl="1" w:tplc="04070003">
      <w:start w:val="1"/>
      <w:numFmt w:val="bullet"/>
      <w:lvlText w:val="o"/>
      <w:lvlJc w:val="left"/>
      <w:pPr>
        <w:ind w:left="1875" w:hanging="360"/>
      </w:pPr>
      <w:rPr>
        <w:rFonts w:ascii="Courier New" w:hAnsi="Courier New" w:cs="Courier New" w:hint="default"/>
      </w:rPr>
    </w:lvl>
    <w:lvl w:ilvl="2" w:tplc="04070005" w:tentative="1">
      <w:start w:val="1"/>
      <w:numFmt w:val="bullet"/>
      <w:lvlText w:val=""/>
      <w:lvlJc w:val="left"/>
      <w:pPr>
        <w:ind w:left="2595" w:hanging="360"/>
      </w:pPr>
      <w:rPr>
        <w:rFonts w:ascii="Wingdings" w:hAnsi="Wingdings" w:hint="default"/>
      </w:rPr>
    </w:lvl>
    <w:lvl w:ilvl="3" w:tplc="04070001" w:tentative="1">
      <w:start w:val="1"/>
      <w:numFmt w:val="bullet"/>
      <w:lvlText w:val=""/>
      <w:lvlJc w:val="left"/>
      <w:pPr>
        <w:ind w:left="3315" w:hanging="360"/>
      </w:pPr>
      <w:rPr>
        <w:rFonts w:ascii="Symbol" w:hAnsi="Symbol" w:hint="default"/>
      </w:rPr>
    </w:lvl>
    <w:lvl w:ilvl="4" w:tplc="04070003" w:tentative="1">
      <w:start w:val="1"/>
      <w:numFmt w:val="bullet"/>
      <w:lvlText w:val="o"/>
      <w:lvlJc w:val="left"/>
      <w:pPr>
        <w:ind w:left="4035" w:hanging="360"/>
      </w:pPr>
      <w:rPr>
        <w:rFonts w:ascii="Courier New" w:hAnsi="Courier New" w:cs="Courier New" w:hint="default"/>
      </w:rPr>
    </w:lvl>
    <w:lvl w:ilvl="5" w:tplc="04070005" w:tentative="1">
      <w:start w:val="1"/>
      <w:numFmt w:val="bullet"/>
      <w:lvlText w:val=""/>
      <w:lvlJc w:val="left"/>
      <w:pPr>
        <w:ind w:left="4755" w:hanging="360"/>
      </w:pPr>
      <w:rPr>
        <w:rFonts w:ascii="Wingdings" w:hAnsi="Wingdings" w:hint="default"/>
      </w:rPr>
    </w:lvl>
    <w:lvl w:ilvl="6" w:tplc="04070001" w:tentative="1">
      <w:start w:val="1"/>
      <w:numFmt w:val="bullet"/>
      <w:lvlText w:val=""/>
      <w:lvlJc w:val="left"/>
      <w:pPr>
        <w:ind w:left="5475" w:hanging="360"/>
      </w:pPr>
      <w:rPr>
        <w:rFonts w:ascii="Symbol" w:hAnsi="Symbol" w:hint="default"/>
      </w:rPr>
    </w:lvl>
    <w:lvl w:ilvl="7" w:tplc="04070003" w:tentative="1">
      <w:start w:val="1"/>
      <w:numFmt w:val="bullet"/>
      <w:lvlText w:val="o"/>
      <w:lvlJc w:val="left"/>
      <w:pPr>
        <w:ind w:left="6195" w:hanging="360"/>
      </w:pPr>
      <w:rPr>
        <w:rFonts w:ascii="Courier New" w:hAnsi="Courier New" w:cs="Courier New" w:hint="default"/>
      </w:rPr>
    </w:lvl>
    <w:lvl w:ilvl="8" w:tplc="04070005" w:tentative="1">
      <w:start w:val="1"/>
      <w:numFmt w:val="bullet"/>
      <w:lvlText w:val=""/>
      <w:lvlJc w:val="left"/>
      <w:pPr>
        <w:ind w:left="6915" w:hanging="360"/>
      </w:pPr>
      <w:rPr>
        <w:rFonts w:ascii="Wingdings" w:hAnsi="Wingdings" w:hint="default"/>
      </w:rPr>
    </w:lvl>
  </w:abstractNum>
  <w:abstractNum w:abstractNumId="1" w15:restartNumberingAfterBreak="0">
    <w:nsid w:val="174277B0"/>
    <w:multiLevelType w:val="hybridMultilevel"/>
    <w:tmpl w:val="261EB1CA"/>
    <w:lvl w:ilvl="0" w:tplc="2400598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707FFA"/>
    <w:multiLevelType w:val="hybridMultilevel"/>
    <w:tmpl w:val="C1E63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2221894">
    <w:abstractNumId w:val="2"/>
  </w:num>
  <w:num w:numId="2" w16cid:durableId="1669286650">
    <w:abstractNumId w:val="1"/>
  </w:num>
  <w:num w:numId="3" w16cid:durableId="132130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6E"/>
    <w:rsid w:val="000B6896"/>
    <w:rsid w:val="000C4D09"/>
    <w:rsid w:val="002B772B"/>
    <w:rsid w:val="00304AB3"/>
    <w:rsid w:val="003B3514"/>
    <w:rsid w:val="004A74A9"/>
    <w:rsid w:val="005C2860"/>
    <w:rsid w:val="00664143"/>
    <w:rsid w:val="0069236E"/>
    <w:rsid w:val="00732CC9"/>
    <w:rsid w:val="009048AD"/>
    <w:rsid w:val="00A146B7"/>
    <w:rsid w:val="00A93230"/>
    <w:rsid w:val="00A97A45"/>
    <w:rsid w:val="00AE5A7C"/>
    <w:rsid w:val="00B2683D"/>
    <w:rsid w:val="00DD294B"/>
    <w:rsid w:val="00F55B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B51D"/>
  <w15:chartTrackingRefBased/>
  <w15:docId w15:val="{7679F0C2-D5B5-45DE-96AD-A2722451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2860"/>
    <w:rPr>
      <w:rFonts w:ascii="Calibri" w:eastAsia="Calibri" w:hAnsi="Calibri" w:cs="Calibri"/>
      <w:kern w:val="0"/>
      <w:lang w:val="en-US" w:eastAsia="de-DE"/>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C2860"/>
    <w:rPr>
      <w:color w:val="0563C1" w:themeColor="hyperlink"/>
      <w:u w:val="single"/>
    </w:rPr>
  </w:style>
  <w:style w:type="paragraph" w:styleId="Listenabsatz">
    <w:name w:val="List Paragraph"/>
    <w:basedOn w:val="Standard"/>
    <w:uiPriority w:val="34"/>
    <w:qFormat/>
    <w:rsid w:val="00664143"/>
    <w:pPr>
      <w:ind w:left="720"/>
      <w:contextualSpacing/>
    </w:pPr>
  </w:style>
  <w:style w:type="paragraph" w:styleId="Literaturverzeichnis">
    <w:name w:val="Bibliography"/>
    <w:basedOn w:val="Standard"/>
    <w:next w:val="Standard"/>
    <w:uiPriority w:val="37"/>
    <w:unhideWhenUsed/>
    <w:rsid w:val="003B3514"/>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7599">
      <w:bodyDiv w:val="1"/>
      <w:marLeft w:val="0"/>
      <w:marRight w:val="0"/>
      <w:marTop w:val="0"/>
      <w:marBottom w:val="0"/>
      <w:divBdr>
        <w:top w:val="none" w:sz="0" w:space="0" w:color="auto"/>
        <w:left w:val="none" w:sz="0" w:space="0" w:color="auto"/>
        <w:bottom w:val="none" w:sz="0" w:space="0" w:color="auto"/>
        <w:right w:val="none" w:sz="0" w:space="0" w:color="auto"/>
      </w:divBdr>
      <w:divsChild>
        <w:div w:id="947664760">
          <w:marLeft w:val="0"/>
          <w:marRight w:val="0"/>
          <w:marTop w:val="0"/>
          <w:marBottom w:val="0"/>
          <w:divBdr>
            <w:top w:val="none" w:sz="0" w:space="0" w:color="auto"/>
            <w:left w:val="none" w:sz="0" w:space="0" w:color="auto"/>
            <w:bottom w:val="none" w:sz="0" w:space="0" w:color="auto"/>
            <w:right w:val="none" w:sz="0" w:space="0" w:color="auto"/>
          </w:divBdr>
          <w:divsChild>
            <w:div w:id="1616254969">
              <w:marLeft w:val="0"/>
              <w:marRight w:val="0"/>
              <w:marTop w:val="0"/>
              <w:marBottom w:val="0"/>
              <w:divBdr>
                <w:top w:val="none" w:sz="0" w:space="0" w:color="auto"/>
                <w:left w:val="none" w:sz="0" w:space="0" w:color="auto"/>
                <w:bottom w:val="none" w:sz="0" w:space="0" w:color="auto"/>
                <w:right w:val="none" w:sz="0" w:space="0" w:color="auto"/>
              </w:divBdr>
            </w:div>
            <w:div w:id="858470293">
              <w:marLeft w:val="0"/>
              <w:marRight w:val="0"/>
              <w:marTop w:val="0"/>
              <w:marBottom w:val="0"/>
              <w:divBdr>
                <w:top w:val="none" w:sz="0" w:space="0" w:color="auto"/>
                <w:left w:val="none" w:sz="0" w:space="0" w:color="auto"/>
                <w:bottom w:val="none" w:sz="0" w:space="0" w:color="auto"/>
                <w:right w:val="none" w:sz="0" w:space="0" w:color="auto"/>
              </w:divBdr>
            </w:div>
            <w:div w:id="1475685050">
              <w:marLeft w:val="0"/>
              <w:marRight w:val="0"/>
              <w:marTop w:val="0"/>
              <w:marBottom w:val="0"/>
              <w:divBdr>
                <w:top w:val="none" w:sz="0" w:space="0" w:color="auto"/>
                <w:left w:val="none" w:sz="0" w:space="0" w:color="auto"/>
                <w:bottom w:val="none" w:sz="0" w:space="0" w:color="auto"/>
                <w:right w:val="none" w:sz="0" w:space="0" w:color="auto"/>
              </w:divBdr>
            </w:div>
            <w:div w:id="683283857">
              <w:marLeft w:val="0"/>
              <w:marRight w:val="0"/>
              <w:marTop w:val="0"/>
              <w:marBottom w:val="0"/>
              <w:divBdr>
                <w:top w:val="none" w:sz="0" w:space="0" w:color="auto"/>
                <w:left w:val="none" w:sz="0" w:space="0" w:color="auto"/>
                <w:bottom w:val="none" w:sz="0" w:space="0" w:color="auto"/>
                <w:right w:val="none" w:sz="0" w:space="0" w:color="auto"/>
              </w:divBdr>
            </w:div>
            <w:div w:id="1914391077">
              <w:marLeft w:val="0"/>
              <w:marRight w:val="0"/>
              <w:marTop w:val="0"/>
              <w:marBottom w:val="0"/>
              <w:divBdr>
                <w:top w:val="none" w:sz="0" w:space="0" w:color="auto"/>
                <w:left w:val="none" w:sz="0" w:space="0" w:color="auto"/>
                <w:bottom w:val="none" w:sz="0" w:space="0" w:color="auto"/>
                <w:right w:val="none" w:sz="0" w:space="0" w:color="auto"/>
              </w:divBdr>
            </w:div>
            <w:div w:id="311719628">
              <w:marLeft w:val="0"/>
              <w:marRight w:val="0"/>
              <w:marTop w:val="0"/>
              <w:marBottom w:val="0"/>
              <w:divBdr>
                <w:top w:val="none" w:sz="0" w:space="0" w:color="auto"/>
                <w:left w:val="none" w:sz="0" w:space="0" w:color="auto"/>
                <w:bottom w:val="none" w:sz="0" w:space="0" w:color="auto"/>
                <w:right w:val="none" w:sz="0" w:space="0" w:color="auto"/>
              </w:divBdr>
            </w:div>
            <w:div w:id="492373248">
              <w:marLeft w:val="0"/>
              <w:marRight w:val="0"/>
              <w:marTop w:val="0"/>
              <w:marBottom w:val="0"/>
              <w:divBdr>
                <w:top w:val="none" w:sz="0" w:space="0" w:color="auto"/>
                <w:left w:val="none" w:sz="0" w:space="0" w:color="auto"/>
                <w:bottom w:val="none" w:sz="0" w:space="0" w:color="auto"/>
                <w:right w:val="none" w:sz="0" w:space="0" w:color="auto"/>
              </w:divBdr>
            </w:div>
            <w:div w:id="1588344302">
              <w:marLeft w:val="0"/>
              <w:marRight w:val="0"/>
              <w:marTop w:val="0"/>
              <w:marBottom w:val="0"/>
              <w:divBdr>
                <w:top w:val="none" w:sz="0" w:space="0" w:color="auto"/>
                <w:left w:val="none" w:sz="0" w:space="0" w:color="auto"/>
                <w:bottom w:val="none" w:sz="0" w:space="0" w:color="auto"/>
                <w:right w:val="none" w:sz="0" w:space="0" w:color="auto"/>
              </w:divBdr>
            </w:div>
            <w:div w:id="67113498">
              <w:marLeft w:val="0"/>
              <w:marRight w:val="0"/>
              <w:marTop w:val="0"/>
              <w:marBottom w:val="0"/>
              <w:divBdr>
                <w:top w:val="none" w:sz="0" w:space="0" w:color="auto"/>
                <w:left w:val="none" w:sz="0" w:space="0" w:color="auto"/>
                <w:bottom w:val="none" w:sz="0" w:space="0" w:color="auto"/>
                <w:right w:val="none" w:sz="0" w:space="0" w:color="auto"/>
              </w:divBdr>
            </w:div>
            <w:div w:id="121773426">
              <w:marLeft w:val="0"/>
              <w:marRight w:val="0"/>
              <w:marTop w:val="0"/>
              <w:marBottom w:val="0"/>
              <w:divBdr>
                <w:top w:val="none" w:sz="0" w:space="0" w:color="auto"/>
                <w:left w:val="none" w:sz="0" w:space="0" w:color="auto"/>
                <w:bottom w:val="none" w:sz="0" w:space="0" w:color="auto"/>
                <w:right w:val="none" w:sz="0" w:space="0" w:color="auto"/>
              </w:divBdr>
            </w:div>
            <w:div w:id="9411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2030">
      <w:bodyDiv w:val="1"/>
      <w:marLeft w:val="0"/>
      <w:marRight w:val="0"/>
      <w:marTop w:val="0"/>
      <w:marBottom w:val="0"/>
      <w:divBdr>
        <w:top w:val="none" w:sz="0" w:space="0" w:color="auto"/>
        <w:left w:val="none" w:sz="0" w:space="0" w:color="auto"/>
        <w:bottom w:val="none" w:sz="0" w:space="0" w:color="auto"/>
        <w:right w:val="none" w:sz="0" w:space="0" w:color="auto"/>
      </w:divBdr>
      <w:divsChild>
        <w:div w:id="1525555324">
          <w:marLeft w:val="0"/>
          <w:marRight w:val="0"/>
          <w:marTop w:val="0"/>
          <w:marBottom w:val="0"/>
          <w:divBdr>
            <w:top w:val="none" w:sz="0" w:space="0" w:color="auto"/>
            <w:left w:val="none" w:sz="0" w:space="0" w:color="auto"/>
            <w:bottom w:val="none" w:sz="0" w:space="0" w:color="auto"/>
            <w:right w:val="none" w:sz="0" w:space="0" w:color="auto"/>
          </w:divBdr>
          <w:divsChild>
            <w:div w:id="710811908">
              <w:marLeft w:val="0"/>
              <w:marRight w:val="0"/>
              <w:marTop w:val="0"/>
              <w:marBottom w:val="0"/>
              <w:divBdr>
                <w:top w:val="none" w:sz="0" w:space="0" w:color="auto"/>
                <w:left w:val="none" w:sz="0" w:space="0" w:color="auto"/>
                <w:bottom w:val="none" w:sz="0" w:space="0" w:color="auto"/>
                <w:right w:val="none" w:sz="0" w:space="0" w:color="auto"/>
              </w:divBdr>
            </w:div>
            <w:div w:id="606929176">
              <w:marLeft w:val="0"/>
              <w:marRight w:val="0"/>
              <w:marTop w:val="0"/>
              <w:marBottom w:val="0"/>
              <w:divBdr>
                <w:top w:val="none" w:sz="0" w:space="0" w:color="auto"/>
                <w:left w:val="none" w:sz="0" w:space="0" w:color="auto"/>
                <w:bottom w:val="none" w:sz="0" w:space="0" w:color="auto"/>
                <w:right w:val="none" w:sz="0" w:space="0" w:color="auto"/>
              </w:divBdr>
            </w:div>
            <w:div w:id="247735000">
              <w:marLeft w:val="0"/>
              <w:marRight w:val="0"/>
              <w:marTop w:val="0"/>
              <w:marBottom w:val="0"/>
              <w:divBdr>
                <w:top w:val="none" w:sz="0" w:space="0" w:color="auto"/>
                <w:left w:val="none" w:sz="0" w:space="0" w:color="auto"/>
                <w:bottom w:val="none" w:sz="0" w:space="0" w:color="auto"/>
                <w:right w:val="none" w:sz="0" w:space="0" w:color="auto"/>
              </w:divBdr>
            </w:div>
            <w:div w:id="1457218558">
              <w:marLeft w:val="0"/>
              <w:marRight w:val="0"/>
              <w:marTop w:val="0"/>
              <w:marBottom w:val="0"/>
              <w:divBdr>
                <w:top w:val="none" w:sz="0" w:space="0" w:color="auto"/>
                <w:left w:val="none" w:sz="0" w:space="0" w:color="auto"/>
                <w:bottom w:val="none" w:sz="0" w:space="0" w:color="auto"/>
                <w:right w:val="none" w:sz="0" w:space="0" w:color="auto"/>
              </w:divBdr>
            </w:div>
            <w:div w:id="555701415">
              <w:marLeft w:val="0"/>
              <w:marRight w:val="0"/>
              <w:marTop w:val="0"/>
              <w:marBottom w:val="0"/>
              <w:divBdr>
                <w:top w:val="none" w:sz="0" w:space="0" w:color="auto"/>
                <w:left w:val="none" w:sz="0" w:space="0" w:color="auto"/>
                <w:bottom w:val="none" w:sz="0" w:space="0" w:color="auto"/>
                <w:right w:val="none" w:sz="0" w:space="0" w:color="auto"/>
              </w:divBdr>
            </w:div>
            <w:div w:id="500435822">
              <w:marLeft w:val="0"/>
              <w:marRight w:val="0"/>
              <w:marTop w:val="0"/>
              <w:marBottom w:val="0"/>
              <w:divBdr>
                <w:top w:val="none" w:sz="0" w:space="0" w:color="auto"/>
                <w:left w:val="none" w:sz="0" w:space="0" w:color="auto"/>
                <w:bottom w:val="none" w:sz="0" w:space="0" w:color="auto"/>
                <w:right w:val="none" w:sz="0" w:space="0" w:color="auto"/>
              </w:divBdr>
            </w:div>
            <w:div w:id="338624945">
              <w:marLeft w:val="0"/>
              <w:marRight w:val="0"/>
              <w:marTop w:val="0"/>
              <w:marBottom w:val="0"/>
              <w:divBdr>
                <w:top w:val="none" w:sz="0" w:space="0" w:color="auto"/>
                <w:left w:val="none" w:sz="0" w:space="0" w:color="auto"/>
                <w:bottom w:val="none" w:sz="0" w:space="0" w:color="auto"/>
                <w:right w:val="none" w:sz="0" w:space="0" w:color="auto"/>
              </w:divBdr>
            </w:div>
            <w:div w:id="1761632853">
              <w:marLeft w:val="0"/>
              <w:marRight w:val="0"/>
              <w:marTop w:val="0"/>
              <w:marBottom w:val="0"/>
              <w:divBdr>
                <w:top w:val="none" w:sz="0" w:space="0" w:color="auto"/>
                <w:left w:val="none" w:sz="0" w:space="0" w:color="auto"/>
                <w:bottom w:val="none" w:sz="0" w:space="0" w:color="auto"/>
                <w:right w:val="none" w:sz="0" w:space="0" w:color="auto"/>
              </w:divBdr>
            </w:div>
            <w:div w:id="20631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899771">
      <w:bodyDiv w:val="1"/>
      <w:marLeft w:val="0"/>
      <w:marRight w:val="0"/>
      <w:marTop w:val="0"/>
      <w:marBottom w:val="0"/>
      <w:divBdr>
        <w:top w:val="none" w:sz="0" w:space="0" w:color="auto"/>
        <w:left w:val="none" w:sz="0" w:space="0" w:color="auto"/>
        <w:bottom w:val="none" w:sz="0" w:space="0" w:color="auto"/>
        <w:right w:val="none" w:sz="0" w:space="0" w:color="auto"/>
      </w:divBdr>
      <w:divsChild>
        <w:div w:id="1905482783">
          <w:marLeft w:val="0"/>
          <w:marRight w:val="0"/>
          <w:marTop w:val="0"/>
          <w:marBottom w:val="0"/>
          <w:divBdr>
            <w:top w:val="none" w:sz="0" w:space="0" w:color="auto"/>
            <w:left w:val="none" w:sz="0" w:space="0" w:color="auto"/>
            <w:bottom w:val="none" w:sz="0" w:space="0" w:color="auto"/>
            <w:right w:val="none" w:sz="0" w:space="0" w:color="auto"/>
          </w:divBdr>
          <w:divsChild>
            <w:div w:id="682828258">
              <w:marLeft w:val="0"/>
              <w:marRight w:val="0"/>
              <w:marTop w:val="0"/>
              <w:marBottom w:val="0"/>
              <w:divBdr>
                <w:top w:val="none" w:sz="0" w:space="0" w:color="auto"/>
                <w:left w:val="none" w:sz="0" w:space="0" w:color="auto"/>
                <w:bottom w:val="none" w:sz="0" w:space="0" w:color="auto"/>
                <w:right w:val="none" w:sz="0" w:space="0" w:color="auto"/>
              </w:divBdr>
            </w:div>
            <w:div w:id="1755853551">
              <w:marLeft w:val="0"/>
              <w:marRight w:val="0"/>
              <w:marTop w:val="0"/>
              <w:marBottom w:val="0"/>
              <w:divBdr>
                <w:top w:val="none" w:sz="0" w:space="0" w:color="auto"/>
                <w:left w:val="none" w:sz="0" w:space="0" w:color="auto"/>
                <w:bottom w:val="none" w:sz="0" w:space="0" w:color="auto"/>
                <w:right w:val="none" w:sz="0" w:space="0" w:color="auto"/>
              </w:divBdr>
            </w:div>
            <w:div w:id="356472226">
              <w:marLeft w:val="0"/>
              <w:marRight w:val="0"/>
              <w:marTop w:val="0"/>
              <w:marBottom w:val="0"/>
              <w:divBdr>
                <w:top w:val="none" w:sz="0" w:space="0" w:color="auto"/>
                <w:left w:val="none" w:sz="0" w:space="0" w:color="auto"/>
                <w:bottom w:val="none" w:sz="0" w:space="0" w:color="auto"/>
                <w:right w:val="none" w:sz="0" w:space="0" w:color="auto"/>
              </w:divBdr>
            </w:div>
            <w:div w:id="1149588783">
              <w:marLeft w:val="0"/>
              <w:marRight w:val="0"/>
              <w:marTop w:val="0"/>
              <w:marBottom w:val="0"/>
              <w:divBdr>
                <w:top w:val="none" w:sz="0" w:space="0" w:color="auto"/>
                <w:left w:val="none" w:sz="0" w:space="0" w:color="auto"/>
                <w:bottom w:val="none" w:sz="0" w:space="0" w:color="auto"/>
                <w:right w:val="none" w:sz="0" w:space="0" w:color="auto"/>
              </w:divBdr>
            </w:div>
            <w:div w:id="186675399">
              <w:marLeft w:val="0"/>
              <w:marRight w:val="0"/>
              <w:marTop w:val="0"/>
              <w:marBottom w:val="0"/>
              <w:divBdr>
                <w:top w:val="none" w:sz="0" w:space="0" w:color="auto"/>
                <w:left w:val="none" w:sz="0" w:space="0" w:color="auto"/>
                <w:bottom w:val="none" w:sz="0" w:space="0" w:color="auto"/>
                <w:right w:val="none" w:sz="0" w:space="0" w:color="auto"/>
              </w:divBdr>
            </w:div>
            <w:div w:id="858549734">
              <w:marLeft w:val="0"/>
              <w:marRight w:val="0"/>
              <w:marTop w:val="0"/>
              <w:marBottom w:val="0"/>
              <w:divBdr>
                <w:top w:val="none" w:sz="0" w:space="0" w:color="auto"/>
                <w:left w:val="none" w:sz="0" w:space="0" w:color="auto"/>
                <w:bottom w:val="none" w:sz="0" w:space="0" w:color="auto"/>
                <w:right w:val="none" w:sz="0" w:space="0" w:color="auto"/>
              </w:divBdr>
            </w:div>
            <w:div w:id="759375025">
              <w:marLeft w:val="0"/>
              <w:marRight w:val="0"/>
              <w:marTop w:val="0"/>
              <w:marBottom w:val="0"/>
              <w:divBdr>
                <w:top w:val="none" w:sz="0" w:space="0" w:color="auto"/>
                <w:left w:val="none" w:sz="0" w:space="0" w:color="auto"/>
                <w:bottom w:val="none" w:sz="0" w:space="0" w:color="auto"/>
                <w:right w:val="none" w:sz="0" w:space="0" w:color="auto"/>
              </w:divBdr>
            </w:div>
            <w:div w:id="1019429436">
              <w:marLeft w:val="0"/>
              <w:marRight w:val="0"/>
              <w:marTop w:val="0"/>
              <w:marBottom w:val="0"/>
              <w:divBdr>
                <w:top w:val="none" w:sz="0" w:space="0" w:color="auto"/>
                <w:left w:val="none" w:sz="0" w:space="0" w:color="auto"/>
                <w:bottom w:val="none" w:sz="0" w:space="0" w:color="auto"/>
                <w:right w:val="none" w:sz="0" w:space="0" w:color="auto"/>
              </w:divBdr>
            </w:div>
            <w:div w:id="6248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5299">
      <w:bodyDiv w:val="1"/>
      <w:marLeft w:val="0"/>
      <w:marRight w:val="0"/>
      <w:marTop w:val="0"/>
      <w:marBottom w:val="0"/>
      <w:divBdr>
        <w:top w:val="none" w:sz="0" w:space="0" w:color="auto"/>
        <w:left w:val="none" w:sz="0" w:space="0" w:color="auto"/>
        <w:bottom w:val="none" w:sz="0" w:space="0" w:color="auto"/>
        <w:right w:val="none" w:sz="0" w:space="0" w:color="auto"/>
      </w:divBdr>
      <w:divsChild>
        <w:div w:id="872110315">
          <w:marLeft w:val="0"/>
          <w:marRight w:val="0"/>
          <w:marTop w:val="0"/>
          <w:marBottom w:val="0"/>
          <w:divBdr>
            <w:top w:val="none" w:sz="0" w:space="0" w:color="auto"/>
            <w:left w:val="none" w:sz="0" w:space="0" w:color="auto"/>
            <w:bottom w:val="none" w:sz="0" w:space="0" w:color="auto"/>
            <w:right w:val="none" w:sz="0" w:space="0" w:color="auto"/>
          </w:divBdr>
          <w:divsChild>
            <w:div w:id="1705208153">
              <w:marLeft w:val="0"/>
              <w:marRight w:val="0"/>
              <w:marTop w:val="0"/>
              <w:marBottom w:val="0"/>
              <w:divBdr>
                <w:top w:val="none" w:sz="0" w:space="0" w:color="auto"/>
                <w:left w:val="none" w:sz="0" w:space="0" w:color="auto"/>
                <w:bottom w:val="none" w:sz="0" w:space="0" w:color="auto"/>
                <w:right w:val="none" w:sz="0" w:space="0" w:color="auto"/>
              </w:divBdr>
            </w:div>
            <w:div w:id="628125190">
              <w:marLeft w:val="0"/>
              <w:marRight w:val="0"/>
              <w:marTop w:val="0"/>
              <w:marBottom w:val="0"/>
              <w:divBdr>
                <w:top w:val="none" w:sz="0" w:space="0" w:color="auto"/>
                <w:left w:val="none" w:sz="0" w:space="0" w:color="auto"/>
                <w:bottom w:val="none" w:sz="0" w:space="0" w:color="auto"/>
                <w:right w:val="none" w:sz="0" w:space="0" w:color="auto"/>
              </w:divBdr>
            </w:div>
            <w:div w:id="2073849778">
              <w:marLeft w:val="0"/>
              <w:marRight w:val="0"/>
              <w:marTop w:val="0"/>
              <w:marBottom w:val="0"/>
              <w:divBdr>
                <w:top w:val="none" w:sz="0" w:space="0" w:color="auto"/>
                <w:left w:val="none" w:sz="0" w:space="0" w:color="auto"/>
                <w:bottom w:val="none" w:sz="0" w:space="0" w:color="auto"/>
                <w:right w:val="none" w:sz="0" w:space="0" w:color="auto"/>
              </w:divBdr>
            </w:div>
            <w:div w:id="476462019">
              <w:marLeft w:val="0"/>
              <w:marRight w:val="0"/>
              <w:marTop w:val="0"/>
              <w:marBottom w:val="0"/>
              <w:divBdr>
                <w:top w:val="none" w:sz="0" w:space="0" w:color="auto"/>
                <w:left w:val="none" w:sz="0" w:space="0" w:color="auto"/>
                <w:bottom w:val="none" w:sz="0" w:space="0" w:color="auto"/>
                <w:right w:val="none" w:sz="0" w:space="0" w:color="auto"/>
              </w:divBdr>
            </w:div>
            <w:div w:id="958145032">
              <w:marLeft w:val="0"/>
              <w:marRight w:val="0"/>
              <w:marTop w:val="0"/>
              <w:marBottom w:val="0"/>
              <w:divBdr>
                <w:top w:val="none" w:sz="0" w:space="0" w:color="auto"/>
                <w:left w:val="none" w:sz="0" w:space="0" w:color="auto"/>
                <w:bottom w:val="none" w:sz="0" w:space="0" w:color="auto"/>
                <w:right w:val="none" w:sz="0" w:space="0" w:color="auto"/>
              </w:divBdr>
            </w:div>
            <w:div w:id="798452550">
              <w:marLeft w:val="0"/>
              <w:marRight w:val="0"/>
              <w:marTop w:val="0"/>
              <w:marBottom w:val="0"/>
              <w:divBdr>
                <w:top w:val="none" w:sz="0" w:space="0" w:color="auto"/>
                <w:left w:val="none" w:sz="0" w:space="0" w:color="auto"/>
                <w:bottom w:val="none" w:sz="0" w:space="0" w:color="auto"/>
                <w:right w:val="none" w:sz="0" w:space="0" w:color="auto"/>
              </w:divBdr>
            </w:div>
            <w:div w:id="253975291">
              <w:marLeft w:val="0"/>
              <w:marRight w:val="0"/>
              <w:marTop w:val="0"/>
              <w:marBottom w:val="0"/>
              <w:divBdr>
                <w:top w:val="none" w:sz="0" w:space="0" w:color="auto"/>
                <w:left w:val="none" w:sz="0" w:space="0" w:color="auto"/>
                <w:bottom w:val="none" w:sz="0" w:space="0" w:color="auto"/>
                <w:right w:val="none" w:sz="0" w:space="0" w:color="auto"/>
              </w:divBdr>
            </w:div>
            <w:div w:id="1763795606">
              <w:marLeft w:val="0"/>
              <w:marRight w:val="0"/>
              <w:marTop w:val="0"/>
              <w:marBottom w:val="0"/>
              <w:divBdr>
                <w:top w:val="none" w:sz="0" w:space="0" w:color="auto"/>
                <w:left w:val="none" w:sz="0" w:space="0" w:color="auto"/>
                <w:bottom w:val="none" w:sz="0" w:space="0" w:color="auto"/>
                <w:right w:val="none" w:sz="0" w:space="0" w:color="auto"/>
              </w:divBdr>
            </w:div>
            <w:div w:id="8042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40B15-D021-4C9F-9B23-D6A04EC2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4337</Words>
  <Characters>27325</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Dennstädt, Fabio (MED)</dc:creator>
  <cp:keywords/>
  <dc:description/>
  <cp:lastModifiedBy>Fabio Dennstaedt</cp:lastModifiedBy>
  <cp:revision>16</cp:revision>
  <dcterms:created xsi:type="dcterms:W3CDTF">2023-04-30T14:33:00Z</dcterms:created>
  <dcterms:modified xsi:type="dcterms:W3CDTF">2024-01-14T07:57:00Z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id="zWCbGGDn"/&gt;&lt;style id="http://www.zotero.org/styles/vancouver" locale="en-US" hasBibliography="1" bibliographyStyleHasBeenSet="1"/&gt;&lt;prefs&gt;&lt;pref name="fieldType" value="Field"/&gt;&lt;/prefs&gt;&lt;/data&gt;</vt:lpwstr>
  </property>
</Properties>
</file>