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0EC39" w14:textId="6DA00CD1" w:rsidR="00747FC5" w:rsidRPr="00747FC5" w:rsidRDefault="00747FC5" w:rsidP="00747FC5">
      <w:pPr>
        <w:keepNext/>
        <w:spacing w:after="200" w:line="480" w:lineRule="auto"/>
        <w:rPr>
          <w:rFonts w:ascii="Times New Roman" w:eastAsiaTheme="minorHAnsi" w:hAnsi="Times New Roman" w:cs="Times New Roman"/>
          <w:i/>
          <w:iCs/>
          <w:color w:val="44546A" w:themeColor="text2"/>
          <w:sz w:val="18"/>
          <w:szCs w:val="18"/>
          <w:lang w:eastAsia="en-US"/>
        </w:rPr>
      </w:pPr>
      <w:bookmarkStart w:id="0" w:name="_Hlk129244943"/>
      <w:r w:rsidRPr="00747FC5">
        <w:rPr>
          <w:rFonts w:ascii="Times New Roman" w:eastAsiaTheme="minorHAnsi" w:hAnsi="Times New Roman" w:cs="Times New Roman"/>
          <w:i/>
          <w:iCs/>
          <w:color w:val="44546A" w:themeColor="text2"/>
          <w:sz w:val="18"/>
          <w:szCs w:val="18"/>
          <w:lang w:eastAsia="en-US"/>
        </w:rPr>
        <w:t xml:space="preserve">Table </w:t>
      </w:r>
      <w:r>
        <w:rPr>
          <w:rFonts w:ascii="Times New Roman" w:eastAsiaTheme="minorHAnsi" w:hAnsi="Times New Roman" w:cs="Times New Roman"/>
          <w:i/>
          <w:iCs/>
          <w:color w:val="44546A" w:themeColor="text2"/>
          <w:sz w:val="18"/>
          <w:szCs w:val="18"/>
          <w:lang w:eastAsia="en-US"/>
        </w:rPr>
        <w:t>1</w:t>
      </w:r>
      <w:r w:rsidRPr="00747FC5">
        <w:rPr>
          <w:rFonts w:ascii="Times New Roman" w:eastAsiaTheme="minorHAnsi" w:hAnsi="Times New Roman" w:cs="Times New Roman"/>
          <w:i/>
          <w:iCs/>
          <w:color w:val="44546A" w:themeColor="text2"/>
          <w:sz w:val="18"/>
          <w:szCs w:val="18"/>
          <w:lang w:eastAsia="en-US"/>
        </w:rPr>
        <w:t xml:space="preserve">: </w:t>
      </w:r>
      <w:bookmarkStart w:id="1" w:name="_Hlk104370575"/>
      <w:r w:rsidRPr="00747FC5">
        <w:rPr>
          <w:rFonts w:ascii="Times New Roman" w:eastAsiaTheme="minorHAnsi" w:hAnsi="Times New Roman" w:cs="Times New Roman"/>
          <w:i/>
          <w:iCs/>
          <w:color w:val="44546A" w:themeColor="text2"/>
          <w:sz w:val="18"/>
          <w:szCs w:val="18"/>
          <w:lang w:eastAsia="en-US"/>
        </w:rPr>
        <w:t>Study quality of Randomized Controlled Trials (JBI criteria)</w:t>
      </w:r>
      <w:r w:rsidRPr="00747FC5">
        <w:rPr>
          <w:rFonts w:ascii="Times New Roman" w:eastAsiaTheme="minorHAnsi" w:hAnsi="Times New Roman" w:cs="Times New Roman"/>
          <w:i/>
          <w:iCs/>
          <w:color w:val="44546A" w:themeColor="text2"/>
          <w:sz w:val="18"/>
          <w:szCs w:val="18"/>
          <w:vertAlign w:val="superscript"/>
          <w:lang w:eastAsia="en-US"/>
        </w:rPr>
        <w:footnoteReference w:id="1"/>
      </w:r>
    </w:p>
    <w:tbl>
      <w:tblPr>
        <w:tblStyle w:val="TableGrid"/>
        <w:tblW w:w="16394" w:type="dxa"/>
        <w:tblInd w:w="-1221" w:type="dxa"/>
        <w:tblLayout w:type="fixed"/>
        <w:tblLook w:val="04A0" w:firstRow="1" w:lastRow="0" w:firstColumn="1" w:lastColumn="0" w:noHBand="0" w:noVBand="1"/>
      </w:tblPr>
      <w:tblGrid>
        <w:gridCol w:w="1783"/>
        <w:gridCol w:w="675"/>
        <w:gridCol w:w="1026"/>
        <w:gridCol w:w="993"/>
        <w:gridCol w:w="1149"/>
        <w:gridCol w:w="992"/>
        <w:gridCol w:w="882"/>
        <w:gridCol w:w="1229"/>
        <w:gridCol w:w="992"/>
        <w:gridCol w:w="1418"/>
        <w:gridCol w:w="895"/>
        <w:gridCol w:w="992"/>
        <w:gridCol w:w="1231"/>
        <w:gridCol w:w="1276"/>
        <w:gridCol w:w="861"/>
      </w:tblGrid>
      <w:tr w:rsidR="00747FC5" w:rsidRPr="00747FC5" w14:paraId="1054C7E4" w14:textId="77777777" w:rsidTr="009C4F34">
        <w:trPr>
          <w:trHeight w:val="1370"/>
        </w:trPr>
        <w:tc>
          <w:tcPr>
            <w:tcW w:w="1783" w:type="dxa"/>
          </w:tcPr>
          <w:bookmarkEnd w:id="1"/>
          <w:p w14:paraId="4DF3347A"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First Author</w:t>
            </w:r>
          </w:p>
        </w:tc>
        <w:tc>
          <w:tcPr>
            <w:tcW w:w="675" w:type="dxa"/>
          </w:tcPr>
          <w:p w14:paraId="06310A22"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True RA</w:t>
            </w:r>
          </w:p>
        </w:tc>
        <w:tc>
          <w:tcPr>
            <w:tcW w:w="1026" w:type="dxa"/>
          </w:tcPr>
          <w:p w14:paraId="225E7DB7"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Concealed allocation to TG</w:t>
            </w:r>
          </w:p>
        </w:tc>
        <w:tc>
          <w:tcPr>
            <w:tcW w:w="993" w:type="dxa"/>
          </w:tcPr>
          <w:p w14:paraId="1E099446"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Similarity between TGs at baseline</w:t>
            </w:r>
          </w:p>
        </w:tc>
        <w:tc>
          <w:tcPr>
            <w:tcW w:w="1149" w:type="dxa"/>
          </w:tcPr>
          <w:p w14:paraId="7089FD25"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Blinding of participants</w:t>
            </w:r>
          </w:p>
        </w:tc>
        <w:tc>
          <w:tcPr>
            <w:tcW w:w="992" w:type="dxa"/>
          </w:tcPr>
          <w:p w14:paraId="78C16BB9"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Blinding of those delivering treatment</w:t>
            </w:r>
          </w:p>
        </w:tc>
        <w:tc>
          <w:tcPr>
            <w:tcW w:w="882" w:type="dxa"/>
          </w:tcPr>
          <w:p w14:paraId="2F4E9F01"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Blinding of OAs</w:t>
            </w:r>
          </w:p>
        </w:tc>
        <w:tc>
          <w:tcPr>
            <w:tcW w:w="1229" w:type="dxa"/>
          </w:tcPr>
          <w:p w14:paraId="7636BA82"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Identical Treatment of Groups except intervention</w:t>
            </w:r>
          </w:p>
        </w:tc>
        <w:tc>
          <w:tcPr>
            <w:tcW w:w="992" w:type="dxa"/>
          </w:tcPr>
          <w:p w14:paraId="2C9E0291"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Complete follow-up</w:t>
            </w:r>
          </w:p>
        </w:tc>
        <w:tc>
          <w:tcPr>
            <w:tcW w:w="1418" w:type="dxa"/>
          </w:tcPr>
          <w:p w14:paraId="44D53989"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Analysis of participants in groups to which they were randomly assigned</w:t>
            </w:r>
          </w:p>
        </w:tc>
        <w:tc>
          <w:tcPr>
            <w:tcW w:w="895" w:type="dxa"/>
          </w:tcPr>
          <w:p w14:paraId="430D13D6"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Same measurement for TGs</w:t>
            </w:r>
          </w:p>
        </w:tc>
        <w:tc>
          <w:tcPr>
            <w:tcW w:w="992" w:type="dxa"/>
          </w:tcPr>
          <w:p w14:paraId="67BED520"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Outcomes measured in reliable way</w:t>
            </w:r>
          </w:p>
        </w:tc>
        <w:tc>
          <w:tcPr>
            <w:tcW w:w="1231" w:type="dxa"/>
          </w:tcPr>
          <w:p w14:paraId="1F032B68"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Appropriate statistics</w:t>
            </w:r>
          </w:p>
        </w:tc>
        <w:tc>
          <w:tcPr>
            <w:tcW w:w="1276" w:type="dxa"/>
          </w:tcPr>
          <w:p w14:paraId="57A4F525" w14:textId="77777777" w:rsidR="00747FC5" w:rsidRPr="00747FC5" w:rsidRDefault="00747FC5" w:rsidP="00747FC5">
            <w:pPr>
              <w:spacing w:line="480" w:lineRule="auto"/>
              <w:rPr>
                <w:rFonts w:ascii="Times New Roman" w:hAnsi="Times New Roman" w:cs="Times New Roman"/>
                <w:b/>
                <w:bCs/>
                <w:sz w:val="18"/>
                <w:szCs w:val="18"/>
              </w:rPr>
            </w:pPr>
            <w:r w:rsidRPr="00747FC5">
              <w:rPr>
                <w:rFonts w:ascii="Times New Roman" w:hAnsi="Times New Roman" w:cs="Times New Roman"/>
                <w:b/>
                <w:bCs/>
                <w:sz w:val="18"/>
                <w:szCs w:val="18"/>
              </w:rPr>
              <w:t>Appropriate trial design</w:t>
            </w:r>
          </w:p>
        </w:tc>
        <w:tc>
          <w:tcPr>
            <w:tcW w:w="861" w:type="dxa"/>
          </w:tcPr>
          <w:p w14:paraId="6E5D6767" w14:textId="77777777" w:rsidR="00747FC5" w:rsidRPr="00747FC5" w:rsidRDefault="00747FC5" w:rsidP="00747FC5">
            <w:pPr>
              <w:spacing w:line="480" w:lineRule="auto"/>
              <w:rPr>
                <w:rFonts w:ascii="Times New Roman" w:hAnsi="Times New Roman" w:cs="Times New Roman"/>
                <w:b/>
                <w:bCs/>
                <w:sz w:val="20"/>
                <w:szCs w:val="20"/>
              </w:rPr>
            </w:pPr>
            <w:r w:rsidRPr="00747FC5">
              <w:rPr>
                <w:rFonts w:ascii="Times New Roman" w:hAnsi="Times New Roman" w:cs="Times New Roman"/>
                <w:b/>
                <w:bCs/>
                <w:sz w:val="20"/>
                <w:szCs w:val="20"/>
              </w:rPr>
              <w:t>Overall rating</w:t>
            </w:r>
          </w:p>
        </w:tc>
      </w:tr>
      <w:tr w:rsidR="00747FC5" w:rsidRPr="00747FC5" w14:paraId="3A9AA64E" w14:textId="77777777" w:rsidTr="009C4F34">
        <w:trPr>
          <w:trHeight w:val="434"/>
        </w:trPr>
        <w:tc>
          <w:tcPr>
            <w:tcW w:w="1783" w:type="dxa"/>
          </w:tcPr>
          <w:p w14:paraId="54BC0DEB" w14:textId="0A922794"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Alizadeh-</w:t>
            </w:r>
            <w:proofErr w:type="spellStart"/>
            <w:r w:rsidRPr="00747FC5">
              <w:rPr>
                <w:rFonts w:ascii="Times New Roman" w:hAnsi="Times New Roman" w:cs="Times New Roman"/>
                <w:sz w:val="20"/>
                <w:szCs w:val="20"/>
              </w:rPr>
              <w:t>Sabeg</w:t>
            </w:r>
            <w:proofErr w:type="spellEnd"/>
            <w:r w:rsidRPr="00747FC5">
              <w:rPr>
                <w:rFonts w:ascii="Times New Roman" w:hAnsi="Times New Roman" w:cs="Times New Roman"/>
                <w:sz w:val="20"/>
                <w:szCs w:val="20"/>
              </w:rPr>
              <w:t>, P</w:t>
            </w:r>
            <w:r>
              <w:rPr>
                <w:rFonts w:ascii="Times New Roman" w:hAnsi="Times New Roman" w:cs="Times New Roman"/>
                <w:sz w:val="20"/>
                <w:szCs w:val="20"/>
              </w:rPr>
              <w:t>, 2021</w:t>
            </w:r>
          </w:p>
        </w:tc>
        <w:tc>
          <w:tcPr>
            <w:tcW w:w="675" w:type="dxa"/>
          </w:tcPr>
          <w:p w14:paraId="4D6ECFE7"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w:t>
            </w:r>
          </w:p>
        </w:tc>
        <w:tc>
          <w:tcPr>
            <w:tcW w:w="1026" w:type="dxa"/>
          </w:tcPr>
          <w:p w14:paraId="2F2AC176"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w:t>
            </w:r>
          </w:p>
        </w:tc>
        <w:tc>
          <w:tcPr>
            <w:tcW w:w="993" w:type="dxa"/>
          </w:tcPr>
          <w:p w14:paraId="164C9EF7"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149" w:type="dxa"/>
          </w:tcPr>
          <w:p w14:paraId="147B2E11"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992" w:type="dxa"/>
          </w:tcPr>
          <w:p w14:paraId="54A30ED4"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882" w:type="dxa"/>
          </w:tcPr>
          <w:p w14:paraId="0E7CADE4"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1229" w:type="dxa"/>
          </w:tcPr>
          <w:p w14:paraId="6027B342"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6E14C3FD"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418" w:type="dxa"/>
          </w:tcPr>
          <w:p w14:paraId="2DAFB906"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95" w:type="dxa"/>
          </w:tcPr>
          <w:p w14:paraId="4959D540"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1656C953"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31" w:type="dxa"/>
          </w:tcPr>
          <w:p w14:paraId="1A763D29"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76" w:type="dxa"/>
          </w:tcPr>
          <w:p w14:paraId="451516BA"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61" w:type="dxa"/>
          </w:tcPr>
          <w:p w14:paraId="5515A653"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8Y</w:t>
            </w:r>
          </w:p>
        </w:tc>
      </w:tr>
      <w:tr w:rsidR="00747FC5" w:rsidRPr="00747FC5" w14:paraId="7B91A120" w14:textId="77777777" w:rsidTr="009C4F34">
        <w:trPr>
          <w:trHeight w:val="217"/>
        </w:trPr>
        <w:tc>
          <w:tcPr>
            <w:tcW w:w="1783" w:type="dxa"/>
          </w:tcPr>
          <w:p w14:paraId="59EAC43E" w14:textId="13E7C208" w:rsidR="00747FC5" w:rsidRPr="00747FC5" w:rsidRDefault="00747FC5" w:rsidP="00747FC5">
            <w:pPr>
              <w:spacing w:line="480" w:lineRule="auto"/>
              <w:rPr>
                <w:rFonts w:ascii="Times New Roman" w:hAnsi="Times New Roman" w:cs="Times New Roman"/>
                <w:sz w:val="20"/>
                <w:szCs w:val="20"/>
                <w:lang w:val="es-ES_tradnl"/>
              </w:rPr>
            </w:pPr>
            <w:proofErr w:type="spellStart"/>
            <w:r w:rsidRPr="00747FC5">
              <w:rPr>
                <w:rFonts w:ascii="Times New Roman" w:hAnsi="Times New Roman" w:cs="Times New Roman"/>
                <w:sz w:val="20"/>
                <w:szCs w:val="20"/>
              </w:rPr>
              <w:t>Setyowibowo</w:t>
            </w:r>
            <w:proofErr w:type="spellEnd"/>
            <w:r w:rsidRPr="00747FC5">
              <w:rPr>
                <w:rFonts w:ascii="Times New Roman" w:hAnsi="Times New Roman" w:cs="Times New Roman"/>
                <w:sz w:val="20"/>
                <w:szCs w:val="20"/>
              </w:rPr>
              <w:t>, H</w:t>
            </w:r>
            <w:r>
              <w:rPr>
                <w:rFonts w:ascii="Times New Roman" w:hAnsi="Times New Roman" w:cs="Times New Roman"/>
                <w:sz w:val="20"/>
                <w:szCs w:val="20"/>
              </w:rPr>
              <w:t>, 2019</w:t>
            </w:r>
          </w:p>
        </w:tc>
        <w:tc>
          <w:tcPr>
            <w:tcW w:w="675" w:type="dxa"/>
          </w:tcPr>
          <w:p w14:paraId="1E776A6C"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w:t>
            </w:r>
          </w:p>
        </w:tc>
        <w:tc>
          <w:tcPr>
            <w:tcW w:w="1026" w:type="dxa"/>
          </w:tcPr>
          <w:p w14:paraId="663A7A4A"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NA</w:t>
            </w:r>
          </w:p>
        </w:tc>
        <w:tc>
          <w:tcPr>
            <w:tcW w:w="993" w:type="dxa"/>
          </w:tcPr>
          <w:p w14:paraId="6C72468A"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149" w:type="dxa"/>
          </w:tcPr>
          <w:p w14:paraId="77091E48"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992" w:type="dxa"/>
          </w:tcPr>
          <w:p w14:paraId="33DB9DA1"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882" w:type="dxa"/>
          </w:tcPr>
          <w:p w14:paraId="0B3AEB81"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1229" w:type="dxa"/>
          </w:tcPr>
          <w:p w14:paraId="6E696850"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5CD3A498"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418" w:type="dxa"/>
          </w:tcPr>
          <w:p w14:paraId="3E5E4BD6"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95" w:type="dxa"/>
          </w:tcPr>
          <w:p w14:paraId="42902ACE"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2FC7076A"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31" w:type="dxa"/>
          </w:tcPr>
          <w:p w14:paraId="01743A8A"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76" w:type="dxa"/>
          </w:tcPr>
          <w:p w14:paraId="62F6691E"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61" w:type="dxa"/>
          </w:tcPr>
          <w:p w14:paraId="222B8B74"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8Y</w:t>
            </w:r>
          </w:p>
        </w:tc>
      </w:tr>
      <w:tr w:rsidR="00747FC5" w:rsidRPr="00747FC5" w14:paraId="1B6DE073" w14:textId="77777777" w:rsidTr="009C4F34">
        <w:trPr>
          <w:trHeight w:val="217"/>
        </w:trPr>
        <w:tc>
          <w:tcPr>
            <w:tcW w:w="1783" w:type="dxa"/>
          </w:tcPr>
          <w:p w14:paraId="1CDF4D7A" w14:textId="4C59EA7A"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Pace, L.E</w:t>
            </w:r>
            <w:r>
              <w:rPr>
                <w:rFonts w:ascii="Times New Roman" w:hAnsi="Times New Roman" w:cs="Times New Roman"/>
                <w:sz w:val="20"/>
                <w:szCs w:val="20"/>
                <w:lang w:val="es-ES_tradnl"/>
              </w:rPr>
              <w:t>, 2019</w:t>
            </w:r>
          </w:p>
        </w:tc>
        <w:tc>
          <w:tcPr>
            <w:tcW w:w="675" w:type="dxa"/>
          </w:tcPr>
          <w:p w14:paraId="3DABF6BF"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026" w:type="dxa"/>
          </w:tcPr>
          <w:p w14:paraId="0925C46C" w14:textId="77777777" w:rsidR="00747FC5" w:rsidRPr="00747FC5" w:rsidRDefault="00747FC5" w:rsidP="00747FC5">
            <w:pPr>
              <w:tabs>
                <w:tab w:val="left" w:pos="740"/>
              </w:tabs>
              <w:spacing w:line="480" w:lineRule="auto"/>
              <w:jc w:val="both"/>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993" w:type="dxa"/>
          </w:tcPr>
          <w:p w14:paraId="08ED1E35"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149" w:type="dxa"/>
          </w:tcPr>
          <w:p w14:paraId="0BAC88DC"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NA</w:t>
            </w:r>
          </w:p>
        </w:tc>
        <w:tc>
          <w:tcPr>
            <w:tcW w:w="992" w:type="dxa"/>
          </w:tcPr>
          <w:p w14:paraId="750B1CD6"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882" w:type="dxa"/>
          </w:tcPr>
          <w:p w14:paraId="465E316E"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w:t>
            </w:r>
          </w:p>
        </w:tc>
        <w:tc>
          <w:tcPr>
            <w:tcW w:w="1229" w:type="dxa"/>
          </w:tcPr>
          <w:p w14:paraId="269B342F"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2B2DC624"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418" w:type="dxa"/>
          </w:tcPr>
          <w:p w14:paraId="16172F78"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95" w:type="dxa"/>
          </w:tcPr>
          <w:p w14:paraId="1284C0A6"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09DF60AC"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31" w:type="dxa"/>
          </w:tcPr>
          <w:p w14:paraId="598C5B15"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76" w:type="dxa"/>
          </w:tcPr>
          <w:p w14:paraId="788F2219"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61" w:type="dxa"/>
          </w:tcPr>
          <w:p w14:paraId="261C0162"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9Y</w:t>
            </w:r>
          </w:p>
        </w:tc>
      </w:tr>
      <w:tr w:rsidR="00747FC5" w:rsidRPr="00747FC5" w14:paraId="6F809AB4" w14:textId="77777777" w:rsidTr="009C4F34">
        <w:trPr>
          <w:trHeight w:val="217"/>
        </w:trPr>
        <w:tc>
          <w:tcPr>
            <w:tcW w:w="1783" w:type="dxa"/>
          </w:tcPr>
          <w:p w14:paraId="61485911" w14:textId="0B5AC51D" w:rsidR="00747FC5" w:rsidRPr="00747FC5" w:rsidRDefault="00747FC5" w:rsidP="00747FC5">
            <w:pPr>
              <w:spacing w:line="480" w:lineRule="auto"/>
              <w:rPr>
                <w:rFonts w:ascii="Times New Roman" w:hAnsi="Times New Roman" w:cs="Times New Roman"/>
                <w:sz w:val="20"/>
                <w:szCs w:val="20"/>
                <w:lang w:val="es-ES_tradnl"/>
              </w:rPr>
            </w:pPr>
            <w:proofErr w:type="spellStart"/>
            <w:r w:rsidRPr="00747FC5">
              <w:rPr>
                <w:rFonts w:ascii="Times New Roman" w:hAnsi="Times New Roman" w:cs="Times New Roman"/>
                <w:sz w:val="20"/>
                <w:szCs w:val="20"/>
                <w:lang w:val="es-ES_tradnl"/>
              </w:rPr>
              <w:t>Secginli</w:t>
            </w:r>
            <w:proofErr w:type="spellEnd"/>
            <w:r w:rsidRPr="00747FC5">
              <w:rPr>
                <w:rFonts w:ascii="Times New Roman" w:hAnsi="Times New Roman" w:cs="Times New Roman"/>
                <w:sz w:val="20"/>
                <w:szCs w:val="20"/>
                <w:lang w:val="es-ES_tradnl"/>
              </w:rPr>
              <w:t>, S</w:t>
            </w:r>
            <w:r>
              <w:rPr>
                <w:rFonts w:ascii="Times New Roman" w:hAnsi="Times New Roman" w:cs="Times New Roman"/>
                <w:sz w:val="20"/>
                <w:szCs w:val="20"/>
                <w:lang w:val="es-ES_tradnl"/>
              </w:rPr>
              <w:t>, 2010</w:t>
            </w:r>
          </w:p>
        </w:tc>
        <w:tc>
          <w:tcPr>
            <w:tcW w:w="675" w:type="dxa"/>
          </w:tcPr>
          <w:p w14:paraId="2F8DD158"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026" w:type="dxa"/>
          </w:tcPr>
          <w:p w14:paraId="6EA4F395"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993" w:type="dxa"/>
          </w:tcPr>
          <w:p w14:paraId="49219A6F"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149" w:type="dxa"/>
          </w:tcPr>
          <w:p w14:paraId="292E5F2E"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73062CCB"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82" w:type="dxa"/>
          </w:tcPr>
          <w:p w14:paraId="4EF153B8"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29" w:type="dxa"/>
          </w:tcPr>
          <w:p w14:paraId="1B2589F2"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0A29C310"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418" w:type="dxa"/>
          </w:tcPr>
          <w:p w14:paraId="7F2CEE7D"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95" w:type="dxa"/>
          </w:tcPr>
          <w:p w14:paraId="79C61BA8"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401FEBC0"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31" w:type="dxa"/>
          </w:tcPr>
          <w:p w14:paraId="23A3F7FF"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76" w:type="dxa"/>
          </w:tcPr>
          <w:p w14:paraId="646DC3E8"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61" w:type="dxa"/>
          </w:tcPr>
          <w:p w14:paraId="6201860D"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12Y</w:t>
            </w:r>
          </w:p>
        </w:tc>
      </w:tr>
      <w:tr w:rsidR="00747FC5" w:rsidRPr="00747FC5" w14:paraId="5F109882" w14:textId="77777777" w:rsidTr="009C4F34">
        <w:trPr>
          <w:trHeight w:val="217"/>
        </w:trPr>
        <w:tc>
          <w:tcPr>
            <w:tcW w:w="1783" w:type="dxa"/>
          </w:tcPr>
          <w:p w14:paraId="33BBE081" w14:textId="686E093C" w:rsidR="00747FC5" w:rsidRPr="00747FC5" w:rsidRDefault="00747FC5" w:rsidP="00747FC5">
            <w:pPr>
              <w:spacing w:line="480" w:lineRule="auto"/>
              <w:rPr>
                <w:rFonts w:ascii="Times New Roman" w:hAnsi="Times New Roman" w:cs="Times New Roman"/>
                <w:sz w:val="20"/>
                <w:szCs w:val="20"/>
                <w:lang w:val="es-ES_tradnl"/>
              </w:rPr>
            </w:pPr>
            <w:proofErr w:type="spellStart"/>
            <w:r w:rsidRPr="00747FC5">
              <w:rPr>
                <w:rFonts w:ascii="Times New Roman" w:hAnsi="Times New Roman" w:cs="Times New Roman"/>
                <w:sz w:val="20"/>
                <w:szCs w:val="20"/>
                <w:lang w:val="es-ES_tradnl"/>
              </w:rPr>
              <w:t>Ginsburg</w:t>
            </w:r>
            <w:proofErr w:type="spellEnd"/>
            <w:r w:rsidRPr="00747FC5">
              <w:rPr>
                <w:rFonts w:ascii="Times New Roman" w:hAnsi="Times New Roman" w:cs="Times New Roman"/>
                <w:sz w:val="20"/>
                <w:szCs w:val="20"/>
                <w:lang w:val="es-ES_tradnl"/>
              </w:rPr>
              <w:t>, O.M</w:t>
            </w:r>
            <w:r>
              <w:rPr>
                <w:rFonts w:ascii="Times New Roman" w:hAnsi="Times New Roman" w:cs="Times New Roman"/>
                <w:sz w:val="20"/>
                <w:szCs w:val="20"/>
                <w:lang w:val="es-ES_tradnl"/>
              </w:rPr>
              <w:t>, 2014</w:t>
            </w:r>
            <w:r w:rsidRPr="00747FC5">
              <w:rPr>
                <w:rFonts w:ascii="Times New Roman" w:hAnsi="Times New Roman" w:cs="Times New Roman"/>
                <w:sz w:val="20"/>
                <w:szCs w:val="20"/>
                <w:lang w:val="es-ES_tradnl"/>
              </w:rPr>
              <w:t xml:space="preserve"> </w:t>
            </w:r>
          </w:p>
        </w:tc>
        <w:tc>
          <w:tcPr>
            <w:tcW w:w="675" w:type="dxa"/>
          </w:tcPr>
          <w:p w14:paraId="49A08B1B"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026" w:type="dxa"/>
          </w:tcPr>
          <w:p w14:paraId="2F056745"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3" w:type="dxa"/>
          </w:tcPr>
          <w:p w14:paraId="7D57A172"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149" w:type="dxa"/>
          </w:tcPr>
          <w:p w14:paraId="25D99B63"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992" w:type="dxa"/>
          </w:tcPr>
          <w:p w14:paraId="282AD9F1"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882" w:type="dxa"/>
          </w:tcPr>
          <w:p w14:paraId="0EF7B624"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29" w:type="dxa"/>
          </w:tcPr>
          <w:p w14:paraId="50133069"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0B3501DE"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418" w:type="dxa"/>
          </w:tcPr>
          <w:p w14:paraId="0B954D56"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95" w:type="dxa"/>
          </w:tcPr>
          <w:p w14:paraId="79C48BBE"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0431FE60"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31" w:type="dxa"/>
          </w:tcPr>
          <w:p w14:paraId="0CF85037"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1276" w:type="dxa"/>
          </w:tcPr>
          <w:p w14:paraId="2D2A0F52"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61" w:type="dxa"/>
          </w:tcPr>
          <w:p w14:paraId="419A7F40"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10Y</w:t>
            </w:r>
          </w:p>
        </w:tc>
      </w:tr>
      <w:tr w:rsidR="00747FC5" w:rsidRPr="00747FC5" w14:paraId="2B1BA673" w14:textId="77777777" w:rsidTr="009C4F34">
        <w:trPr>
          <w:trHeight w:val="217"/>
        </w:trPr>
        <w:tc>
          <w:tcPr>
            <w:tcW w:w="1783" w:type="dxa"/>
          </w:tcPr>
          <w:p w14:paraId="1AB7A066" w14:textId="126B1D23" w:rsidR="00747FC5" w:rsidRPr="00747FC5" w:rsidRDefault="00747FC5" w:rsidP="00747FC5">
            <w:pPr>
              <w:tabs>
                <w:tab w:val="left" w:pos="1332"/>
              </w:tabs>
              <w:spacing w:line="480" w:lineRule="auto"/>
              <w:rPr>
                <w:rFonts w:ascii="Times New Roman" w:hAnsi="Times New Roman" w:cs="Times New Roman"/>
                <w:sz w:val="20"/>
                <w:szCs w:val="20"/>
                <w:lang w:val="es-ES_tradnl"/>
              </w:rPr>
            </w:pPr>
            <w:proofErr w:type="spellStart"/>
            <w:r w:rsidRPr="00747FC5">
              <w:rPr>
                <w:rFonts w:ascii="Times New Roman" w:hAnsi="Times New Roman" w:cs="Times New Roman"/>
                <w:sz w:val="20"/>
                <w:szCs w:val="20"/>
                <w:lang w:val="es-ES_tradnl"/>
              </w:rPr>
              <w:t>Hajian</w:t>
            </w:r>
            <w:proofErr w:type="spellEnd"/>
            <w:r w:rsidRPr="00747FC5">
              <w:rPr>
                <w:rFonts w:ascii="Times New Roman" w:hAnsi="Times New Roman" w:cs="Times New Roman"/>
                <w:sz w:val="20"/>
                <w:szCs w:val="20"/>
                <w:lang w:val="es-ES_tradnl"/>
              </w:rPr>
              <w:t>, S</w:t>
            </w:r>
            <w:r>
              <w:rPr>
                <w:rFonts w:ascii="Times New Roman" w:hAnsi="Times New Roman" w:cs="Times New Roman"/>
                <w:sz w:val="20"/>
                <w:szCs w:val="20"/>
                <w:lang w:val="es-ES_tradnl"/>
              </w:rPr>
              <w:t>, 2011</w:t>
            </w:r>
          </w:p>
        </w:tc>
        <w:tc>
          <w:tcPr>
            <w:tcW w:w="675" w:type="dxa"/>
          </w:tcPr>
          <w:p w14:paraId="1191357C"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026" w:type="dxa"/>
          </w:tcPr>
          <w:p w14:paraId="0ABD9404"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3" w:type="dxa"/>
          </w:tcPr>
          <w:p w14:paraId="25E4193F"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w:t>
            </w:r>
          </w:p>
        </w:tc>
        <w:tc>
          <w:tcPr>
            <w:tcW w:w="1149" w:type="dxa"/>
          </w:tcPr>
          <w:p w14:paraId="3AA95DC7"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0E7F779C"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82" w:type="dxa"/>
          </w:tcPr>
          <w:p w14:paraId="4B1C46C1"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29" w:type="dxa"/>
          </w:tcPr>
          <w:p w14:paraId="16D344F7"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42096BF5"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418" w:type="dxa"/>
          </w:tcPr>
          <w:p w14:paraId="7E7F60A1"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95" w:type="dxa"/>
          </w:tcPr>
          <w:p w14:paraId="77AAFD64"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75C7DDBC"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31" w:type="dxa"/>
          </w:tcPr>
          <w:p w14:paraId="0F92719B"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76" w:type="dxa"/>
          </w:tcPr>
          <w:p w14:paraId="001D07FA"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61" w:type="dxa"/>
          </w:tcPr>
          <w:p w14:paraId="74C7ABED"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12Y</w:t>
            </w:r>
          </w:p>
        </w:tc>
      </w:tr>
      <w:bookmarkEnd w:id="0"/>
      <w:tr w:rsidR="00747FC5" w:rsidRPr="00747FC5" w14:paraId="76E87659" w14:textId="77777777" w:rsidTr="009C4F34">
        <w:trPr>
          <w:trHeight w:val="217"/>
        </w:trPr>
        <w:tc>
          <w:tcPr>
            <w:tcW w:w="1783" w:type="dxa"/>
          </w:tcPr>
          <w:p w14:paraId="5ECD5BAC" w14:textId="0DD85AAE" w:rsidR="00747FC5" w:rsidRPr="00747FC5" w:rsidRDefault="00747FC5" w:rsidP="00747FC5">
            <w:pPr>
              <w:spacing w:line="480" w:lineRule="auto"/>
              <w:rPr>
                <w:rFonts w:ascii="Times New Roman" w:hAnsi="Times New Roman" w:cs="Times New Roman"/>
                <w:sz w:val="20"/>
                <w:szCs w:val="20"/>
                <w:lang w:val="es-ES_tradnl"/>
              </w:rPr>
            </w:pPr>
            <w:proofErr w:type="spellStart"/>
            <w:r w:rsidRPr="00747FC5">
              <w:rPr>
                <w:rFonts w:ascii="Times New Roman" w:hAnsi="Times New Roman" w:cs="Times New Roman"/>
                <w:sz w:val="20"/>
                <w:szCs w:val="20"/>
                <w:lang w:val="es-ES_tradnl"/>
              </w:rPr>
              <w:t>Zonouzy</w:t>
            </w:r>
            <w:proofErr w:type="spellEnd"/>
            <w:r w:rsidRPr="00747FC5">
              <w:rPr>
                <w:rFonts w:ascii="Times New Roman" w:hAnsi="Times New Roman" w:cs="Times New Roman"/>
                <w:sz w:val="20"/>
                <w:szCs w:val="20"/>
                <w:lang w:val="es-ES_tradnl"/>
              </w:rPr>
              <w:t>, V.T</w:t>
            </w:r>
            <w:r>
              <w:rPr>
                <w:rFonts w:ascii="Times New Roman" w:hAnsi="Times New Roman" w:cs="Times New Roman"/>
                <w:sz w:val="20"/>
                <w:szCs w:val="20"/>
                <w:lang w:val="es-ES_tradnl"/>
              </w:rPr>
              <w:t>, 2019</w:t>
            </w:r>
          </w:p>
        </w:tc>
        <w:tc>
          <w:tcPr>
            <w:tcW w:w="675" w:type="dxa"/>
          </w:tcPr>
          <w:p w14:paraId="0742C3C8"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026" w:type="dxa"/>
          </w:tcPr>
          <w:p w14:paraId="275D9185"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3" w:type="dxa"/>
          </w:tcPr>
          <w:p w14:paraId="4BA46831"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149" w:type="dxa"/>
          </w:tcPr>
          <w:p w14:paraId="7D3E0793"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992" w:type="dxa"/>
          </w:tcPr>
          <w:p w14:paraId="4FB58232"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882" w:type="dxa"/>
          </w:tcPr>
          <w:p w14:paraId="0150924F"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N</w:t>
            </w:r>
          </w:p>
        </w:tc>
        <w:tc>
          <w:tcPr>
            <w:tcW w:w="1229" w:type="dxa"/>
          </w:tcPr>
          <w:p w14:paraId="0B098185"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06BA943A"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418" w:type="dxa"/>
          </w:tcPr>
          <w:p w14:paraId="3ED529EF"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95" w:type="dxa"/>
          </w:tcPr>
          <w:p w14:paraId="12B68224"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992" w:type="dxa"/>
          </w:tcPr>
          <w:p w14:paraId="7EAB65CF"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31" w:type="dxa"/>
          </w:tcPr>
          <w:p w14:paraId="106DA206"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1276" w:type="dxa"/>
          </w:tcPr>
          <w:p w14:paraId="58ED8257"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Y</w:t>
            </w:r>
          </w:p>
        </w:tc>
        <w:tc>
          <w:tcPr>
            <w:tcW w:w="861" w:type="dxa"/>
          </w:tcPr>
          <w:p w14:paraId="2AAE2C5B" w14:textId="77777777" w:rsidR="00747FC5" w:rsidRPr="00747FC5" w:rsidRDefault="00747FC5" w:rsidP="00747FC5">
            <w:pPr>
              <w:spacing w:line="480" w:lineRule="auto"/>
              <w:rPr>
                <w:rFonts w:ascii="Times New Roman" w:hAnsi="Times New Roman" w:cs="Times New Roman"/>
                <w:sz w:val="20"/>
                <w:szCs w:val="20"/>
                <w:lang w:val="es-ES_tradnl"/>
              </w:rPr>
            </w:pPr>
            <w:r w:rsidRPr="00747FC5">
              <w:rPr>
                <w:rFonts w:ascii="Times New Roman" w:hAnsi="Times New Roman" w:cs="Times New Roman"/>
                <w:sz w:val="20"/>
                <w:szCs w:val="20"/>
                <w:lang w:val="es-ES_tradnl"/>
              </w:rPr>
              <w:t>10Y</w:t>
            </w:r>
          </w:p>
        </w:tc>
      </w:tr>
      <w:tr w:rsidR="00747FC5" w:rsidRPr="00747FC5" w14:paraId="44A2E136" w14:textId="77777777" w:rsidTr="009C4F34">
        <w:trPr>
          <w:trHeight w:val="217"/>
        </w:trPr>
        <w:tc>
          <w:tcPr>
            <w:tcW w:w="1783" w:type="dxa"/>
          </w:tcPr>
          <w:p w14:paraId="4F11259F" w14:textId="364C09BD" w:rsidR="00747FC5" w:rsidRPr="00747FC5" w:rsidRDefault="00747FC5" w:rsidP="00747FC5">
            <w:pPr>
              <w:spacing w:line="480" w:lineRule="auto"/>
              <w:rPr>
                <w:rFonts w:ascii="Times New Roman" w:hAnsi="Times New Roman" w:cs="Times New Roman"/>
                <w:sz w:val="20"/>
                <w:szCs w:val="20"/>
              </w:rPr>
            </w:pPr>
            <w:proofErr w:type="spellStart"/>
            <w:r w:rsidRPr="00747FC5">
              <w:rPr>
                <w:rFonts w:ascii="Times New Roman" w:hAnsi="Times New Roman" w:cs="Times New Roman"/>
                <w:sz w:val="20"/>
                <w:szCs w:val="20"/>
                <w:lang w:val="es-ES_tradnl"/>
              </w:rPr>
              <w:lastRenderedPageBreak/>
              <w:t>Chowdhury</w:t>
            </w:r>
            <w:proofErr w:type="spellEnd"/>
            <w:r w:rsidRPr="00747FC5">
              <w:rPr>
                <w:rFonts w:ascii="Times New Roman" w:hAnsi="Times New Roman" w:cs="Times New Roman"/>
                <w:sz w:val="20"/>
                <w:szCs w:val="20"/>
                <w:lang w:val="es-ES_tradnl"/>
              </w:rPr>
              <w:t>, T.I</w:t>
            </w:r>
            <w:r w:rsidR="009C4F34">
              <w:rPr>
                <w:rFonts w:ascii="Times New Roman" w:hAnsi="Times New Roman" w:cs="Times New Roman"/>
                <w:sz w:val="20"/>
                <w:szCs w:val="20"/>
                <w:lang w:val="es-ES_tradnl"/>
              </w:rPr>
              <w:t>, 2015</w:t>
            </w:r>
          </w:p>
        </w:tc>
        <w:tc>
          <w:tcPr>
            <w:tcW w:w="675" w:type="dxa"/>
          </w:tcPr>
          <w:p w14:paraId="5FDD372D"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w:t>
            </w:r>
          </w:p>
        </w:tc>
        <w:tc>
          <w:tcPr>
            <w:tcW w:w="1026" w:type="dxa"/>
          </w:tcPr>
          <w:p w14:paraId="449AA133"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w:t>
            </w:r>
          </w:p>
        </w:tc>
        <w:tc>
          <w:tcPr>
            <w:tcW w:w="993" w:type="dxa"/>
          </w:tcPr>
          <w:p w14:paraId="7B26F1EC"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1149" w:type="dxa"/>
          </w:tcPr>
          <w:p w14:paraId="201BE71E"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w:t>
            </w:r>
          </w:p>
        </w:tc>
        <w:tc>
          <w:tcPr>
            <w:tcW w:w="992" w:type="dxa"/>
          </w:tcPr>
          <w:p w14:paraId="697E3174"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882" w:type="dxa"/>
          </w:tcPr>
          <w:p w14:paraId="293C1AE4"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1229" w:type="dxa"/>
          </w:tcPr>
          <w:p w14:paraId="01E057F3"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169AC4D2"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1418" w:type="dxa"/>
          </w:tcPr>
          <w:p w14:paraId="4A7D60F7"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95" w:type="dxa"/>
          </w:tcPr>
          <w:p w14:paraId="46FDC8CF"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110D8851"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31" w:type="dxa"/>
          </w:tcPr>
          <w:p w14:paraId="4F333A1B"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76" w:type="dxa"/>
          </w:tcPr>
          <w:p w14:paraId="7B48FDDD"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61" w:type="dxa"/>
          </w:tcPr>
          <w:p w14:paraId="3A40023E"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6Y</w:t>
            </w:r>
          </w:p>
        </w:tc>
      </w:tr>
      <w:tr w:rsidR="00747FC5" w:rsidRPr="00747FC5" w14:paraId="249E2EA1" w14:textId="77777777" w:rsidTr="009C4F34">
        <w:trPr>
          <w:trHeight w:val="217"/>
        </w:trPr>
        <w:tc>
          <w:tcPr>
            <w:tcW w:w="1783" w:type="dxa"/>
          </w:tcPr>
          <w:p w14:paraId="31C892FB" w14:textId="47A50DA5" w:rsidR="00747FC5" w:rsidRPr="00747FC5" w:rsidRDefault="00747FC5" w:rsidP="00747FC5">
            <w:pPr>
              <w:spacing w:line="480" w:lineRule="auto"/>
              <w:rPr>
                <w:rFonts w:ascii="Times New Roman" w:hAnsi="Times New Roman" w:cs="Times New Roman"/>
                <w:sz w:val="20"/>
                <w:szCs w:val="20"/>
              </w:rPr>
            </w:pPr>
            <w:proofErr w:type="spellStart"/>
            <w:r w:rsidRPr="00747FC5">
              <w:rPr>
                <w:rFonts w:ascii="Times New Roman" w:hAnsi="Times New Roman" w:cs="Times New Roman"/>
                <w:sz w:val="20"/>
                <w:szCs w:val="20"/>
                <w:lang w:val="es-ES_tradnl"/>
              </w:rPr>
              <w:t>Lakkis</w:t>
            </w:r>
            <w:proofErr w:type="spellEnd"/>
            <w:r w:rsidRPr="00747FC5">
              <w:rPr>
                <w:rFonts w:ascii="Times New Roman" w:hAnsi="Times New Roman" w:cs="Times New Roman"/>
                <w:sz w:val="20"/>
                <w:szCs w:val="20"/>
                <w:lang w:val="es-ES_tradnl"/>
              </w:rPr>
              <w:t>, N.A</w:t>
            </w:r>
            <w:r w:rsidR="009C4F34">
              <w:rPr>
                <w:rFonts w:ascii="Times New Roman" w:hAnsi="Times New Roman" w:cs="Times New Roman"/>
                <w:sz w:val="20"/>
                <w:szCs w:val="20"/>
                <w:lang w:val="es-ES_tradnl"/>
              </w:rPr>
              <w:t>, 2011</w:t>
            </w:r>
          </w:p>
        </w:tc>
        <w:tc>
          <w:tcPr>
            <w:tcW w:w="675" w:type="dxa"/>
          </w:tcPr>
          <w:p w14:paraId="76BB6E96"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026" w:type="dxa"/>
          </w:tcPr>
          <w:p w14:paraId="0F8E74AB"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3" w:type="dxa"/>
          </w:tcPr>
          <w:p w14:paraId="671E877B"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149" w:type="dxa"/>
          </w:tcPr>
          <w:p w14:paraId="19405ED7"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558319D3"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82" w:type="dxa"/>
          </w:tcPr>
          <w:p w14:paraId="21828494"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w:t>
            </w:r>
          </w:p>
        </w:tc>
        <w:tc>
          <w:tcPr>
            <w:tcW w:w="1229" w:type="dxa"/>
          </w:tcPr>
          <w:p w14:paraId="2724DBD6"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4C1271D0"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418" w:type="dxa"/>
          </w:tcPr>
          <w:p w14:paraId="7AA526EE"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95" w:type="dxa"/>
          </w:tcPr>
          <w:p w14:paraId="2CD367A8"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453C60C9"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31" w:type="dxa"/>
          </w:tcPr>
          <w:p w14:paraId="3859E72C"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76" w:type="dxa"/>
          </w:tcPr>
          <w:p w14:paraId="6C0648E4"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61" w:type="dxa"/>
          </w:tcPr>
          <w:p w14:paraId="48273EBA"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12Y</w:t>
            </w:r>
          </w:p>
        </w:tc>
      </w:tr>
      <w:tr w:rsidR="00747FC5" w:rsidRPr="00747FC5" w14:paraId="35E1C27B" w14:textId="77777777" w:rsidTr="009C4F34">
        <w:trPr>
          <w:trHeight w:val="217"/>
        </w:trPr>
        <w:tc>
          <w:tcPr>
            <w:tcW w:w="1783" w:type="dxa"/>
          </w:tcPr>
          <w:p w14:paraId="636F8DC9" w14:textId="2AD1C55F"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Murillo, R</w:t>
            </w:r>
            <w:r w:rsidR="009C4F34">
              <w:rPr>
                <w:rFonts w:ascii="Times New Roman" w:hAnsi="Times New Roman" w:cs="Times New Roman"/>
                <w:sz w:val="20"/>
                <w:szCs w:val="20"/>
              </w:rPr>
              <w:t>, 2016</w:t>
            </w:r>
          </w:p>
        </w:tc>
        <w:tc>
          <w:tcPr>
            <w:tcW w:w="675" w:type="dxa"/>
          </w:tcPr>
          <w:p w14:paraId="499F33CE"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026" w:type="dxa"/>
          </w:tcPr>
          <w:p w14:paraId="7B93533A"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993" w:type="dxa"/>
          </w:tcPr>
          <w:p w14:paraId="5DECDFC4"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149" w:type="dxa"/>
          </w:tcPr>
          <w:p w14:paraId="63513A3E"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3E3446C6"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N</w:t>
            </w:r>
          </w:p>
        </w:tc>
        <w:tc>
          <w:tcPr>
            <w:tcW w:w="882" w:type="dxa"/>
          </w:tcPr>
          <w:p w14:paraId="768BE322"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29" w:type="dxa"/>
          </w:tcPr>
          <w:p w14:paraId="6F957AF2"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549A8FD2"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418" w:type="dxa"/>
          </w:tcPr>
          <w:p w14:paraId="488C5982"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95" w:type="dxa"/>
          </w:tcPr>
          <w:p w14:paraId="4B52B17C"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992" w:type="dxa"/>
          </w:tcPr>
          <w:p w14:paraId="3E6FB30B"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31" w:type="dxa"/>
          </w:tcPr>
          <w:p w14:paraId="5E349465"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1276" w:type="dxa"/>
          </w:tcPr>
          <w:p w14:paraId="222DDA02"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Y</w:t>
            </w:r>
          </w:p>
        </w:tc>
        <w:tc>
          <w:tcPr>
            <w:tcW w:w="861" w:type="dxa"/>
          </w:tcPr>
          <w:p w14:paraId="5411471B" w14:textId="77777777" w:rsidR="00747FC5" w:rsidRPr="00747FC5" w:rsidRDefault="00747FC5" w:rsidP="00747FC5">
            <w:pPr>
              <w:spacing w:line="480" w:lineRule="auto"/>
              <w:rPr>
                <w:rFonts w:ascii="Times New Roman" w:hAnsi="Times New Roman" w:cs="Times New Roman"/>
                <w:sz w:val="20"/>
                <w:szCs w:val="20"/>
              </w:rPr>
            </w:pPr>
            <w:r w:rsidRPr="00747FC5">
              <w:rPr>
                <w:rFonts w:ascii="Times New Roman" w:hAnsi="Times New Roman" w:cs="Times New Roman"/>
                <w:sz w:val="20"/>
                <w:szCs w:val="20"/>
              </w:rPr>
              <w:t>11Y</w:t>
            </w:r>
          </w:p>
        </w:tc>
      </w:tr>
    </w:tbl>
    <w:p w14:paraId="30EEC333" w14:textId="35FA1F41" w:rsidR="00747FC5" w:rsidRDefault="00747FC5" w:rsidP="00747FC5">
      <w:pPr>
        <w:spacing w:line="480" w:lineRule="auto"/>
        <w:rPr>
          <w:rFonts w:eastAsiaTheme="minorHAnsi"/>
          <w:lang w:eastAsia="en-US"/>
        </w:rPr>
      </w:pPr>
    </w:p>
    <w:p w14:paraId="578DDA87" w14:textId="780545AE" w:rsidR="009C4F34" w:rsidRDefault="009C4F34" w:rsidP="00747FC5">
      <w:pPr>
        <w:spacing w:line="480" w:lineRule="auto"/>
        <w:rPr>
          <w:rFonts w:eastAsiaTheme="minorHAnsi"/>
          <w:lang w:eastAsia="en-US"/>
        </w:rPr>
      </w:pPr>
    </w:p>
    <w:p w14:paraId="7D4F1FD7" w14:textId="5F857037" w:rsidR="009C4F34" w:rsidRDefault="009C4F34" w:rsidP="00747FC5">
      <w:pPr>
        <w:spacing w:line="480" w:lineRule="auto"/>
        <w:rPr>
          <w:rFonts w:eastAsiaTheme="minorHAnsi"/>
          <w:lang w:eastAsia="en-US"/>
        </w:rPr>
      </w:pPr>
    </w:p>
    <w:p w14:paraId="1D2EEA97" w14:textId="2BEA58F5" w:rsidR="009C4F34" w:rsidRDefault="009C4F34" w:rsidP="00747FC5">
      <w:pPr>
        <w:spacing w:line="480" w:lineRule="auto"/>
        <w:rPr>
          <w:rFonts w:eastAsiaTheme="minorHAnsi"/>
          <w:lang w:eastAsia="en-US"/>
        </w:rPr>
      </w:pPr>
    </w:p>
    <w:p w14:paraId="58636806" w14:textId="789A90C8" w:rsidR="009C4F34" w:rsidRDefault="009C4F34" w:rsidP="00747FC5">
      <w:pPr>
        <w:spacing w:line="480" w:lineRule="auto"/>
        <w:rPr>
          <w:rFonts w:eastAsiaTheme="minorHAnsi"/>
          <w:lang w:eastAsia="en-US"/>
        </w:rPr>
      </w:pPr>
    </w:p>
    <w:p w14:paraId="5CB14A5B" w14:textId="187E6F16" w:rsidR="009C4F34" w:rsidRDefault="009C4F34" w:rsidP="00747FC5">
      <w:pPr>
        <w:spacing w:line="480" w:lineRule="auto"/>
        <w:rPr>
          <w:rFonts w:eastAsiaTheme="minorHAnsi"/>
          <w:lang w:eastAsia="en-US"/>
        </w:rPr>
      </w:pPr>
    </w:p>
    <w:p w14:paraId="4578534B" w14:textId="342035D8" w:rsidR="009C4F34" w:rsidRDefault="009C4F34" w:rsidP="00747FC5">
      <w:pPr>
        <w:spacing w:line="480" w:lineRule="auto"/>
        <w:rPr>
          <w:rFonts w:eastAsiaTheme="minorHAnsi"/>
          <w:lang w:eastAsia="en-US"/>
        </w:rPr>
      </w:pPr>
    </w:p>
    <w:p w14:paraId="52BE71E4" w14:textId="77777777" w:rsidR="009C4F34" w:rsidRPr="00747FC5" w:rsidRDefault="009C4F34" w:rsidP="00747FC5">
      <w:pPr>
        <w:spacing w:line="480" w:lineRule="auto"/>
        <w:rPr>
          <w:rFonts w:eastAsiaTheme="minorHAnsi"/>
          <w:lang w:eastAsia="en-US"/>
        </w:rPr>
      </w:pPr>
    </w:p>
    <w:p w14:paraId="04FF2AF1" w14:textId="54A72BB9" w:rsidR="009C4F34" w:rsidRPr="009C4F34" w:rsidRDefault="009C4F34" w:rsidP="009C4F34">
      <w:pPr>
        <w:keepNext/>
        <w:spacing w:after="200" w:line="480" w:lineRule="auto"/>
        <w:rPr>
          <w:rFonts w:ascii="Times New Roman" w:eastAsiaTheme="minorHAnsi" w:hAnsi="Times New Roman" w:cs="Times New Roman"/>
          <w:i/>
          <w:iCs/>
          <w:color w:val="44546A" w:themeColor="text2"/>
          <w:sz w:val="18"/>
          <w:szCs w:val="18"/>
          <w:lang w:eastAsia="en-US"/>
        </w:rPr>
      </w:pPr>
      <w:r w:rsidRPr="009C4F34">
        <w:rPr>
          <w:rFonts w:ascii="Times New Roman" w:eastAsiaTheme="minorHAnsi" w:hAnsi="Times New Roman" w:cs="Times New Roman"/>
          <w:i/>
          <w:iCs/>
          <w:color w:val="44546A" w:themeColor="text2"/>
          <w:sz w:val="18"/>
          <w:szCs w:val="18"/>
          <w:lang w:eastAsia="en-US"/>
        </w:rPr>
        <w:lastRenderedPageBreak/>
        <w:t xml:space="preserve">Table </w:t>
      </w:r>
      <w:r>
        <w:rPr>
          <w:rFonts w:ascii="Times New Roman" w:eastAsiaTheme="minorHAnsi" w:hAnsi="Times New Roman" w:cs="Times New Roman"/>
          <w:i/>
          <w:iCs/>
          <w:color w:val="44546A" w:themeColor="text2"/>
          <w:sz w:val="18"/>
          <w:szCs w:val="18"/>
          <w:lang w:eastAsia="en-US"/>
        </w:rPr>
        <w:t>2</w:t>
      </w:r>
      <w:r w:rsidRPr="009C4F34">
        <w:rPr>
          <w:rFonts w:ascii="Times New Roman" w:eastAsiaTheme="minorHAnsi" w:hAnsi="Times New Roman" w:cs="Times New Roman"/>
          <w:i/>
          <w:iCs/>
          <w:color w:val="44546A" w:themeColor="text2"/>
          <w:sz w:val="18"/>
          <w:szCs w:val="18"/>
          <w:lang w:eastAsia="en-US"/>
        </w:rPr>
        <w:t>: Study quality of Quasi-experimental studies (JBI criteria)</w:t>
      </w:r>
    </w:p>
    <w:tbl>
      <w:tblPr>
        <w:tblStyle w:val="TableGrid"/>
        <w:tblW w:w="16444" w:type="dxa"/>
        <w:tblInd w:w="-1281" w:type="dxa"/>
        <w:tblLook w:val="04A0" w:firstRow="1" w:lastRow="0" w:firstColumn="1" w:lastColumn="0" w:noHBand="0" w:noVBand="1"/>
      </w:tblPr>
      <w:tblGrid>
        <w:gridCol w:w="2127"/>
        <w:gridCol w:w="1559"/>
        <w:gridCol w:w="1701"/>
        <w:gridCol w:w="1559"/>
        <w:gridCol w:w="955"/>
        <w:gridCol w:w="1455"/>
        <w:gridCol w:w="1559"/>
        <w:gridCol w:w="2127"/>
        <w:gridCol w:w="1258"/>
        <w:gridCol w:w="1283"/>
        <w:gridCol w:w="861"/>
      </w:tblGrid>
      <w:tr w:rsidR="009C4F34" w:rsidRPr="009C4F34" w14:paraId="2816EE02" w14:textId="77777777" w:rsidTr="00D84171">
        <w:tc>
          <w:tcPr>
            <w:tcW w:w="2127" w:type="dxa"/>
          </w:tcPr>
          <w:p w14:paraId="4C1F0996"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First Author</w:t>
            </w:r>
          </w:p>
        </w:tc>
        <w:tc>
          <w:tcPr>
            <w:tcW w:w="1559" w:type="dxa"/>
          </w:tcPr>
          <w:p w14:paraId="5DBF9582"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Clear cause and effect</w:t>
            </w:r>
          </w:p>
        </w:tc>
        <w:tc>
          <w:tcPr>
            <w:tcW w:w="1701" w:type="dxa"/>
          </w:tcPr>
          <w:p w14:paraId="19D78A26"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Similar participants included in comparison</w:t>
            </w:r>
          </w:p>
        </w:tc>
        <w:tc>
          <w:tcPr>
            <w:tcW w:w="1559" w:type="dxa"/>
          </w:tcPr>
          <w:p w14:paraId="7CDB992F"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Similar treatment of groups except for intervention</w:t>
            </w:r>
          </w:p>
        </w:tc>
        <w:tc>
          <w:tcPr>
            <w:tcW w:w="955" w:type="dxa"/>
          </w:tcPr>
          <w:p w14:paraId="0F90A7EC"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Control group present</w:t>
            </w:r>
          </w:p>
        </w:tc>
        <w:tc>
          <w:tcPr>
            <w:tcW w:w="1455" w:type="dxa"/>
          </w:tcPr>
          <w:p w14:paraId="3B86C859"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Multiple measurements of outcome</w:t>
            </w:r>
          </w:p>
        </w:tc>
        <w:tc>
          <w:tcPr>
            <w:tcW w:w="1559" w:type="dxa"/>
          </w:tcPr>
          <w:p w14:paraId="3CC0E057"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Complete follow-up and adequate description of differences</w:t>
            </w:r>
          </w:p>
        </w:tc>
        <w:tc>
          <w:tcPr>
            <w:tcW w:w="2127" w:type="dxa"/>
          </w:tcPr>
          <w:p w14:paraId="4E6B338F"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Outcomes of participants included in any comparison measured in same way</w:t>
            </w:r>
          </w:p>
        </w:tc>
        <w:tc>
          <w:tcPr>
            <w:tcW w:w="1258" w:type="dxa"/>
          </w:tcPr>
          <w:p w14:paraId="01A5D982"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Outcomes measured in reliable way</w:t>
            </w:r>
          </w:p>
        </w:tc>
        <w:tc>
          <w:tcPr>
            <w:tcW w:w="1283" w:type="dxa"/>
          </w:tcPr>
          <w:p w14:paraId="5295FA8F"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Appropriate statistics</w:t>
            </w:r>
          </w:p>
        </w:tc>
        <w:tc>
          <w:tcPr>
            <w:tcW w:w="861" w:type="dxa"/>
          </w:tcPr>
          <w:p w14:paraId="5EBA31D7" w14:textId="77777777" w:rsidR="009C4F34" w:rsidRPr="009C4F34" w:rsidRDefault="009C4F34" w:rsidP="009C4F34">
            <w:pPr>
              <w:spacing w:line="480" w:lineRule="auto"/>
              <w:rPr>
                <w:rFonts w:ascii="Times New Roman" w:hAnsi="Times New Roman" w:cs="Times New Roman"/>
                <w:b/>
                <w:bCs/>
                <w:sz w:val="20"/>
                <w:szCs w:val="20"/>
              </w:rPr>
            </w:pPr>
            <w:r w:rsidRPr="009C4F34">
              <w:rPr>
                <w:rFonts w:ascii="Times New Roman" w:hAnsi="Times New Roman" w:cs="Times New Roman"/>
                <w:b/>
                <w:bCs/>
                <w:sz w:val="20"/>
                <w:szCs w:val="20"/>
              </w:rPr>
              <w:t>Overall rate</w:t>
            </w:r>
          </w:p>
        </w:tc>
      </w:tr>
      <w:tr w:rsidR="009C4F34" w:rsidRPr="009C4F34" w14:paraId="712F3A54" w14:textId="77777777" w:rsidTr="00D84171">
        <w:tc>
          <w:tcPr>
            <w:tcW w:w="2127" w:type="dxa"/>
          </w:tcPr>
          <w:p w14:paraId="3DA81477" w14:textId="1FCB333A"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Ma, G.X</w:t>
            </w:r>
            <w:r>
              <w:rPr>
                <w:rFonts w:ascii="Times New Roman" w:hAnsi="Times New Roman" w:cs="Times New Roman"/>
                <w:sz w:val="20"/>
                <w:szCs w:val="20"/>
              </w:rPr>
              <w:t>, 2011</w:t>
            </w:r>
            <w:r w:rsidRPr="009C4F34">
              <w:rPr>
                <w:rFonts w:ascii="Times New Roman" w:hAnsi="Times New Roman" w:cs="Times New Roman"/>
                <w:sz w:val="20"/>
                <w:szCs w:val="20"/>
              </w:rPr>
              <w:t xml:space="preserve"> </w:t>
            </w:r>
          </w:p>
        </w:tc>
        <w:tc>
          <w:tcPr>
            <w:tcW w:w="1559" w:type="dxa"/>
          </w:tcPr>
          <w:p w14:paraId="7425EBA6"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701" w:type="dxa"/>
          </w:tcPr>
          <w:p w14:paraId="6DCE3803"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559" w:type="dxa"/>
          </w:tcPr>
          <w:p w14:paraId="1B47BCE9"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955" w:type="dxa"/>
          </w:tcPr>
          <w:p w14:paraId="2A26E6D3"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455" w:type="dxa"/>
          </w:tcPr>
          <w:p w14:paraId="3171FEA0" w14:textId="1BB387E9" w:rsidR="009C4F34" w:rsidRPr="009C4F34" w:rsidRDefault="00EF43C4" w:rsidP="009C4F34">
            <w:pPr>
              <w:spacing w:line="480" w:lineRule="auto"/>
              <w:rPr>
                <w:rFonts w:ascii="Times New Roman" w:hAnsi="Times New Roman" w:cs="Times New Roman"/>
                <w:sz w:val="20"/>
                <w:szCs w:val="20"/>
              </w:rPr>
            </w:pPr>
            <w:r>
              <w:rPr>
                <w:rFonts w:ascii="Times New Roman" w:hAnsi="Times New Roman" w:cs="Times New Roman"/>
                <w:sz w:val="20"/>
                <w:szCs w:val="20"/>
              </w:rPr>
              <w:t>N</w:t>
            </w:r>
          </w:p>
        </w:tc>
        <w:tc>
          <w:tcPr>
            <w:tcW w:w="1559" w:type="dxa"/>
          </w:tcPr>
          <w:p w14:paraId="7D420F05"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2127" w:type="dxa"/>
          </w:tcPr>
          <w:p w14:paraId="6A473D48"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58" w:type="dxa"/>
          </w:tcPr>
          <w:p w14:paraId="4A06E6C5"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83" w:type="dxa"/>
          </w:tcPr>
          <w:p w14:paraId="05CFF7D3"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861" w:type="dxa"/>
          </w:tcPr>
          <w:p w14:paraId="16630E7B"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8Y</w:t>
            </w:r>
          </w:p>
        </w:tc>
      </w:tr>
      <w:tr w:rsidR="009C4F34" w:rsidRPr="009C4F34" w14:paraId="2EE07BB5" w14:textId="77777777" w:rsidTr="00D84171">
        <w:tc>
          <w:tcPr>
            <w:tcW w:w="2127" w:type="dxa"/>
          </w:tcPr>
          <w:p w14:paraId="3BDDAAD1" w14:textId="2C60BEB5" w:rsidR="009C4F34" w:rsidRPr="009C4F34" w:rsidRDefault="009C4F34" w:rsidP="009C4F34">
            <w:pPr>
              <w:spacing w:line="480" w:lineRule="auto"/>
              <w:rPr>
                <w:rFonts w:ascii="Times New Roman" w:hAnsi="Times New Roman" w:cs="Times New Roman"/>
                <w:sz w:val="20"/>
                <w:szCs w:val="20"/>
              </w:rPr>
            </w:pPr>
            <w:proofErr w:type="spellStart"/>
            <w:r w:rsidRPr="009C4F34">
              <w:rPr>
                <w:rFonts w:ascii="Times New Roman" w:hAnsi="Times New Roman" w:cs="Times New Roman"/>
                <w:sz w:val="20"/>
                <w:szCs w:val="20"/>
              </w:rPr>
              <w:t>Mermer</w:t>
            </w:r>
            <w:proofErr w:type="spellEnd"/>
            <w:r w:rsidRPr="009C4F34">
              <w:rPr>
                <w:rFonts w:ascii="Times New Roman" w:hAnsi="Times New Roman" w:cs="Times New Roman"/>
                <w:sz w:val="20"/>
                <w:szCs w:val="20"/>
              </w:rPr>
              <w:t>, G</w:t>
            </w:r>
            <w:r>
              <w:rPr>
                <w:rFonts w:ascii="Times New Roman" w:hAnsi="Times New Roman" w:cs="Times New Roman"/>
                <w:sz w:val="20"/>
                <w:szCs w:val="20"/>
              </w:rPr>
              <w:t>, 2014</w:t>
            </w:r>
          </w:p>
        </w:tc>
        <w:tc>
          <w:tcPr>
            <w:tcW w:w="1559" w:type="dxa"/>
          </w:tcPr>
          <w:p w14:paraId="41EEE8F8"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701" w:type="dxa"/>
          </w:tcPr>
          <w:p w14:paraId="056C5228"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w:t>
            </w:r>
          </w:p>
        </w:tc>
        <w:tc>
          <w:tcPr>
            <w:tcW w:w="1559" w:type="dxa"/>
          </w:tcPr>
          <w:p w14:paraId="279876C4"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955" w:type="dxa"/>
          </w:tcPr>
          <w:p w14:paraId="1F10F374"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455" w:type="dxa"/>
          </w:tcPr>
          <w:p w14:paraId="68587018"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w:t>
            </w:r>
          </w:p>
        </w:tc>
        <w:tc>
          <w:tcPr>
            <w:tcW w:w="1559" w:type="dxa"/>
          </w:tcPr>
          <w:p w14:paraId="23D14973"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w:t>
            </w:r>
          </w:p>
        </w:tc>
        <w:tc>
          <w:tcPr>
            <w:tcW w:w="2127" w:type="dxa"/>
          </w:tcPr>
          <w:p w14:paraId="2EFB7681"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58" w:type="dxa"/>
          </w:tcPr>
          <w:p w14:paraId="7FFDEF67"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83" w:type="dxa"/>
          </w:tcPr>
          <w:p w14:paraId="4BD639A1"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861" w:type="dxa"/>
          </w:tcPr>
          <w:p w14:paraId="746DAF06" w14:textId="485B09CA" w:rsidR="009C4F34" w:rsidRPr="009C4F34" w:rsidRDefault="00F85683" w:rsidP="009C4F34">
            <w:pPr>
              <w:spacing w:line="480" w:lineRule="auto"/>
              <w:rPr>
                <w:rFonts w:ascii="Times New Roman" w:hAnsi="Times New Roman" w:cs="Times New Roman"/>
                <w:sz w:val="20"/>
                <w:szCs w:val="20"/>
              </w:rPr>
            </w:pPr>
            <w:r>
              <w:rPr>
                <w:rFonts w:ascii="Times New Roman" w:hAnsi="Times New Roman" w:cs="Times New Roman"/>
                <w:sz w:val="20"/>
                <w:szCs w:val="20"/>
              </w:rPr>
              <w:t>5</w:t>
            </w:r>
            <w:r w:rsidR="009C4F34" w:rsidRPr="009C4F34">
              <w:rPr>
                <w:rFonts w:ascii="Times New Roman" w:hAnsi="Times New Roman" w:cs="Times New Roman"/>
                <w:sz w:val="20"/>
                <w:szCs w:val="20"/>
              </w:rPr>
              <w:t>Y</w:t>
            </w:r>
          </w:p>
        </w:tc>
      </w:tr>
      <w:tr w:rsidR="009C4F34" w:rsidRPr="009C4F34" w14:paraId="71347686" w14:textId="77777777" w:rsidTr="00D84171">
        <w:tc>
          <w:tcPr>
            <w:tcW w:w="2127" w:type="dxa"/>
          </w:tcPr>
          <w:p w14:paraId="74F69269" w14:textId="74318EEB"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Taha, H</w:t>
            </w:r>
            <w:r>
              <w:rPr>
                <w:rFonts w:ascii="Times New Roman" w:hAnsi="Times New Roman" w:cs="Times New Roman"/>
                <w:sz w:val="20"/>
                <w:szCs w:val="20"/>
              </w:rPr>
              <w:t>, 2014</w:t>
            </w:r>
          </w:p>
        </w:tc>
        <w:tc>
          <w:tcPr>
            <w:tcW w:w="1559" w:type="dxa"/>
          </w:tcPr>
          <w:p w14:paraId="325BC72C"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701" w:type="dxa"/>
          </w:tcPr>
          <w:p w14:paraId="05F4B4BC"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559" w:type="dxa"/>
          </w:tcPr>
          <w:p w14:paraId="17C64A4B"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955" w:type="dxa"/>
          </w:tcPr>
          <w:p w14:paraId="2D1CE95A"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455" w:type="dxa"/>
          </w:tcPr>
          <w:p w14:paraId="4930EDD2"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w:t>
            </w:r>
          </w:p>
        </w:tc>
        <w:tc>
          <w:tcPr>
            <w:tcW w:w="1559" w:type="dxa"/>
          </w:tcPr>
          <w:p w14:paraId="7520801B"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2127" w:type="dxa"/>
          </w:tcPr>
          <w:p w14:paraId="7ADF7E72"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58" w:type="dxa"/>
          </w:tcPr>
          <w:p w14:paraId="6B02D851"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83" w:type="dxa"/>
          </w:tcPr>
          <w:p w14:paraId="673193D5"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861" w:type="dxa"/>
          </w:tcPr>
          <w:p w14:paraId="74014EAF"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5Y</w:t>
            </w:r>
          </w:p>
        </w:tc>
      </w:tr>
      <w:tr w:rsidR="009C4F34" w:rsidRPr="009C4F34" w14:paraId="3A7177AA" w14:textId="77777777" w:rsidTr="00D84171">
        <w:tc>
          <w:tcPr>
            <w:tcW w:w="2127" w:type="dxa"/>
          </w:tcPr>
          <w:p w14:paraId="04B3E2B4" w14:textId="7B5E4F06"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Bao, H</w:t>
            </w:r>
            <w:r>
              <w:rPr>
                <w:rFonts w:ascii="Times New Roman" w:hAnsi="Times New Roman" w:cs="Times New Roman"/>
                <w:sz w:val="20"/>
                <w:szCs w:val="20"/>
              </w:rPr>
              <w:t>, 2020</w:t>
            </w:r>
          </w:p>
        </w:tc>
        <w:tc>
          <w:tcPr>
            <w:tcW w:w="1559" w:type="dxa"/>
          </w:tcPr>
          <w:p w14:paraId="040CB5C9"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701" w:type="dxa"/>
          </w:tcPr>
          <w:p w14:paraId="76A6A1CE"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w:t>
            </w:r>
          </w:p>
        </w:tc>
        <w:tc>
          <w:tcPr>
            <w:tcW w:w="1559" w:type="dxa"/>
          </w:tcPr>
          <w:p w14:paraId="719A481B"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955" w:type="dxa"/>
          </w:tcPr>
          <w:p w14:paraId="46CD1FC8"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455" w:type="dxa"/>
          </w:tcPr>
          <w:p w14:paraId="46490BC1"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559" w:type="dxa"/>
          </w:tcPr>
          <w:p w14:paraId="7B54CB9E"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2127" w:type="dxa"/>
          </w:tcPr>
          <w:p w14:paraId="7F146ACD"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58" w:type="dxa"/>
          </w:tcPr>
          <w:p w14:paraId="4D5224CC"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83" w:type="dxa"/>
          </w:tcPr>
          <w:p w14:paraId="635A765B"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861" w:type="dxa"/>
          </w:tcPr>
          <w:p w14:paraId="207B6F81"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7Y</w:t>
            </w:r>
          </w:p>
        </w:tc>
      </w:tr>
      <w:tr w:rsidR="009C4F34" w:rsidRPr="009C4F34" w14:paraId="4117446A" w14:textId="77777777" w:rsidTr="00D84171">
        <w:tc>
          <w:tcPr>
            <w:tcW w:w="2127" w:type="dxa"/>
          </w:tcPr>
          <w:p w14:paraId="2E087965" w14:textId="54F1B35E"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Seven, M</w:t>
            </w:r>
            <w:r>
              <w:rPr>
                <w:rFonts w:ascii="Times New Roman" w:hAnsi="Times New Roman" w:cs="Times New Roman"/>
                <w:sz w:val="20"/>
                <w:szCs w:val="20"/>
              </w:rPr>
              <w:t>, 2015</w:t>
            </w:r>
          </w:p>
        </w:tc>
        <w:tc>
          <w:tcPr>
            <w:tcW w:w="1559" w:type="dxa"/>
          </w:tcPr>
          <w:p w14:paraId="1625D9DB"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701" w:type="dxa"/>
          </w:tcPr>
          <w:p w14:paraId="452368F2"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w:t>
            </w:r>
          </w:p>
        </w:tc>
        <w:tc>
          <w:tcPr>
            <w:tcW w:w="1559" w:type="dxa"/>
          </w:tcPr>
          <w:p w14:paraId="7A7DE334"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955" w:type="dxa"/>
          </w:tcPr>
          <w:p w14:paraId="4A82332F"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455" w:type="dxa"/>
          </w:tcPr>
          <w:p w14:paraId="7FF25E1F"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559" w:type="dxa"/>
          </w:tcPr>
          <w:p w14:paraId="1011D97B"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2127" w:type="dxa"/>
          </w:tcPr>
          <w:p w14:paraId="17D0EDDF"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258" w:type="dxa"/>
          </w:tcPr>
          <w:p w14:paraId="4542419A"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83" w:type="dxa"/>
          </w:tcPr>
          <w:p w14:paraId="19DB96A0"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861" w:type="dxa"/>
          </w:tcPr>
          <w:p w14:paraId="182E3E43"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6Y</w:t>
            </w:r>
          </w:p>
        </w:tc>
      </w:tr>
      <w:tr w:rsidR="009C4F34" w:rsidRPr="009C4F34" w14:paraId="477AED3D" w14:textId="77777777" w:rsidTr="00D84171">
        <w:tc>
          <w:tcPr>
            <w:tcW w:w="2127" w:type="dxa"/>
          </w:tcPr>
          <w:p w14:paraId="34A87990" w14:textId="7264B37D" w:rsidR="009C4F34" w:rsidRPr="009C4F34" w:rsidRDefault="009C4F34" w:rsidP="009C4F34">
            <w:pPr>
              <w:spacing w:line="480" w:lineRule="auto"/>
              <w:rPr>
                <w:rFonts w:ascii="Times New Roman" w:hAnsi="Times New Roman" w:cs="Times New Roman"/>
                <w:sz w:val="20"/>
                <w:szCs w:val="20"/>
              </w:rPr>
            </w:pPr>
            <w:proofErr w:type="spellStart"/>
            <w:r w:rsidRPr="009C4F34">
              <w:rPr>
                <w:rFonts w:ascii="Times New Roman" w:hAnsi="Times New Roman" w:cs="Times New Roman"/>
                <w:sz w:val="20"/>
                <w:szCs w:val="20"/>
              </w:rPr>
              <w:t>Prusty</w:t>
            </w:r>
            <w:proofErr w:type="spellEnd"/>
            <w:r w:rsidRPr="009C4F34">
              <w:rPr>
                <w:rFonts w:ascii="Times New Roman" w:hAnsi="Times New Roman" w:cs="Times New Roman"/>
                <w:sz w:val="20"/>
                <w:szCs w:val="20"/>
              </w:rPr>
              <w:t>, R.K</w:t>
            </w:r>
            <w:r>
              <w:rPr>
                <w:rFonts w:ascii="Times New Roman" w:hAnsi="Times New Roman" w:cs="Times New Roman"/>
                <w:sz w:val="20"/>
                <w:szCs w:val="20"/>
              </w:rPr>
              <w:t>, 2021</w:t>
            </w:r>
          </w:p>
        </w:tc>
        <w:tc>
          <w:tcPr>
            <w:tcW w:w="1559" w:type="dxa"/>
          </w:tcPr>
          <w:p w14:paraId="3E4C6819"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701" w:type="dxa"/>
          </w:tcPr>
          <w:p w14:paraId="1442584F"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559" w:type="dxa"/>
          </w:tcPr>
          <w:p w14:paraId="50427E47"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955" w:type="dxa"/>
          </w:tcPr>
          <w:p w14:paraId="21F350BF"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455" w:type="dxa"/>
          </w:tcPr>
          <w:p w14:paraId="0E6D78E5"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w:t>
            </w:r>
          </w:p>
        </w:tc>
        <w:tc>
          <w:tcPr>
            <w:tcW w:w="1559" w:type="dxa"/>
          </w:tcPr>
          <w:p w14:paraId="18C3A3F0"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2127" w:type="dxa"/>
          </w:tcPr>
          <w:p w14:paraId="2474F140"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258" w:type="dxa"/>
          </w:tcPr>
          <w:p w14:paraId="3557ED88"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83" w:type="dxa"/>
          </w:tcPr>
          <w:p w14:paraId="0940469D"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861" w:type="dxa"/>
          </w:tcPr>
          <w:p w14:paraId="01E19E1A"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4Y</w:t>
            </w:r>
          </w:p>
        </w:tc>
      </w:tr>
      <w:tr w:rsidR="009C4F34" w:rsidRPr="009C4F34" w14:paraId="5215F713" w14:textId="77777777" w:rsidTr="00D84171">
        <w:tc>
          <w:tcPr>
            <w:tcW w:w="2127" w:type="dxa"/>
          </w:tcPr>
          <w:p w14:paraId="51EC13EE" w14:textId="305F4756"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rPr>
              <w:t>Shankar, A</w:t>
            </w:r>
            <w:r>
              <w:rPr>
                <w:rFonts w:ascii="Times New Roman" w:hAnsi="Times New Roman" w:cs="Times New Roman"/>
                <w:sz w:val="20"/>
                <w:szCs w:val="20"/>
              </w:rPr>
              <w:t>, 2015</w:t>
            </w:r>
          </w:p>
        </w:tc>
        <w:tc>
          <w:tcPr>
            <w:tcW w:w="1559" w:type="dxa"/>
          </w:tcPr>
          <w:p w14:paraId="68C568FA"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1701" w:type="dxa"/>
          </w:tcPr>
          <w:p w14:paraId="78591EA7"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NA</w:t>
            </w:r>
          </w:p>
        </w:tc>
        <w:tc>
          <w:tcPr>
            <w:tcW w:w="1559" w:type="dxa"/>
          </w:tcPr>
          <w:p w14:paraId="0DF9D2B9"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NA</w:t>
            </w:r>
          </w:p>
        </w:tc>
        <w:tc>
          <w:tcPr>
            <w:tcW w:w="955" w:type="dxa"/>
          </w:tcPr>
          <w:p w14:paraId="4415C5F8"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NA</w:t>
            </w:r>
          </w:p>
        </w:tc>
        <w:tc>
          <w:tcPr>
            <w:tcW w:w="1455" w:type="dxa"/>
          </w:tcPr>
          <w:p w14:paraId="12588EDE"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1559" w:type="dxa"/>
          </w:tcPr>
          <w:p w14:paraId="6A6D90F8"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2127" w:type="dxa"/>
          </w:tcPr>
          <w:p w14:paraId="085F6E63"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NA</w:t>
            </w:r>
          </w:p>
        </w:tc>
        <w:tc>
          <w:tcPr>
            <w:tcW w:w="1258" w:type="dxa"/>
          </w:tcPr>
          <w:p w14:paraId="501A7BD8"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1283" w:type="dxa"/>
          </w:tcPr>
          <w:p w14:paraId="230DE9EF"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861" w:type="dxa"/>
          </w:tcPr>
          <w:p w14:paraId="67D42ED8"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5Y</w:t>
            </w:r>
          </w:p>
        </w:tc>
      </w:tr>
      <w:tr w:rsidR="009C4F34" w:rsidRPr="009C4F34" w14:paraId="45434428" w14:textId="77777777" w:rsidTr="00D84171">
        <w:tc>
          <w:tcPr>
            <w:tcW w:w="2127" w:type="dxa"/>
          </w:tcPr>
          <w:p w14:paraId="2FB46F3E" w14:textId="15BB4D34" w:rsidR="009C4F34" w:rsidRPr="009C4F34" w:rsidRDefault="009C4F34" w:rsidP="009C4F34">
            <w:pPr>
              <w:spacing w:line="480" w:lineRule="auto"/>
              <w:rPr>
                <w:rFonts w:ascii="Times New Roman" w:hAnsi="Times New Roman" w:cs="Times New Roman"/>
                <w:sz w:val="20"/>
                <w:szCs w:val="20"/>
                <w:lang w:val="es-ES_tradnl"/>
              </w:rPr>
            </w:pPr>
            <w:proofErr w:type="spellStart"/>
            <w:r w:rsidRPr="009C4F34">
              <w:rPr>
                <w:rFonts w:ascii="Times New Roman" w:hAnsi="Times New Roman" w:cs="Times New Roman"/>
                <w:sz w:val="20"/>
                <w:szCs w:val="20"/>
                <w:lang w:val="es-ES_tradnl"/>
              </w:rPr>
              <w:t>Jeihooni</w:t>
            </w:r>
            <w:proofErr w:type="spellEnd"/>
            <w:r w:rsidRPr="009C4F34">
              <w:rPr>
                <w:rFonts w:ascii="Times New Roman" w:hAnsi="Times New Roman" w:cs="Times New Roman"/>
                <w:sz w:val="20"/>
                <w:szCs w:val="20"/>
                <w:lang w:val="es-ES_tradnl"/>
              </w:rPr>
              <w:t>, A.K</w:t>
            </w:r>
            <w:r>
              <w:rPr>
                <w:rFonts w:ascii="Times New Roman" w:hAnsi="Times New Roman" w:cs="Times New Roman"/>
                <w:sz w:val="20"/>
                <w:szCs w:val="20"/>
                <w:lang w:val="es-ES_tradnl"/>
              </w:rPr>
              <w:t>, 2020</w:t>
            </w:r>
          </w:p>
        </w:tc>
        <w:tc>
          <w:tcPr>
            <w:tcW w:w="1559" w:type="dxa"/>
          </w:tcPr>
          <w:p w14:paraId="381C611C"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1701" w:type="dxa"/>
          </w:tcPr>
          <w:p w14:paraId="33C642DE"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1559" w:type="dxa"/>
          </w:tcPr>
          <w:p w14:paraId="5800145E"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955" w:type="dxa"/>
          </w:tcPr>
          <w:p w14:paraId="161A2C33"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1455" w:type="dxa"/>
          </w:tcPr>
          <w:p w14:paraId="051E5009"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N</w:t>
            </w:r>
          </w:p>
        </w:tc>
        <w:tc>
          <w:tcPr>
            <w:tcW w:w="1559" w:type="dxa"/>
          </w:tcPr>
          <w:p w14:paraId="76F122E3"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2127" w:type="dxa"/>
          </w:tcPr>
          <w:p w14:paraId="1BD45275"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1258" w:type="dxa"/>
          </w:tcPr>
          <w:p w14:paraId="3B6C0CE0"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1283" w:type="dxa"/>
          </w:tcPr>
          <w:p w14:paraId="3B36B3F5"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Y</w:t>
            </w:r>
          </w:p>
        </w:tc>
        <w:tc>
          <w:tcPr>
            <w:tcW w:w="861" w:type="dxa"/>
          </w:tcPr>
          <w:p w14:paraId="3CA29BE4" w14:textId="77777777" w:rsidR="009C4F34" w:rsidRPr="009C4F34" w:rsidRDefault="009C4F34" w:rsidP="009C4F34">
            <w:pPr>
              <w:spacing w:line="480" w:lineRule="auto"/>
              <w:rPr>
                <w:rFonts w:ascii="Times New Roman" w:hAnsi="Times New Roman" w:cs="Times New Roman"/>
                <w:sz w:val="20"/>
                <w:szCs w:val="20"/>
                <w:lang w:val="es-ES_tradnl"/>
              </w:rPr>
            </w:pPr>
            <w:r w:rsidRPr="009C4F34">
              <w:rPr>
                <w:rFonts w:ascii="Times New Roman" w:hAnsi="Times New Roman" w:cs="Times New Roman"/>
                <w:sz w:val="20"/>
                <w:szCs w:val="20"/>
                <w:lang w:val="es-ES_tradnl"/>
              </w:rPr>
              <w:t>8Y</w:t>
            </w:r>
          </w:p>
        </w:tc>
      </w:tr>
      <w:tr w:rsidR="009C4F34" w:rsidRPr="009C4F34" w14:paraId="6C9AB889" w14:textId="77777777" w:rsidTr="00D84171">
        <w:tc>
          <w:tcPr>
            <w:tcW w:w="2127" w:type="dxa"/>
          </w:tcPr>
          <w:p w14:paraId="409A9390" w14:textId="0F8C8F8B" w:rsidR="009C4F34" w:rsidRPr="009C4F34" w:rsidRDefault="009C4F34" w:rsidP="009C4F34">
            <w:pPr>
              <w:spacing w:line="480" w:lineRule="auto"/>
              <w:rPr>
                <w:rFonts w:ascii="Times New Roman" w:hAnsi="Times New Roman" w:cs="Times New Roman"/>
                <w:sz w:val="20"/>
                <w:szCs w:val="20"/>
              </w:rPr>
            </w:pPr>
            <w:proofErr w:type="spellStart"/>
            <w:r w:rsidRPr="009C4F34">
              <w:rPr>
                <w:rFonts w:ascii="Times New Roman" w:hAnsi="Times New Roman" w:cs="Times New Roman"/>
                <w:sz w:val="20"/>
                <w:szCs w:val="20"/>
                <w:lang w:val="es-ES_tradnl"/>
              </w:rPr>
              <w:t>Riogo</w:t>
            </w:r>
            <w:proofErr w:type="spellEnd"/>
            <w:r w:rsidRPr="009C4F34">
              <w:rPr>
                <w:rFonts w:ascii="Times New Roman" w:hAnsi="Times New Roman" w:cs="Times New Roman"/>
                <w:sz w:val="20"/>
                <w:szCs w:val="20"/>
                <w:lang w:val="es-ES_tradnl"/>
              </w:rPr>
              <w:t>, B</w:t>
            </w:r>
            <w:r>
              <w:rPr>
                <w:rFonts w:ascii="Times New Roman" w:hAnsi="Times New Roman" w:cs="Times New Roman"/>
                <w:sz w:val="20"/>
                <w:szCs w:val="20"/>
                <w:lang w:val="es-ES_tradnl"/>
              </w:rPr>
              <w:t>, 2017</w:t>
            </w:r>
          </w:p>
        </w:tc>
        <w:tc>
          <w:tcPr>
            <w:tcW w:w="1559" w:type="dxa"/>
          </w:tcPr>
          <w:p w14:paraId="051BDDC6"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701" w:type="dxa"/>
          </w:tcPr>
          <w:p w14:paraId="19179BF8"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559" w:type="dxa"/>
          </w:tcPr>
          <w:p w14:paraId="39C744EC"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955" w:type="dxa"/>
          </w:tcPr>
          <w:p w14:paraId="2CABE4AE"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455" w:type="dxa"/>
          </w:tcPr>
          <w:p w14:paraId="5970C3F9"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w:t>
            </w:r>
          </w:p>
        </w:tc>
        <w:tc>
          <w:tcPr>
            <w:tcW w:w="1559" w:type="dxa"/>
          </w:tcPr>
          <w:p w14:paraId="561AFC5A"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2127" w:type="dxa"/>
          </w:tcPr>
          <w:p w14:paraId="644FDAD1"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58" w:type="dxa"/>
          </w:tcPr>
          <w:p w14:paraId="668A60C3"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83" w:type="dxa"/>
          </w:tcPr>
          <w:p w14:paraId="65AEF4B3"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861" w:type="dxa"/>
          </w:tcPr>
          <w:p w14:paraId="03EE6B65"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8Y</w:t>
            </w:r>
          </w:p>
        </w:tc>
      </w:tr>
      <w:tr w:rsidR="009C4F34" w:rsidRPr="009C4F34" w14:paraId="42F8EC34" w14:textId="77777777" w:rsidTr="00D84171">
        <w:tc>
          <w:tcPr>
            <w:tcW w:w="2127" w:type="dxa"/>
          </w:tcPr>
          <w:p w14:paraId="06A65E7A" w14:textId="691B14E9" w:rsidR="009C4F34" w:rsidRPr="009C4F34" w:rsidRDefault="009C4F34" w:rsidP="009C4F34">
            <w:pPr>
              <w:spacing w:line="480" w:lineRule="auto"/>
              <w:rPr>
                <w:rFonts w:ascii="Times New Roman" w:hAnsi="Times New Roman" w:cs="Times New Roman"/>
                <w:sz w:val="20"/>
                <w:szCs w:val="20"/>
              </w:rPr>
            </w:pPr>
            <w:proofErr w:type="spellStart"/>
            <w:r w:rsidRPr="009C4F34">
              <w:rPr>
                <w:rFonts w:ascii="Times New Roman" w:hAnsi="Times New Roman" w:cs="Times New Roman"/>
                <w:sz w:val="20"/>
                <w:szCs w:val="20"/>
              </w:rPr>
              <w:t>Gadgil</w:t>
            </w:r>
            <w:proofErr w:type="spellEnd"/>
            <w:r w:rsidRPr="009C4F34">
              <w:rPr>
                <w:rFonts w:ascii="Times New Roman" w:hAnsi="Times New Roman" w:cs="Times New Roman"/>
                <w:sz w:val="20"/>
                <w:szCs w:val="20"/>
              </w:rPr>
              <w:t>, A</w:t>
            </w:r>
            <w:r>
              <w:rPr>
                <w:rFonts w:ascii="Times New Roman" w:hAnsi="Times New Roman" w:cs="Times New Roman"/>
                <w:sz w:val="20"/>
                <w:szCs w:val="20"/>
              </w:rPr>
              <w:t>, 2017</w:t>
            </w:r>
          </w:p>
        </w:tc>
        <w:tc>
          <w:tcPr>
            <w:tcW w:w="1559" w:type="dxa"/>
          </w:tcPr>
          <w:p w14:paraId="378327CB"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701" w:type="dxa"/>
          </w:tcPr>
          <w:p w14:paraId="3D9A5670"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559" w:type="dxa"/>
          </w:tcPr>
          <w:p w14:paraId="64F2C94C"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955" w:type="dxa"/>
          </w:tcPr>
          <w:p w14:paraId="512154CE"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NA</w:t>
            </w:r>
          </w:p>
        </w:tc>
        <w:tc>
          <w:tcPr>
            <w:tcW w:w="1455" w:type="dxa"/>
          </w:tcPr>
          <w:p w14:paraId="06BF47C5"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N</w:t>
            </w:r>
          </w:p>
        </w:tc>
        <w:tc>
          <w:tcPr>
            <w:tcW w:w="1559" w:type="dxa"/>
          </w:tcPr>
          <w:p w14:paraId="7330F760"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2127" w:type="dxa"/>
          </w:tcPr>
          <w:p w14:paraId="388F2186"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58" w:type="dxa"/>
          </w:tcPr>
          <w:p w14:paraId="6605F110"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1283" w:type="dxa"/>
          </w:tcPr>
          <w:p w14:paraId="0CFDD56C"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Y</w:t>
            </w:r>
          </w:p>
        </w:tc>
        <w:tc>
          <w:tcPr>
            <w:tcW w:w="861" w:type="dxa"/>
          </w:tcPr>
          <w:p w14:paraId="00F14536" w14:textId="77777777" w:rsidR="009C4F34" w:rsidRPr="009C4F34" w:rsidRDefault="009C4F34" w:rsidP="009C4F34">
            <w:pPr>
              <w:spacing w:line="480" w:lineRule="auto"/>
              <w:rPr>
                <w:rFonts w:ascii="Times New Roman" w:hAnsi="Times New Roman" w:cs="Times New Roman"/>
                <w:sz w:val="20"/>
                <w:szCs w:val="20"/>
              </w:rPr>
            </w:pPr>
            <w:r w:rsidRPr="009C4F34">
              <w:rPr>
                <w:rFonts w:ascii="Times New Roman" w:hAnsi="Times New Roman" w:cs="Times New Roman"/>
                <w:sz w:val="20"/>
                <w:szCs w:val="20"/>
              </w:rPr>
              <w:t>7Y</w:t>
            </w:r>
          </w:p>
        </w:tc>
      </w:tr>
    </w:tbl>
    <w:p w14:paraId="6533D779" w14:textId="5171BDF3" w:rsidR="00816D01" w:rsidRDefault="00816D01">
      <w:pPr>
        <w:rPr>
          <w:rFonts w:asciiTheme="majorBidi" w:hAnsiTheme="majorBidi" w:cstheme="majorBidi"/>
        </w:rPr>
      </w:pPr>
    </w:p>
    <w:p w14:paraId="1390F7FC" w14:textId="3B8636D2" w:rsidR="00EF43C4" w:rsidRDefault="00EF43C4">
      <w:pPr>
        <w:rPr>
          <w:rFonts w:asciiTheme="majorBidi" w:hAnsiTheme="majorBidi" w:cstheme="majorBidi"/>
        </w:rPr>
      </w:pPr>
    </w:p>
    <w:p w14:paraId="49DE1C8F" w14:textId="77777777" w:rsidR="00EF43C4" w:rsidRPr="00EF43C4" w:rsidRDefault="00EF43C4" w:rsidP="00EF43C4">
      <w:pPr>
        <w:keepNext/>
        <w:spacing w:after="200" w:line="480" w:lineRule="auto"/>
        <w:rPr>
          <w:rFonts w:asciiTheme="majorBidi" w:eastAsiaTheme="minorHAnsi" w:hAnsiTheme="majorBidi" w:cstheme="majorBidi"/>
          <w:i/>
          <w:iCs/>
          <w:color w:val="44546A" w:themeColor="text2"/>
          <w:sz w:val="18"/>
          <w:szCs w:val="18"/>
          <w:lang w:eastAsia="en-US"/>
        </w:rPr>
      </w:pPr>
      <w:r w:rsidRPr="00EF43C4">
        <w:rPr>
          <w:rFonts w:asciiTheme="majorBidi" w:eastAsiaTheme="minorHAnsi" w:hAnsiTheme="majorBidi" w:cstheme="majorBidi"/>
          <w:i/>
          <w:iCs/>
          <w:color w:val="44546A" w:themeColor="text2"/>
          <w:sz w:val="18"/>
          <w:szCs w:val="18"/>
          <w:lang w:eastAsia="en-US"/>
        </w:rPr>
        <w:lastRenderedPageBreak/>
        <w:t xml:space="preserve">Table </w:t>
      </w:r>
      <w:r w:rsidRPr="00EF43C4">
        <w:rPr>
          <w:rFonts w:asciiTheme="majorBidi" w:eastAsiaTheme="minorHAnsi" w:hAnsiTheme="majorBidi" w:cstheme="majorBidi"/>
          <w:i/>
          <w:iCs/>
          <w:color w:val="44546A" w:themeColor="text2"/>
          <w:sz w:val="18"/>
          <w:szCs w:val="18"/>
          <w:lang w:eastAsia="en-US"/>
        </w:rPr>
        <w:fldChar w:fldCharType="begin"/>
      </w:r>
      <w:r w:rsidRPr="00EF43C4">
        <w:rPr>
          <w:rFonts w:asciiTheme="majorBidi" w:eastAsiaTheme="minorHAnsi" w:hAnsiTheme="majorBidi" w:cstheme="majorBidi"/>
          <w:i/>
          <w:iCs/>
          <w:color w:val="44546A" w:themeColor="text2"/>
          <w:sz w:val="18"/>
          <w:szCs w:val="18"/>
          <w:lang w:eastAsia="en-US"/>
        </w:rPr>
        <w:instrText xml:space="preserve"> SEQ Table \* ARABIC </w:instrText>
      </w:r>
      <w:r w:rsidRPr="00EF43C4">
        <w:rPr>
          <w:rFonts w:asciiTheme="majorBidi" w:eastAsiaTheme="minorHAnsi" w:hAnsiTheme="majorBidi" w:cstheme="majorBidi"/>
          <w:i/>
          <w:iCs/>
          <w:color w:val="44546A" w:themeColor="text2"/>
          <w:sz w:val="18"/>
          <w:szCs w:val="18"/>
          <w:lang w:eastAsia="en-US"/>
        </w:rPr>
        <w:fldChar w:fldCharType="separate"/>
      </w:r>
      <w:r w:rsidRPr="00EF43C4">
        <w:rPr>
          <w:rFonts w:asciiTheme="majorBidi" w:eastAsiaTheme="minorHAnsi" w:hAnsiTheme="majorBidi" w:cstheme="majorBidi"/>
          <w:i/>
          <w:iCs/>
          <w:noProof/>
          <w:color w:val="44546A" w:themeColor="text2"/>
          <w:sz w:val="18"/>
          <w:szCs w:val="18"/>
          <w:lang w:eastAsia="en-US"/>
        </w:rPr>
        <w:t>3</w:t>
      </w:r>
      <w:r w:rsidRPr="00EF43C4">
        <w:rPr>
          <w:rFonts w:asciiTheme="majorBidi" w:eastAsiaTheme="minorHAnsi" w:hAnsiTheme="majorBidi" w:cstheme="majorBidi"/>
          <w:i/>
          <w:iCs/>
          <w:noProof/>
          <w:color w:val="44546A" w:themeColor="text2"/>
          <w:sz w:val="18"/>
          <w:szCs w:val="18"/>
          <w:lang w:eastAsia="en-US"/>
        </w:rPr>
        <w:fldChar w:fldCharType="end"/>
      </w:r>
      <w:r w:rsidRPr="00EF43C4">
        <w:rPr>
          <w:rFonts w:asciiTheme="majorBidi" w:eastAsiaTheme="minorHAnsi" w:hAnsiTheme="majorBidi" w:cstheme="majorBidi"/>
          <w:i/>
          <w:iCs/>
          <w:color w:val="44546A" w:themeColor="text2"/>
          <w:sz w:val="18"/>
          <w:szCs w:val="18"/>
          <w:lang w:eastAsia="en-US"/>
        </w:rPr>
        <w:t xml:space="preserve">: </w:t>
      </w:r>
      <w:bookmarkStart w:id="2" w:name="_Hlk104371187"/>
      <w:r w:rsidRPr="00EF43C4">
        <w:rPr>
          <w:rFonts w:asciiTheme="majorBidi" w:eastAsiaTheme="minorHAnsi" w:hAnsiTheme="majorBidi" w:cstheme="majorBidi"/>
          <w:i/>
          <w:iCs/>
          <w:color w:val="44546A" w:themeColor="text2"/>
          <w:sz w:val="18"/>
          <w:szCs w:val="18"/>
          <w:lang w:eastAsia="en-US"/>
        </w:rPr>
        <w:t>Study quality of Cohort Studies (JBI criteria)</w:t>
      </w:r>
      <w:bookmarkEnd w:id="2"/>
    </w:p>
    <w:tbl>
      <w:tblPr>
        <w:tblStyle w:val="TableGrid"/>
        <w:tblW w:w="16437" w:type="dxa"/>
        <w:tblInd w:w="-1281" w:type="dxa"/>
        <w:tblLook w:val="04A0" w:firstRow="1" w:lastRow="0" w:firstColumn="1" w:lastColumn="0" w:noHBand="0" w:noVBand="1"/>
      </w:tblPr>
      <w:tblGrid>
        <w:gridCol w:w="2158"/>
        <w:gridCol w:w="1121"/>
        <w:gridCol w:w="1157"/>
        <w:gridCol w:w="1098"/>
        <w:gridCol w:w="1389"/>
        <w:gridCol w:w="1330"/>
        <w:gridCol w:w="1319"/>
        <w:gridCol w:w="1121"/>
        <w:gridCol w:w="1214"/>
        <w:gridCol w:w="1085"/>
        <w:gridCol w:w="1203"/>
        <w:gridCol w:w="1342"/>
        <w:gridCol w:w="900"/>
      </w:tblGrid>
      <w:tr w:rsidR="00EF43C4" w:rsidRPr="00EF43C4" w14:paraId="3312A9A5" w14:textId="77777777" w:rsidTr="00D84171">
        <w:trPr>
          <w:trHeight w:val="1298"/>
        </w:trPr>
        <w:tc>
          <w:tcPr>
            <w:tcW w:w="2158" w:type="dxa"/>
          </w:tcPr>
          <w:p w14:paraId="68FA737D"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First Author</w:t>
            </w:r>
          </w:p>
        </w:tc>
        <w:tc>
          <w:tcPr>
            <w:tcW w:w="1121" w:type="dxa"/>
          </w:tcPr>
          <w:p w14:paraId="6B2D5E92"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Similarity between TGs at baseline</w:t>
            </w:r>
          </w:p>
        </w:tc>
        <w:tc>
          <w:tcPr>
            <w:tcW w:w="1157" w:type="dxa"/>
          </w:tcPr>
          <w:p w14:paraId="4691F0EA"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Exposures measured similarly between groups</w:t>
            </w:r>
          </w:p>
        </w:tc>
        <w:tc>
          <w:tcPr>
            <w:tcW w:w="1098" w:type="dxa"/>
          </w:tcPr>
          <w:p w14:paraId="67D40DCF"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Exposure measured in valid and reliable way</w:t>
            </w:r>
          </w:p>
        </w:tc>
        <w:tc>
          <w:tcPr>
            <w:tcW w:w="1389" w:type="dxa"/>
          </w:tcPr>
          <w:p w14:paraId="4D229F02"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 xml:space="preserve"> Confounders identified</w:t>
            </w:r>
          </w:p>
        </w:tc>
        <w:tc>
          <w:tcPr>
            <w:tcW w:w="1330" w:type="dxa"/>
          </w:tcPr>
          <w:p w14:paraId="443ADD47"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Strategies to deal with confounders stated</w:t>
            </w:r>
          </w:p>
        </w:tc>
        <w:tc>
          <w:tcPr>
            <w:tcW w:w="1319" w:type="dxa"/>
          </w:tcPr>
          <w:p w14:paraId="2147C68F"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Participants free of outcome at start of study</w:t>
            </w:r>
          </w:p>
        </w:tc>
        <w:tc>
          <w:tcPr>
            <w:tcW w:w="1121" w:type="dxa"/>
          </w:tcPr>
          <w:p w14:paraId="599926A7"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Outcomes measured in a valid and reliable way</w:t>
            </w:r>
          </w:p>
        </w:tc>
        <w:tc>
          <w:tcPr>
            <w:tcW w:w="1214" w:type="dxa"/>
          </w:tcPr>
          <w:p w14:paraId="636CB22D"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Follow up time reported and sufficiently long</w:t>
            </w:r>
          </w:p>
        </w:tc>
        <w:tc>
          <w:tcPr>
            <w:tcW w:w="1085" w:type="dxa"/>
          </w:tcPr>
          <w:p w14:paraId="5BFC5C8F"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 xml:space="preserve">Complete follow up </w:t>
            </w:r>
          </w:p>
        </w:tc>
        <w:tc>
          <w:tcPr>
            <w:tcW w:w="1203" w:type="dxa"/>
          </w:tcPr>
          <w:p w14:paraId="7B77CF95"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Strategies to address incomplete follow up</w:t>
            </w:r>
          </w:p>
        </w:tc>
        <w:tc>
          <w:tcPr>
            <w:tcW w:w="1342" w:type="dxa"/>
          </w:tcPr>
          <w:p w14:paraId="3E638E13"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Appropriate statistics</w:t>
            </w:r>
          </w:p>
        </w:tc>
        <w:tc>
          <w:tcPr>
            <w:tcW w:w="900" w:type="dxa"/>
          </w:tcPr>
          <w:p w14:paraId="0C4E4DFD" w14:textId="77777777" w:rsidR="00EF43C4" w:rsidRPr="00EF43C4" w:rsidRDefault="00EF43C4" w:rsidP="00EF43C4">
            <w:pPr>
              <w:spacing w:line="480" w:lineRule="auto"/>
              <w:rPr>
                <w:rFonts w:ascii="Times New Roman" w:hAnsi="Times New Roman" w:cs="Times New Roman"/>
                <w:b/>
                <w:bCs/>
                <w:sz w:val="20"/>
                <w:szCs w:val="20"/>
              </w:rPr>
            </w:pPr>
            <w:r w:rsidRPr="00EF43C4">
              <w:rPr>
                <w:rFonts w:ascii="Times New Roman" w:hAnsi="Times New Roman" w:cs="Times New Roman"/>
                <w:b/>
                <w:bCs/>
                <w:sz w:val="20"/>
                <w:szCs w:val="20"/>
              </w:rPr>
              <w:t>Overall rating</w:t>
            </w:r>
          </w:p>
        </w:tc>
      </w:tr>
      <w:tr w:rsidR="00EF43C4" w:rsidRPr="00EF43C4" w14:paraId="2C293991" w14:textId="77777777" w:rsidTr="00D84171">
        <w:trPr>
          <w:trHeight w:val="432"/>
        </w:trPr>
        <w:tc>
          <w:tcPr>
            <w:tcW w:w="2158" w:type="dxa"/>
          </w:tcPr>
          <w:p w14:paraId="6E02E466" w14:textId="0FC675E4"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 xml:space="preserve">Yeoh, Z. </w:t>
            </w:r>
            <w:r w:rsidRPr="00EF43C4">
              <w:rPr>
                <w:rFonts w:ascii="Times New Roman" w:hAnsi="Times New Roman" w:cs="Times New Roman"/>
                <w:sz w:val="20"/>
                <w:szCs w:val="20"/>
              </w:rPr>
              <w:fldChar w:fldCharType="begin" w:fldLock="1"/>
            </w:r>
            <w:r w:rsidR="001C689D">
              <w:rPr>
                <w:rFonts w:ascii="Times New Roman" w:hAnsi="Times New Roman" w:cs="Times New Roman"/>
                <w:sz w:val="20"/>
                <w:szCs w:val="20"/>
              </w:rPr>
              <w:instrText>ADDIN CSL_CITATION {"citationItems":[{"id":"ITEM-1","itemData":{"DOI":"10.1200/JGO.17.00229","ISBN":"1729513522","ISSN":"23789506","PMID":"30398950","abstract":"Purpose Late stage at presentation and poor adherence to treatment remain major contributors to poor survival in low- and middle-income countries (LMICs). Patient navigation (PN) programs in the United States have led to improvement in diagnostic or treatment timeliness, particularly for women in lower socioeconomic classes or minority groups. To date, studies of PN in Asia have been limited. We aimed to assess the feasibility of PN in a state-run hospital in an LMIC and to report the impact on diagnostic and treatment timeliness for patients in its first year of implementation. Methods We established PN in a dedicated breast clinic of a Malaysian state-run hospital. We compared diagnostic and treatment timeliness between navigated patients (n = 135) and patients diagnosed in the prior year (n = 148), and described factors associated with timeliness. Results Women with PN received timely mammography compared with patients in the prior year (96.4% v 74.4%; P &lt; .001), biopsy (92.5% v 76.1%; P = .003), and communication of news (80.0% v 58.5%; P &lt; .001). PN reduced treatment default rates (4.4% v 11.5%; P = .048). Among navigated patients, late stage at presentation was independently associated with having emotional and language barriers (P = .01). Finally, the main reason reported for delay, default, or refusal of treatment was the preference for alternative therapy. Conclusion PN is feasible for addressing barriers to cancer care when integrated with a state-run breast clinic of an LMIC. Its implementation resulted in improved diagnostic timeliness and reduced treatment default. Wider adoption of PN could be a key element of cancer control in LMICs.","author":[{"dropping-particle":"","family":"Yeoh","given":"Zi Yi","non-dropping-particle":"","parse-names":false,"suffix":""},{"dropping-particle":"","family":"Jaganathan","given":"Maheswari","non-dropping-particle":"","parse-names":false,"suffix":""},{"dropping-particle":"","family":"Rajaram","given":"Nadia","non-dropping-particle":"","parse-names":false,"suffix":""},{"dropping-particle":"","family":"Maniam","given":"Sakthi","non-dropping-particle":"","parse-names":false,"suffix":""},{"dropping-particle":"","family":"Teo","given":"Soo Hwang","non-dropping-particle":"","parse-names":false,"suffix":""},{"dropping-particle":"","family":"Rawat","given":"Sudha","non-dropping-particle":"","parse-names":false,"suffix":""},{"dropping-particle":"","family":"Tajudeen","given":"Nurul Ain","non-dropping-particle":"","parse-names":false,"suffix":""},{"dropping-particle":"","family":"Rahim","given":"Norlia","non-dropping-particle":"","parse-names":false,"suffix":""},{"dropping-particle":"","family":"Zainal","given":"Nur Hidayati","non-dropping-particle":"","parse-names":false,"suffix":""},{"dropping-particle":"","family":"Suvelayutnan","given":"Ushananthiny","non-dropping-particle":"","parse-names":false,"suffix":""},{"dropping-particle":"","family":"Yaacob","given":"Rahani","non-dropping-particle":"","parse-names":false,"suffix":""},{"dropping-particle":"","family":"Krishnapillai","given":"Vijayalakshmi","non-dropping-particle":"","parse-names":false,"suffix":""},{"dropping-particle":"","family":"Kamal","given":"Meor Zamari Meor","non-dropping-particle":"","parse-names":false,"suffix":""},{"dropping-particle":"","family":"Wahab","given":"Mohamed Yusof Abdul","non-dropping-particle":"","parse-names":false,"suffix":""}],"container-title":"Journal of Global Oncology","id":"ITEM-1","issue":"4","issued":{"date-parts":[["2018"]]},"title":"Feasibility of patient navigation to improve breast cancer care in Malaysia","type":"article-journal","volume":"2018"},"uris":["http://www.mendeley.com/documents/?uuid=d9a1f86c-8e14-4505-b577-9bb46bc96f16"]}],"mendeley":{"formattedCitation":"(1)","plainTextFormattedCitation":"(1)","previouslyFormattedCitation":"(1)"},"properties":{"noteIndex":0},"schema":"https://github.com/citation-style-language/schema/raw/master/csl-citation.json"}</w:instrText>
            </w:r>
            <w:r w:rsidRPr="00EF43C4">
              <w:rPr>
                <w:rFonts w:ascii="Times New Roman" w:hAnsi="Times New Roman" w:cs="Times New Roman"/>
                <w:sz w:val="20"/>
                <w:szCs w:val="20"/>
              </w:rPr>
              <w:fldChar w:fldCharType="separate"/>
            </w:r>
            <w:r w:rsidR="001F0DF7" w:rsidRPr="001F0DF7">
              <w:rPr>
                <w:rFonts w:ascii="Times New Roman" w:hAnsi="Times New Roman" w:cs="Times New Roman"/>
                <w:noProof/>
                <w:sz w:val="20"/>
                <w:szCs w:val="20"/>
              </w:rPr>
              <w:t>(1)</w:t>
            </w:r>
            <w:r w:rsidRPr="00EF43C4">
              <w:rPr>
                <w:rFonts w:ascii="Times New Roman" w:hAnsi="Times New Roman" w:cs="Times New Roman"/>
                <w:sz w:val="20"/>
                <w:szCs w:val="20"/>
              </w:rPr>
              <w:fldChar w:fldCharType="end"/>
            </w:r>
          </w:p>
        </w:tc>
        <w:tc>
          <w:tcPr>
            <w:tcW w:w="1121" w:type="dxa"/>
          </w:tcPr>
          <w:p w14:paraId="00010582"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w:t>
            </w:r>
          </w:p>
        </w:tc>
        <w:tc>
          <w:tcPr>
            <w:tcW w:w="1157" w:type="dxa"/>
          </w:tcPr>
          <w:p w14:paraId="423D07CB"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NA</w:t>
            </w:r>
          </w:p>
        </w:tc>
        <w:tc>
          <w:tcPr>
            <w:tcW w:w="1098" w:type="dxa"/>
          </w:tcPr>
          <w:p w14:paraId="3A60E019"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Y</w:t>
            </w:r>
          </w:p>
        </w:tc>
        <w:tc>
          <w:tcPr>
            <w:tcW w:w="1389" w:type="dxa"/>
          </w:tcPr>
          <w:p w14:paraId="3181EF42"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N</w:t>
            </w:r>
          </w:p>
        </w:tc>
        <w:tc>
          <w:tcPr>
            <w:tcW w:w="1330" w:type="dxa"/>
          </w:tcPr>
          <w:p w14:paraId="60C47816"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N</w:t>
            </w:r>
          </w:p>
        </w:tc>
        <w:tc>
          <w:tcPr>
            <w:tcW w:w="1319" w:type="dxa"/>
          </w:tcPr>
          <w:p w14:paraId="6C3FDE46"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NA</w:t>
            </w:r>
          </w:p>
        </w:tc>
        <w:tc>
          <w:tcPr>
            <w:tcW w:w="1121" w:type="dxa"/>
          </w:tcPr>
          <w:p w14:paraId="693F0E0D"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Y</w:t>
            </w:r>
          </w:p>
        </w:tc>
        <w:tc>
          <w:tcPr>
            <w:tcW w:w="1214" w:type="dxa"/>
          </w:tcPr>
          <w:p w14:paraId="330AF4D8"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Y</w:t>
            </w:r>
          </w:p>
        </w:tc>
        <w:tc>
          <w:tcPr>
            <w:tcW w:w="1085" w:type="dxa"/>
          </w:tcPr>
          <w:p w14:paraId="465FE06E"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NA</w:t>
            </w:r>
          </w:p>
        </w:tc>
        <w:tc>
          <w:tcPr>
            <w:tcW w:w="1203" w:type="dxa"/>
          </w:tcPr>
          <w:p w14:paraId="6731AD42"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NA</w:t>
            </w:r>
          </w:p>
        </w:tc>
        <w:tc>
          <w:tcPr>
            <w:tcW w:w="1342" w:type="dxa"/>
          </w:tcPr>
          <w:p w14:paraId="77D099E2"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Y</w:t>
            </w:r>
          </w:p>
        </w:tc>
        <w:tc>
          <w:tcPr>
            <w:tcW w:w="900" w:type="dxa"/>
          </w:tcPr>
          <w:p w14:paraId="18AC7C4C" w14:textId="77777777" w:rsidR="00EF43C4" w:rsidRPr="00EF43C4" w:rsidRDefault="00EF43C4" w:rsidP="00EF43C4">
            <w:pPr>
              <w:spacing w:line="480" w:lineRule="auto"/>
              <w:rPr>
                <w:rFonts w:ascii="Times New Roman" w:hAnsi="Times New Roman" w:cs="Times New Roman"/>
                <w:sz w:val="20"/>
                <w:szCs w:val="20"/>
              </w:rPr>
            </w:pPr>
            <w:r w:rsidRPr="00EF43C4">
              <w:rPr>
                <w:rFonts w:ascii="Times New Roman" w:hAnsi="Times New Roman" w:cs="Times New Roman"/>
                <w:sz w:val="20"/>
                <w:szCs w:val="20"/>
              </w:rPr>
              <w:t>4Y</w:t>
            </w:r>
          </w:p>
        </w:tc>
      </w:tr>
    </w:tbl>
    <w:p w14:paraId="26F1D994" w14:textId="014CEB98" w:rsidR="00EF43C4" w:rsidRDefault="00EF43C4">
      <w:pPr>
        <w:rPr>
          <w:rFonts w:asciiTheme="majorBidi" w:hAnsiTheme="majorBidi" w:cstheme="majorBidi"/>
        </w:rPr>
      </w:pPr>
    </w:p>
    <w:p w14:paraId="1E79062B" w14:textId="5D1A4AC5" w:rsidR="001C689D" w:rsidRPr="00747FC5" w:rsidRDefault="001C689D">
      <w:pPr>
        <w:rPr>
          <w:rFonts w:asciiTheme="majorBidi" w:hAnsiTheme="majorBidi" w:cstheme="majorBidi"/>
        </w:rPr>
      </w:pPr>
    </w:p>
    <w:sectPr w:rsidR="001C689D" w:rsidRPr="00747FC5" w:rsidSect="00747FC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9FB73" w14:textId="77777777" w:rsidR="00747FC5" w:rsidRDefault="00747FC5" w:rsidP="00747FC5">
      <w:pPr>
        <w:spacing w:after="0" w:line="240" w:lineRule="auto"/>
      </w:pPr>
      <w:r>
        <w:separator/>
      </w:r>
    </w:p>
  </w:endnote>
  <w:endnote w:type="continuationSeparator" w:id="0">
    <w:p w14:paraId="70FE6E5A" w14:textId="77777777" w:rsidR="00747FC5" w:rsidRDefault="00747FC5" w:rsidP="0074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977F9" w14:textId="77777777" w:rsidR="00747FC5" w:rsidRDefault="00747FC5" w:rsidP="00747FC5">
      <w:pPr>
        <w:spacing w:after="0" w:line="240" w:lineRule="auto"/>
      </w:pPr>
      <w:r>
        <w:separator/>
      </w:r>
    </w:p>
  </w:footnote>
  <w:footnote w:type="continuationSeparator" w:id="0">
    <w:p w14:paraId="67E3B3C2" w14:textId="77777777" w:rsidR="00747FC5" w:rsidRDefault="00747FC5" w:rsidP="00747FC5">
      <w:pPr>
        <w:spacing w:after="0" w:line="240" w:lineRule="auto"/>
      </w:pPr>
      <w:r>
        <w:continuationSeparator/>
      </w:r>
    </w:p>
  </w:footnote>
  <w:footnote w:id="1">
    <w:p w14:paraId="52C33F30" w14:textId="77777777" w:rsidR="00747FC5" w:rsidRDefault="00747FC5" w:rsidP="00747FC5">
      <w:pPr>
        <w:pStyle w:val="FootnoteText"/>
      </w:pPr>
      <w:r>
        <w:rPr>
          <w:rStyle w:val="FootnoteReference"/>
        </w:rPr>
        <w:footnoteRef/>
      </w:r>
      <w:r>
        <w:t xml:space="preserve"> </w:t>
      </w:r>
      <w:r w:rsidRPr="00475329">
        <w:rPr>
          <w:rFonts w:ascii="Times New Roman" w:hAnsi="Times New Roman" w:cs="Times New Roman"/>
          <w:sz w:val="18"/>
          <w:szCs w:val="18"/>
        </w:rPr>
        <w:t>Abbreviations: Y-Yes, N-No</w:t>
      </w:r>
      <w:proofErr w:type="gramStart"/>
      <w:r w:rsidRPr="00475329">
        <w:rPr>
          <w:rFonts w:ascii="Times New Roman" w:hAnsi="Times New Roman" w:cs="Times New Roman"/>
          <w:sz w:val="18"/>
          <w:szCs w:val="18"/>
        </w:rPr>
        <w:t>, ?</w:t>
      </w:r>
      <w:proofErr w:type="gramEnd"/>
      <w:r w:rsidRPr="00475329">
        <w:rPr>
          <w:rFonts w:ascii="Times New Roman" w:hAnsi="Times New Roman" w:cs="Times New Roman"/>
          <w:sz w:val="18"/>
          <w:szCs w:val="18"/>
        </w:rPr>
        <w:t>-Unclear, NA-Not applicable, OAs-Outcome assessors, RA-Random assignment, TG- Treatment group</w:t>
      </w:r>
    </w:p>
    <w:p w14:paraId="275BEF1A" w14:textId="77777777" w:rsidR="00747FC5" w:rsidRDefault="00747FC5" w:rsidP="00747FC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AB0"/>
    <w:rsid w:val="00053BCE"/>
    <w:rsid w:val="001C689D"/>
    <w:rsid w:val="001F0DF7"/>
    <w:rsid w:val="0040511C"/>
    <w:rsid w:val="00747FC5"/>
    <w:rsid w:val="00816D01"/>
    <w:rsid w:val="00822AB0"/>
    <w:rsid w:val="009C4F34"/>
    <w:rsid w:val="00C31EF9"/>
    <w:rsid w:val="00EF43C4"/>
    <w:rsid w:val="00F85452"/>
    <w:rsid w:val="00F85683"/>
    <w:rsid w:val="00FF1AA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BCB8A"/>
  <w15:chartTrackingRefBased/>
  <w15:docId w15:val="{2C522760-4F4B-4156-AE2B-D669F16FE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7F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47FC5"/>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747FC5"/>
    <w:rPr>
      <w:rFonts w:eastAsiaTheme="minorHAnsi"/>
      <w:sz w:val="20"/>
      <w:szCs w:val="20"/>
      <w:lang w:eastAsia="en-US"/>
    </w:rPr>
  </w:style>
  <w:style w:type="character" w:styleId="FootnoteReference">
    <w:name w:val="footnote reference"/>
    <w:basedOn w:val="DefaultParagraphFont"/>
    <w:uiPriority w:val="99"/>
    <w:semiHidden/>
    <w:unhideWhenUsed/>
    <w:rsid w:val="00747F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F1264-B0FF-4573-91CD-81B7C8F7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Chanakira</dc:creator>
  <cp:keywords/>
  <dc:description/>
  <cp:lastModifiedBy>Esther Chanakira</cp:lastModifiedBy>
  <cp:revision>7</cp:revision>
  <dcterms:created xsi:type="dcterms:W3CDTF">2023-03-09T09:00:00Z</dcterms:created>
  <dcterms:modified xsi:type="dcterms:W3CDTF">2023-06-28T06:03:00Z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42c938fe-cdf5-3fe3-8e57-c596bec3a17a</vt:lpwstr>
  </property>
  <property fmtid="{D5CDD505-2E9C-101B-9397-08002B2CF9AE}" pid="24" name="Mendeley Citation Style_1">
    <vt:lpwstr>http://www.zotero.org/styles/vancouver</vt:lpwstr>
  </property>
</Properties>
</file>