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1A9" w:rsidRPr="00503D72" w:rsidRDefault="002B21A9" w:rsidP="003C2C2B">
      <w:pPr>
        <w:spacing w:line="480" w:lineRule="auto"/>
        <w:rPr>
          <w:rFonts w:ascii="Arial" w:eastAsia="Arial" w:hAnsi="Arial" w:cs="Arial"/>
          <w:b/>
          <w:sz w:val="24"/>
          <w:szCs w:val="24"/>
        </w:rPr>
      </w:pPr>
      <w:r w:rsidRPr="00503D72">
        <w:rPr>
          <w:rFonts w:ascii="Arial" w:eastAsia="Arial" w:hAnsi="Arial" w:cs="Arial"/>
          <w:b/>
          <w:sz w:val="24"/>
          <w:szCs w:val="24"/>
        </w:rPr>
        <w:t>Screening for the prevention and early detection of cervical cancer: systematic reviews to inform Canadian recommendations</w:t>
      </w:r>
    </w:p>
    <w:p w:rsidR="002B21A9" w:rsidRPr="00E73C29" w:rsidRDefault="002B21A9" w:rsidP="003C2C2B">
      <w:pPr>
        <w:rPr>
          <w:rFonts w:ascii="Arial" w:eastAsia="Arial" w:hAnsi="Arial" w:cs="Arial"/>
          <w:b/>
          <w:sz w:val="20"/>
          <w:szCs w:val="20"/>
        </w:rPr>
      </w:pPr>
      <w:r w:rsidRPr="00E73C29">
        <w:rPr>
          <w:rFonts w:ascii="Arial" w:eastAsia="Arial" w:hAnsi="Arial" w:cs="Arial"/>
          <w:b/>
          <w:sz w:val="20"/>
          <w:szCs w:val="20"/>
        </w:rPr>
        <w:t xml:space="preserve">Pillay J, Gates A, </w:t>
      </w:r>
      <w:proofErr w:type="spellStart"/>
      <w:r w:rsidRPr="00503D72">
        <w:rPr>
          <w:rFonts w:ascii="Arial" w:eastAsia="Arial" w:hAnsi="Arial" w:cs="Arial"/>
          <w:b/>
          <w:sz w:val="20"/>
          <w:szCs w:val="20"/>
        </w:rPr>
        <w:t>Guitard</w:t>
      </w:r>
      <w:proofErr w:type="spellEnd"/>
      <w:r w:rsidRPr="00503D72">
        <w:rPr>
          <w:rFonts w:ascii="Arial" w:eastAsia="Arial" w:hAnsi="Arial" w:cs="Arial"/>
          <w:b/>
          <w:sz w:val="20"/>
          <w:szCs w:val="20"/>
        </w:rPr>
        <w:t xml:space="preserve"> S, </w:t>
      </w:r>
      <w:proofErr w:type="spellStart"/>
      <w:r w:rsidRPr="00E73C29">
        <w:rPr>
          <w:rFonts w:ascii="Arial" w:eastAsia="Arial" w:hAnsi="Arial" w:cs="Arial"/>
          <w:b/>
          <w:sz w:val="20"/>
          <w:szCs w:val="20"/>
        </w:rPr>
        <w:t>Zakher</w:t>
      </w:r>
      <w:proofErr w:type="spellEnd"/>
      <w:r w:rsidRPr="00E73C29">
        <w:rPr>
          <w:rFonts w:ascii="Arial" w:eastAsia="Arial" w:hAnsi="Arial" w:cs="Arial"/>
          <w:b/>
          <w:sz w:val="20"/>
          <w:szCs w:val="20"/>
        </w:rPr>
        <w:t xml:space="preserve"> B, Sim S, </w:t>
      </w:r>
      <w:proofErr w:type="spellStart"/>
      <w:r w:rsidRPr="00E73C29">
        <w:rPr>
          <w:rFonts w:ascii="Arial" w:eastAsia="Arial" w:hAnsi="Arial" w:cs="Arial"/>
          <w:b/>
          <w:sz w:val="20"/>
          <w:szCs w:val="20"/>
        </w:rPr>
        <w:t>Vandermeer</w:t>
      </w:r>
      <w:proofErr w:type="spellEnd"/>
      <w:r w:rsidRPr="00E73C29">
        <w:rPr>
          <w:rFonts w:ascii="Arial" w:eastAsia="Arial" w:hAnsi="Arial" w:cs="Arial"/>
          <w:b/>
          <w:sz w:val="20"/>
          <w:szCs w:val="20"/>
        </w:rPr>
        <w:t xml:space="preserve"> B, Hartling L.</w:t>
      </w:r>
    </w:p>
    <w:p w:rsidR="002B21A9" w:rsidRDefault="002B21A9" w:rsidP="00D762DA">
      <w:pPr>
        <w:autoSpaceDE w:val="0"/>
        <w:autoSpaceDN w:val="0"/>
        <w:adjustRightInd w:val="0"/>
        <w:spacing w:after="0" w:line="240" w:lineRule="auto"/>
        <w:rPr>
          <w:rFonts w:ascii="Arial" w:hAnsi="Arial" w:cs="Arial"/>
          <w:b/>
          <w:sz w:val="24"/>
          <w:szCs w:val="24"/>
        </w:rPr>
      </w:pPr>
    </w:p>
    <w:p w:rsidR="002B21A9" w:rsidRDefault="002B21A9" w:rsidP="00D762DA">
      <w:pPr>
        <w:autoSpaceDE w:val="0"/>
        <w:autoSpaceDN w:val="0"/>
        <w:adjustRightInd w:val="0"/>
        <w:spacing w:after="0" w:line="240" w:lineRule="auto"/>
        <w:rPr>
          <w:rFonts w:ascii="Arial" w:hAnsi="Arial" w:cs="Arial"/>
          <w:sz w:val="24"/>
          <w:szCs w:val="24"/>
        </w:rPr>
      </w:pPr>
      <w:r w:rsidRPr="00D762DA">
        <w:rPr>
          <w:rFonts w:ascii="Arial" w:hAnsi="Arial" w:cs="Arial"/>
          <w:b/>
          <w:sz w:val="24"/>
          <w:szCs w:val="24"/>
        </w:rPr>
        <w:t>Supplementary File 3</w:t>
      </w:r>
      <w:r>
        <w:rPr>
          <w:rFonts w:ascii="Arial" w:hAnsi="Arial" w:cs="Arial"/>
          <w:b/>
          <w:sz w:val="24"/>
          <w:szCs w:val="24"/>
        </w:rPr>
        <w:t xml:space="preserve">: </w:t>
      </w:r>
      <w:bookmarkStart w:id="0" w:name="_Hlk170843090"/>
      <w:r>
        <w:rPr>
          <w:rFonts w:ascii="Arial" w:hAnsi="Arial" w:cs="Arial"/>
          <w:b/>
          <w:sz w:val="24"/>
          <w:szCs w:val="24"/>
        </w:rPr>
        <w:t>Evidence for Key Question 3 on a</w:t>
      </w:r>
      <w:r w:rsidRPr="00283985">
        <w:rPr>
          <w:rFonts w:ascii="Arial" w:hAnsi="Arial" w:cs="Arial"/>
          <w:b/>
          <w:sz w:val="24"/>
          <w:szCs w:val="24"/>
        </w:rPr>
        <w:t>dverse pregnancy outcomes associated with conservative management of CIN</w:t>
      </w:r>
      <w:bookmarkEnd w:id="0"/>
    </w:p>
    <w:p w:rsidR="002B21A9" w:rsidRPr="00D762DA" w:rsidRDefault="002B21A9" w:rsidP="00D762DA">
      <w:pPr>
        <w:autoSpaceDE w:val="0"/>
        <w:autoSpaceDN w:val="0"/>
        <w:adjustRightInd w:val="0"/>
        <w:spacing w:after="0" w:line="240" w:lineRule="auto"/>
        <w:rPr>
          <w:rFonts w:ascii="Arial" w:hAnsi="Arial" w:cs="Arial"/>
          <w:sz w:val="24"/>
          <w:szCs w:val="24"/>
        </w:rPr>
      </w:pPr>
    </w:p>
    <w:p w:rsidR="002B21A9" w:rsidRPr="002B21A9" w:rsidRDefault="002B21A9" w:rsidP="000D0B7B">
      <w:pPr>
        <w:autoSpaceDE w:val="0"/>
        <w:autoSpaceDN w:val="0"/>
        <w:adjustRightInd w:val="0"/>
        <w:spacing w:after="0" w:line="360" w:lineRule="auto"/>
        <w:ind w:firstLine="720"/>
        <w:rPr>
          <w:rFonts w:eastAsia="Arial" w:cstheme="minorHAnsi"/>
        </w:rPr>
      </w:pPr>
      <w:r w:rsidRPr="002B21A9">
        <w:rPr>
          <w:rFonts w:eastAsia="Arial" w:cstheme="minorHAnsi"/>
        </w:rPr>
        <w:t>Two Cochrane reviews</w:t>
      </w:r>
      <w:r w:rsidR="001679D2">
        <w:rPr>
          <w:rFonts w:eastAsia="Arial" w:cstheme="minorHAnsi"/>
        </w:rPr>
        <w:t xml:space="preserve"> </w:t>
      </w:r>
      <w:bookmarkStart w:id="1" w:name="_GoBack"/>
      <w:bookmarkEnd w:id="1"/>
      <w:r w:rsidRPr="002B21A9">
        <w:rPr>
          <w:rFonts w:eastAsia="Arial" w:cstheme="minorHAnsi"/>
          <w:noProof/>
        </w:rPr>
        <w:t>(1, 2)</w:t>
      </w:r>
      <w:r w:rsidRPr="002B21A9">
        <w:rPr>
          <w:rFonts w:eastAsia="Arial" w:cstheme="minorHAnsi"/>
        </w:rPr>
        <w:t xml:space="preserve"> synthesized the evidence about adverse pregnancy outcomes following excisional or ablative management of CIN (all grades and both squamous and glandular intra-epithelial neoplasia). One focused on early pregnancy outcomes while the other focused late obstetrical outcomes, and the latter also expanded the exposure of interest to early (stage IA1) cervical cancer. Both reviews examined outcomes in individuals treated for disease compared with an untreated reference population (i.e., untreated women from the general population, internal controls of pregnancies in the same individual or population before and after treatment, individuals with disease that did not receive treatment). Review investigators searched relevant databases (Cochrane Central Register of Controlled Trials, Cochrane Gynecological Cancer </w:t>
      </w:r>
      <w:proofErr w:type="spellStart"/>
      <w:r w:rsidRPr="002B21A9">
        <w:rPr>
          <w:rFonts w:eastAsia="Arial" w:cstheme="minorHAnsi"/>
        </w:rPr>
        <w:t>Specialised</w:t>
      </w:r>
      <w:proofErr w:type="spellEnd"/>
      <w:r w:rsidRPr="002B21A9">
        <w:rPr>
          <w:rFonts w:eastAsia="Arial" w:cstheme="minorHAnsi"/>
        </w:rPr>
        <w:t xml:space="preserve"> Register, MEDLINE, </w:t>
      </w:r>
      <w:proofErr w:type="spellStart"/>
      <w:r w:rsidRPr="002B21A9">
        <w:rPr>
          <w:rFonts w:eastAsia="Arial" w:cstheme="minorHAnsi"/>
        </w:rPr>
        <w:t>Embase</w:t>
      </w:r>
      <w:proofErr w:type="spellEnd"/>
      <w:r w:rsidRPr="002B21A9">
        <w:rPr>
          <w:rFonts w:eastAsia="Arial" w:cstheme="minorHAnsi"/>
        </w:rPr>
        <w:t>), online resources (e.g. clinicaltrials.gov, www.cancer.gov), checked citation lists and conference proceedings, and contacted experts and investigators to identify studies. Authors then undertook study selection; data extraction and analysis; and risk of bias assessment with two independent reviewers and a third for arbitration as needed, using standard Cochrane Collaboration tools. Overall quality (certainty) of the evidence was rated using the GRADE approach. All included studies were observational in design, thereby limiting quality (i.e., their certainty started at low).</w:t>
      </w:r>
    </w:p>
    <w:p w:rsidR="002B21A9" w:rsidRPr="002B21A9" w:rsidRDefault="002B21A9" w:rsidP="000D0B7B">
      <w:pPr>
        <w:autoSpaceDE w:val="0"/>
        <w:autoSpaceDN w:val="0"/>
        <w:adjustRightInd w:val="0"/>
        <w:spacing w:after="0" w:line="360" w:lineRule="auto"/>
        <w:ind w:firstLine="720"/>
        <w:rPr>
          <w:rFonts w:eastAsia="Arial" w:cstheme="minorHAnsi"/>
        </w:rPr>
      </w:pPr>
      <w:r w:rsidRPr="002B21A9">
        <w:rPr>
          <w:rFonts w:eastAsia="Arial" w:cstheme="minorHAnsi"/>
        </w:rPr>
        <w:t xml:space="preserve">The adapted summary of findings tables </w:t>
      </w:r>
      <w:proofErr w:type="gramStart"/>
      <w:r w:rsidRPr="002B21A9">
        <w:rPr>
          <w:rFonts w:eastAsia="Arial" w:cstheme="minorHAnsi"/>
        </w:rPr>
        <w:t>include</w:t>
      </w:r>
      <w:proofErr w:type="gramEnd"/>
      <w:r w:rsidRPr="002B21A9">
        <w:rPr>
          <w:rFonts w:eastAsia="Arial" w:cstheme="minorHAnsi"/>
        </w:rPr>
        <w:t xml:space="preserve"> the findings and certainty assessments for the outcomes of relevant to this review. The certainty ratings for four outcomes were modified by the current authors. </w:t>
      </w:r>
      <w:r w:rsidRPr="002B21A9">
        <w:rPr>
          <w:rFonts w:eastAsia="Calibri" w:cstheme="minorHAnsi"/>
        </w:rPr>
        <w:t xml:space="preserve">Based on input from the working group, current clinical practice for the management of CIN 2 has become much more conservative (e.g., avoiding excisional procedures, more surveillance due to better knowledge about their frequent regression) in recent years for those ≤25 years old or prioritizing reproductive futures </w:t>
      </w:r>
      <w:r w:rsidRPr="002B21A9">
        <w:rPr>
          <w:rFonts w:eastAsia="Calibri" w:cstheme="minorHAnsi"/>
          <w:noProof/>
        </w:rPr>
        <w:t xml:space="preserve">(3, 4). </w:t>
      </w:r>
      <w:r w:rsidRPr="002B21A9">
        <w:rPr>
          <w:rFonts w:eastAsia="Calibri" w:cstheme="minorHAnsi"/>
        </w:rPr>
        <w:t>This led to rating down evidence showing harm for indirectness compared with current practice.</w:t>
      </w:r>
      <w:r w:rsidRPr="002B21A9">
        <w:rPr>
          <w:rFonts w:eastAsia="Arial" w:cstheme="minorHAnsi"/>
        </w:rPr>
        <w:t xml:space="preserve"> Though the Cochrane authors rated down preterm birth and low birth </w:t>
      </w:r>
      <w:r w:rsidRPr="002B21A9">
        <w:rPr>
          <w:rFonts w:eastAsia="Arial" w:cstheme="minorHAnsi"/>
        </w:rPr>
        <w:lastRenderedPageBreak/>
        <w:t>weight to very low certainty due to inconsistency (I</w:t>
      </w:r>
      <w:r w:rsidRPr="002B21A9">
        <w:rPr>
          <w:rFonts w:eastAsia="Arial" w:cstheme="minorHAnsi"/>
          <w:vertAlign w:val="superscript"/>
        </w:rPr>
        <w:t>2</w:t>
      </w:r>
      <w:r w:rsidRPr="002B21A9">
        <w:rPr>
          <w:rFonts w:eastAsia="Arial" w:cstheme="minorHAnsi"/>
        </w:rPr>
        <w:t xml:space="preserve"> 63% and 93%, respectively), the large majority of the estimates in both cases were in the same direction of effect which did not warrant rating down for this domain in this review that did not focus on magnitude of effect.    </w:t>
      </w:r>
    </w:p>
    <w:p w:rsidR="002B21A9" w:rsidRPr="002B21A9" w:rsidRDefault="002B21A9" w:rsidP="000D0B7B">
      <w:pPr>
        <w:autoSpaceDE w:val="0"/>
        <w:autoSpaceDN w:val="0"/>
        <w:adjustRightInd w:val="0"/>
        <w:spacing w:after="0" w:line="360" w:lineRule="auto"/>
        <w:ind w:firstLine="720"/>
        <w:rPr>
          <w:rFonts w:eastAsia="Arial" w:cstheme="minorHAnsi"/>
        </w:rPr>
      </w:pPr>
      <w:r w:rsidRPr="002B21A9">
        <w:rPr>
          <w:rFonts w:eastAsia="Arial" w:cstheme="minorHAnsi"/>
        </w:rPr>
        <w:t xml:space="preserve">Overall, rates of preterm birth were higher after treatment versus no treatment; some subgroup findings reported by the Cochrane review authors are listed below. </w:t>
      </w:r>
    </w:p>
    <w:p w:rsidR="002B21A9" w:rsidRPr="002B21A9" w:rsidRDefault="002B21A9" w:rsidP="000D0B7B">
      <w:pPr>
        <w:pStyle w:val="ListParagraph"/>
        <w:numPr>
          <w:ilvl w:val="0"/>
          <w:numId w:val="1"/>
        </w:numPr>
        <w:spacing w:after="0" w:line="360" w:lineRule="auto"/>
        <w:rPr>
          <w:rFonts w:cstheme="minorHAnsi"/>
        </w:rPr>
      </w:pPr>
      <w:r w:rsidRPr="002B21A9">
        <w:rPr>
          <w:rFonts w:eastAsia="Arial" w:cstheme="minorHAnsi"/>
          <w:bCs/>
          <w:color w:val="000000"/>
          <w:kern w:val="24"/>
        </w:rPr>
        <w:t>Risk progressively increased with increasing cone depth (RR of 1.54 for depth &lt; 10 to 12 mm to RR of 4.91 for depth &gt; 20 mm).</w:t>
      </w:r>
    </w:p>
    <w:p w:rsidR="002B21A9" w:rsidRPr="002B21A9" w:rsidRDefault="002B21A9" w:rsidP="000D0B7B">
      <w:pPr>
        <w:pStyle w:val="ListParagraph"/>
        <w:numPr>
          <w:ilvl w:val="0"/>
          <w:numId w:val="1"/>
        </w:numPr>
        <w:spacing w:after="0" w:line="360" w:lineRule="auto"/>
        <w:rPr>
          <w:rFonts w:cstheme="minorHAnsi"/>
        </w:rPr>
      </w:pPr>
      <w:r w:rsidRPr="002B21A9">
        <w:rPr>
          <w:rFonts w:eastAsia="Arial" w:cstheme="minorHAnsi"/>
          <w:bCs/>
          <w:color w:val="000000"/>
          <w:kern w:val="24"/>
        </w:rPr>
        <w:t>Other treatment factors that increased the risk for prematurity included: multiple treatments versus single, excision rather than ablation management, more radical treatment techniques, and increasing cone length.</w:t>
      </w:r>
    </w:p>
    <w:p w:rsidR="002B21A9" w:rsidRPr="002B21A9" w:rsidRDefault="002B21A9" w:rsidP="000D0B7B">
      <w:pPr>
        <w:pStyle w:val="ListParagraph"/>
        <w:numPr>
          <w:ilvl w:val="0"/>
          <w:numId w:val="1"/>
        </w:numPr>
        <w:spacing w:after="0" w:line="360" w:lineRule="auto"/>
        <w:rPr>
          <w:rFonts w:cstheme="minorHAnsi"/>
        </w:rPr>
      </w:pPr>
      <w:r w:rsidRPr="002B21A9">
        <w:rPr>
          <w:rFonts w:cstheme="minorHAnsi"/>
          <w:bCs/>
          <w:color w:val="000000"/>
          <w:kern w:val="24"/>
        </w:rPr>
        <w:t xml:space="preserve">Note: </w:t>
      </w:r>
      <w:r w:rsidRPr="002B21A9">
        <w:rPr>
          <w:rFonts w:eastAsia="Arial" w:cstheme="minorHAnsi"/>
          <w:bCs/>
          <w:color w:val="000000"/>
          <w:kern w:val="24"/>
        </w:rPr>
        <w:t>Individuals with CIN have an increased risk for preterm birth compared to those in the general population, regardless of treatment.</w:t>
      </w:r>
    </w:p>
    <w:p w:rsidR="002B21A9" w:rsidRDefault="002B21A9">
      <w:pPr>
        <w:rPr>
          <w:rFonts w:ascii="Arial" w:hAnsi="Arial" w:cs="Arial"/>
          <w:b/>
          <w:sz w:val="24"/>
          <w:szCs w:val="24"/>
        </w:rPr>
      </w:pPr>
      <w:r w:rsidRPr="00561B4C">
        <w:rPr>
          <w:rFonts w:ascii="Arial" w:hAnsi="Arial" w:cs="Arial"/>
          <w:b/>
          <w:sz w:val="24"/>
          <w:szCs w:val="24"/>
        </w:rPr>
        <w:t>Summary of findings</w:t>
      </w:r>
      <w:r>
        <w:rPr>
          <w:rFonts w:ascii="Arial" w:hAnsi="Arial" w:cs="Arial"/>
          <w:b/>
          <w:sz w:val="24"/>
          <w:szCs w:val="24"/>
        </w:rPr>
        <w:t xml:space="preserve"> for </w:t>
      </w:r>
      <w:r w:rsidRPr="00561B4C">
        <w:rPr>
          <w:rFonts w:ascii="Arial" w:hAnsi="Arial" w:cs="Arial"/>
          <w:b/>
          <w:sz w:val="24"/>
          <w:szCs w:val="24"/>
        </w:rPr>
        <w:t>early pregnancy outcomes</w:t>
      </w:r>
    </w:p>
    <w:tbl>
      <w:tblPr>
        <w:tblW w:w="12804" w:type="dxa"/>
        <w:tblCellMar>
          <w:left w:w="0" w:type="dxa"/>
          <w:right w:w="0" w:type="dxa"/>
        </w:tblCellMar>
        <w:tblLook w:val="04A0" w:firstRow="1" w:lastRow="0" w:firstColumn="1" w:lastColumn="0" w:noHBand="0" w:noVBand="1"/>
      </w:tblPr>
      <w:tblGrid>
        <w:gridCol w:w="2354"/>
        <w:gridCol w:w="1702"/>
        <w:gridCol w:w="1702"/>
        <w:gridCol w:w="1611"/>
        <w:gridCol w:w="2609"/>
        <w:gridCol w:w="2826"/>
      </w:tblGrid>
      <w:tr w:rsidR="002B21A9" w:rsidRPr="00A82130" w:rsidTr="00561B4C">
        <w:trPr>
          <w:trHeight w:val="405"/>
        </w:trPr>
        <w:tc>
          <w:tcPr>
            <w:tcW w:w="2354" w:type="dxa"/>
            <w:vMerge w:val="restart"/>
            <w:tcBorders>
              <w:top w:val="single" w:sz="8" w:space="0" w:color="000000"/>
              <w:left w:val="single" w:sz="8" w:space="0" w:color="000000"/>
              <w:bottom w:val="single" w:sz="8" w:space="0" w:color="000000"/>
              <w:right w:val="single" w:sz="8" w:space="0" w:color="000000"/>
            </w:tcBorders>
            <w:shd w:val="clear" w:color="auto" w:fill="D5DCE4"/>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Outcome</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No. participants</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(studies)</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w:t>
            </w:r>
          </w:p>
        </w:tc>
        <w:tc>
          <w:tcPr>
            <w:tcW w:w="1702" w:type="dxa"/>
            <w:vMerge w:val="restart"/>
            <w:tcBorders>
              <w:top w:val="single" w:sz="8" w:space="0" w:color="000000"/>
              <w:left w:val="single" w:sz="8" w:space="0" w:color="000000"/>
              <w:bottom w:val="single" w:sz="8" w:space="0" w:color="000000"/>
              <w:right w:val="single" w:sz="8" w:space="0" w:color="000000"/>
            </w:tcBorders>
            <w:shd w:val="clear" w:color="auto" w:fill="D5DCE4"/>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Relative effects (95 % CI)</w:t>
            </w:r>
          </w:p>
        </w:tc>
        <w:tc>
          <w:tcPr>
            <w:tcW w:w="5922" w:type="dxa"/>
            <w:gridSpan w:val="3"/>
            <w:tcBorders>
              <w:top w:val="single" w:sz="8" w:space="0" w:color="000000"/>
              <w:left w:val="single" w:sz="8" w:space="0" w:color="000000"/>
              <w:bottom w:val="single" w:sz="8" w:space="0" w:color="000000"/>
              <w:right w:val="single" w:sz="8" w:space="0" w:color="000000"/>
            </w:tcBorders>
            <w:shd w:val="clear" w:color="auto" w:fill="D5DCE4"/>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Anticipated absolute effects</w:t>
            </w:r>
          </w:p>
        </w:tc>
        <w:tc>
          <w:tcPr>
            <w:tcW w:w="2825" w:type="dxa"/>
            <w:vMerge w:val="restart"/>
            <w:tcBorders>
              <w:top w:val="single" w:sz="8" w:space="0" w:color="000000"/>
              <w:left w:val="single" w:sz="8" w:space="0" w:color="000000"/>
              <w:bottom w:val="single" w:sz="8" w:space="0" w:color="000000"/>
              <w:right w:val="single" w:sz="8" w:space="0" w:color="000000"/>
            </w:tcBorders>
            <w:shd w:val="clear" w:color="auto" w:fill="D5DCE4"/>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Certainty of evidence (GRADE)</w:t>
            </w:r>
          </w:p>
        </w:tc>
      </w:tr>
      <w:tr w:rsidR="002B21A9" w:rsidRPr="00A82130" w:rsidTr="00561B4C">
        <w:trPr>
          <w:trHeight w:val="7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1702" w:type="dxa"/>
            <w:tcBorders>
              <w:top w:val="single" w:sz="8" w:space="0" w:color="000000"/>
              <w:left w:val="single" w:sz="8" w:space="0" w:color="000000"/>
              <w:bottom w:val="single" w:sz="8" w:space="0" w:color="000000"/>
              <w:right w:val="single" w:sz="8" w:space="0" w:color="000000"/>
            </w:tcBorders>
            <w:shd w:val="clear" w:color="auto" w:fill="D5DCE4"/>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With intervention (95% CI)</w:t>
            </w:r>
          </w:p>
        </w:tc>
        <w:tc>
          <w:tcPr>
            <w:tcW w:w="1611" w:type="dxa"/>
            <w:tcBorders>
              <w:top w:val="single" w:sz="8" w:space="0" w:color="000000"/>
              <w:left w:val="single" w:sz="8" w:space="0" w:color="000000"/>
              <w:bottom w:val="single" w:sz="8" w:space="0" w:color="000000"/>
              <w:right w:val="single" w:sz="8" w:space="0" w:color="000000"/>
            </w:tcBorders>
            <w:shd w:val="clear" w:color="auto" w:fill="D5DCE4"/>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With usual care (median CER)</w:t>
            </w:r>
          </w:p>
        </w:tc>
        <w:tc>
          <w:tcPr>
            <w:tcW w:w="2607" w:type="dxa"/>
            <w:tcBorders>
              <w:top w:val="single" w:sz="8" w:space="0" w:color="000000"/>
              <w:left w:val="single" w:sz="8" w:space="0" w:color="000000"/>
              <w:bottom w:val="single" w:sz="8" w:space="0" w:color="000000"/>
              <w:right w:val="single" w:sz="8" w:space="0" w:color="000000"/>
            </w:tcBorders>
            <w:shd w:val="clear" w:color="auto" w:fill="D5DCE4"/>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xml:space="preserve">Difference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r>
      <w:tr w:rsidR="002B21A9" w:rsidRPr="00A82130" w:rsidTr="00561B4C">
        <w:trPr>
          <w:trHeight w:val="404"/>
        </w:trPr>
        <w:tc>
          <w:tcPr>
            <w:tcW w:w="12804" w:type="dxa"/>
            <w:gridSpan w:val="6"/>
            <w:tcBorders>
              <w:top w:val="single" w:sz="8" w:space="0" w:color="000000"/>
              <w:left w:val="single" w:sz="8" w:space="0" w:color="000000"/>
              <w:bottom w:val="single" w:sz="8" w:space="0" w:color="000000"/>
              <w:right w:val="single" w:sz="8" w:space="0" w:color="000000"/>
            </w:tcBorders>
            <w:shd w:val="clear" w:color="auto" w:fill="F2F2F2"/>
            <w:tcMar>
              <w:top w:w="15" w:type="dxa"/>
              <w:left w:w="87" w:type="dxa"/>
              <w:bottom w:w="0" w:type="dxa"/>
              <w:right w:w="87"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xml:space="preserve">Total miscarriage rates </w:t>
            </w:r>
          </w:p>
        </w:tc>
      </w:tr>
      <w:tr w:rsidR="002B21A9" w:rsidRPr="00A82130" w:rsidTr="00561B4C">
        <w:trPr>
          <w:trHeight w:val="404"/>
        </w:trPr>
        <w:tc>
          <w:tcPr>
            <w:tcW w:w="235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39,504 participants (1 studies)</w:t>
            </w:r>
          </w:p>
        </w:tc>
        <w:tc>
          <w:tcPr>
            <w:tcW w:w="17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RR 1.04, 95% CI 0.90 to 1.21</w:t>
            </w:r>
          </w:p>
        </w:tc>
        <w:tc>
          <w:tcPr>
            <w:tcW w:w="5922" w:type="dxa"/>
            <w:gridSpan w:val="3"/>
            <w:tcBorders>
              <w:top w:val="single" w:sz="8" w:space="0" w:color="000000"/>
              <w:left w:val="single" w:sz="8" w:space="0" w:color="000000"/>
              <w:bottom w:val="single" w:sz="8" w:space="0" w:color="000000"/>
              <w:right w:val="single" w:sz="8" w:space="0" w:color="000000"/>
            </w:tcBorders>
            <w:shd w:val="clear" w:color="auto" w:fill="D9D9D9"/>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Event rate per 1000</w:t>
            </w:r>
          </w:p>
        </w:tc>
        <w:tc>
          <w:tcPr>
            <w:tcW w:w="28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Cambria Math" w:eastAsia="Times New Roman" w:hAnsi="Cambria Math" w:cs="Cambria Math"/>
                <w:color w:val="000000"/>
                <w:kern w:val="24"/>
                <w:sz w:val="18"/>
                <w:szCs w:val="18"/>
                <w:lang w:val="en-CA"/>
              </w:rPr>
              <w:t>⊕⊕⊝⊝</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Times New Roman" w:hAnsi="Arial" w:cs="Arial"/>
                <w:color w:val="000000"/>
                <w:kern w:val="24"/>
                <w:sz w:val="18"/>
                <w:szCs w:val="18"/>
                <w:lang w:val="en-CA"/>
              </w:rPr>
              <w:t xml:space="preserve">Low </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 </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 </w:t>
            </w:r>
          </w:p>
        </w:tc>
      </w:tr>
      <w:tr w:rsidR="002B21A9" w:rsidRPr="00A82130" w:rsidTr="00561B4C">
        <w:trPr>
          <w:trHeight w:val="4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29</w:t>
            </w:r>
          </w:p>
        </w:tc>
        <w:tc>
          <w:tcPr>
            <w:tcW w:w="1611"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28</w:t>
            </w:r>
          </w:p>
        </w:tc>
        <w:tc>
          <w:tcPr>
            <w:tcW w:w="260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1 more (3 fewer to 6 more)</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r>
      <w:tr w:rsidR="002B21A9" w:rsidRPr="00A82130" w:rsidTr="00561B4C">
        <w:trPr>
          <w:trHeight w:val="404"/>
        </w:trPr>
        <w:tc>
          <w:tcPr>
            <w:tcW w:w="12804" w:type="dxa"/>
            <w:gridSpan w:val="6"/>
            <w:tcBorders>
              <w:top w:val="single" w:sz="8" w:space="0" w:color="000000"/>
              <w:left w:val="single" w:sz="8" w:space="0" w:color="000000"/>
              <w:bottom w:val="single" w:sz="8" w:space="0" w:color="000000"/>
              <w:right w:val="single" w:sz="8" w:space="0" w:color="000000"/>
            </w:tcBorders>
            <w:shd w:val="clear" w:color="auto" w:fill="F2F2F2"/>
            <w:tcMar>
              <w:top w:w="15" w:type="dxa"/>
              <w:left w:w="87" w:type="dxa"/>
              <w:bottom w:w="0" w:type="dxa"/>
              <w:right w:w="87"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xml:space="preserve">Second trimester (12 to 24 weeks’ gestation) miscarriage </w:t>
            </w:r>
          </w:p>
        </w:tc>
      </w:tr>
      <w:tr w:rsidR="002B21A9" w:rsidRPr="00A82130" w:rsidTr="00561B4C">
        <w:trPr>
          <w:trHeight w:val="404"/>
        </w:trPr>
        <w:tc>
          <w:tcPr>
            <w:tcW w:w="235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2,182,268 participants (8 studies)</w:t>
            </w:r>
          </w:p>
        </w:tc>
        <w:tc>
          <w:tcPr>
            <w:tcW w:w="17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RR 2.60, 95% CI 1.45 to 4.67</w:t>
            </w:r>
          </w:p>
        </w:tc>
        <w:tc>
          <w:tcPr>
            <w:tcW w:w="5922" w:type="dxa"/>
            <w:gridSpan w:val="3"/>
            <w:tcBorders>
              <w:top w:val="single" w:sz="8" w:space="0" w:color="000000"/>
              <w:left w:val="single" w:sz="8" w:space="0" w:color="000000"/>
              <w:bottom w:val="single" w:sz="8" w:space="0" w:color="000000"/>
              <w:right w:val="single" w:sz="8" w:space="0" w:color="000000"/>
            </w:tcBorders>
            <w:shd w:val="clear" w:color="auto" w:fill="D9D9D9"/>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Event rate per 1000</w:t>
            </w:r>
          </w:p>
        </w:tc>
        <w:tc>
          <w:tcPr>
            <w:tcW w:w="28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Cambria Math" w:eastAsia="Times New Roman" w:hAnsi="Cambria Math" w:cs="Cambria Math"/>
                <w:color w:val="000000"/>
                <w:kern w:val="24"/>
                <w:sz w:val="18"/>
                <w:szCs w:val="18"/>
                <w:lang w:val="en-CA"/>
              </w:rPr>
              <w:t>⊕⊝⊝</w:t>
            </w:r>
            <w:r w:rsidRPr="000D0B7B">
              <w:rPr>
                <w:rFonts w:ascii="Cambria Math" w:eastAsia="Times New Roman" w:hAnsi="Cambria Math" w:cs="Cambria Math"/>
                <w:color w:val="000000"/>
                <w:kern w:val="24"/>
                <w:sz w:val="18"/>
                <w:szCs w:val="18"/>
                <w:lang w:val="en-CA"/>
              </w:rPr>
              <w:t>⊝</w:t>
            </w:r>
          </w:p>
          <w:p w:rsidR="002B21A9" w:rsidRPr="00A82130" w:rsidRDefault="002B21A9" w:rsidP="009A5DCC">
            <w:pPr>
              <w:spacing w:after="0" w:line="256" w:lineRule="auto"/>
              <w:rPr>
                <w:rFonts w:ascii="Arial" w:eastAsia="Times New Roman" w:hAnsi="Arial" w:cs="Arial"/>
                <w:sz w:val="18"/>
                <w:szCs w:val="18"/>
              </w:rPr>
            </w:pPr>
            <w:r>
              <w:rPr>
                <w:rFonts w:ascii="Arial" w:eastAsia="Times New Roman" w:hAnsi="Arial" w:cs="Arial"/>
                <w:color w:val="000000"/>
                <w:kern w:val="24"/>
                <w:sz w:val="18"/>
                <w:szCs w:val="18"/>
                <w:lang w:val="en-CA"/>
              </w:rPr>
              <w:t xml:space="preserve">Very </w:t>
            </w:r>
            <w:r w:rsidRPr="00A82130">
              <w:rPr>
                <w:rFonts w:ascii="Arial" w:eastAsia="Times New Roman" w:hAnsi="Arial" w:cs="Arial"/>
                <w:color w:val="000000"/>
                <w:kern w:val="24"/>
                <w:sz w:val="18"/>
                <w:szCs w:val="18"/>
                <w:lang w:val="en-CA"/>
              </w:rPr>
              <w:t>Low</w:t>
            </w:r>
            <w:r>
              <w:rPr>
                <w:rFonts w:ascii="Arial" w:eastAsia="Times New Roman" w:hAnsi="Arial" w:cs="Arial"/>
                <w:color w:val="000000"/>
                <w:kern w:val="24"/>
                <w:sz w:val="18"/>
                <w:szCs w:val="18"/>
                <w:lang w:val="en-CA"/>
              </w:rPr>
              <w:t xml:space="preserve">, due indirectness of the treatment approaches used in the studies reviewed </w:t>
            </w:r>
            <w:r w:rsidRPr="00A82130">
              <w:rPr>
                <w:rFonts w:ascii="Arial" w:eastAsia="Times New Roman" w:hAnsi="Arial" w:cs="Arial"/>
                <w:color w:val="000000"/>
                <w:kern w:val="24"/>
                <w:sz w:val="18"/>
                <w:szCs w:val="18"/>
                <w:lang w:val="en-CA"/>
              </w:rPr>
              <w:t xml:space="preserve"> </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 </w:t>
            </w:r>
          </w:p>
        </w:tc>
      </w:tr>
      <w:tr w:rsidR="002B21A9" w:rsidRPr="00A82130" w:rsidTr="00561B4C">
        <w:trPr>
          <w:trHeight w:val="44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10</w:t>
            </w:r>
          </w:p>
        </w:tc>
        <w:tc>
          <w:tcPr>
            <w:tcW w:w="1611"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4</w:t>
            </w:r>
          </w:p>
        </w:tc>
        <w:tc>
          <w:tcPr>
            <w:tcW w:w="260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6 more (2 to 14 more)</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r>
      <w:tr w:rsidR="002B21A9" w:rsidRPr="00A82130" w:rsidTr="00561B4C">
        <w:trPr>
          <w:trHeight w:val="421"/>
        </w:trPr>
        <w:tc>
          <w:tcPr>
            <w:tcW w:w="12804" w:type="dxa"/>
            <w:gridSpan w:val="6"/>
            <w:tcBorders>
              <w:top w:val="single" w:sz="8" w:space="0" w:color="000000"/>
              <w:left w:val="single" w:sz="8" w:space="0" w:color="000000"/>
              <w:bottom w:val="single" w:sz="8" w:space="0" w:color="000000"/>
              <w:right w:val="single" w:sz="8" w:space="0" w:color="000000"/>
            </w:tcBorders>
            <w:shd w:val="clear" w:color="auto" w:fill="F2F2F2"/>
            <w:tcMar>
              <w:top w:w="15" w:type="dxa"/>
              <w:left w:w="87" w:type="dxa"/>
              <w:bottom w:w="0" w:type="dxa"/>
              <w:right w:w="87"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xml:space="preserve">Cerclage and cervical insufficiency </w:t>
            </w:r>
          </w:p>
        </w:tc>
      </w:tr>
      <w:tr w:rsidR="002B21A9" w:rsidRPr="00A82130" w:rsidTr="00561B4C">
        <w:trPr>
          <w:trHeight w:val="209"/>
        </w:trPr>
        <w:tc>
          <w:tcPr>
            <w:tcW w:w="1280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Not addressed</w:t>
            </w:r>
          </w:p>
        </w:tc>
      </w:tr>
    </w:tbl>
    <w:p w:rsidR="002B21A9" w:rsidRPr="001515A0" w:rsidRDefault="002B21A9">
      <w:pPr>
        <w:rPr>
          <w:rFonts w:ascii="Arial" w:hAnsi="Arial" w:cs="Arial"/>
          <w:sz w:val="16"/>
          <w:szCs w:val="16"/>
        </w:rPr>
      </w:pPr>
      <w:r w:rsidRPr="001515A0">
        <w:rPr>
          <w:rFonts w:ascii="Arial" w:hAnsi="Arial" w:cs="Arial"/>
          <w:sz w:val="16"/>
          <w:szCs w:val="16"/>
        </w:rPr>
        <w:t>Abbreviations:</w:t>
      </w:r>
      <w:r>
        <w:rPr>
          <w:rFonts w:ascii="Arial" w:hAnsi="Arial" w:cs="Arial"/>
          <w:sz w:val="16"/>
          <w:szCs w:val="16"/>
        </w:rPr>
        <w:t xml:space="preserve"> CER = control event rate; CI = confidence interval;</w:t>
      </w:r>
      <w:r w:rsidRPr="001515A0">
        <w:rPr>
          <w:rFonts w:ascii="Arial" w:hAnsi="Arial" w:cs="Arial"/>
          <w:sz w:val="16"/>
          <w:szCs w:val="16"/>
        </w:rPr>
        <w:t xml:space="preserve"> </w:t>
      </w:r>
      <w:r>
        <w:rPr>
          <w:rFonts w:ascii="Arial" w:hAnsi="Arial" w:cs="Arial"/>
          <w:sz w:val="16"/>
          <w:szCs w:val="16"/>
        </w:rPr>
        <w:t>RR = relative risk.</w:t>
      </w:r>
    </w:p>
    <w:p w:rsidR="002B21A9" w:rsidRDefault="002B21A9">
      <w:pPr>
        <w:rPr>
          <w:rFonts w:ascii="Arial" w:hAnsi="Arial" w:cs="Arial"/>
          <w:b/>
          <w:sz w:val="24"/>
          <w:szCs w:val="24"/>
        </w:rPr>
      </w:pPr>
      <w:r w:rsidRPr="00561B4C">
        <w:rPr>
          <w:rFonts w:ascii="Arial" w:hAnsi="Arial" w:cs="Arial"/>
          <w:b/>
          <w:sz w:val="24"/>
          <w:szCs w:val="24"/>
        </w:rPr>
        <w:lastRenderedPageBreak/>
        <w:t>Summary of findings</w:t>
      </w:r>
      <w:r>
        <w:rPr>
          <w:rFonts w:ascii="Arial" w:hAnsi="Arial" w:cs="Arial"/>
          <w:b/>
          <w:sz w:val="24"/>
          <w:szCs w:val="24"/>
        </w:rPr>
        <w:t xml:space="preserve"> for</w:t>
      </w:r>
      <w:r w:rsidRPr="00561B4C">
        <w:rPr>
          <w:rFonts w:ascii="Arial" w:hAnsi="Arial" w:cs="Arial"/>
          <w:b/>
          <w:sz w:val="24"/>
          <w:szCs w:val="24"/>
        </w:rPr>
        <w:t xml:space="preserve"> late obstetrical outcomes</w:t>
      </w:r>
    </w:p>
    <w:tbl>
      <w:tblPr>
        <w:tblW w:w="13185" w:type="dxa"/>
        <w:tblCellMar>
          <w:left w:w="0" w:type="dxa"/>
          <w:right w:w="0" w:type="dxa"/>
        </w:tblCellMar>
        <w:tblLook w:val="04A0" w:firstRow="1" w:lastRow="0" w:firstColumn="1" w:lastColumn="0" w:noHBand="0" w:noVBand="1"/>
      </w:tblPr>
      <w:tblGrid>
        <w:gridCol w:w="1727"/>
        <w:gridCol w:w="1425"/>
        <w:gridCol w:w="1819"/>
        <w:gridCol w:w="2025"/>
        <w:gridCol w:w="2439"/>
        <w:gridCol w:w="3750"/>
      </w:tblGrid>
      <w:tr w:rsidR="002B21A9" w:rsidRPr="00A82130" w:rsidTr="00451C0C">
        <w:trPr>
          <w:trHeight w:val="226"/>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D5DCE4"/>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Outcome</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No. participants</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(studies)</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w:t>
            </w:r>
          </w:p>
        </w:tc>
        <w:tc>
          <w:tcPr>
            <w:tcW w:w="1425" w:type="dxa"/>
            <w:vMerge w:val="restart"/>
            <w:tcBorders>
              <w:top w:val="single" w:sz="8" w:space="0" w:color="000000"/>
              <w:left w:val="single" w:sz="8" w:space="0" w:color="000000"/>
              <w:bottom w:val="single" w:sz="8" w:space="0" w:color="000000"/>
              <w:right w:val="single" w:sz="8" w:space="0" w:color="000000"/>
            </w:tcBorders>
            <w:shd w:val="clear" w:color="auto" w:fill="D5DCE4"/>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Relative effects (95 % CI)</w:t>
            </w:r>
          </w:p>
        </w:tc>
        <w:tc>
          <w:tcPr>
            <w:tcW w:w="6283" w:type="dxa"/>
            <w:gridSpan w:val="3"/>
            <w:tcBorders>
              <w:top w:val="single" w:sz="8" w:space="0" w:color="000000"/>
              <w:left w:val="single" w:sz="8" w:space="0" w:color="000000"/>
              <w:bottom w:val="single" w:sz="8" w:space="0" w:color="000000"/>
              <w:right w:val="single" w:sz="8" w:space="0" w:color="000000"/>
            </w:tcBorders>
            <w:shd w:val="clear" w:color="auto" w:fill="D5DCE4"/>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Anticipated absolute effects</w:t>
            </w:r>
          </w:p>
        </w:tc>
        <w:tc>
          <w:tcPr>
            <w:tcW w:w="3750" w:type="dxa"/>
            <w:vMerge w:val="restart"/>
            <w:tcBorders>
              <w:top w:val="single" w:sz="8" w:space="0" w:color="000000"/>
              <w:left w:val="single" w:sz="8" w:space="0" w:color="000000"/>
              <w:bottom w:val="single" w:sz="8" w:space="0" w:color="000000"/>
              <w:right w:val="single" w:sz="8" w:space="0" w:color="000000"/>
            </w:tcBorders>
            <w:shd w:val="clear" w:color="auto" w:fill="D5DCE4"/>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Certainty of evidence (GRADE)</w:t>
            </w:r>
          </w:p>
        </w:tc>
      </w:tr>
      <w:tr w:rsidR="002B21A9" w:rsidRPr="00A82130" w:rsidTr="00451C0C">
        <w:trPr>
          <w:trHeight w:val="60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1819" w:type="dxa"/>
            <w:tcBorders>
              <w:top w:val="single" w:sz="8" w:space="0" w:color="000000"/>
              <w:left w:val="single" w:sz="8" w:space="0" w:color="000000"/>
              <w:bottom w:val="single" w:sz="8" w:space="0" w:color="000000"/>
              <w:right w:val="single" w:sz="8" w:space="0" w:color="000000"/>
            </w:tcBorders>
            <w:shd w:val="clear" w:color="auto" w:fill="D5DCE4"/>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With intervention (95% CI)</w:t>
            </w:r>
          </w:p>
        </w:tc>
        <w:tc>
          <w:tcPr>
            <w:tcW w:w="2025" w:type="dxa"/>
            <w:tcBorders>
              <w:top w:val="single" w:sz="8" w:space="0" w:color="000000"/>
              <w:left w:val="single" w:sz="8" w:space="0" w:color="000000"/>
              <w:bottom w:val="single" w:sz="8" w:space="0" w:color="000000"/>
              <w:right w:val="single" w:sz="8" w:space="0" w:color="000000"/>
            </w:tcBorders>
            <w:shd w:val="clear" w:color="auto" w:fill="D5DCE4"/>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With usual care</w:t>
            </w:r>
            <w:r w:rsidRPr="00A82130">
              <w:rPr>
                <w:rFonts w:ascii="Arial" w:eastAsia="Calibri" w:hAnsi="Arial" w:cs="Arial"/>
                <w:b/>
                <w:bCs/>
                <w:color w:val="000000"/>
                <w:kern w:val="24"/>
                <w:position w:val="8"/>
                <w:sz w:val="18"/>
                <w:szCs w:val="18"/>
                <w:vertAlign w:val="superscript"/>
                <w:lang w:val="en-CA"/>
              </w:rPr>
              <w:t xml:space="preserve"> </w:t>
            </w:r>
            <w:r w:rsidRPr="00A82130">
              <w:rPr>
                <w:rFonts w:ascii="Arial" w:eastAsia="Calibri" w:hAnsi="Arial" w:cs="Arial"/>
                <w:b/>
                <w:bCs/>
                <w:color w:val="000000"/>
                <w:kern w:val="24"/>
                <w:sz w:val="18"/>
                <w:szCs w:val="18"/>
                <w:lang w:val="en-CA"/>
              </w:rPr>
              <w:t>(median CER)</w:t>
            </w:r>
          </w:p>
        </w:tc>
        <w:tc>
          <w:tcPr>
            <w:tcW w:w="2439" w:type="dxa"/>
            <w:tcBorders>
              <w:top w:val="single" w:sz="8" w:space="0" w:color="000000"/>
              <w:left w:val="single" w:sz="8" w:space="0" w:color="000000"/>
              <w:bottom w:val="single" w:sz="8" w:space="0" w:color="000000"/>
              <w:right w:val="single" w:sz="8" w:space="0" w:color="000000"/>
            </w:tcBorders>
            <w:shd w:val="clear" w:color="auto" w:fill="D5DCE4"/>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xml:space="preserve">Difference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r>
      <w:tr w:rsidR="002B21A9" w:rsidRPr="00A82130" w:rsidTr="00561B4C">
        <w:trPr>
          <w:trHeight w:val="309"/>
        </w:trPr>
        <w:tc>
          <w:tcPr>
            <w:tcW w:w="13185" w:type="dxa"/>
            <w:gridSpan w:val="6"/>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Preterm birth (&lt; 37 weeks) rates</w:t>
            </w:r>
          </w:p>
        </w:tc>
      </w:tr>
      <w:tr w:rsidR="002B21A9" w:rsidRPr="00A82130" w:rsidTr="00451C0C">
        <w:trPr>
          <w:trHeight w:val="254"/>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5,242,917 participants (59 studies)</w:t>
            </w:r>
          </w:p>
        </w:tc>
        <w:tc>
          <w:tcPr>
            <w:tcW w:w="1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RR 1.75, 95% CI 1.57 to 1.96</w:t>
            </w:r>
          </w:p>
        </w:tc>
        <w:tc>
          <w:tcPr>
            <w:tcW w:w="6283" w:type="dxa"/>
            <w:gridSpan w:val="3"/>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Event rate per 1000</w:t>
            </w:r>
          </w:p>
        </w:tc>
        <w:tc>
          <w:tcPr>
            <w:tcW w:w="375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Cambria Math" w:eastAsia="Times New Roman" w:hAnsi="Cambria Math" w:cs="Cambria Math"/>
                <w:color w:val="000000"/>
                <w:kern w:val="24"/>
                <w:sz w:val="18"/>
                <w:szCs w:val="18"/>
                <w:lang w:val="en-CA"/>
              </w:rPr>
              <w:t>⊕⊝⊝</w:t>
            </w:r>
            <w:r w:rsidRPr="000D0B7B">
              <w:rPr>
                <w:rFonts w:ascii="Cambria Math" w:eastAsia="Times New Roman" w:hAnsi="Cambria Math" w:cs="Cambria Math"/>
                <w:color w:val="000000"/>
                <w:kern w:val="24"/>
                <w:sz w:val="18"/>
                <w:szCs w:val="18"/>
                <w:lang w:val="en-CA"/>
              </w:rPr>
              <w:t>⊝</w:t>
            </w:r>
          </w:p>
          <w:p w:rsidR="002B21A9" w:rsidRPr="00A82130" w:rsidRDefault="002B21A9" w:rsidP="009A5DCC">
            <w:pPr>
              <w:spacing w:after="0" w:line="256" w:lineRule="auto"/>
              <w:rPr>
                <w:rFonts w:ascii="Arial" w:eastAsia="Times New Roman" w:hAnsi="Arial" w:cs="Arial"/>
                <w:sz w:val="18"/>
                <w:szCs w:val="18"/>
              </w:rPr>
            </w:pPr>
            <w:r>
              <w:rPr>
                <w:rFonts w:ascii="Arial" w:eastAsia="Times New Roman" w:hAnsi="Arial" w:cs="Arial"/>
                <w:color w:val="000000"/>
                <w:kern w:val="24"/>
                <w:sz w:val="18"/>
                <w:szCs w:val="18"/>
                <w:lang w:val="en-CA"/>
              </w:rPr>
              <w:t xml:space="preserve">Very </w:t>
            </w:r>
            <w:r w:rsidRPr="00A82130">
              <w:rPr>
                <w:rFonts w:ascii="Arial" w:eastAsia="Times New Roman" w:hAnsi="Arial" w:cs="Arial"/>
                <w:color w:val="000000"/>
                <w:kern w:val="24"/>
                <w:sz w:val="18"/>
                <w:szCs w:val="18"/>
                <w:lang w:val="en-CA"/>
              </w:rPr>
              <w:t>Low</w:t>
            </w:r>
            <w:r>
              <w:rPr>
                <w:rFonts w:ascii="Arial" w:eastAsia="Times New Roman" w:hAnsi="Arial" w:cs="Arial"/>
                <w:color w:val="000000"/>
                <w:kern w:val="24"/>
                <w:sz w:val="18"/>
                <w:szCs w:val="18"/>
                <w:lang w:val="en-CA"/>
              </w:rPr>
              <w:t xml:space="preserve">, </w:t>
            </w:r>
            <w:r w:rsidRPr="000D0B7B">
              <w:rPr>
                <w:rFonts w:ascii="Arial" w:eastAsia="Times New Roman" w:hAnsi="Arial" w:cs="Arial"/>
                <w:color w:val="000000"/>
                <w:kern w:val="24"/>
                <w:sz w:val="18"/>
                <w:szCs w:val="18"/>
                <w:lang w:val="en-CA"/>
              </w:rPr>
              <w:t xml:space="preserve">due indirectness of the treatment approaches used in the studies reviewed  </w:t>
            </w:r>
          </w:p>
          <w:p w:rsidR="002B21A9" w:rsidRPr="00A82130" w:rsidRDefault="002B21A9" w:rsidP="009A5DCC">
            <w:pPr>
              <w:spacing w:after="0" w:line="256" w:lineRule="auto"/>
              <w:rPr>
                <w:rFonts w:ascii="Arial" w:eastAsia="Times New Roman" w:hAnsi="Arial" w:cs="Arial"/>
                <w:sz w:val="18"/>
                <w:szCs w:val="18"/>
              </w:rPr>
            </w:pPr>
          </w:p>
        </w:tc>
      </w:tr>
      <w:tr w:rsidR="002B21A9" w:rsidRPr="00A82130" w:rsidTr="00451C0C">
        <w:trPr>
          <w:trHeight w:val="3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95</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54</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41 more (31 to 52 more)</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r>
      <w:tr w:rsidR="002B21A9" w:rsidRPr="00A82130" w:rsidTr="00561B4C">
        <w:trPr>
          <w:trHeight w:val="209"/>
        </w:trPr>
        <w:tc>
          <w:tcPr>
            <w:tcW w:w="13185" w:type="dxa"/>
            <w:gridSpan w:val="6"/>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Low birth weight (&lt; 2500 g)</w:t>
            </w:r>
          </w:p>
        </w:tc>
      </w:tr>
      <w:tr w:rsidR="002B21A9" w:rsidRPr="00A82130" w:rsidTr="00451C0C">
        <w:trPr>
          <w:trHeight w:val="254"/>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1,348,206 participants (30 studies)</w:t>
            </w:r>
          </w:p>
          <w:p w:rsidR="002B21A9" w:rsidRPr="00A82130" w:rsidRDefault="002B21A9" w:rsidP="009A5DCC">
            <w:pPr>
              <w:spacing w:after="0" w:line="256" w:lineRule="auto"/>
              <w:jc w:val="center"/>
              <w:rPr>
                <w:rFonts w:ascii="Arial" w:eastAsia="Times New Roman" w:hAnsi="Arial" w:cs="Arial"/>
                <w:sz w:val="18"/>
                <w:szCs w:val="18"/>
              </w:rPr>
            </w:pPr>
            <w:r w:rsidRPr="00A82130">
              <w:rPr>
                <w:rFonts w:ascii="Arial" w:eastAsia="Calibri" w:hAnsi="Arial" w:cs="Arial"/>
                <w:color w:val="000000"/>
                <w:kern w:val="24"/>
                <w:sz w:val="18"/>
                <w:szCs w:val="18"/>
                <w:lang w:val="en-CA"/>
              </w:rPr>
              <w:t> </w:t>
            </w:r>
          </w:p>
        </w:tc>
        <w:tc>
          <w:tcPr>
            <w:tcW w:w="1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RR 1.81, 95% CI 1.58 to 2.07</w:t>
            </w:r>
          </w:p>
        </w:tc>
        <w:tc>
          <w:tcPr>
            <w:tcW w:w="6283" w:type="dxa"/>
            <w:gridSpan w:val="3"/>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Event rate per 1000</w:t>
            </w:r>
          </w:p>
        </w:tc>
        <w:tc>
          <w:tcPr>
            <w:tcW w:w="375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Cambria Math" w:eastAsia="Times New Roman" w:hAnsi="Cambria Math" w:cs="Cambria Math"/>
                <w:color w:val="000000"/>
                <w:kern w:val="24"/>
                <w:sz w:val="18"/>
                <w:szCs w:val="18"/>
                <w:lang w:val="en-CA"/>
              </w:rPr>
              <w:t>⊕⊝⊝</w:t>
            </w:r>
            <w:r w:rsidRPr="000D0B7B">
              <w:rPr>
                <w:rFonts w:ascii="Cambria Math" w:eastAsia="Times New Roman" w:hAnsi="Cambria Math" w:cs="Cambria Math"/>
                <w:color w:val="000000"/>
                <w:kern w:val="24"/>
                <w:sz w:val="18"/>
                <w:szCs w:val="18"/>
                <w:lang w:val="en-CA"/>
              </w:rPr>
              <w:t>⊝</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Times New Roman" w:hAnsi="Arial" w:cs="Arial"/>
                <w:color w:val="000000"/>
                <w:kern w:val="24"/>
                <w:sz w:val="18"/>
                <w:szCs w:val="18"/>
                <w:lang w:val="en-CA"/>
              </w:rPr>
              <w:t>Low</w:t>
            </w:r>
            <w:r>
              <w:rPr>
                <w:rFonts w:ascii="Arial" w:eastAsia="Times New Roman" w:hAnsi="Arial" w:cs="Arial"/>
                <w:color w:val="000000"/>
                <w:kern w:val="24"/>
                <w:sz w:val="18"/>
                <w:szCs w:val="18"/>
                <w:lang w:val="en-CA"/>
              </w:rPr>
              <w:t xml:space="preserve">, </w:t>
            </w:r>
            <w:r w:rsidRPr="000D0B7B">
              <w:rPr>
                <w:rFonts w:ascii="Arial" w:eastAsia="Times New Roman" w:hAnsi="Arial" w:cs="Arial"/>
                <w:color w:val="000000"/>
                <w:kern w:val="24"/>
                <w:sz w:val="18"/>
                <w:szCs w:val="18"/>
                <w:lang w:val="en-CA"/>
              </w:rPr>
              <w:t xml:space="preserve">due indirectness of the treatment approaches used in the studies reviewed  </w:t>
            </w:r>
          </w:p>
          <w:p w:rsidR="002B21A9" w:rsidRPr="00A82130" w:rsidRDefault="002B21A9" w:rsidP="009A5DCC">
            <w:pPr>
              <w:spacing w:after="0" w:line="256" w:lineRule="auto"/>
              <w:rPr>
                <w:rFonts w:ascii="Arial" w:eastAsia="Times New Roman" w:hAnsi="Arial" w:cs="Arial"/>
                <w:sz w:val="18"/>
                <w:szCs w:val="18"/>
              </w:rPr>
            </w:pPr>
          </w:p>
        </w:tc>
      </w:tr>
      <w:tr w:rsidR="002B21A9" w:rsidRPr="00A82130" w:rsidTr="00451C0C">
        <w:trPr>
          <w:trHeight w:val="4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Pr>
                <w:rFonts w:ascii="Arial" w:eastAsia="Calibri" w:hAnsi="Arial" w:cs="Arial"/>
                <w:color w:val="000000"/>
                <w:kern w:val="24"/>
                <w:sz w:val="18"/>
                <w:szCs w:val="18"/>
                <w:lang w:val="en-CA"/>
              </w:rPr>
              <w:t>66</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Pr>
                <w:rFonts w:ascii="Arial" w:eastAsia="Calibri" w:hAnsi="Arial" w:cs="Arial"/>
                <w:color w:val="000000"/>
                <w:kern w:val="24"/>
                <w:sz w:val="18"/>
                <w:szCs w:val="18"/>
                <w:lang w:val="en-CA"/>
              </w:rPr>
              <w:t>37</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29 more (21 to 39 more)</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r>
      <w:tr w:rsidR="002B21A9" w:rsidRPr="00A82130" w:rsidTr="00561B4C">
        <w:trPr>
          <w:trHeight w:val="327"/>
        </w:trPr>
        <w:tc>
          <w:tcPr>
            <w:tcW w:w="13185" w:type="dxa"/>
            <w:gridSpan w:val="6"/>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xml:space="preserve">Rate of cervical cerclage insertion  </w:t>
            </w:r>
          </w:p>
        </w:tc>
      </w:tr>
      <w:tr w:rsidR="002B21A9" w:rsidRPr="00A82130" w:rsidTr="00451C0C">
        <w:trPr>
          <w:trHeight w:val="254"/>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141,300 participants (8 studies)</w:t>
            </w:r>
          </w:p>
        </w:tc>
        <w:tc>
          <w:tcPr>
            <w:tcW w:w="1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RR 14.29, 95% CI 2.85 to 71.65</w:t>
            </w:r>
          </w:p>
        </w:tc>
        <w:tc>
          <w:tcPr>
            <w:tcW w:w="6283" w:type="dxa"/>
            <w:gridSpan w:val="3"/>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Event rate per 1000</w:t>
            </w:r>
          </w:p>
        </w:tc>
        <w:tc>
          <w:tcPr>
            <w:tcW w:w="3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w:t>
            </w:r>
          </w:p>
        </w:tc>
      </w:tr>
      <w:tr w:rsidR="002B21A9" w:rsidRPr="00A82130" w:rsidTr="00451C0C">
        <w:trPr>
          <w:trHeight w:val="3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21A9" w:rsidRPr="00A82130" w:rsidRDefault="002B21A9" w:rsidP="009A5DCC">
            <w:pPr>
              <w:spacing w:after="0" w:line="240" w:lineRule="auto"/>
              <w:rPr>
                <w:rFonts w:ascii="Arial" w:eastAsia="Times New Roman" w:hAnsi="Arial" w:cs="Arial"/>
                <w:sz w:val="18"/>
                <w:szCs w:val="18"/>
              </w:rPr>
            </w:pP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 xml:space="preserve">17 </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1.2</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color w:val="000000"/>
                <w:kern w:val="24"/>
                <w:sz w:val="18"/>
                <w:szCs w:val="18"/>
                <w:lang w:val="en-CA"/>
              </w:rPr>
              <w:t>15.9 more (2.2 to 84.4)</w:t>
            </w:r>
          </w:p>
        </w:tc>
        <w:tc>
          <w:tcPr>
            <w:tcW w:w="3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21A9" w:rsidRPr="00A82130" w:rsidRDefault="002B21A9" w:rsidP="009A5DCC">
            <w:pPr>
              <w:spacing w:after="0" w:line="256" w:lineRule="auto"/>
              <w:rPr>
                <w:rFonts w:ascii="Arial" w:eastAsia="Times New Roman" w:hAnsi="Arial" w:cs="Arial"/>
                <w:sz w:val="18"/>
                <w:szCs w:val="18"/>
              </w:rPr>
            </w:pPr>
            <w:r w:rsidRPr="00A82130">
              <w:rPr>
                <w:rFonts w:ascii="Cambria Math" w:eastAsia="Times New Roman" w:hAnsi="Cambria Math" w:cs="Cambria Math"/>
                <w:color w:val="000000"/>
                <w:kern w:val="24"/>
                <w:sz w:val="18"/>
                <w:szCs w:val="18"/>
                <w:lang w:val="en-CA"/>
              </w:rPr>
              <w:t>⊕⊝⊝</w:t>
            </w:r>
            <w:r w:rsidRPr="000D0B7B">
              <w:rPr>
                <w:rFonts w:ascii="Cambria Math" w:eastAsia="Times New Roman" w:hAnsi="Cambria Math" w:cs="Cambria Math"/>
                <w:color w:val="000000"/>
                <w:kern w:val="24"/>
                <w:sz w:val="18"/>
                <w:szCs w:val="18"/>
                <w:lang w:val="en-CA"/>
              </w:rPr>
              <w:t>⊝</w:t>
            </w:r>
          </w:p>
          <w:p w:rsidR="002B21A9" w:rsidRPr="00A82130" w:rsidRDefault="002B21A9" w:rsidP="009A5DCC">
            <w:pPr>
              <w:spacing w:after="0" w:line="256" w:lineRule="auto"/>
              <w:rPr>
                <w:rFonts w:ascii="Arial" w:eastAsia="Times New Roman" w:hAnsi="Arial" w:cs="Arial"/>
                <w:sz w:val="18"/>
                <w:szCs w:val="18"/>
              </w:rPr>
            </w:pPr>
            <w:proofErr w:type="gramStart"/>
            <w:r w:rsidRPr="00A82130">
              <w:rPr>
                <w:rFonts w:ascii="Arial" w:eastAsia="Times New Roman" w:hAnsi="Arial" w:cs="Arial"/>
                <w:color w:val="000000"/>
                <w:kern w:val="24"/>
                <w:sz w:val="18"/>
                <w:szCs w:val="18"/>
                <w:lang w:val="en-CA"/>
              </w:rPr>
              <w:t>Low</w:t>
            </w:r>
            <w:r>
              <w:rPr>
                <w:rFonts w:ascii="Arial" w:eastAsia="Times New Roman" w:hAnsi="Arial" w:cs="Arial"/>
                <w:color w:val="000000"/>
                <w:kern w:val="24"/>
                <w:sz w:val="18"/>
                <w:szCs w:val="18"/>
                <w:lang w:val="en-CA"/>
              </w:rPr>
              <w:t xml:space="preserve">, </w:t>
            </w:r>
            <w:r w:rsidRPr="00A82130">
              <w:rPr>
                <w:rFonts w:ascii="Arial" w:eastAsia="Times New Roman" w:hAnsi="Arial" w:cs="Arial"/>
                <w:color w:val="000000"/>
                <w:kern w:val="24"/>
                <w:sz w:val="18"/>
                <w:szCs w:val="18"/>
                <w:lang w:val="en-CA"/>
              </w:rPr>
              <w:t xml:space="preserve"> </w:t>
            </w:r>
            <w:r w:rsidRPr="000D0B7B">
              <w:rPr>
                <w:rFonts w:ascii="Arial" w:eastAsia="Times New Roman" w:hAnsi="Arial" w:cs="Arial"/>
                <w:color w:val="000000"/>
                <w:kern w:val="24"/>
                <w:sz w:val="18"/>
                <w:szCs w:val="18"/>
                <w:lang w:val="en-CA"/>
              </w:rPr>
              <w:t>due</w:t>
            </w:r>
            <w:proofErr w:type="gramEnd"/>
            <w:r w:rsidRPr="000D0B7B">
              <w:rPr>
                <w:rFonts w:ascii="Arial" w:eastAsia="Times New Roman" w:hAnsi="Arial" w:cs="Arial"/>
                <w:color w:val="000000"/>
                <w:kern w:val="24"/>
                <w:sz w:val="18"/>
                <w:szCs w:val="18"/>
                <w:lang w:val="en-CA"/>
              </w:rPr>
              <w:t xml:space="preserve"> indirectness of the treatment approaches used in the studies reviewed  </w:t>
            </w:r>
          </w:p>
          <w:p w:rsidR="002B21A9" w:rsidRPr="00A82130" w:rsidRDefault="002B21A9" w:rsidP="009A5DCC">
            <w:pPr>
              <w:spacing w:after="0" w:line="256" w:lineRule="auto"/>
              <w:rPr>
                <w:rFonts w:ascii="Arial" w:eastAsia="Times New Roman" w:hAnsi="Arial" w:cs="Arial"/>
                <w:sz w:val="18"/>
                <w:szCs w:val="18"/>
              </w:rPr>
            </w:pPr>
            <w:r w:rsidRPr="00A82130">
              <w:rPr>
                <w:rFonts w:ascii="Arial" w:eastAsia="Calibri" w:hAnsi="Arial" w:cs="Arial"/>
                <w:b/>
                <w:bCs/>
                <w:color w:val="000000"/>
                <w:kern w:val="24"/>
                <w:sz w:val="18"/>
                <w:szCs w:val="18"/>
                <w:lang w:val="en-CA"/>
              </w:rPr>
              <w:t> </w:t>
            </w:r>
          </w:p>
        </w:tc>
      </w:tr>
    </w:tbl>
    <w:p w:rsidR="002B21A9" w:rsidRDefault="002B21A9" w:rsidP="00561B4C">
      <w:pPr>
        <w:rPr>
          <w:rFonts w:ascii="Arial" w:hAnsi="Arial" w:cs="Arial"/>
          <w:sz w:val="16"/>
          <w:szCs w:val="16"/>
        </w:rPr>
      </w:pPr>
      <w:r w:rsidRPr="001515A0">
        <w:rPr>
          <w:rFonts w:ascii="Arial" w:hAnsi="Arial" w:cs="Arial"/>
          <w:sz w:val="16"/>
          <w:szCs w:val="16"/>
        </w:rPr>
        <w:t>Abbreviations:</w:t>
      </w:r>
      <w:r>
        <w:rPr>
          <w:rFonts w:ascii="Arial" w:hAnsi="Arial" w:cs="Arial"/>
          <w:sz w:val="16"/>
          <w:szCs w:val="16"/>
        </w:rPr>
        <w:t xml:space="preserve"> CER = control event rate; CI = confidence interval;</w:t>
      </w:r>
      <w:r w:rsidRPr="001515A0">
        <w:rPr>
          <w:rFonts w:ascii="Arial" w:hAnsi="Arial" w:cs="Arial"/>
          <w:sz w:val="16"/>
          <w:szCs w:val="16"/>
        </w:rPr>
        <w:t xml:space="preserve"> </w:t>
      </w:r>
      <w:r>
        <w:rPr>
          <w:rFonts w:ascii="Arial" w:hAnsi="Arial" w:cs="Arial"/>
          <w:sz w:val="16"/>
          <w:szCs w:val="16"/>
        </w:rPr>
        <w:t>RR = relative risk.</w:t>
      </w:r>
    </w:p>
    <w:p w:rsidR="002B21A9" w:rsidRDefault="002B21A9" w:rsidP="00561B4C">
      <w:pPr>
        <w:rPr>
          <w:rFonts w:ascii="Arial" w:hAnsi="Arial" w:cs="Arial"/>
          <w:sz w:val="16"/>
          <w:szCs w:val="16"/>
        </w:rPr>
      </w:pPr>
    </w:p>
    <w:p w:rsidR="002B21A9" w:rsidRPr="002B21A9" w:rsidRDefault="002B21A9" w:rsidP="00561B4C">
      <w:pPr>
        <w:rPr>
          <w:rFonts w:cstheme="minorHAnsi"/>
        </w:rPr>
      </w:pPr>
      <w:r w:rsidRPr="002B21A9">
        <w:rPr>
          <w:rFonts w:cstheme="minorHAnsi"/>
        </w:rPr>
        <w:t>References</w:t>
      </w:r>
    </w:p>
    <w:p w:rsidR="002B21A9" w:rsidRPr="00FC4E6E" w:rsidRDefault="002B21A9" w:rsidP="002B21A9">
      <w:pPr>
        <w:pStyle w:val="EndNoteBibliography"/>
        <w:spacing w:after="0"/>
        <w:ind w:left="734" w:hanging="547"/>
      </w:pPr>
      <w:r w:rsidRPr="00FC4E6E">
        <w:t>1.</w:t>
      </w:r>
      <w:r w:rsidRPr="00FC4E6E">
        <w:tab/>
        <w:t>Kyrgiou M, Athanasiou A, Kalliala IEJ, Paraskevaidi M, Mitra A, Martin‐Hirsch PPL, et al. Obstetric outcomes after conservative treatment for cervical intraepithelial lesions and early invasive disease. Cochrane Database Syst Rev. 2017(11).</w:t>
      </w:r>
    </w:p>
    <w:p w:rsidR="002B21A9" w:rsidRPr="00FC4E6E" w:rsidRDefault="002B21A9" w:rsidP="002B21A9">
      <w:pPr>
        <w:pStyle w:val="EndNoteBibliography"/>
        <w:spacing w:after="0"/>
        <w:ind w:left="734" w:hanging="547"/>
      </w:pPr>
      <w:r w:rsidRPr="00FC4E6E">
        <w:t>2.</w:t>
      </w:r>
      <w:r w:rsidRPr="00FC4E6E">
        <w:tab/>
        <w:t>Kyrgiou M, Mitra A, Arbyn M, Paraskevaidi M, Athanasiou A, Martin‐Hirsch PPL, et al. Fertility and early pregnancy outcomes after conservative treatment for cervical intraepithelial neoplasia. Cochrane Database Syst Rev. 2015(9).</w:t>
      </w:r>
    </w:p>
    <w:p w:rsidR="002B21A9" w:rsidRPr="00FC4E6E" w:rsidRDefault="002B21A9" w:rsidP="002B21A9">
      <w:pPr>
        <w:pStyle w:val="EndNoteBibliography"/>
        <w:spacing w:after="0"/>
        <w:ind w:left="734" w:hanging="547"/>
        <w:rPr>
          <w:rFonts w:eastAsia="Calibri"/>
        </w:rPr>
      </w:pPr>
      <w:r>
        <w:rPr>
          <w:rFonts w:eastAsia="Calibri"/>
        </w:rPr>
        <w:t xml:space="preserve">3. </w:t>
      </w:r>
      <w:r>
        <w:rPr>
          <w:rFonts w:eastAsia="Calibri"/>
        </w:rPr>
        <w:tab/>
      </w:r>
      <w:r w:rsidRPr="00FC4E6E">
        <w:rPr>
          <w:rFonts w:eastAsia="Calibri"/>
        </w:rPr>
        <w:t>Perkins RB, Guido RS, Castle PE, Chelmow D, Einstein MH, Garcia F, et al. 2019 ASCCP risk-based management consensus guidelines for abnormal cervical cancer screening tests and cancer precursors. J Low Genit Tract Dis. 2020;24(2):102-31.</w:t>
      </w:r>
    </w:p>
    <w:p w:rsidR="002B21A9" w:rsidRPr="00FC4E6E" w:rsidRDefault="002B21A9" w:rsidP="002B21A9">
      <w:pPr>
        <w:spacing w:after="0" w:line="240" w:lineRule="auto"/>
        <w:ind w:left="734" w:hanging="547"/>
        <w:rPr>
          <w:rFonts w:ascii="Calibri" w:eastAsia="Calibri" w:hAnsi="Calibri" w:cs="Calibri"/>
          <w:noProof/>
        </w:rPr>
      </w:pPr>
      <w:r>
        <w:rPr>
          <w:rFonts w:ascii="Calibri" w:eastAsia="Calibri" w:hAnsi="Calibri" w:cs="Calibri"/>
          <w:noProof/>
        </w:rPr>
        <w:t xml:space="preserve">4. </w:t>
      </w:r>
      <w:r w:rsidRPr="00FC4E6E">
        <w:rPr>
          <w:rFonts w:ascii="Calibri" w:eastAsia="Calibri" w:hAnsi="Calibri" w:cs="Calibri"/>
          <w:noProof/>
        </w:rPr>
        <w:tab/>
        <w:t>Willows K, Selk A, Auclair M-H, Jim B, Jumah N, Nation J, et al. 2023 Canadian colposcopy guideline: a risk-based approach to management and surveillance of cervical dysplasia. Curr Oncol. 2023;30(6):5738-68.</w:t>
      </w:r>
    </w:p>
    <w:p w:rsidR="002B21A9" w:rsidRPr="00561B4C" w:rsidRDefault="002B21A9" w:rsidP="002B21A9">
      <w:pPr>
        <w:spacing w:after="0" w:line="240" w:lineRule="auto"/>
        <w:ind w:left="734" w:hanging="547"/>
        <w:rPr>
          <w:rFonts w:ascii="Arial" w:hAnsi="Arial" w:cs="Arial"/>
          <w:b/>
          <w:sz w:val="24"/>
          <w:szCs w:val="24"/>
        </w:rPr>
      </w:pPr>
    </w:p>
    <w:p w:rsidR="00445102" w:rsidRDefault="00445102"/>
    <w:sectPr w:rsidR="00445102" w:rsidSect="002B21A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4776E"/>
    <w:multiLevelType w:val="hybridMultilevel"/>
    <w:tmpl w:val="DF64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B21A9"/>
    <w:rsid w:val="00026355"/>
    <w:rsid w:val="00032650"/>
    <w:rsid w:val="00042275"/>
    <w:rsid w:val="00064AEF"/>
    <w:rsid w:val="00073A1F"/>
    <w:rsid w:val="00075C30"/>
    <w:rsid w:val="000821A7"/>
    <w:rsid w:val="0009426B"/>
    <w:rsid w:val="000961E1"/>
    <w:rsid w:val="000A0F61"/>
    <w:rsid w:val="000D54AA"/>
    <w:rsid w:val="000E20D6"/>
    <w:rsid w:val="000F043A"/>
    <w:rsid w:val="000F4D8A"/>
    <w:rsid w:val="00114547"/>
    <w:rsid w:val="00123325"/>
    <w:rsid w:val="0013145C"/>
    <w:rsid w:val="001679D2"/>
    <w:rsid w:val="0017597D"/>
    <w:rsid w:val="001C448F"/>
    <w:rsid w:val="001E646A"/>
    <w:rsid w:val="00236509"/>
    <w:rsid w:val="00237F9A"/>
    <w:rsid w:val="00254880"/>
    <w:rsid w:val="002606B5"/>
    <w:rsid w:val="00290BA3"/>
    <w:rsid w:val="00294F33"/>
    <w:rsid w:val="0029536A"/>
    <w:rsid w:val="002B21A9"/>
    <w:rsid w:val="002E3351"/>
    <w:rsid w:val="00334BE8"/>
    <w:rsid w:val="00337143"/>
    <w:rsid w:val="00346A7F"/>
    <w:rsid w:val="00350BEC"/>
    <w:rsid w:val="0035516B"/>
    <w:rsid w:val="003715A3"/>
    <w:rsid w:val="00390151"/>
    <w:rsid w:val="00392DB7"/>
    <w:rsid w:val="0039673B"/>
    <w:rsid w:val="003B7CD3"/>
    <w:rsid w:val="003C1A3E"/>
    <w:rsid w:val="003D4F1A"/>
    <w:rsid w:val="003E64F7"/>
    <w:rsid w:val="003E6986"/>
    <w:rsid w:val="0040076A"/>
    <w:rsid w:val="00445102"/>
    <w:rsid w:val="00450C6E"/>
    <w:rsid w:val="00460790"/>
    <w:rsid w:val="00464EDC"/>
    <w:rsid w:val="004C1C94"/>
    <w:rsid w:val="004C23E6"/>
    <w:rsid w:val="004F693A"/>
    <w:rsid w:val="0050542A"/>
    <w:rsid w:val="005137E5"/>
    <w:rsid w:val="0051531D"/>
    <w:rsid w:val="005224AD"/>
    <w:rsid w:val="005544AB"/>
    <w:rsid w:val="00557C07"/>
    <w:rsid w:val="0056378F"/>
    <w:rsid w:val="00565FD1"/>
    <w:rsid w:val="005A0571"/>
    <w:rsid w:val="005A1BFF"/>
    <w:rsid w:val="005F361F"/>
    <w:rsid w:val="0063202B"/>
    <w:rsid w:val="00660789"/>
    <w:rsid w:val="00665F96"/>
    <w:rsid w:val="006A0563"/>
    <w:rsid w:val="006A3020"/>
    <w:rsid w:val="006B713E"/>
    <w:rsid w:val="006C12FC"/>
    <w:rsid w:val="006D1CEF"/>
    <w:rsid w:val="006F4E19"/>
    <w:rsid w:val="00703AAB"/>
    <w:rsid w:val="00727F93"/>
    <w:rsid w:val="007328A5"/>
    <w:rsid w:val="00733D92"/>
    <w:rsid w:val="00792E0E"/>
    <w:rsid w:val="007C5B62"/>
    <w:rsid w:val="007E7BBA"/>
    <w:rsid w:val="00803119"/>
    <w:rsid w:val="00820896"/>
    <w:rsid w:val="0082258F"/>
    <w:rsid w:val="00835F37"/>
    <w:rsid w:val="00856BB0"/>
    <w:rsid w:val="00861962"/>
    <w:rsid w:val="00875EA2"/>
    <w:rsid w:val="0088331F"/>
    <w:rsid w:val="008865D4"/>
    <w:rsid w:val="008A0A98"/>
    <w:rsid w:val="008B55B1"/>
    <w:rsid w:val="008B5D6F"/>
    <w:rsid w:val="008F0CD4"/>
    <w:rsid w:val="00915554"/>
    <w:rsid w:val="009245DE"/>
    <w:rsid w:val="009456A8"/>
    <w:rsid w:val="00950DEE"/>
    <w:rsid w:val="00956AA7"/>
    <w:rsid w:val="00983EF8"/>
    <w:rsid w:val="00986D0B"/>
    <w:rsid w:val="00987FD0"/>
    <w:rsid w:val="009A0581"/>
    <w:rsid w:val="009D2287"/>
    <w:rsid w:val="009E0FB8"/>
    <w:rsid w:val="009E574B"/>
    <w:rsid w:val="009E60DD"/>
    <w:rsid w:val="009F6EF5"/>
    <w:rsid w:val="00A41A19"/>
    <w:rsid w:val="00A46B36"/>
    <w:rsid w:val="00A717CF"/>
    <w:rsid w:val="00A73A66"/>
    <w:rsid w:val="00A90BBA"/>
    <w:rsid w:val="00AA54EF"/>
    <w:rsid w:val="00AB24CF"/>
    <w:rsid w:val="00AC2852"/>
    <w:rsid w:val="00AC75D3"/>
    <w:rsid w:val="00AD30FB"/>
    <w:rsid w:val="00AD5B3A"/>
    <w:rsid w:val="00AF63F3"/>
    <w:rsid w:val="00B036D5"/>
    <w:rsid w:val="00B16C97"/>
    <w:rsid w:val="00B20FEB"/>
    <w:rsid w:val="00B35137"/>
    <w:rsid w:val="00B46F4C"/>
    <w:rsid w:val="00B53CB6"/>
    <w:rsid w:val="00B6056C"/>
    <w:rsid w:val="00B84704"/>
    <w:rsid w:val="00BE40CE"/>
    <w:rsid w:val="00BF1572"/>
    <w:rsid w:val="00C353DE"/>
    <w:rsid w:val="00C37100"/>
    <w:rsid w:val="00C50251"/>
    <w:rsid w:val="00C55A2C"/>
    <w:rsid w:val="00C81B36"/>
    <w:rsid w:val="00C869E8"/>
    <w:rsid w:val="00CB2041"/>
    <w:rsid w:val="00CC0DBA"/>
    <w:rsid w:val="00CC5E81"/>
    <w:rsid w:val="00CC70EB"/>
    <w:rsid w:val="00CC73FE"/>
    <w:rsid w:val="00CD4250"/>
    <w:rsid w:val="00CD4C3E"/>
    <w:rsid w:val="00CF2125"/>
    <w:rsid w:val="00D10D8C"/>
    <w:rsid w:val="00D41941"/>
    <w:rsid w:val="00D53521"/>
    <w:rsid w:val="00D614B5"/>
    <w:rsid w:val="00D83E53"/>
    <w:rsid w:val="00D85316"/>
    <w:rsid w:val="00D9349C"/>
    <w:rsid w:val="00DF05D4"/>
    <w:rsid w:val="00E07BB0"/>
    <w:rsid w:val="00E440B1"/>
    <w:rsid w:val="00E50A65"/>
    <w:rsid w:val="00E63B72"/>
    <w:rsid w:val="00E72C92"/>
    <w:rsid w:val="00E95B1B"/>
    <w:rsid w:val="00E96365"/>
    <w:rsid w:val="00EB06E1"/>
    <w:rsid w:val="00ED08DB"/>
    <w:rsid w:val="00F22986"/>
    <w:rsid w:val="00F231CE"/>
    <w:rsid w:val="00F31482"/>
    <w:rsid w:val="00F336FB"/>
    <w:rsid w:val="00F83A92"/>
    <w:rsid w:val="00F87CB6"/>
    <w:rsid w:val="00F915DC"/>
    <w:rsid w:val="00FB19F8"/>
    <w:rsid w:val="00FC2CA5"/>
    <w:rsid w:val="00FE3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A2AFE"/>
  <w15:chartTrackingRefBased/>
  <w15:docId w15:val="{8C80B127-B178-433F-8318-8B70EA01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21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B21A9"/>
    <w:rPr>
      <w:sz w:val="16"/>
      <w:szCs w:val="16"/>
    </w:rPr>
  </w:style>
  <w:style w:type="paragraph" w:styleId="CommentText">
    <w:name w:val="annotation text"/>
    <w:basedOn w:val="Normal"/>
    <w:link w:val="CommentTextChar"/>
    <w:uiPriority w:val="99"/>
    <w:semiHidden/>
    <w:unhideWhenUsed/>
    <w:rsid w:val="002B21A9"/>
    <w:pPr>
      <w:spacing w:line="240" w:lineRule="auto"/>
    </w:pPr>
    <w:rPr>
      <w:sz w:val="20"/>
      <w:szCs w:val="20"/>
    </w:rPr>
  </w:style>
  <w:style w:type="character" w:customStyle="1" w:styleId="CommentTextChar">
    <w:name w:val="Comment Text Char"/>
    <w:basedOn w:val="DefaultParagraphFont"/>
    <w:link w:val="CommentText"/>
    <w:uiPriority w:val="99"/>
    <w:semiHidden/>
    <w:rsid w:val="002B21A9"/>
    <w:rPr>
      <w:sz w:val="20"/>
      <w:szCs w:val="20"/>
    </w:rPr>
  </w:style>
  <w:style w:type="paragraph" w:styleId="BalloonText">
    <w:name w:val="Balloon Text"/>
    <w:basedOn w:val="Normal"/>
    <w:link w:val="BalloonTextChar"/>
    <w:uiPriority w:val="99"/>
    <w:semiHidden/>
    <w:unhideWhenUsed/>
    <w:rsid w:val="002B2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1A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B21A9"/>
    <w:rPr>
      <w:b/>
      <w:bCs/>
    </w:rPr>
  </w:style>
  <w:style w:type="character" w:customStyle="1" w:styleId="CommentSubjectChar">
    <w:name w:val="Comment Subject Char"/>
    <w:basedOn w:val="CommentTextChar"/>
    <w:link w:val="CommentSubject"/>
    <w:uiPriority w:val="99"/>
    <w:semiHidden/>
    <w:rsid w:val="002B21A9"/>
    <w:rPr>
      <w:b/>
      <w:bCs/>
      <w:sz w:val="20"/>
      <w:szCs w:val="20"/>
    </w:rPr>
  </w:style>
  <w:style w:type="paragraph" w:styleId="ListParagraph">
    <w:name w:val="List Paragraph"/>
    <w:basedOn w:val="Normal"/>
    <w:uiPriority w:val="34"/>
    <w:qFormat/>
    <w:rsid w:val="002B21A9"/>
    <w:pPr>
      <w:ind w:left="720"/>
      <w:contextualSpacing/>
    </w:pPr>
  </w:style>
  <w:style w:type="paragraph" w:customStyle="1" w:styleId="EndNoteBibliographyTitle">
    <w:name w:val="EndNote Bibliography Title"/>
    <w:basedOn w:val="Normal"/>
    <w:link w:val="EndNoteBibliographyTitleChar"/>
    <w:rsid w:val="002B21A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B21A9"/>
    <w:rPr>
      <w:rFonts w:ascii="Calibri" w:hAnsi="Calibri" w:cs="Calibri"/>
      <w:noProof/>
    </w:rPr>
  </w:style>
  <w:style w:type="paragraph" w:customStyle="1" w:styleId="EndNoteBibliography">
    <w:name w:val="EndNote Bibliography"/>
    <w:basedOn w:val="Normal"/>
    <w:link w:val="EndNoteBibliographyChar"/>
    <w:rsid w:val="002B21A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B21A9"/>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Pillay</dc:creator>
  <cp:keywords/>
  <dc:description/>
  <cp:lastModifiedBy>Jennifer Pillay</cp:lastModifiedBy>
  <cp:revision>2</cp:revision>
  <dcterms:created xsi:type="dcterms:W3CDTF">2024-07-02T23:20:00Z</dcterms:created>
  <dcterms:modified xsi:type="dcterms:W3CDTF">2024-07-03T02:13:00Z</dcterms:modified>
</cp:coreProperties>
</file>