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rPr>
          <w:lang w:val="en-GB"/>
        </w:rPr>
      </w:pPr>
      <w:r>
        <w:rPr>
          <w:lang w:val="en-GB"/>
        </w:rPr>
        <w:t xml:space="preserve">Supplemental material to: </w:t>
      </w:r>
    </w:p>
    <w:p>
      <w:pPr>
        <w:pStyle w:val="TextBody"/>
        <w:rPr>
          <w:lang w:val="en-GB"/>
        </w:rPr>
      </w:pPr>
      <w:r>
        <w:rPr>
          <w:lang w:val="en-GB"/>
        </w:rPr>
      </w:r>
    </w:p>
    <w:p>
      <w:pPr>
        <w:pStyle w:val="TextBody"/>
        <w:jc w:val="center"/>
        <w:rPr>
          <w:b/>
          <w:b/>
          <w:bCs/>
          <w:lang w:val="en-GB"/>
        </w:rPr>
      </w:pPr>
      <w:r>
        <w:rPr>
          <w:b/>
          <w:bCs/>
          <w:lang w:val="en-GB"/>
        </w:rPr>
        <w:t>The relationship between auditory steady-state response and behavioural audiometry in hearing estimation for hearing-impaired infants: a meta-analysis</w:t>
      </w:r>
    </w:p>
    <w:p>
      <w:pPr>
        <w:pStyle w:val="TextBody"/>
        <w:rPr>
          <w:lang w:val="en-GB"/>
        </w:rPr>
      </w:pPr>
      <w:r>
        <w:rPr>
          <w:lang w:val="en-GB"/>
        </w:rPr>
      </w:r>
    </w:p>
    <w:p>
      <w:pPr>
        <w:pStyle w:val="TextBody"/>
        <w:rPr>
          <w:lang w:val="en-GB"/>
        </w:rPr>
      </w:pPr>
      <w:r>
        <w:rPr>
          <w:lang w:val="en-GB"/>
        </w:rPr>
        <w:t>Xin Huang</w:t>
      </w:r>
      <w:r>
        <w:rPr>
          <w:vertAlign w:val="superscript"/>
          <w:lang w:val="en-GB"/>
        </w:rPr>
        <w:t>1</w:t>
      </w:r>
      <w:r>
        <w:rPr>
          <w:lang w:val="en-GB"/>
        </w:rPr>
        <w:t>, Karolina Kluk</w:t>
      </w:r>
      <w:r>
        <w:rPr>
          <w:vertAlign w:val="superscript"/>
          <w:lang w:val="en-GB"/>
        </w:rPr>
        <w:t>1</w:t>
      </w:r>
      <w:r>
        <w:rPr>
          <w:lang w:val="en-GB"/>
        </w:rPr>
        <w:t xml:space="preserve">, </w:t>
      </w:r>
      <w:r>
        <w:rPr>
          <w:lang w:val="en-GB"/>
        </w:rPr>
        <w:t>&amp; E</w:t>
      </w:r>
      <w:r>
        <w:rPr>
          <w:lang w:val="en-GB"/>
        </w:rPr>
        <w:t>manuele Perugia</w:t>
      </w:r>
      <w:r>
        <w:rPr>
          <w:vertAlign w:val="superscript"/>
          <w:lang w:val="en-GB"/>
        </w:rPr>
        <w:t>1</w:t>
      </w:r>
    </w:p>
    <w:p>
      <w:pPr>
        <w:pStyle w:val="TextBody"/>
        <w:rPr>
          <w:lang w:val="en-GB"/>
        </w:rPr>
      </w:pPr>
      <w:r>
        <w:rPr>
          <w:lang w:val="en-GB"/>
        </w:rPr>
      </w:r>
    </w:p>
    <w:p>
      <w:pPr>
        <w:pStyle w:val="TextBody"/>
        <w:rPr>
          <w:lang w:val="en-GB"/>
        </w:rPr>
      </w:pPr>
      <w:r>
        <w:rPr>
          <w:vertAlign w:val="superscript"/>
          <w:lang w:val="en-GB"/>
        </w:rPr>
        <w:t>1</w:t>
      </w:r>
      <w:r>
        <w:rPr>
          <w:lang w:val="en-GB"/>
        </w:rPr>
        <w:t>Manchester Centre for Audiology and Deafness (ManCAD), School of Health Sciences, Faculty of Biology, Medicine and Health, University of Manchester, UK</w:t>
      </w:r>
    </w:p>
    <w:p>
      <w:pPr>
        <w:pStyle w:val="TextBody"/>
        <w:rPr>
          <w:lang w:val="en-GB"/>
        </w:rPr>
      </w:pPr>
      <w:r>
        <w:rPr>
          <w:lang w:val="en-GB"/>
        </w:rPr>
      </w:r>
    </w:p>
    <w:p>
      <w:pPr>
        <w:pStyle w:val="TextBody"/>
        <w:rPr>
          <w:lang w:val="en-GB"/>
        </w:rPr>
      </w:pPr>
      <w:r>
        <w:rPr>
          <w:lang w:val="en-GB"/>
        </w:rPr>
        <w:t xml:space="preserve">Corresponding author: </w:t>
      </w:r>
    </w:p>
    <w:p>
      <w:pPr>
        <w:pStyle w:val="TextBody"/>
        <w:rPr>
          <w:lang w:val="en-GB"/>
        </w:rPr>
      </w:pPr>
      <w:r>
        <w:rPr>
          <w:lang w:val="en-GB"/>
        </w:rPr>
        <w:t xml:space="preserve">Dr </w:t>
      </w:r>
      <w:r>
        <w:rPr>
          <w:lang w:val="en-GB"/>
        </w:rPr>
        <w:t>Emanuele Perugia</w:t>
      </w:r>
    </w:p>
    <w:p>
      <w:pPr>
        <w:sectPr>
          <w:headerReference w:type="default" r:id="rId2"/>
          <w:type w:val="nextPage"/>
          <w:pgSz w:w="12240" w:h="15840"/>
          <w:pgMar w:left="1440" w:right="1440" w:gutter="0" w:header="720" w:top="1440" w:footer="0" w:bottom="1440"/>
          <w:pgNumType w:fmt="decimal"/>
          <w:formProt w:val="false"/>
          <w:textDirection w:val="lrTb"/>
          <w:docGrid w:type="default" w:linePitch="312" w:charSpace="0"/>
        </w:sectPr>
        <w:pStyle w:val="TextBody"/>
        <w:rPr>
          <w:lang w:val="en-GB"/>
        </w:rPr>
      </w:pPr>
      <w:r>
        <w:rPr>
          <w:lang w:val="en-GB"/>
        </w:rPr>
        <w:t>emanuele.perugia@manchester.ac.uk</w:t>
      </w:r>
    </w:p>
    <w:p>
      <w:pPr>
        <w:pStyle w:val="Normal"/>
        <w:spacing w:lineRule="auto" w:line="240"/>
        <w:rPr>
          <w:lang w:val="en-GB"/>
        </w:rPr>
      </w:pPr>
      <w:r>
        <w:rPr>
          <w:lang w:val="en-GB"/>
        </w:rPr>
      </w:r>
    </w:p>
    <w:p>
      <w:pPr>
        <w:pStyle w:val="Normal"/>
        <w:spacing w:lineRule="auto" w:line="240"/>
        <w:rPr>
          <w:lang w:val="en-GB"/>
        </w:rPr>
      </w:pPr>
      <w:r>
        <w:rPr>
          <w:lang w:val="en-GB"/>
        </w:rPr>
      </w:r>
    </w:p>
    <w:p>
      <w:pPr>
        <w:pStyle w:val="Normal"/>
        <w:spacing w:lineRule="auto" w:line="240"/>
        <w:rPr>
          <w:lang w:val="en-GB"/>
        </w:rPr>
      </w:pPr>
      <w:r>
        <w:rPr>
          <w:lang w:val="en-GB"/>
        </w:rPr>
      </w:r>
    </w:p>
    <w:p>
      <w:pPr>
        <w:pStyle w:val="Normal"/>
        <w:spacing w:lineRule="auto" w:line="240"/>
        <w:rPr>
          <w:lang w:val="en-GB"/>
        </w:rPr>
      </w:pPr>
      <w:r>
        <w:rPr>
          <w:b/>
          <w:lang w:val="en-GB"/>
        </w:rPr>
        <w:t>Table S1</w:t>
      </w:r>
      <w:r>
        <w:rPr>
          <w:lang w:val="en-GB"/>
        </w:rPr>
        <w:t>. The comparisons between the threshold differences for normal-hearing subjects in Casey &amp; Small (2014) and the differences for infants in the present meta-analysis.</w:t>
      </w:r>
    </w:p>
    <w:p>
      <w:pPr>
        <w:pStyle w:val="Normal"/>
        <w:spacing w:lineRule="auto" w:line="240"/>
        <w:rPr>
          <w:lang w:val="en-GB"/>
        </w:rPr>
      </w:pPr>
      <w:r>
        <w:rPr>
          <w:lang w:val="en-GB"/>
        </w:rPr>
      </w:r>
    </w:p>
    <w:tbl>
      <w:tblPr>
        <w:tblStyle w:val="TableGrid"/>
        <w:tblW w:w="1196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71"/>
        <w:gridCol w:w="1069"/>
        <w:gridCol w:w="1780"/>
        <w:gridCol w:w="910"/>
        <w:gridCol w:w="1580"/>
        <w:gridCol w:w="1549"/>
        <w:gridCol w:w="1532"/>
        <w:gridCol w:w="1571"/>
      </w:tblGrid>
      <w:tr>
        <w:trPr>
          <w:trHeight w:val="374" w:hRule="atLeast"/>
        </w:trPr>
        <w:tc>
          <w:tcPr>
            <w:tcW w:w="1971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Study</w:t>
            </w:r>
          </w:p>
        </w:tc>
        <w:tc>
          <w:tcPr>
            <w:tcW w:w="1069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Age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(years)</w:t>
            </w:r>
          </w:p>
        </w:tc>
        <w:tc>
          <w:tcPr>
            <w:tcW w:w="1780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Hearing</w:t>
            </w:r>
          </w:p>
        </w:tc>
        <w:tc>
          <w:tcPr>
            <w:tcW w:w="910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Test</w:t>
            </w:r>
          </w:p>
        </w:tc>
        <w:tc>
          <w:tcPr>
            <w:tcW w:w="6232" w:type="dxa"/>
            <w:gridSpan w:val="4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Threshold differences (mean ± 95 confident interval</w:t>
            </w:r>
            <w:r>
              <w:rPr>
                <w:rFonts w:eastAsia="Calibri" w:cs=""/>
                <w:b w:val="false"/>
                <w:bCs w:val="false"/>
                <w:kern w:val="0"/>
                <w:sz w:val="24"/>
                <w:szCs w:val="24"/>
                <w:lang w:val="en-GB" w:eastAsia="en-US" w:bidi="ar-SA"/>
              </w:rPr>
              <w:t>)</w:t>
            </w:r>
          </w:p>
        </w:tc>
      </w:tr>
      <w:tr>
        <w:trPr>
          <w:trHeight w:val="454" w:hRule="atLeast"/>
        </w:trPr>
        <w:tc>
          <w:tcPr>
            <w:tcW w:w="1971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r>
          </w:p>
        </w:tc>
        <w:tc>
          <w:tcPr>
            <w:tcW w:w="1069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r>
          </w:p>
        </w:tc>
        <w:tc>
          <w:tcPr>
            <w:tcW w:w="1780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r>
          </w:p>
        </w:tc>
        <w:tc>
          <w:tcPr>
            <w:tcW w:w="910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r>
          </w:p>
        </w:tc>
        <w:tc>
          <w:tcPr>
            <w:tcW w:w="1580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0.5 kHz</w:t>
            </w:r>
          </w:p>
        </w:tc>
        <w:tc>
          <w:tcPr>
            <w:tcW w:w="1549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1 kHz</w:t>
            </w:r>
          </w:p>
        </w:tc>
        <w:tc>
          <w:tcPr>
            <w:tcW w:w="1532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2 kHz</w:t>
            </w:r>
          </w:p>
        </w:tc>
        <w:tc>
          <w:tcPr>
            <w:tcW w:w="1571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4 kHz</w:t>
            </w:r>
          </w:p>
        </w:tc>
      </w:tr>
      <w:tr>
        <w:trPr>
          <w:trHeight w:val="750" w:hRule="atLeast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 xml:space="preserve">Casey &amp; Small </w:t>
              <w:br/>
              <w:t>(2014)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 xml:space="preserve">&lt;2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Normal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80Hz</w:t>
              <w:br/>
              <w:t>ASSR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 xml:space="preserve">22.0 ± 3.90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17.5 ± 9.41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14.5 ± 6.68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19.1 ± 10.58</w:t>
            </w:r>
          </w:p>
        </w:tc>
      </w:tr>
      <w:tr>
        <w:trPr>
          <w:trHeight w:val="74" w:hRule="atLeast"/>
        </w:trPr>
        <w:tc>
          <w:tcPr>
            <w:tcW w:w="197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Present</w:t>
            </w: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 xml:space="preserve">&lt;2 </w:t>
            </w:r>
          </w:p>
        </w:tc>
        <w:tc>
          <w:tcPr>
            <w:tcW w:w="178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TableContents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Combination</w:t>
            </w:r>
          </w:p>
        </w:tc>
        <w:tc>
          <w:tcPr>
            <w:tcW w:w="91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80Hz</w:t>
              <w:br/>
              <w:t>ASSR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9.24 ± 6.45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7.19 ± 4.02</w:t>
            </w:r>
          </w:p>
        </w:tc>
        <w:tc>
          <w:tcPr>
            <w:tcW w:w="153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6.35 ± 4.51</w:t>
            </w:r>
          </w:p>
        </w:tc>
        <w:tc>
          <w:tcPr>
            <w:tcW w:w="157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7.42 ± 5.40</w:t>
            </w:r>
          </w:p>
        </w:tc>
      </w:tr>
    </w:tbl>
    <w:p>
      <w:pPr>
        <w:pStyle w:val="Normal"/>
        <w:spacing w:lineRule="auto" w:line="240"/>
        <w:rPr>
          <w:lang w:val="en-GB"/>
        </w:rPr>
      </w:pPr>
      <w:r>
        <w:rPr>
          <w:lang w:val="en-GB"/>
        </w:rPr>
      </w:r>
    </w:p>
    <w:p>
      <w:pPr>
        <w:pStyle w:val="Normal"/>
        <w:spacing w:lineRule="auto" w:line="240"/>
        <w:rPr>
          <w:lang w:val="en-GB"/>
        </w:rPr>
      </w:pPr>
      <w:r>
        <w:rPr>
          <w:lang w:val="en-GB"/>
        </w:rPr>
      </w:r>
    </w:p>
    <w:p>
      <w:pPr>
        <w:pStyle w:val="Normal"/>
        <w:spacing w:lineRule="auto" w:line="240"/>
        <w:rPr>
          <w:lang w:val="en-GB"/>
        </w:rPr>
      </w:pPr>
      <w:r>
        <w:rPr>
          <w:lang w:val="en-GB"/>
        </w:rPr>
      </w:r>
    </w:p>
    <w:p>
      <w:pPr>
        <w:pStyle w:val="Normal"/>
        <w:spacing w:lineRule="auto" w:line="240"/>
        <w:rPr>
          <w:lang w:val="en-GB"/>
        </w:rPr>
      </w:pPr>
      <w:r>
        <w:rPr>
          <w:lang w:val="en-GB"/>
        </w:rPr>
      </w:r>
    </w:p>
    <w:p>
      <w:pPr>
        <w:pStyle w:val="Normal"/>
        <w:spacing w:lineRule="auto" w:line="240"/>
        <w:rPr>
          <w:lang w:val="en-GB"/>
        </w:rPr>
      </w:pPr>
      <w:r>
        <w:rPr>
          <w:lang w:val="en-GB"/>
        </w:rPr>
      </w:r>
    </w:p>
    <w:p>
      <w:pPr>
        <w:pStyle w:val="Normal"/>
        <w:spacing w:lineRule="auto" w:line="240"/>
        <w:rPr>
          <w:lang w:val="en-GB"/>
        </w:rPr>
      </w:pPr>
      <w:r>
        <w:rPr>
          <w:lang w:val="en-GB"/>
        </w:rPr>
      </w:r>
    </w:p>
    <w:p>
      <w:pPr>
        <w:pStyle w:val="Normal"/>
        <w:spacing w:lineRule="auto" w:line="240"/>
        <w:rPr>
          <w:lang w:val="en-GB"/>
        </w:rPr>
      </w:pPr>
      <w:r>
        <w:rPr>
          <w:b/>
          <w:lang w:val="en-GB"/>
        </w:rPr>
        <w:t>Table S2</w:t>
      </w:r>
      <w:r>
        <w:rPr>
          <w:lang w:val="en-GB"/>
        </w:rPr>
        <w:t>. The comparisons between the threshold differences for subjects in Tulumak et al. (2007) and the differences for infants in the present meta-analysis.</w:t>
      </w:r>
    </w:p>
    <w:p>
      <w:pPr>
        <w:pStyle w:val="Normal"/>
        <w:spacing w:lineRule="auto" w:line="240"/>
        <w:rPr>
          <w:lang w:val="en-GB"/>
        </w:rPr>
      </w:pPr>
      <w:r>
        <w:rPr>
          <w:lang w:val="en-GB"/>
        </w:rPr>
      </w:r>
    </w:p>
    <w:tbl>
      <w:tblPr>
        <w:tblStyle w:val="TableGrid"/>
        <w:tblW w:w="1233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00"/>
        <w:gridCol w:w="1042"/>
        <w:gridCol w:w="1741"/>
        <w:gridCol w:w="889"/>
        <w:gridCol w:w="1786"/>
        <w:gridCol w:w="1781"/>
        <w:gridCol w:w="1610"/>
        <w:gridCol w:w="1683"/>
      </w:tblGrid>
      <w:tr>
        <w:trPr>
          <w:trHeight w:val="374" w:hRule="atLeast"/>
        </w:trPr>
        <w:tc>
          <w:tcPr>
            <w:tcW w:w="1800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Study</w:t>
            </w:r>
          </w:p>
        </w:tc>
        <w:tc>
          <w:tcPr>
            <w:tcW w:w="1042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Age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(years)</w:t>
            </w:r>
          </w:p>
        </w:tc>
        <w:tc>
          <w:tcPr>
            <w:tcW w:w="1741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Hearing</w:t>
            </w:r>
          </w:p>
        </w:tc>
        <w:tc>
          <w:tcPr>
            <w:tcW w:w="889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Test</w:t>
            </w:r>
          </w:p>
        </w:tc>
        <w:tc>
          <w:tcPr>
            <w:tcW w:w="6860" w:type="dxa"/>
            <w:gridSpan w:val="4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b w:val="false"/>
                <w:bCs w:val="false"/>
                <w:kern w:val="0"/>
                <w:sz w:val="24"/>
                <w:szCs w:val="24"/>
                <w:lang w:val="en-GB" w:eastAsia="en-US" w:bidi="ar-SA"/>
              </w:rPr>
              <w:t>Threshold differences (mean ± 95 confident interval)</w:t>
            </w:r>
          </w:p>
        </w:tc>
      </w:tr>
      <w:tr>
        <w:trPr>
          <w:trHeight w:val="454" w:hRule="atLeast"/>
        </w:trPr>
        <w:tc>
          <w:tcPr>
            <w:tcW w:w="1800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r>
          </w:p>
        </w:tc>
        <w:tc>
          <w:tcPr>
            <w:tcW w:w="104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r>
          </w:p>
        </w:tc>
        <w:tc>
          <w:tcPr>
            <w:tcW w:w="1741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r>
          </w:p>
        </w:tc>
        <w:tc>
          <w:tcPr>
            <w:tcW w:w="889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r>
          </w:p>
        </w:tc>
        <w:tc>
          <w:tcPr>
            <w:tcW w:w="1786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0.5 kHz</w:t>
            </w:r>
          </w:p>
        </w:tc>
        <w:tc>
          <w:tcPr>
            <w:tcW w:w="1781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1 kHz</w:t>
            </w:r>
          </w:p>
        </w:tc>
        <w:tc>
          <w:tcPr>
            <w:tcW w:w="1610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2 kHz</w:t>
            </w:r>
          </w:p>
        </w:tc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4 kHz</w:t>
            </w:r>
          </w:p>
        </w:tc>
      </w:tr>
      <w:tr>
        <w:trPr>
          <w:trHeight w:val="750" w:hRule="atLeast"/>
        </w:trPr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 xml:space="preserve">Tlumak et al. </w:t>
              <w:br/>
              <w:t>(2007)</w:t>
            </w:r>
          </w:p>
        </w:tc>
        <w:tc>
          <w:tcPr>
            <w:tcW w:w="104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 xml:space="preserve">&gt;6 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Normal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80Hz</w:t>
              <w:br/>
              <w:t>ASSR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16.51 ± 1.25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12.97 ± 1.22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10.76 ± 1.01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15.09 ± 1.1</w:t>
            </w:r>
          </w:p>
        </w:tc>
      </w:tr>
      <w:tr>
        <w:trPr>
          <w:trHeight w:val="750" w:hRule="atLeast"/>
        </w:trPr>
        <w:tc>
          <w:tcPr>
            <w:tcW w:w="180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r>
          </w:p>
        </w:tc>
        <w:tc>
          <w:tcPr>
            <w:tcW w:w="104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Impaired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80Hz</w:t>
              <w:br/>
              <w:t>ASSR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14.46 ± 1.34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10.23 ± 1.29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8.57 ± 1.22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8.30 ± 1.31</w:t>
            </w:r>
          </w:p>
        </w:tc>
      </w:tr>
      <w:tr>
        <w:trPr>
          <w:trHeight w:val="74" w:hRule="atLeast"/>
        </w:trPr>
        <w:tc>
          <w:tcPr>
            <w:tcW w:w="180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Present</w:t>
            </w:r>
          </w:p>
        </w:tc>
        <w:tc>
          <w:tcPr>
            <w:tcW w:w="104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 xml:space="preserve">&lt;2 </w:t>
            </w:r>
          </w:p>
        </w:tc>
        <w:tc>
          <w:tcPr>
            <w:tcW w:w="174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TableContents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Combination</w:t>
            </w:r>
          </w:p>
        </w:tc>
        <w:tc>
          <w:tcPr>
            <w:tcW w:w="88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80Hz</w:t>
              <w:br/>
              <w:t>ASSR</w:t>
            </w:r>
          </w:p>
        </w:tc>
        <w:tc>
          <w:tcPr>
            <w:tcW w:w="1786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9.24 ± 6.45</w:t>
            </w:r>
          </w:p>
        </w:tc>
        <w:tc>
          <w:tcPr>
            <w:tcW w:w="178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7.19 ± 4.02</w:t>
            </w:r>
          </w:p>
        </w:tc>
        <w:tc>
          <w:tcPr>
            <w:tcW w:w="161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6.35 ± 4.51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en-GB" w:eastAsia="en-US" w:bidi="ar-SA"/>
              </w:rPr>
              <w:t>7.42 ± 5.40</w:t>
            </w:r>
          </w:p>
        </w:tc>
      </w:tr>
    </w:tbl>
    <w:p>
      <w:pPr>
        <w:pStyle w:val="Normal"/>
        <w:spacing w:lineRule="auto" w:line="240"/>
        <w:rPr>
          <w:lang w:val="en-GB"/>
        </w:rPr>
      </w:pPr>
      <w:r>
        <w:rPr>
          <w:lang w:val="en-GB"/>
        </w:rPr>
      </w:r>
    </w:p>
    <w:p>
      <w:pPr>
        <w:pStyle w:val="Normal"/>
        <w:spacing w:lineRule="auto" w:line="240"/>
        <w:rPr>
          <w:lang w:val="en-GB"/>
        </w:rPr>
      </w:pPr>
      <w:r>
        <w:rPr>
          <w:lang w:val="en-GB"/>
        </w:rPr>
      </w:r>
    </w:p>
    <w:p>
      <w:pPr>
        <w:pStyle w:val="Normal"/>
        <w:spacing w:lineRule="auto" w:line="240"/>
        <w:rPr>
          <w:lang w:val="en-GB"/>
        </w:rPr>
      </w:pPr>
      <w:r>
        <w:rPr>
          <w:lang w:val="en-GB"/>
        </w:rPr>
      </w:r>
    </w:p>
    <w:p>
      <w:pPr>
        <w:pStyle w:val="Normal"/>
        <w:spacing w:lineRule="auto" w:line="240"/>
        <w:rPr>
          <w:lang w:val="en-GB"/>
        </w:rPr>
      </w:pPr>
      <w:r>
        <w:rPr/>
      </w:r>
    </w:p>
    <w:sectPr>
      <w:headerReference w:type="default" r:id="rId3"/>
      <w:type w:val="nextPage"/>
      <w:pgSz w:orient="landscape" w:w="15840" w:h="122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Georgia">
    <w:charset w:val="01"/>
    <w:family w:val="roman"/>
    <w:pitch w:val="default"/>
  </w:font>
  <w:font w:name="Garamond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90ca3"/>
    <w:pPr>
      <w:widowControl/>
      <w:suppressAutoHyphens w:val="true"/>
      <w:bidi w:val="0"/>
      <w:spacing w:lineRule="auto" w:line="480" w:before="0" w:after="0"/>
      <w:jc w:val="left"/>
    </w:pPr>
    <w:rPr>
      <w:rFonts w:ascii="Georgia" w:hAnsi="Georgia" w:eastAsia="Calibri" w:cs="" w:cstheme="minorBidi" w:eastAsiaTheme="minorHAnsi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7ba1"/>
    <w:pPr>
      <w:keepNext w:val="true"/>
      <w:keepLines/>
      <w:spacing w:before="120" w:after="120"/>
      <w:outlineLvl w:val="0"/>
    </w:pPr>
    <w:rPr>
      <w:rFonts w:eastAsia="" w:cs="" w:cstheme="majorBidi" w:eastAsiaTheme="majorEastAsia"/>
      <w:b/>
      <w:cap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7ba1"/>
    <w:pPr>
      <w:keepNext w:val="true"/>
      <w:keepLines/>
      <w:spacing w:before="120" w:after="120"/>
      <w:outlineLvl w:val="1"/>
    </w:pPr>
    <w:rPr>
      <w:rFonts w:eastAsia="" w:cs="" w:cstheme="majorBidi" w:eastAsiaTheme="majorEastAsia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2b98"/>
    <w:pPr>
      <w:keepNext w:val="true"/>
      <w:keepLines/>
      <w:spacing w:before="240" w:after="120"/>
      <w:outlineLvl w:val="2"/>
    </w:pPr>
    <w:rPr>
      <w:rFonts w:eastAsia="" w:cs="" w:cstheme="majorBidi" w:eastAsiaTheme="majorEastAsia"/>
      <w:b/>
      <w:color w:val="000000" w:themeColor="text1"/>
      <w:sz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FootnoteTextChar" w:customStyle="1">
    <w:name w:val="Footnote Text Char"/>
    <w:basedOn w:val="DefaultParagraphFont"/>
    <w:link w:val="Footnote"/>
    <w:uiPriority w:val="99"/>
    <w:semiHidden/>
    <w:qFormat/>
    <w:rsid w:val="005b6eff"/>
    <w:rPr>
      <w:rFonts w:ascii="Garamond" w:hAnsi="Garamond"/>
      <w:sz w:val="20"/>
      <w:szCs w:val="20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5b6eff"/>
    <w:rPr>
      <w:rFonts w:ascii="Garamond" w:hAnsi="Garamond"/>
      <w:vertAlign w:val="superscript"/>
    </w:rPr>
  </w:style>
  <w:style w:type="character" w:styleId="FootnoteAnchor">
    <w:name w:val="Footnote Anchor"/>
    <w:rPr>
      <w:rFonts w:ascii="Garamond" w:hAnsi="Garamond"/>
      <w:vertAlign w:val="superscript"/>
    </w:rPr>
  </w:style>
  <w:style w:type="character" w:styleId="InternetLink">
    <w:name w:val="Hyperlink"/>
    <w:basedOn w:val="DefaultParagraphFont"/>
    <w:uiPriority w:val="99"/>
    <w:unhideWhenUsed/>
    <w:rsid w:val="003730cf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qFormat/>
    <w:rsid w:val="003730cf"/>
    <w:rPr>
      <w:color w:val="605E5C"/>
      <w:shd w:fill="E1DFDD" w:val="clear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3730cf"/>
    <w:rPr/>
  </w:style>
  <w:style w:type="character" w:styleId="Pagenumber">
    <w:name w:val="page number"/>
    <w:basedOn w:val="DefaultParagraphFont"/>
    <w:uiPriority w:val="99"/>
    <w:semiHidden/>
    <w:unhideWhenUsed/>
    <w:qFormat/>
    <w:rsid w:val="003730cf"/>
    <w:rPr/>
  </w:style>
  <w:style w:type="character" w:styleId="Linenumber">
    <w:name w:val="line number"/>
    <w:basedOn w:val="DefaultParagraphFont"/>
    <w:uiPriority w:val="99"/>
    <w:semiHidden/>
    <w:unhideWhenUsed/>
    <w:qFormat/>
    <w:rsid w:val="00281bf0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307ba1"/>
    <w:rPr>
      <w:rFonts w:ascii="Georgia" w:hAnsi="Georgia" w:eastAsia="" w:cs="" w:cstheme="majorBidi" w:eastAsiaTheme="majorEastAsia"/>
      <w:b/>
      <w:caps/>
      <w:color w:val="000000" w:themeColor="text1"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307ba1"/>
    <w:rPr>
      <w:rFonts w:ascii="Georgia" w:hAnsi="Georgia" w:eastAsia="" w:cs="" w:cstheme="majorBidi" w:eastAsiaTheme="majorEastAsia"/>
      <w:b/>
      <w:color w:val="000000" w:themeColor="text1"/>
      <w:sz w:val="28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42b98"/>
    <w:rPr>
      <w:rFonts w:ascii="Georgia" w:hAnsi="Georgia" w:eastAsia="" w:cs="" w:cstheme="majorBidi" w:eastAsiaTheme="majorEastAsia"/>
      <w:b/>
      <w:color w:val="000000" w:themeColor="text1"/>
      <w:sz w:val="2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cd6ca2"/>
    <w:rPr>
      <w:rFonts w:ascii="Times New Roman" w:hAnsi="Times New Roman" w:cs="Times New Roman"/>
      <w:sz w:val="18"/>
      <w:szCs w:val="18"/>
    </w:rPr>
  </w:style>
  <w:style w:type="character" w:styleId="EndnoteTextChar" w:customStyle="1">
    <w:name w:val="Endnote Text Char"/>
    <w:basedOn w:val="DefaultParagraphFont"/>
    <w:link w:val="Endnote"/>
    <w:uiPriority w:val="99"/>
    <w:semiHidden/>
    <w:qFormat/>
    <w:rsid w:val="00be1cca"/>
    <w:rPr>
      <w:rFonts w:ascii="Garamond" w:hAnsi="Garamond"/>
      <w:sz w:val="20"/>
      <w:szCs w:val="20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be1cca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VisitedInternetLink">
    <w:name w:val="FollowedHyperlink"/>
    <w:basedOn w:val="DefaultParagraphFont"/>
    <w:uiPriority w:val="99"/>
    <w:semiHidden/>
    <w:unhideWhenUsed/>
    <w:rsid w:val="00cd3730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qFormat/>
    <w:rsid w:val="00481a45"/>
    <w:rPr>
      <w:color w:val="808080"/>
    </w:rPr>
  </w:style>
  <w:style w:type="character" w:styleId="TitleChar" w:customStyle="1">
    <w:name w:val="Title Char"/>
    <w:basedOn w:val="DefaultParagraphFont"/>
    <w:link w:val="Title"/>
    <w:uiPriority w:val="10"/>
    <w:qFormat/>
    <w:rsid w:val="00890ca3"/>
    <w:rPr>
      <w:rFonts w:ascii="Georgia" w:hAnsi="Georgia" w:cs="Arial"/>
      <w:b/>
      <w:bCs/>
      <w:sz w:val="32"/>
    </w:rPr>
  </w:style>
  <w:style w:type="character" w:styleId="CommentTextChar" w:customStyle="1">
    <w:name w:val="Comment Text Char"/>
    <w:basedOn w:val="DefaultParagraphFont"/>
    <w:link w:val="Annotationtext"/>
    <w:uiPriority w:val="99"/>
    <w:semiHidden/>
    <w:qFormat/>
    <w:rsid w:val="005938a0"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938a0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76f23"/>
    <w:rPr>
      <w:color w:val="605E5C"/>
      <w:shd w:fill="E1DFDD" w:val="clear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9549ba"/>
    <w:rPr>
      <w:rFonts w:ascii="Georgia" w:hAnsi="Georgia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Georgia" w:hAnsi="Georgia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Georgia" w:hAnsi="Georgia"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Georgia" w:hAnsi="Georgia" w:cs="Lohit Devanagari"/>
    </w:rPr>
  </w:style>
  <w:style w:type="paragraph" w:styleId="Footnote">
    <w:name w:val="Footnote Text"/>
    <w:basedOn w:val="Normal"/>
    <w:link w:val="FootnoteTextChar"/>
    <w:uiPriority w:val="99"/>
    <w:semiHidden/>
    <w:unhideWhenUsed/>
    <w:rsid w:val="005b6eff"/>
    <w:pPr/>
    <w:rPr>
      <w:rFonts w:ascii="Garamond" w:hAnsi="Garamond"/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FooterChar"/>
    <w:uiPriority w:val="99"/>
    <w:unhideWhenUsed/>
    <w:rsid w:val="003730cf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d6ca2"/>
    <w:pPr/>
    <w:rPr>
      <w:rFonts w:ascii="Times New Roman" w:hAnsi="Times New Roman" w:cs="Times New Roman"/>
      <w:sz w:val="18"/>
      <w:szCs w:val="18"/>
    </w:rPr>
  </w:style>
  <w:style w:type="paragraph" w:styleId="Endnote">
    <w:name w:val="Endnote Text"/>
    <w:basedOn w:val="Normal"/>
    <w:link w:val="EndnoteTextChar"/>
    <w:uiPriority w:val="99"/>
    <w:semiHidden/>
    <w:unhideWhenUsed/>
    <w:rsid w:val="00be1cca"/>
    <w:pPr/>
    <w:rPr>
      <w:rFonts w:ascii="Garamond" w:hAnsi="Garamond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90ca3"/>
    <w:pPr/>
    <w:rPr>
      <w:rFonts w:cs="Arial"/>
      <w:b/>
      <w:bCs/>
      <w:sz w:val="32"/>
    </w:rPr>
  </w:style>
  <w:style w:type="paragraph" w:styleId="ListParagraph">
    <w:name w:val="List Paragraph"/>
    <w:basedOn w:val="Normal"/>
    <w:uiPriority w:val="34"/>
    <w:qFormat/>
    <w:rsid w:val="00c778e9"/>
    <w:pPr>
      <w:spacing w:before="0" w:after="0"/>
      <w:ind w:left="720" w:hanging="0"/>
      <w:contextualSpacing/>
    </w:pPr>
    <w:rPr/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5938a0"/>
    <w:pPr/>
    <w:rPr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qFormat/>
    <w:rsid w:val="0017311f"/>
    <w:pPr>
      <w:tabs>
        <w:tab w:val="clear" w:pos="720"/>
        <w:tab w:val="left" w:pos="264" w:leader="none"/>
      </w:tabs>
      <w:spacing w:lineRule="auto" w:line="240" w:before="0" w:after="240"/>
      <w:ind w:left="264" w:hanging="264"/>
    </w:pPr>
    <w:rPr/>
  </w:style>
  <w:style w:type="paragraph" w:styleId="Header">
    <w:name w:val="Header"/>
    <w:basedOn w:val="Normal"/>
    <w:link w:val="HeaderChar"/>
    <w:uiPriority w:val="99"/>
    <w:unhideWhenUsed/>
    <w:rsid w:val="009549ba"/>
    <w:pPr>
      <w:tabs>
        <w:tab w:val="clear" w:pos="720"/>
        <w:tab w:val="center" w:pos="4513" w:leader="none"/>
        <w:tab w:val="right" w:pos="9026" w:leader="none"/>
      </w:tabs>
      <w:spacing w:lineRule="auto" w:line="24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>
      <w:sz w:val="21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5d485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78FBB3-EDB8-479F-A577-843DDCB9D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JASA Word Template.dotx</Template>
  <TotalTime>503</TotalTime>
  <Application>LibreOffice/7.3.7.2$Linux_X86_64 LibreOffice_project/30$Build-2</Application>
  <AppVersion>15.0000</AppVersion>
  <Pages>3</Pages>
  <Words>232</Words>
  <Characters>1186</Characters>
  <CharactersWithSpaces>1361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2021-07-05T09:49:00Z</dcterms:created>
  <dc:creator>mbmhsep2</dc:creator>
  <dc:description/>
  <dc:language>en-GB</dc:language>
  <cp:lastModifiedBy>Emanuele Perugia</cp:lastModifiedBy>
  <dcterms:modified xsi:type="dcterms:W3CDTF">2024-10-01T15:40:33Z</dcterms:modified>
  <cp:revision>353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id="m7BxRQeZ"/&gt;&lt;style id="http://www.zotero.org/styles/bmj-open" hasBibliography="1" bibliographyStyleHasBeenSet="1"/&gt;&lt;prefs&gt;&lt;pref name="fieldType" value="Field"/&gt;&lt;/prefs&gt;&lt;/data&gt;</vt:lpwstr>
  </property>
</Properties>
</file>