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6F374" w14:textId="2A8E6F58" w:rsidR="004620A8" w:rsidRDefault="00945DCF" w:rsidP="00EA35C5">
      <w:pPr>
        <w:pStyle w:val="berschrift1"/>
        <w:spacing w:before="100" w:after="100"/>
        <w:rPr>
          <w:rFonts w:asciiTheme="majorHAnsi" w:hAnsiTheme="majorHAnsi" w:cstheme="majorHAnsi"/>
          <w:sz w:val="40"/>
          <w:szCs w:val="40"/>
          <w:lang w:val="en-GB"/>
        </w:rPr>
      </w:pPr>
      <w:r>
        <w:rPr>
          <w:rFonts w:asciiTheme="majorHAnsi" w:hAnsiTheme="majorHAnsi" w:cstheme="majorHAnsi"/>
          <w:sz w:val="40"/>
          <w:szCs w:val="40"/>
          <w:lang w:val="en-GB"/>
        </w:rPr>
        <w:t>Changes made to the information provided at registration</w:t>
      </w:r>
    </w:p>
    <w:p w14:paraId="3597F9AC" w14:textId="77777777" w:rsidR="00EA35C5" w:rsidRPr="00EA35C5" w:rsidRDefault="00EA35C5" w:rsidP="00EA35C5">
      <w:pPr>
        <w:rPr>
          <w:sz w:val="8"/>
          <w:szCs w:val="8"/>
          <w:lang w:val="en-GB"/>
        </w:rPr>
      </w:pPr>
    </w:p>
    <w:tbl>
      <w:tblPr>
        <w:tblStyle w:val="Tabellenraster"/>
        <w:tblW w:w="5021" w:type="pct"/>
        <w:tblLayout w:type="fixed"/>
        <w:tblLook w:val="04A0" w:firstRow="1" w:lastRow="0" w:firstColumn="1" w:lastColumn="0" w:noHBand="0" w:noVBand="1"/>
      </w:tblPr>
      <w:tblGrid>
        <w:gridCol w:w="1423"/>
        <w:gridCol w:w="4781"/>
        <w:gridCol w:w="3123"/>
      </w:tblGrid>
      <w:tr w:rsidR="008E212D" w14:paraId="1B2C4594" w14:textId="77777777" w:rsidTr="00103447">
        <w:tc>
          <w:tcPr>
            <w:tcW w:w="1423" w:type="dxa"/>
            <w:vAlign w:val="center"/>
          </w:tcPr>
          <w:p w14:paraId="200AA262" w14:textId="77777777" w:rsidR="008E212D" w:rsidRDefault="00945DCF">
            <w:pPr>
              <w:spacing w:after="0" w:line="240" w:lineRule="auto"/>
              <w:rPr>
                <w:rFonts w:cstheme="minorHAnsi"/>
                <w:b/>
              </w:rPr>
            </w:pPr>
            <w:r>
              <w:rPr>
                <w:rFonts w:eastAsia="Calibri" w:cstheme="minorHAnsi"/>
                <w:b/>
              </w:rPr>
              <w:t>Domain</w:t>
            </w:r>
          </w:p>
        </w:tc>
        <w:tc>
          <w:tcPr>
            <w:tcW w:w="4781" w:type="dxa"/>
            <w:vAlign w:val="center"/>
          </w:tcPr>
          <w:p w14:paraId="53043D14" w14:textId="77777777" w:rsidR="008E212D" w:rsidRDefault="00945DCF">
            <w:pPr>
              <w:spacing w:after="0" w:line="240" w:lineRule="auto"/>
              <w:rPr>
                <w:rFonts w:cstheme="minorHAnsi"/>
                <w:b/>
              </w:rPr>
            </w:pPr>
            <w:r>
              <w:rPr>
                <w:rFonts w:eastAsia="Calibri" w:cstheme="minorHAnsi"/>
                <w:b/>
              </w:rPr>
              <w:t>Change</w:t>
            </w:r>
          </w:p>
        </w:tc>
        <w:tc>
          <w:tcPr>
            <w:tcW w:w="3123" w:type="dxa"/>
            <w:vAlign w:val="center"/>
          </w:tcPr>
          <w:p w14:paraId="64A7F9F0" w14:textId="77777777" w:rsidR="008E212D" w:rsidRDefault="00945DCF">
            <w:pPr>
              <w:spacing w:after="0" w:line="240" w:lineRule="auto"/>
              <w:rPr>
                <w:rFonts w:cstheme="minorHAnsi"/>
                <w:b/>
              </w:rPr>
            </w:pPr>
            <w:r>
              <w:rPr>
                <w:rFonts w:eastAsia="Calibri" w:cstheme="minorHAnsi"/>
                <w:b/>
              </w:rPr>
              <w:t>Explanation</w:t>
            </w:r>
          </w:p>
        </w:tc>
      </w:tr>
      <w:tr w:rsidR="008E212D" w:rsidRPr="002B7E95" w14:paraId="64413F32" w14:textId="77777777" w:rsidTr="0041741A">
        <w:tc>
          <w:tcPr>
            <w:tcW w:w="1423" w:type="dxa"/>
            <w:vAlign w:val="center"/>
          </w:tcPr>
          <w:p w14:paraId="0C760CFF" w14:textId="77777777" w:rsidR="008E212D" w:rsidRDefault="00945DCF">
            <w:pPr>
              <w:spacing w:after="0" w:line="240" w:lineRule="auto"/>
              <w:rPr>
                <w:rFonts w:cstheme="minorHAnsi"/>
                <w:b/>
              </w:rPr>
            </w:pPr>
            <w:r>
              <w:rPr>
                <w:rFonts w:eastAsia="Calibri" w:cstheme="minorHAnsi"/>
                <w:b/>
              </w:rPr>
              <w:t>Title</w:t>
            </w:r>
          </w:p>
        </w:tc>
        <w:tc>
          <w:tcPr>
            <w:tcW w:w="4781" w:type="dxa"/>
          </w:tcPr>
          <w:p w14:paraId="4D00D55A" w14:textId="77777777" w:rsidR="008E212D" w:rsidRDefault="00945DCF" w:rsidP="0041741A">
            <w:pPr>
              <w:spacing w:after="0" w:line="240" w:lineRule="auto"/>
              <w:rPr>
                <w:rFonts w:eastAsia="Calibri" w:cstheme="minorHAnsi"/>
              </w:rPr>
            </w:pPr>
            <w:r>
              <w:rPr>
                <w:rFonts w:eastAsia="Calibri" w:cstheme="minorHAnsi"/>
              </w:rPr>
              <w:t>“inappropriate” was changed to “low-value”</w:t>
            </w:r>
          </w:p>
          <w:p w14:paraId="3983AF5F" w14:textId="77777777" w:rsidR="00CD76FA" w:rsidRDefault="00CD76FA" w:rsidP="0041741A">
            <w:pPr>
              <w:spacing w:after="0" w:line="240" w:lineRule="auto"/>
              <w:rPr>
                <w:rFonts w:eastAsia="Calibri" w:cstheme="minorHAnsi"/>
              </w:rPr>
            </w:pPr>
          </w:p>
          <w:p w14:paraId="7976C689" w14:textId="77777777" w:rsidR="00CD76FA" w:rsidRDefault="00CD76FA" w:rsidP="0041741A">
            <w:pPr>
              <w:spacing w:after="0" w:line="240" w:lineRule="auto"/>
              <w:rPr>
                <w:rFonts w:eastAsia="Calibri" w:cstheme="minorHAnsi"/>
              </w:rPr>
            </w:pPr>
          </w:p>
          <w:p w14:paraId="597BAEE4" w14:textId="77777777" w:rsidR="00CD76FA" w:rsidRDefault="00CD76FA" w:rsidP="00CD76FA">
            <w:pPr>
              <w:spacing w:after="0" w:line="240" w:lineRule="auto"/>
              <w:rPr>
                <w:rFonts w:eastAsia="Calibri" w:cstheme="minorHAnsi"/>
              </w:rPr>
            </w:pPr>
            <w:r>
              <w:rPr>
                <w:rFonts w:eastAsia="Calibri" w:cstheme="minorHAnsi"/>
              </w:rPr>
              <w:t>“</w:t>
            </w:r>
            <w:proofErr w:type="gramStart"/>
            <w:r>
              <w:rPr>
                <w:rFonts w:eastAsia="Calibri" w:cstheme="minorHAnsi"/>
              </w:rPr>
              <w:t>an</w:t>
            </w:r>
            <w:proofErr w:type="gramEnd"/>
            <w:r>
              <w:rPr>
                <w:rFonts w:eastAsia="Calibri" w:cstheme="minorHAnsi"/>
              </w:rPr>
              <w:t xml:space="preserve"> update of” was removed</w:t>
            </w:r>
          </w:p>
          <w:p w14:paraId="699C9041" w14:textId="78F13EA3" w:rsidR="0041741A" w:rsidRDefault="00CD76FA" w:rsidP="00CD76FA">
            <w:pPr>
              <w:spacing w:after="0" w:line="240" w:lineRule="auto"/>
              <w:rPr>
                <w:rFonts w:eastAsia="Calibri" w:cstheme="minorHAnsi"/>
              </w:rPr>
            </w:pPr>
            <w:r>
              <w:rPr>
                <w:rFonts w:eastAsia="Calibri" w:cstheme="minorHAnsi"/>
              </w:rPr>
              <w:t>“Effectiveness” was changed to “Effectiveness and mechanisms”</w:t>
            </w:r>
          </w:p>
          <w:p w14:paraId="27DD3807" w14:textId="6160882C" w:rsidR="0041741A" w:rsidRPr="00103447" w:rsidRDefault="0041741A" w:rsidP="0041741A">
            <w:pPr>
              <w:spacing w:after="0" w:line="240" w:lineRule="auto"/>
              <w:rPr>
                <w:rFonts w:cstheme="minorHAnsi"/>
                <w:lang w:val="en-US"/>
              </w:rPr>
            </w:pPr>
          </w:p>
        </w:tc>
        <w:tc>
          <w:tcPr>
            <w:tcW w:w="3123" w:type="dxa"/>
          </w:tcPr>
          <w:p w14:paraId="74478E5B" w14:textId="77777777" w:rsidR="008E212D" w:rsidRDefault="00945DCF" w:rsidP="0041741A">
            <w:pPr>
              <w:spacing w:after="0" w:line="240" w:lineRule="auto"/>
              <w:rPr>
                <w:rFonts w:eastAsia="Calibri" w:cstheme="minorHAnsi"/>
                <w:color w:val="000000" w:themeColor="text1"/>
              </w:rPr>
            </w:pPr>
            <w:r>
              <w:rPr>
                <w:rFonts w:eastAsia="Calibri" w:cstheme="minorHAnsi"/>
                <w:color w:val="000000" w:themeColor="text1"/>
              </w:rPr>
              <w:t xml:space="preserve">Low-value corresponds to the wording in current research. </w:t>
            </w:r>
          </w:p>
          <w:p w14:paraId="766EAE63" w14:textId="77777777" w:rsidR="00CD76FA" w:rsidRDefault="00CD76FA" w:rsidP="0041741A">
            <w:pPr>
              <w:spacing w:after="0" w:line="240" w:lineRule="auto"/>
              <w:rPr>
                <w:rFonts w:eastAsia="Calibri" w:cstheme="minorHAnsi"/>
                <w:color w:val="000000" w:themeColor="text1"/>
              </w:rPr>
            </w:pPr>
          </w:p>
          <w:p w14:paraId="0D62D80C" w14:textId="383D8297" w:rsidR="0041741A" w:rsidRDefault="00CD76FA" w:rsidP="0041741A">
            <w:pPr>
              <w:spacing w:after="0" w:line="240" w:lineRule="auto"/>
              <w:rPr>
                <w:rFonts w:eastAsia="Calibri" w:cstheme="minorHAnsi"/>
                <w:color w:val="000000" w:themeColor="text1"/>
              </w:rPr>
            </w:pPr>
            <w:r>
              <w:rPr>
                <w:rFonts w:eastAsia="Calibri" w:cstheme="minorHAnsi"/>
                <w:color w:val="000000" w:themeColor="text1"/>
              </w:rPr>
              <w:t>Framing as new systematic review and inclusion of mechanisms due to reviewer suggestions to clarify the method and aim</w:t>
            </w:r>
          </w:p>
          <w:p w14:paraId="6CBB3085" w14:textId="48A9A9B3" w:rsidR="0041741A" w:rsidRPr="00103447" w:rsidRDefault="0041741A" w:rsidP="0041741A">
            <w:pPr>
              <w:spacing w:after="0" w:line="240" w:lineRule="auto"/>
              <w:rPr>
                <w:rFonts w:cstheme="minorHAnsi"/>
                <w:color w:val="000000" w:themeColor="text1"/>
                <w:lang w:val="en-US"/>
              </w:rPr>
            </w:pPr>
          </w:p>
        </w:tc>
      </w:tr>
      <w:tr w:rsidR="008E212D" w:rsidRPr="002B7E95" w14:paraId="0286A43F" w14:textId="77777777" w:rsidTr="00103447">
        <w:tc>
          <w:tcPr>
            <w:tcW w:w="1423" w:type="dxa"/>
            <w:vAlign w:val="center"/>
          </w:tcPr>
          <w:p w14:paraId="36225C1F" w14:textId="77777777" w:rsidR="008E212D" w:rsidRDefault="00945DCF">
            <w:pPr>
              <w:spacing w:after="0" w:line="240" w:lineRule="auto"/>
              <w:rPr>
                <w:rFonts w:cstheme="minorHAnsi"/>
                <w:b/>
              </w:rPr>
            </w:pPr>
            <w:r>
              <w:rPr>
                <w:rFonts w:eastAsia="Calibri" w:cstheme="minorHAnsi"/>
                <w:b/>
              </w:rPr>
              <w:t>Research team</w:t>
            </w:r>
          </w:p>
        </w:tc>
        <w:tc>
          <w:tcPr>
            <w:tcW w:w="4781" w:type="dxa"/>
            <w:vAlign w:val="center"/>
          </w:tcPr>
          <w:p w14:paraId="5F34EDDF" w14:textId="77777777" w:rsidR="008E212D" w:rsidRPr="00103447" w:rsidRDefault="00945DCF">
            <w:pPr>
              <w:spacing w:after="0" w:line="240" w:lineRule="auto"/>
              <w:rPr>
                <w:rFonts w:cstheme="minorHAnsi"/>
                <w:lang w:val="en-US"/>
              </w:rPr>
            </w:pPr>
            <w:r>
              <w:rPr>
                <w:rFonts w:eastAsia="Calibri" w:cstheme="minorHAnsi"/>
              </w:rPr>
              <w:t>The research team was extended to involve a researcher with expert knowledge in evidence synthesis of reviews (GG).</w:t>
            </w:r>
          </w:p>
        </w:tc>
        <w:tc>
          <w:tcPr>
            <w:tcW w:w="3123" w:type="dxa"/>
            <w:vAlign w:val="center"/>
          </w:tcPr>
          <w:p w14:paraId="0C967156" w14:textId="77777777" w:rsidR="008E212D" w:rsidRPr="00103447" w:rsidRDefault="00945DCF">
            <w:pPr>
              <w:spacing w:after="0" w:line="240" w:lineRule="auto"/>
              <w:rPr>
                <w:rFonts w:cstheme="minorHAnsi"/>
                <w:lang w:val="en-US"/>
              </w:rPr>
            </w:pPr>
            <w:r>
              <w:rPr>
                <w:rFonts w:eastAsia="Calibri" w:cstheme="minorHAnsi"/>
                <w:color w:val="000000" w:themeColor="text1"/>
              </w:rPr>
              <w:t>We made additions to the team to increase the team’s methodological expertise.</w:t>
            </w:r>
          </w:p>
        </w:tc>
      </w:tr>
      <w:tr w:rsidR="008E212D" w:rsidRPr="002B7E95" w14:paraId="20F72DF1" w14:textId="77777777" w:rsidTr="00103447">
        <w:tc>
          <w:tcPr>
            <w:tcW w:w="1423" w:type="dxa"/>
            <w:vAlign w:val="center"/>
          </w:tcPr>
          <w:p w14:paraId="0257BA9D" w14:textId="77777777" w:rsidR="008E212D" w:rsidRDefault="00945DCF">
            <w:pPr>
              <w:spacing w:after="0" w:line="240" w:lineRule="auto"/>
              <w:rPr>
                <w:rFonts w:cstheme="minorHAnsi"/>
                <w:b/>
                <w:bCs/>
                <w:color w:val="000000" w:themeColor="text1"/>
              </w:rPr>
            </w:pPr>
            <w:r>
              <w:rPr>
                <w:rFonts w:eastAsia="Calibri" w:cstheme="minorHAnsi"/>
                <w:b/>
                <w:bCs/>
                <w:color w:val="000000" w:themeColor="text1"/>
              </w:rPr>
              <w:t>Dates</w:t>
            </w:r>
          </w:p>
        </w:tc>
        <w:tc>
          <w:tcPr>
            <w:tcW w:w="4781" w:type="dxa"/>
            <w:vAlign w:val="center"/>
          </w:tcPr>
          <w:p w14:paraId="7A9ED594" w14:textId="77777777" w:rsidR="008E212D" w:rsidRPr="00103447" w:rsidRDefault="00945DCF">
            <w:pPr>
              <w:spacing w:after="0" w:line="240" w:lineRule="auto"/>
              <w:rPr>
                <w:rFonts w:cstheme="minorHAnsi"/>
                <w:lang w:val="en-US"/>
              </w:rPr>
            </w:pPr>
            <w:r>
              <w:rPr>
                <w:rFonts w:eastAsia="Calibri" w:cstheme="minorHAnsi"/>
              </w:rPr>
              <w:t>The completion date has been adjusted from 31 March 2024 to 30 September 2024.</w:t>
            </w:r>
          </w:p>
        </w:tc>
        <w:tc>
          <w:tcPr>
            <w:tcW w:w="3123" w:type="dxa"/>
            <w:vAlign w:val="center"/>
          </w:tcPr>
          <w:p w14:paraId="3A74769D" w14:textId="77777777" w:rsidR="008E212D" w:rsidRPr="00103447" w:rsidRDefault="00945DCF">
            <w:pPr>
              <w:spacing w:after="0" w:line="240" w:lineRule="auto"/>
              <w:rPr>
                <w:rFonts w:cstheme="minorHAnsi"/>
                <w:lang w:val="en-US"/>
              </w:rPr>
            </w:pPr>
            <w:r>
              <w:rPr>
                <w:rFonts w:eastAsia="Calibri" w:cstheme="minorHAnsi"/>
              </w:rPr>
              <w:t xml:space="preserve">The comprehensive data extraction, synthesis, and assessment of all studies, including both newly identified and previously included studies, required more time than initially anticipated. </w:t>
            </w:r>
          </w:p>
        </w:tc>
      </w:tr>
      <w:tr w:rsidR="008E212D" w:rsidRPr="002B7E95" w14:paraId="767CA22D" w14:textId="77777777" w:rsidTr="00103447">
        <w:tc>
          <w:tcPr>
            <w:tcW w:w="1423" w:type="dxa"/>
            <w:vAlign w:val="center"/>
          </w:tcPr>
          <w:p w14:paraId="45AA4646" w14:textId="77777777" w:rsidR="008E212D" w:rsidRDefault="00945DCF">
            <w:pPr>
              <w:spacing w:after="0" w:line="240" w:lineRule="auto"/>
              <w:rPr>
                <w:rFonts w:cstheme="minorHAnsi"/>
                <w:b/>
              </w:rPr>
            </w:pPr>
            <w:r>
              <w:rPr>
                <w:rFonts w:eastAsia="Calibri" w:cstheme="minorHAnsi"/>
                <w:b/>
                <w:bCs/>
                <w:color w:val="000000" w:themeColor="text1"/>
              </w:rPr>
              <w:t>Data extraction</w:t>
            </w:r>
          </w:p>
        </w:tc>
        <w:tc>
          <w:tcPr>
            <w:tcW w:w="4781" w:type="dxa"/>
            <w:vAlign w:val="center"/>
          </w:tcPr>
          <w:p w14:paraId="3056CF76" w14:textId="77777777" w:rsidR="008E212D" w:rsidRPr="00103447" w:rsidRDefault="00945DCF">
            <w:pPr>
              <w:shd w:val="clear" w:color="auto" w:fill="FFFFFF"/>
              <w:spacing w:after="0" w:line="240" w:lineRule="auto"/>
              <w:rPr>
                <w:rFonts w:cstheme="minorHAnsi"/>
                <w:lang w:val="en-US"/>
              </w:rPr>
            </w:pPr>
            <w:r>
              <w:rPr>
                <w:rFonts w:eastAsia="Times New Roman" w:cstheme="minorHAnsi"/>
                <w:lang w:eastAsia="de-DE"/>
              </w:rPr>
              <w:t>We did not restrict data extraction to a specific number of studies per reviewer. Instead, both reviewers (CP, MH) independently extracted data from all included studies. Consequently, we did not calculate agreement between reviewers following calibration as originally planned.</w:t>
            </w:r>
          </w:p>
        </w:tc>
        <w:tc>
          <w:tcPr>
            <w:tcW w:w="3123" w:type="dxa"/>
            <w:vAlign w:val="center"/>
          </w:tcPr>
          <w:p w14:paraId="0D61A827" w14:textId="77777777" w:rsidR="008E212D" w:rsidRPr="00103447" w:rsidRDefault="00945DCF">
            <w:pPr>
              <w:spacing w:after="0" w:line="240" w:lineRule="auto"/>
              <w:rPr>
                <w:rFonts w:cstheme="minorHAnsi"/>
                <w:lang w:val="en-US"/>
              </w:rPr>
            </w:pPr>
            <w:r>
              <w:rPr>
                <w:rFonts w:eastAsia="Calibri" w:cstheme="minorHAnsi"/>
              </w:rPr>
              <w:t>We wanted to ensure a thorough and consistent data extraction process across all studies.</w:t>
            </w:r>
          </w:p>
        </w:tc>
      </w:tr>
      <w:tr w:rsidR="008E212D" w:rsidRPr="002B7E95" w14:paraId="407370FE" w14:textId="77777777" w:rsidTr="00103447">
        <w:tc>
          <w:tcPr>
            <w:tcW w:w="1423" w:type="dxa"/>
            <w:vAlign w:val="center"/>
          </w:tcPr>
          <w:p w14:paraId="26669987" w14:textId="77777777" w:rsidR="008E212D" w:rsidRDefault="00945DCF">
            <w:pPr>
              <w:spacing w:after="0" w:line="240" w:lineRule="auto"/>
              <w:rPr>
                <w:rFonts w:cstheme="minorHAnsi"/>
                <w:b/>
                <w:bCs/>
                <w:color w:val="000000" w:themeColor="text1"/>
              </w:rPr>
            </w:pPr>
            <w:r>
              <w:rPr>
                <w:rFonts w:eastAsia="Calibri" w:cstheme="minorHAnsi"/>
                <w:b/>
                <w:bCs/>
                <w:color w:val="000000" w:themeColor="text1"/>
              </w:rPr>
              <w:t>Data items</w:t>
            </w:r>
          </w:p>
        </w:tc>
        <w:tc>
          <w:tcPr>
            <w:tcW w:w="4781" w:type="dxa"/>
            <w:vAlign w:val="center"/>
          </w:tcPr>
          <w:p w14:paraId="491C8937" w14:textId="77777777" w:rsidR="008E212D" w:rsidRPr="00103447" w:rsidRDefault="00945DCF">
            <w:pPr>
              <w:spacing w:after="0" w:line="240" w:lineRule="auto"/>
              <w:rPr>
                <w:rFonts w:eastAsia="Times New Roman" w:cstheme="minorHAnsi"/>
                <w:lang w:val="en-US" w:eastAsia="de-DE"/>
              </w:rPr>
            </w:pPr>
            <w:r>
              <w:rPr>
                <w:rFonts w:eastAsia="Times New Roman" w:cstheme="minorHAnsi"/>
                <w:lang w:eastAsia="de-DE"/>
              </w:rPr>
              <w:t>Instead of classifying the setting as primary care or hospital, we used the following categories: inpatient care, outpatient care, emergency department.</w:t>
            </w:r>
          </w:p>
        </w:tc>
        <w:tc>
          <w:tcPr>
            <w:tcW w:w="3123" w:type="dxa"/>
            <w:vAlign w:val="center"/>
          </w:tcPr>
          <w:p w14:paraId="66C8CD28" w14:textId="77777777" w:rsidR="008E212D" w:rsidRPr="00103447" w:rsidRDefault="00945DCF">
            <w:pPr>
              <w:spacing w:after="0" w:line="240" w:lineRule="auto"/>
              <w:rPr>
                <w:rFonts w:cstheme="minorHAnsi"/>
                <w:color w:val="000000" w:themeColor="text1"/>
                <w:lang w:val="en-US"/>
              </w:rPr>
            </w:pPr>
            <w:r>
              <w:rPr>
                <w:rFonts w:eastAsia="Calibri" w:cstheme="minorHAnsi"/>
              </w:rPr>
              <w:t>This change was made to provide a more detailed and precise categorisation of the settings.</w:t>
            </w:r>
          </w:p>
        </w:tc>
      </w:tr>
      <w:tr w:rsidR="008E212D" w:rsidRPr="002B7E95" w14:paraId="54B9FC1F" w14:textId="77777777" w:rsidTr="00103447">
        <w:tc>
          <w:tcPr>
            <w:tcW w:w="1423" w:type="dxa"/>
            <w:vAlign w:val="center"/>
          </w:tcPr>
          <w:p w14:paraId="27C2849C" w14:textId="77777777" w:rsidR="008E212D" w:rsidRDefault="00945DCF">
            <w:pPr>
              <w:spacing w:after="0" w:line="240" w:lineRule="auto"/>
              <w:rPr>
                <w:rFonts w:cstheme="minorHAnsi"/>
                <w:b/>
              </w:rPr>
            </w:pPr>
            <w:r>
              <w:rPr>
                <w:rFonts w:eastAsia="Calibri" w:cstheme="minorHAnsi"/>
                <w:b/>
              </w:rPr>
              <w:t>Risk of bias assessment</w:t>
            </w:r>
          </w:p>
        </w:tc>
        <w:tc>
          <w:tcPr>
            <w:tcW w:w="4781" w:type="dxa"/>
            <w:vAlign w:val="center"/>
          </w:tcPr>
          <w:p w14:paraId="6C662152" w14:textId="77777777" w:rsidR="008E212D" w:rsidRPr="00103447" w:rsidRDefault="00945DCF">
            <w:pPr>
              <w:spacing w:after="0" w:line="240" w:lineRule="auto"/>
              <w:rPr>
                <w:rFonts w:cstheme="minorHAnsi"/>
                <w:lang w:val="en-US"/>
              </w:rPr>
            </w:pPr>
            <w:r>
              <w:rPr>
                <w:rFonts w:eastAsia="Times New Roman" w:cstheme="minorHAnsi"/>
                <w:lang w:eastAsia="de-DE"/>
              </w:rPr>
              <w:t>We did not restrict risk of bias assessment to a specific number of studies per reviewer. Instead, both reviewers (CP, MH) independently assessed the risk of bias for all included studies. Consequently, we did not calculate agreement between reviewers as originally planned.</w:t>
            </w:r>
          </w:p>
        </w:tc>
        <w:tc>
          <w:tcPr>
            <w:tcW w:w="3123" w:type="dxa"/>
            <w:vAlign w:val="center"/>
          </w:tcPr>
          <w:p w14:paraId="25194006" w14:textId="77777777" w:rsidR="008E212D" w:rsidRPr="00103447" w:rsidRDefault="00945DCF">
            <w:pPr>
              <w:shd w:val="clear" w:color="auto" w:fill="FFFFFF"/>
              <w:spacing w:after="0" w:line="240" w:lineRule="auto"/>
              <w:rPr>
                <w:rFonts w:cstheme="minorHAnsi"/>
                <w:lang w:val="en-US"/>
              </w:rPr>
            </w:pPr>
            <w:r>
              <w:rPr>
                <w:rFonts w:eastAsia="Calibri" w:cstheme="minorHAnsi"/>
              </w:rPr>
              <w:t>We wanted to ensure a more comprehensive and consistent assessment of risk of bias across all studies.</w:t>
            </w:r>
          </w:p>
        </w:tc>
      </w:tr>
      <w:tr w:rsidR="008E212D" w:rsidRPr="002B7E95" w14:paraId="44A77676" w14:textId="77777777" w:rsidTr="00103447">
        <w:tc>
          <w:tcPr>
            <w:tcW w:w="1423" w:type="dxa"/>
            <w:vAlign w:val="center"/>
          </w:tcPr>
          <w:p w14:paraId="7E0A1836" w14:textId="77777777" w:rsidR="008E212D" w:rsidRDefault="00945DCF">
            <w:pPr>
              <w:spacing w:after="0" w:line="240" w:lineRule="auto"/>
              <w:rPr>
                <w:rFonts w:cstheme="minorHAnsi"/>
              </w:rPr>
            </w:pPr>
            <w:r>
              <w:rPr>
                <w:rFonts w:eastAsia="Calibri" w:cstheme="minorHAnsi"/>
                <w:b/>
              </w:rPr>
              <w:t>Data synthesis</w:t>
            </w:r>
          </w:p>
        </w:tc>
        <w:tc>
          <w:tcPr>
            <w:tcW w:w="4781" w:type="dxa"/>
            <w:vAlign w:val="center"/>
          </w:tcPr>
          <w:p w14:paraId="644FBF7C" w14:textId="77777777" w:rsidR="008E212D" w:rsidRPr="00103447" w:rsidRDefault="00945DCF">
            <w:pPr>
              <w:spacing w:after="0" w:line="240" w:lineRule="auto"/>
              <w:rPr>
                <w:rFonts w:cstheme="minorHAnsi"/>
                <w:lang w:val="en-US"/>
              </w:rPr>
            </w:pPr>
            <w:r>
              <w:rPr>
                <w:rFonts w:eastAsia="Calibri" w:cstheme="minorHAnsi"/>
              </w:rPr>
              <w:t xml:space="preserve">We categorised the interventions according to the existing typology of behaviour change intervention types described in the protocol. Additionally, we differentiated between </w:t>
            </w:r>
            <w:r>
              <w:rPr>
                <w:rFonts w:eastAsia="Calibri" w:cstheme="minorHAnsi"/>
              </w:rPr>
              <w:lastRenderedPageBreak/>
              <w:t>structural interventions (changes in funding, decision tools) and nudging interventions (education, guidelines, feedback, reminders). Outcomes were divided into two categories: volume reduction (test rates, expenditure) and improvement of care (appropriateness, pattern, coefficient of variation).</w:t>
            </w:r>
          </w:p>
        </w:tc>
        <w:tc>
          <w:tcPr>
            <w:tcW w:w="3123" w:type="dxa"/>
            <w:vAlign w:val="center"/>
          </w:tcPr>
          <w:p w14:paraId="6271D93A" w14:textId="77777777" w:rsidR="008E212D" w:rsidRPr="00103447" w:rsidRDefault="00945DCF">
            <w:pPr>
              <w:spacing w:after="0" w:line="240" w:lineRule="auto"/>
              <w:rPr>
                <w:rFonts w:cstheme="minorHAnsi"/>
                <w:lang w:val="en-US"/>
              </w:rPr>
            </w:pPr>
            <w:r>
              <w:rPr>
                <w:rFonts w:eastAsia="Calibri" w:cstheme="minorHAnsi"/>
              </w:rPr>
              <w:lastRenderedPageBreak/>
              <w:t xml:space="preserve">This refined categorisation enhances the clarity and precision of our analysis, allowing for a more nuanced </w:t>
            </w:r>
            <w:r>
              <w:rPr>
                <w:rFonts w:eastAsia="Calibri" w:cstheme="minorHAnsi"/>
              </w:rPr>
              <w:lastRenderedPageBreak/>
              <w:t>understanding of the different types of interventions and their respective impacts on healthcare outcomes.</w:t>
            </w:r>
          </w:p>
        </w:tc>
      </w:tr>
      <w:tr w:rsidR="008E212D" w14:paraId="194D94FE" w14:textId="77777777" w:rsidTr="00103447">
        <w:tc>
          <w:tcPr>
            <w:tcW w:w="1423" w:type="dxa"/>
            <w:vAlign w:val="center"/>
          </w:tcPr>
          <w:p w14:paraId="67787863" w14:textId="77777777" w:rsidR="008E212D" w:rsidRDefault="00945DCF">
            <w:pPr>
              <w:spacing w:after="0" w:line="240" w:lineRule="auto"/>
              <w:rPr>
                <w:rFonts w:cstheme="minorHAnsi"/>
                <w:b/>
              </w:rPr>
            </w:pPr>
            <w:r>
              <w:rPr>
                <w:rFonts w:eastAsia="Calibri" w:cstheme="minorHAnsi"/>
                <w:b/>
                <w:bCs/>
                <w:color w:val="000000" w:themeColor="text1"/>
              </w:rPr>
              <w:lastRenderedPageBreak/>
              <w:t>Reporting of amendments</w:t>
            </w:r>
          </w:p>
        </w:tc>
        <w:tc>
          <w:tcPr>
            <w:tcW w:w="4781" w:type="dxa"/>
            <w:vAlign w:val="center"/>
          </w:tcPr>
          <w:p w14:paraId="13AF60E8" w14:textId="77777777" w:rsidR="008E212D" w:rsidRPr="00103447" w:rsidRDefault="00945DCF">
            <w:pPr>
              <w:spacing w:after="0" w:line="240" w:lineRule="auto"/>
              <w:rPr>
                <w:rFonts w:cstheme="minorHAnsi"/>
                <w:lang w:val="en-US"/>
              </w:rPr>
            </w:pPr>
            <w:r>
              <w:rPr>
                <w:rFonts w:eastAsia="Calibri" w:cstheme="minorHAnsi"/>
                <w:color w:val="000000" w:themeColor="text1"/>
              </w:rPr>
              <w:t xml:space="preserve">We did not report important protocol amendments in an updated version of the PROSPERO record. </w:t>
            </w:r>
          </w:p>
        </w:tc>
        <w:tc>
          <w:tcPr>
            <w:tcW w:w="3123" w:type="dxa"/>
            <w:vAlign w:val="center"/>
          </w:tcPr>
          <w:p w14:paraId="4A25702F" w14:textId="77777777" w:rsidR="008E212D" w:rsidRDefault="00945DCF">
            <w:pPr>
              <w:spacing w:after="0" w:line="240" w:lineRule="auto"/>
              <w:rPr>
                <w:rFonts w:cstheme="minorHAnsi"/>
              </w:rPr>
            </w:pPr>
            <w:r>
              <w:rPr>
                <w:rFonts w:eastAsia="Calibri" w:cstheme="minorHAnsi"/>
                <w:color w:val="000000" w:themeColor="text1"/>
              </w:rPr>
              <w:t>We did not change the anticipated completion date of our review in PROSPERO in time and were consequently unable to amend the PROSPERO record after that date. Thus, we report all protocol amendments here.</w:t>
            </w:r>
          </w:p>
        </w:tc>
      </w:tr>
    </w:tbl>
    <w:p w14:paraId="5059868D" w14:textId="77777777" w:rsidR="008E212D" w:rsidRDefault="008E212D">
      <w:pPr>
        <w:rPr>
          <w:rFonts w:cstheme="minorHAnsi"/>
          <w:lang w:val="en-GB"/>
        </w:rPr>
      </w:pPr>
    </w:p>
    <w:sectPr w:rsidR="008E212D" w:rsidSect="00E91547">
      <w:footerReference w:type="default" r:id="rId6"/>
      <w:pgSz w:w="11906" w:h="16838"/>
      <w:pgMar w:top="1417" w:right="1417" w:bottom="1134"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FE6C8" w14:textId="77777777" w:rsidR="00AC1FF7" w:rsidRDefault="00AC1FF7" w:rsidP="00EA35C5">
      <w:pPr>
        <w:spacing w:after="0" w:line="240" w:lineRule="auto"/>
      </w:pPr>
      <w:r>
        <w:separator/>
      </w:r>
    </w:p>
  </w:endnote>
  <w:endnote w:type="continuationSeparator" w:id="0">
    <w:p w14:paraId="6799FC14" w14:textId="77777777" w:rsidR="00AC1FF7" w:rsidRDefault="00AC1FF7" w:rsidP="00EA3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sig w:usb0="E10002FF" w:usb1="5000ECFF" w:usb2="00000009" w:usb3="00000000" w:csb0="0000019F" w:csb1="00000000"/>
  </w:font>
  <w:font w:name="Noto Sans SC Regular">
    <w:charset w:val="80"/>
    <w:family w:val="swiss"/>
    <w:pitch w:val="variable"/>
    <w:sig w:usb0="A0000287" w:usb1="0ADF3C78" w:usb2="00000016" w:usb3="00000000" w:csb0="00060001" w:csb1="00000000"/>
  </w:font>
  <w:font w:name="Noto Sans">
    <w:altName w:val="Arial"/>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469488"/>
      <w:docPartObj>
        <w:docPartGallery w:val="Page Numbers (Bottom of Page)"/>
        <w:docPartUnique/>
      </w:docPartObj>
    </w:sdtPr>
    <w:sdtContent>
      <w:p w14:paraId="36C7694E" w14:textId="28A74D7F" w:rsidR="00EA35C5" w:rsidRDefault="00EA35C5">
        <w:pPr>
          <w:pStyle w:val="Fuzeile"/>
          <w:jc w:val="center"/>
        </w:pPr>
        <w:r>
          <w:fldChar w:fldCharType="begin"/>
        </w:r>
        <w:r>
          <w:instrText>PAGE   \* MERGEFORMAT</w:instrText>
        </w:r>
        <w:r>
          <w:fldChar w:fldCharType="separate"/>
        </w:r>
        <w:r w:rsidR="00945DCF" w:rsidRPr="00945DCF">
          <w:rPr>
            <w:noProof/>
            <w:lang w:val="en-GB"/>
          </w:rPr>
          <w:t>1</w:t>
        </w:r>
        <w:r>
          <w:fldChar w:fldCharType="end"/>
        </w:r>
      </w:p>
    </w:sdtContent>
  </w:sdt>
  <w:p w14:paraId="039375E3" w14:textId="77777777" w:rsidR="00EA35C5" w:rsidRDefault="00EA35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0FA8F" w14:textId="77777777" w:rsidR="00AC1FF7" w:rsidRDefault="00AC1FF7" w:rsidP="00EA35C5">
      <w:pPr>
        <w:spacing w:after="0" w:line="240" w:lineRule="auto"/>
      </w:pPr>
      <w:r>
        <w:separator/>
      </w:r>
    </w:p>
  </w:footnote>
  <w:footnote w:type="continuationSeparator" w:id="0">
    <w:p w14:paraId="7CD4B3FB" w14:textId="77777777" w:rsidR="00AC1FF7" w:rsidRDefault="00AC1FF7" w:rsidP="00EA35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212D"/>
    <w:rsid w:val="00103447"/>
    <w:rsid w:val="001B39BF"/>
    <w:rsid w:val="001B5C00"/>
    <w:rsid w:val="002602D6"/>
    <w:rsid w:val="002B5928"/>
    <w:rsid w:val="002B7E95"/>
    <w:rsid w:val="0034711D"/>
    <w:rsid w:val="0041741A"/>
    <w:rsid w:val="00451CCB"/>
    <w:rsid w:val="004620A8"/>
    <w:rsid w:val="00505AFB"/>
    <w:rsid w:val="00640955"/>
    <w:rsid w:val="008E212D"/>
    <w:rsid w:val="00930E62"/>
    <w:rsid w:val="00945DCF"/>
    <w:rsid w:val="00A11EC3"/>
    <w:rsid w:val="00AC1FF7"/>
    <w:rsid w:val="00CD76FA"/>
    <w:rsid w:val="00E91547"/>
    <w:rsid w:val="00EA25F0"/>
    <w:rsid w:val="00EA35C5"/>
    <w:rsid w:val="00FB444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5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6FA"/>
    <w:pPr>
      <w:spacing w:after="160" w:line="259" w:lineRule="auto"/>
    </w:pPr>
  </w:style>
  <w:style w:type="paragraph" w:styleId="berschrift1">
    <w:name w:val="heading 1"/>
    <w:basedOn w:val="Standard"/>
    <w:link w:val="berschrift1Zchn"/>
    <w:uiPriority w:val="9"/>
    <w:qFormat/>
    <w:rsid w:val="00FB5378"/>
    <w:pPr>
      <w:spacing w:beforeAutospacing="1" w:afterAutospacing="1" w:line="240" w:lineRule="auto"/>
      <w:outlineLvl w:val="0"/>
    </w:pPr>
    <w:rPr>
      <w:rFonts w:ascii="Times New Roman" w:eastAsia="Times New Roman" w:hAnsi="Times New Roman" w:cs="Times New Roman"/>
      <w:b/>
      <w:bCs/>
      <w:kern w:val="2"/>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FB5378"/>
    <w:rPr>
      <w:rFonts w:ascii="Times New Roman" w:eastAsia="Times New Roman" w:hAnsi="Times New Roman" w:cs="Times New Roman"/>
      <w:b/>
      <w:bCs/>
      <w:kern w:val="2"/>
      <w:sz w:val="48"/>
      <w:szCs w:val="48"/>
      <w:lang w:eastAsia="de-DE"/>
    </w:rPr>
  </w:style>
  <w:style w:type="character" w:customStyle="1" w:styleId="InternetLink">
    <w:name w:val="Internet Link"/>
    <w:basedOn w:val="Absatz-Standardschriftart"/>
    <w:uiPriority w:val="99"/>
    <w:semiHidden/>
    <w:unhideWhenUsed/>
    <w:qFormat/>
    <w:rsid w:val="00FB5378"/>
    <w:rPr>
      <w:color w:val="0000FF"/>
      <w:u w:val="single"/>
    </w:rPr>
  </w:style>
  <w:style w:type="character" w:styleId="Kommentarzeichen">
    <w:name w:val="annotation reference"/>
    <w:basedOn w:val="Absatz-Standardschriftart"/>
    <w:uiPriority w:val="99"/>
    <w:semiHidden/>
    <w:unhideWhenUsed/>
    <w:qFormat/>
    <w:rsid w:val="00F21F1F"/>
    <w:rPr>
      <w:sz w:val="16"/>
      <w:szCs w:val="16"/>
    </w:rPr>
  </w:style>
  <w:style w:type="character" w:customStyle="1" w:styleId="KommentartextZchn">
    <w:name w:val="Kommentartext Zchn"/>
    <w:basedOn w:val="Absatz-Standardschriftart"/>
    <w:link w:val="Kommentartext"/>
    <w:uiPriority w:val="99"/>
    <w:qFormat/>
    <w:rsid w:val="00F21F1F"/>
    <w:rPr>
      <w:sz w:val="20"/>
      <w:szCs w:val="20"/>
      <w:lang w:val="en-GB"/>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StandardWeb">
    <w:name w:val="Normal (Web)"/>
    <w:basedOn w:val="Standard"/>
    <w:uiPriority w:val="99"/>
    <w:semiHidden/>
    <w:unhideWhenUsed/>
    <w:qFormat/>
    <w:rsid w:val="00FB5378"/>
    <w:pPr>
      <w:spacing w:beforeAutospacing="1" w:afterAutospacing="1" w:line="240" w:lineRule="auto"/>
    </w:pPr>
    <w:rPr>
      <w:rFonts w:ascii="Times New Roman" w:eastAsia="Times New Roman" w:hAnsi="Times New Roman" w:cs="Times New Roman"/>
      <w:sz w:val="24"/>
      <w:szCs w:val="24"/>
      <w:lang w:eastAsia="de-DE"/>
    </w:rPr>
  </w:style>
  <w:style w:type="paragraph" w:styleId="Kommentartext">
    <w:name w:val="annotation text"/>
    <w:basedOn w:val="Standard"/>
    <w:link w:val="KommentartextZchn"/>
    <w:uiPriority w:val="99"/>
    <w:unhideWhenUsed/>
    <w:rsid w:val="00F21F1F"/>
    <w:pPr>
      <w:spacing w:line="240" w:lineRule="auto"/>
    </w:pPr>
    <w:rPr>
      <w:sz w:val="20"/>
      <w:szCs w:val="20"/>
      <w:lang w:val="en-GB"/>
    </w:rPr>
  </w:style>
  <w:style w:type="numbering" w:customStyle="1" w:styleId="KeineListe1">
    <w:name w:val="Keine Liste1"/>
    <w:uiPriority w:val="99"/>
    <w:semiHidden/>
    <w:unhideWhenUsed/>
    <w:qFormat/>
  </w:style>
  <w:style w:type="table" w:styleId="Tabellenraster">
    <w:name w:val="Table Grid"/>
    <w:basedOn w:val="NormaleTabelle"/>
    <w:uiPriority w:val="39"/>
    <w:rsid w:val="00FB5378"/>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A35C5"/>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EA35C5"/>
  </w:style>
  <w:style w:type="paragraph" w:styleId="Fuzeile">
    <w:name w:val="footer"/>
    <w:basedOn w:val="Standard"/>
    <w:link w:val="FuzeileZchn"/>
    <w:uiPriority w:val="99"/>
    <w:unhideWhenUsed/>
    <w:rsid w:val="00EA35C5"/>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EA35C5"/>
  </w:style>
  <w:style w:type="character" w:styleId="Zeilennummer">
    <w:name w:val="line number"/>
    <w:basedOn w:val="Absatz-Standardschriftart"/>
    <w:uiPriority w:val="99"/>
    <w:semiHidden/>
    <w:unhideWhenUsed/>
    <w:rsid w:val="00EA35C5"/>
  </w:style>
  <w:style w:type="paragraph" w:styleId="berarbeitung">
    <w:name w:val="Revision"/>
    <w:hidden/>
    <w:uiPriority w:val="99"/>
    <w:semiHidden/>
    <w:rsid w:val="00CD76FA"/>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2562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2025-09-23T16:13:00Z</dcterms:created>
  <dcterms:modified xsi:type="dcterms:W3CDTF">2026-02-20T13:13:00Z</dcterms:modified>
  <dc:language/>
</cp:coreProperties>
</file>