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B27758" w14:textId="77777777" w:rsidR="00054204" w:rsidRPr="00054204" w:rsidRDefault="00054204" w:rsidP="00054204">
      <w:pPr>
        <w:rPr>
          <w:rFonts w:ascii="Times New Roman" w:eastAsia="Times New Roman" w:hAnsi="Times New Roman" w:cs="Times New Roman"/>
          <w:lang w:val="en-GB" w:eastAsia="en-GB"/>
        </w:rPr>
      </w:pPr>
      <w:r w:rsidRPr="00054204">
        <w:rPr>
          <w:rFonts w:ascii="Times New Roman" w:eastAsia="Times New Roman" w:hAnsi="Times New Roman" w:cs="Times New Roman"/>
          <w:lang w:val="en-GB" w:eastAsia="en-GB"/>
        </w:rPr>
        <w:t xml:space="preserve">SUPPLEMENTARY MATERIAL – (APPENDIX) </w:t>
      </w:r>
    </w:p>
    <w:p w14:paraId="44995392" w14:textId="77777777" w:rsidR="00054204" w:rsidRPr="00054204" w:rsidRDefault="00054204" w:rsidP="00054204">
      <w:pPr>
        <w:rPr>
          <w:rFonts w:ascii="Times New Roman" w:eastAsia="Times New Roman" w:hAnsi="Times New Roman" w:cs="Times New Roman"/>
          <w:b/>
          <w:bCs/>
          <w:lang w:val="en-GB" w:eastAsia="en-GB"/>
        </w:rPr>
      </w:pPr>
    </w:p>
    <w:p w14:paraId="4927D165" w14:textId="77777777" w:rsidR="00054204" w:rsidRPr="00054204" w:rsidRDefault="00054204" w:rsidP="00054204">
      <w:pPr>
        <w:rPr>
          <w:rFonts w:ascii="Times New Roman" w:eastAsia="Times New Roman" w:hAnsi="Times New Roman" w:cs="Times New Roman"/>
          <w:b/>
          <w:bCs/>
          <w:lang w:val="en-GB" w:eastAsia="en-GB"/>
        </w:rPr>
      </w:pPr>
      <w:r w:rsidRPr="00054204">
        <w:rPr>
          <w:rFonts w:ascii="Times New Roman" w:eastAsia="Times New Roman" w:hAnsi="Times New Roman" w:cs="Times New Roman"/>
          <w:b/>
          <w:bCs/>
          <w:lang w:val="en-GB" w:eastAsia="en-GB"/>
        </w:rPr>
        <w:t xml:space="preserve">Search strategy: </w:t>
      </w:r>
    </w:p>
    <w:p w14:paraId="1798E2DD" w14:textId="77777777" w:rsidR="00054204" w:rsidRPr="00054204" w:rsidRDefault="00054204" w:rsidP="00054204">
      <w:pPr>
        <w:rPr>
          <w:rFonts w:ascii="Times New Roman" w:eastAsia="Times New Roman" w:hAnsi="Times New Roman" w:cs="Times New Roman"/>
          <w:b/>
          <w:bCs/>
          <w:lang w:val="en-GB" w:eastAsia="en-GB"/>
        </w:rPr>
      </w:pPr>
      <w:bookmarkStart w:id="0" w:name="_GoBack"/>
      <w:bookmarkEnd w:id="0"/>
    </w:p>
    <w:p w14:paraId="5F440396" w14:textId="77777777" w:rsidR="00054204" w:rsidRPr="00054204" w:rsidRDefault="00054204" w:rsidP="00054204">
      <w:pPr>
        <w:spacing w:line="360" w:lineRule="auto"/>
        <w:rPr>
          <w:rFonts w:ascii="Times New Roman" w:eastAsia="Times New Roman" w:hAnsi="Times New Roman" w:cs="Times New Roman"/>
          <w:b/>
          <w:bCs/>
          <w:lang w:eastAsia="en-GB"/>
        </w:rPr>
      </w:pPr>
      <w:r w:rsidRPr="00054204">
        <w:rPr>
          <w:rFonts w:ascii="Times New Roman" w:eastAsia="Times New Roman" w:hAnsi="Times New Roman" w:cs="Times New Roman"/>
          <w:b/>
          <w:bCs/>
          <w:lang w:eastAsia="en-GB"/>
        </w:rPr>
        <w:t xml:space="preserve">Appendix 1: </w:t>
      </w:r>
    </w:p>
    <w:p w14:paraId="4F4A8063" w14:textId="77777777" w:rsidR="00054204" w:rsidRPr="00054204" w:rsidRDefault="00054204" w:rsidP="00054204">
      <w:pPr>
        <w:spacing w:line="360" w:lineRule="auto"/>
        <w:rPr>
          <w:rFonts w:ascii="Times New Roman" w:eastAsia="Times New Roman" w:hAnsi="Times New Roman" w:cs="Times New Roman"/>
          <w:lang w:val="es-AR" w:eastAsia="en-GB"/>
        </w:rPr>
      </w:pPr>
      <w:proofErr w:type="spellStart"/>
      <w:r w:rsidRPr="00054204">
        <w:rPr>
          <w:rFonts w:ascii="Times New Roman" w:eastAsia="Times New Roman" w:hAnsi="Times New Roman" w:cs="Times New Roman"/>
          <w:lang w:val="es-AR" w:eastAsia="en-GB"/>
        </w:rPr>
        <w:t>PubMed</w:t>
      </w:r>
      <w:proofErr w:type="spellEnd"/>
    </w:p>
    <w:p w14:paraId="782C2935" w14:textId="77777777" w:rsidR="00054204" w:rsidRPr="00054204" w:rsidRDefault="00054204" w:rsidP="00054204">
      <w:pPr>
        <w:spacing w:line="360" w:lineRule="auto"/>
        <w:rPr>
          <w:rFonts w:ascii="Times New Roman" w:eastAsia="Times New Roman" w:hAnsi="Times New Roman" w:cs="Times New Roman"/>
          <w:lang w:val="es-AR" w:eastAsia="en-GB"/>
        </w:rPr>
      </w:pPr>
      <w:r w:rsidRPr="00054204">
        <w:rPr>
          <w:rFonts w:ascii="Times New Roman" w:eastAsia="Times New Roman" w:hAnsi="Times New Roman" w:cs="Times New Roman"/>
          <w:lang w:val="es-AR" w:eastAsia="en-GB"/>
        </w:rPr>
        <w:t xml:space="preserve">(Universal </w:t>
      </w:r>
      <w:proofErr w:type="spellStart"/>
      <w:r w:rsidRPr="00054204">
        <w:rPr>
          <w:rFonts w:ascii="Times New Roman" w:eastAsia="Times New Roman" w:hAnsi="Times New Roman" w:cs="Times New Roman"/>
          <w:lang w:val="es-AR" w:eastAsia="en-GB"/>
        </w:rPr>
        <w:t>Health</w:t>
      </w:r>
      <w:proofErr w:type="spellEnd"/>
      <w:r w:rsidRPr="00054204">
        <w:rPr>
          <w:rFonts w:ascii="Times New Roman" w:eastAsia="Times New Roman" w:hAnsi="Times New Roman" w:cs="Times New Roman"/>
          <w:lang w:val="es-AR" w:eastAsia="en-GB"/>
        </w:rPr>
        <w:t xml:space="preserve"> </w:t>
      </w:r>
      <w:proofErr w:type="spellStart"/>
      <w:proofErr w:type="gramStart"/>
      <w:r w:rsidRPr="00054204">
        <w:rPr>
          <w:rFonts w:ascii="Times New Roman" w:eastAsia="Times New Roman" w:hAnsi="Times New Roman" w:cs="Times New Roman"/>
          <w:lang w:val="es-AR" w:eastAsia="en-GB"/>
        </w:rPr>
        <w:t>Insurance</w:t>
      </w:r>
      <w:proofErr w:type="spellEnd"/>
      <w:r w:rsidRPr="00054204">
        <w:rPr>
          <w:rFonts w:ascii="Times New Roman" w:eastAsia="Times New Roman" w:hAnsi="Times New Roman" w:cs="Times New Roman"/>
          <w:lang w:val="es-AR" w:eastAsia="en-GB"/>
        </w:rPr>
        <w:t>[</w:t>
      </w:r>
      <w:proofErr w:type="spellStart"/>
      <w:proofErr w:type="gramEnd"/>
      <w:r w:rsidRPr="00054204">
        <w:rPr>
          <w:rFonts w:ascii="Times New Roman" w:eastAsia="Times New Roman" w:hAnsi="Times New Roman" w:cs="Times New Roman"/>
          <w:lang w:val="es-AR" w:eastAsia="en-GB"/>
        </w:rPr>
        <w:t>Mesh</w:t>
      </w:r>
      <w:proofErr w:type="spellEnd"/>
      <w:r w:rsidRPr="00054204">
        <w:rPr>
          <w:rFonts w:ascii="Times New Roman" w:eastAsia="Times New Roman" w:hAnsi="Times New Roman" w:cs="Times New Roman"/>
          <w:lang w:val="es-AR" w:eastAsia="en-GB"/>
        </w:rPr>
        <w:t xml:space="preserve">] OR Universal </w:t>
      </w:r>
      <w:proofErr w:type="spellStart"/>
      <w:r w:rsidRPr="00054204">
        <w:rPr>
          <w:rFonts w:ascii="Times New Roman" w:eastAsia="Times New Roman" w:hAnsi="Times New Roman" w:cs="Times New Roman"/>
          <w:lang w:val="es-AR" w:eastAsia="en-GB"/>
        </w:rPr>
        <w:t>Cover</w:t>
      </w:r>
      <w:proofErr w:type="spellEnd"/>
      <w:r w:rsidRPr="00054204">
        <w:rPr>
          <w:rFonts w:ascii="Times New Roman" w:eastAsia="Times New Roman" w:hAnsi="Times New Roman" w:cs="Times New Roman"/>
          <w:lang w:val="es-AR" w:eastAsia="en-GB"/>
        </w:rPr>
        <w:t>*[</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xml:space="preserve">] OR Universal </w:t>
      </w:r>
      <w:proofErr w:type="spellStart"/>
      <w:r w:rsidRPr="00054204">
        <w:rPr>
          <w:rFonts w:ascii="Times New Roman" w:eastAsia="Times New Roman" w:hAnsi="Times New Roman" w:cs="Times New Roman"/>
          <w:lang w:val="es-AR" w:eastAsia="en-GB"/>
        </w:rPr>
        <w:t>Health</w:t>
      </w:r>
      <w:proofErr w:type="spellEnd"/>
      <w:r w:rsidRPr="00054204">
        <w:rPr>
          <w:rFonts w:ascii="Times New Roman" w:eastAsia="Times New Roman" w:hAnsi="Times New Roman" w:cs="Times New Roman"/>
          <w:lang w:val="es-AR" w:eastAsia="en-GB"/>
        </w:rPr>
        <w:t>*[</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OR UHC[</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xml:space="preserve">] OR Universal </w:t>
      </w:r>
      <w:proofErr w:type="spellStart"/>
      <w:r w:rsidRPr="00054204">
        <w:rPr>
          <w:rFonts w:ascii="Times New Roman" w:eastAsia="Times New Roman" w:hAnsi="Times New Roman" w:cs="Times New Roman"/>
          <w:lang w:val="es-AR" w:eastAsia="en-GB"/>
        </w:rPr>
        <w:t>Insurance</w:t>
      </w:r>
      <w:proofErr w:type="spellEnd"/>
      <w:r w:rsidRPr="00054204">
        <w:rPr>
          <w:rFonts w:ascii="Times New Roman" w:eastAsia="Times New Roman" w:hAnsi="Times New Roman" w:cs="Times New Roman"/>
          <w:lang w:val="es-AR" w:eastAsia="en-GB"/>
        </w:rPr>
        <w:t>[</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AND (</w:t>
      </w:r>
      <w:proofErr w:type="gramStart"/>
      <w:r w:rsidRPr="00054204">
        <w:rPr>
          <w:rFonts w:ascii="Times New Roman" w:eastAsia="Times New Roman" w:hAnsi="Times New Roman" w:cs="Times New Roman"/>
          <w:lang w:val="es-AR" w:eastAsia="en-GB"/>
        </w:rPr>
        <w:t>Argentina[</w:t>
      </w:r>
      <w:proofErr w:type="spellStart"/>
      <w:proofErr w:type="gramEnd"/>
      <w:r w:rsidRPr="00054204">
        <w:rPr>
          <w:rFonts w:ascii="Times New Roman" w:eastAsia="Times New Roman" w:hAnsi="Times New Roman" w:cs="Times New Roman"/>
          <w:lang w:val="es-AR" w:eastAsia="en-GB"/>
        </w:rPr>
        <w:t>Mesh</w:t>
      </w:r>
      <w:proofErr w:type="spellEnd"/>
      <w:r w:rsidRPr="00054204">
        <w:rPr>
          <w:rFonts w:ascii="Times New Roman" w:eastAsia="Times New Roman" w:hAnsi="Times New Roman" w:cs="Times New Roman"/>
          <w:lang w:val="es-AR" w:eastAsia="en-GB"/>
        </w:rPr>
        <w:t xml:space="preserve">] OR </w:t>
      </w:r>
      <w:proofErr w:type="spellStart"/>
      <w:r w:rsidRPr="00054204">
        <w:rPr>
          <w:rFonts w:ascii="Times New Roman" w:eastAsia="Times New Roman" w:hAnsi="Times New Roman" w:cs="Times New Roman"/>
          <w:lang w:val="es-AR" w:eastAsia="en-GB"/>
        </w:rPr>
        <w:t>Argentin</w:t>
      </w:r>
      <w:proofErr w:type="spellEnd"/>
      <w:r w:rsidRPr="00054204">
        <w:rPr>
          <w:rFonts w:ascii="Times New Roman" w:eastAsia="Times New Roman" w:hAnsi="Times New Roman" w:cs="Times New Roman"/>
          <w:lang w:val="es-AR" w:eastAsia="en-GB"/>
        </w:rPr>
        <w:t>*[</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OR Brazil[</w:t>
      </w:r>
      <w:proofErr w:type="spellStart"/>
      <w:r w:rsidRPr="00054204">
        <w:rPr>
          <w:rFonts w:ascii="Times New Roman" w:eastAsia="Times New Roman" w:hAnsi="Times New Roman" w:cs="Times New Roman"/>
          <w:lang w:val="es-AR" w:eastAsia="en-GB"/>
        </w:rPr>
        <w:t>Mesh</w:t>
      </w:r>
      <w:proofErr w:type="spellEnd"/>
      <w:r w:rsidRPr="00054204">
        <w:rPr>
          <w:rFonts w:ascii="Times New Roman" w:eastAsia="Times New Roman" w:hAnsi="Times New Roman" w:cs="Times New Roman"/>
          <w:lang w:val="es-AR" w:eastAsia="en-GB"/>
        </w:rPr>
        <w:t>] OR Brazil*[</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OR Mexico[</w:t>
      </w:r>
      <w:proofErr w:type="spellStart"/>
      <w:r w:rsidRPr="00054204">
        <w:rPr>
          <w:rFonts w:ascii="Times New Roman" w:eastAsia="Times New Roman" w:hAnsi="Times New Roman" w:cs="Times New Roman"/>
          <w:lang w:val="es-AR" w:eastAsia="en-GB"/>
        </w:rPr>
        <w:t>Mesh</w:t>
      </w:r>
      <w:proofErr w:type="spellEnd"/>
      <w:r w:rsidRPr="00054204">
        <w:rPr>
          <w:rFonts w:ascii="Times New Roman" w:eastAsia="Times New Roman" w:hAnsi="Times New Roman" w:cs="Times New Roman"/>
          <w:lang w:val="es-AR" w:eastAsia="en-GB"/>
        </w:rPr>
        <w:t xml:space="preserve">] OR </w:t>
      </w:r>
      <w:proofErr w:type="spellStart"/>
      <w:r w:rsidRPr="00054204">
        <w:rPr>
          <w:rFonts w:ascii="Times New Roman" w:eastAsia="Times New Roman" w:hAnsi="Times New Roman" w:cs="Times New Roman"/>
          <w:lang w:val="es-AR" w:eastAsia="en-GB"/>
        </w:rPr>
        <w:t>Mexic</w:t>
      </w:r>
      <w:proofErr w:type="spellEnd"/>
      <w:r w:rsidRPr="00054204">
        <w:rPr>
          <w:rFonts w:ascii="Times New Roman" w:eastAsia="Times New Roman" w:hAnsi="Times New Roman" w:cs="Times New Roman"/>
          <w:lang w:val="es-AR" w:eastAsia="en-GB"/>
        </w:rPr>
        <w:t>*[</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 OR Colombia[</w:t>
      </w:r>
      <w:proofErr w:type="spellStart"/>
      <w:r w:rsidRPr="00054204">
        <w:rPr>
          <w:rFonts w:ascii="Times New Roman" w:eastAsia="Times New Roman" w:hAnsi="Times New Roman" w:cs="Times New Roman"/>
          <w:lang w:val="es-AR" w:eastAsia="en-GB"/>
        </w:rPr>
        <w:t>Mesh</w:t>
      </w:r>
      <w:proofErr w:type="spellEnd"/>
      <w:r w:rsidRPr="00054204">
        <w:rPr>
          <w:rFonts w:ascii="Times New Roman" w:eastAsia="Times New Roman" w:hAnsi="Times New Roman" w:cs="Times New Roman"/>
          <w:lang w:val="es-AR" w:eastAsia="en-GB"/>
        </w:rPr>
        <w:t>] OR Colombia*[</w:t>
      </w:r>
      <w:proofErr w:type="spellStart"/>
      <w:r w:rsidRPr="00054204">
        <w:rPr>
          <w:rFonts w:ascii="Times New Roman" w:eastAsia="Times New Roman" w:hAnsi="Times New Roman" w:cs="Times New Roman"/>
          <w:lang w:val="es-AR" w:eastAsia="en-GB"/>
        </w:rPr>
        <w:t>tiab</w:t>
      </w:r>
      <w:proofErr w:type="spellEnd"/>
      <w:r w:rsidRPr="00054204">
        <w:rPr>
          <w:rFonts w:ascii="Times New Roman" w:eastAsia="Times New Roman" w:hAnsi="Times New Roman" w:cs="Times New Roman"/>
          <w:lang w:val="es-AR" w:eastAsia="en-GB"/>
        </w:rPr>
        <w:t>])</w:t>
      </w:r>
    </w:p>
    <w:p w14:paraId="5135CEE3" w14:textId="77777777" w:rsidR="00054204" w:rsidRPr="00054204" w:rsidRDefault="00054204" w:rsidP="00054204">
      <w:pPr>
        <w:spacing w:line="360" w:lineRule="auto"/>
        <w:rPr>
          <w:rFonts w:ascii="Times New Roman" w:eastAsia="Times New Roman" w:hAnsi="Times New Roman" w:cs="Times New Roman"/>
          <w:b/>
          <w:bCs/>
          <w:lang w:val="es-AR" w:eastAsia="en-GB"/>
        </w:rPr>
      </w:pPr>
      <w:r w:rsidRPr="00054204">
        <w:rPr>
          <w:rFonts w:ascii="Times New Roman" w:eastAsia="Times New Roman" w:hAnsi="Times New Roman" w:cs="Times New Roman"/>
          <w:b/>
          <w:bCs/>
          <w:lang w:val="es-AR" w:eastAsia="en-GB"/>
        </w:rPr>
        <w:t>LILACS</w:t>
      </w:r>
    </w:p>
    <w:p w14:paraId="5170B696" w14:textId="4B0C997A" w:rsidR="00FD5CB1" w:rsidRDefault="00054204" w:rsidP="00054204">
      <w:pPr>
        <w:rPr>
          <w:rFonts w:ascii="Times New Roman" w:eastAsia="Times New Roman" w:hAnsi="Times New Roman" w:cs="Times New Roman"/>
          <w:lang w:val="es-AR" w:eastAsia="en-GB"/>
        </w:rPr>
      </w:pPr>
      <w:r w:rsidRPr="00054204">
        <w:rPr>
          <w:rFonts w:ascii="Times New Roman" w:eastAsia="Times New Roman" w:hAnsi="Times New Roman" w:cs="Times New Roman"/>
          <w:lang w:val="es-AR" w:eastAsia="en-GB"/>
        </w:rPr>
        <w:t xml:space="preserve">(MH Universal </w:t>
      </w:r>
      <w:proofErr w:type="spellStart"/>
      <w:r w:rsidRPr="00054204">
        <w:rPr>
          <w:rFonts w:ascii="Times New Roman" w:eastAsia="Times New Roman" w:hAnsi="Times New Roman" w:cs="Times New Roman"/>
          <w:lang w:val="es-AR" w:eastAsia="en-GB"/>
        </w:rPr>
        <w:t>Health</w:t>
      </w:r>
      <w:proofErr w:type="spellEnd"/>
      <w:r w:rsidRPr="00054204">
        <w:rPr>
          <w:rFonts w:ascii="Times New Roman" w:eastAsia="Times New Roman" w:hAnsi="Times New Roman" w:cs="Times New Roman"/>
          <w:lang w:val="es-AR" w:eastAsia="en-GB"/>
        </w:rPr>
        <w:t xml:space="preserve"> </w:t>
      </w:r>
      <w:proofErr w:type="spellStart"/>
      <w:r w:rsidRPr="00054204">
        <w:rPr>
          <w:rFonts w:ascii="Times New Roman" w:eastAsia="Times New Roman" w:hAnsi="Times New Roman" w:cs="Times New Roman"/>
          <w:lang w:val="es-AR" w:eastAsia="en-GB"/>
        </w:rPr>
        <w:t>Insurance</w:t>
      </w:r>
      <w:proofErr w:type="spellEnd"/>
      <w:r w:rsidRPr="00054204">
        <w:rPr>
          <w:rFonts w:ascii="Times New Roman" w:eastAsia="Times New Roman" w:hAnsi="Times New Roman" w:cs="Times New Roman"/>
          <w:lang w:val="es-AR" w:eastAsia="en-GB"/>
        </w:rPr>
        <w:t xml:space="preserve"> OR ((</w:t>
      </w:r>
      <w:proofErr w:type="spellStart"/>
      <w:r w:rsidRPr="00054204">
        <w:rPr>
          <w:rFonts w:ascii="Times New Roman" w:eastAsia="Times New Roman" w:hAnsi="Times New Roman" w:cs="Times New Roman"/>
          <w:lang w:val="es-AR" w:eastAsia="en-GB"/>
        </w:rPr>
        <w:t>Cover</w:t>
      </w:r>
      <w:proofErr w:type="spellEnd"/>
      <w:r w:rsidRPr="00054204">
        <w:rPr>
          <w:rFonts w:ascii="Times New Roman" w:eastAsia="Times New Roman" w:hAnsi="Times New Roman" w:cs="Times New Roman"/>
          <w:lang w:val="es-AR" w:eastAsia="en-GB"/>
        </w:rPr>
        <w:t xml:space="preserve">$ OR Cobertura OR </w:t>
      </w:r>
      <w:proofErr w:type="spellStart"/>
      <w:r w:rsidRPr="00054204">
        <w:rPr>
          <w:rFonts w:ascii="Times New Roman" w:eastAsia="Times New Roman" w:hAnsi="Times New Roman" w:cs="Times New Roman"/>
          <w:lang w:val="es-AR" w:eastAsia="en-GB"/>
        </w:rPr>
        <w:t>Insurance</w:t>
      </w:r>
      <w:proofErr w:type="spellEnd"/>
      <w:r w:rsidRPr="00054204">
        <w:rPr>
          <w:rFonts w:ascii="Times New Roman" w:eastAsia="Times New Roman" w:hAnsi="Times New Roman" w:cs="Times New Roman"/>
          <w:lang w:val="es-AR" w:eastAsia="en-GB"/>
        </w:rPr>
        <w:t xml:space="preserve"> OR Seguro OR </w:t>
      </w:r>
      <w:proofErr w:type="spellStart"/>
      <w:r w:rsidRPr="00054204">
        <w:rPr>
          <w:rFonts w:ascii="Times New Roman" w:eastAsia="Times New Roman" w:hAnsi="Times New Roman" w:cs="Times New Roman"/>
          <w:lang w:val="es-AR" w:eastAsia="en-GB"/>
        </w:rPr>
        <w:t>Healthcare</w:t>
      </w:r>
      <w:proofErr w:type="spellEnd"/>
      <w:r w:rsidRPr="00054204">
        <w:rPr>
          <w:rFonts w:ascii="Times New Roman" w:eastAsia="Times New Roman" w:hAnsi="Times New Roman" w:cs="Times New Roman"/>
          <w:lang w:val="es-AR" w:eastAsia="en-GB"/>
        </w:rPr>
        <w:t xml:space="preserve"> OR Salud OR </w:t>
      </w:r>
      <w:proofErr w:type="spellStart"/>
      <w:r w:rsidRPr="00054204">
        <w:rPr>
          <w:rFonts w:ascii="Times New Roman" w:eastAsia="Times New Roman" w:hAnsi="Times New Roman" w:cs="Times New Roman"/>
          <w:lang w:val="es-AR" w:eastAsia="en-GB"/>
        </w:rPr>
        <w:t>Saude</w:t>
      </w:r>
      <w:proofErr w:type="spellEnd"/>
      <w:r w:rsidRPr="00054204">
        <w:rPr>
          <w:rFonts w:ascii="Times New Roman" w:eastAsia="Times New Roman" w:hAnsi="Times New Roman" w:cs="Times New Roman"/>
          <w:lang w:val="es-AR" w:eastAsia="en-GB"/>
        </w:rPr>
        <w:t xml:space="preserve">) AND (Universal))) AND (MH Argentina OR </w:t>
      </w:r>
      <w:proofErr w:type="spellStart"/>
      <w:r w:rsidRPr="00054204">
        <w:rPr>
          <w:rFonts w:ascii="Times New Roman" w:eastAsia="Times New Roman" w:hAnsi="Times New Roman" w:cs="Times New Roman"/>
          <w:lang w:val="es-AR" w:eastAsia="en-GB"/>
        </w:rPr>
        <w:t>Argentin</w:t>
      </w:r>
      <w:proofErr w:type="spellEnd"/>
      <w:r w:rsidRPr="00054204">
        <w:rPr>
          <w:rFonts w:ascii="Times New Roman" w:eastAsia="Times New Roman" w:hAnsi="Times New Roman" w:cs="Times New Roman"/>
          <w:lang w:val="es-AR" w:eastAsia="en-GB"/>
        </w:rPr>
        <w:t xml:space="preserve">$ OR MH Brazil OR Brazil$ OR Brasil$ OR MH Mexico OR </w:t>
      </w:r>
      <w:proofErr w:type="spellStart"/>
      <w:r w:rsidRPr="00054204">
        <w:rPr>
          <w:rFonts w:ascii="Times New Roman" w:eastAsia="Times New Roman" w:hAnsi="Times New Roman" w:cs="Times New Roman"/>
          <w:lang w:val="es-AR" w:eastAsia="en-GB"/>
        </w:rPr>
        <w:t>Mexic</w:t>
      </w:r>
      <w:proofErr w:type="spellEnd"/>
      <w:r w:rsidRPr="00054204">
        <w:rPr>
          <w:rFonts w:ascii="Times New Roman" w:eastAsia="Times New Roman" w:hAnsi="Times New Roman" w:cs="Times New Roman"/>
          <w:lang w:val="es-AR" w:eastAsia="en-GB"/>
        </w:rPr>
        <w:t xml:space="preserve">$ OR </w:t>
      </w:r>
      <w:proofErr w:type="spellStart"/>
      <w:r w:rsidRPr="00054204">
        <w:rPr>
          <w:rFonts w:ascii="Times New Roman" w:eastAsia="Times New Roman" w:hAnsi="Times New Roman" w:cs="Times New Roman"/>
          <w:lang w:val="es-AR" w:eastAsia="en-GB"/>
        </w:rPr>
        <w:t>OR</w:t>
      </w:r>
      <w:proofErr w:type="spellEnd"/>
      <w:r w:rsidRPr="00054204">
        <w:rPr>
          <w:rFonts w:ascii="Times New Roman" w:eastAsia="Times New Roman" w:hAnsi="Times New Roman" w:cs="Times New Roman"/>
          <w:lang w:val="es-AR" w:eastAsia="en-GB"/>
        </w:rPr>
        <w:t xml:space="preserve"> MH Colombia OR Colombia$)</w:t>
      </w:r>
    </w:p>
    <w:p w14:paraId="198AC076" w14:textId="77777777" w:rsidR="00054204" w:rsidRDefault="00054204" w:rsidP="00054204">
      <w:pPr>
        <w:sectPr w:rsidR="00054204" w:rsidSect="007C7B3D">
          <w:pgSz w:w="11900" w:h="16840"/>
          <w:pgMar w:top="1440" w:right="1440" w:bottom="1440" w:left="1440" w:header="708" w:footer="708" w:gutter="0"/>
          <w:cols w:space="708"/>
          <w:docGrid w:linePitch="360"/>
        </w:sectPr>
      </w:pPr>
    </w:p>
    <w:p w14:paraId="1B430389" w14:textId="77777777" w:rsidR="00054204" w:rsidRPr="00054204" w:rsidRDefault="00054204" w:rsidP="00054204">
      <w:pPr>
        <w:rPr>
          <w:rFonts w:ascii="Times New Roman" w:eastAsia="Times New Roman" w:hAnsi="Times New Roman" w:cs="Times New Roman"/>
          <w:b/>
          <w:bCs/>
          <w:lang w:val="en-GB" w:eastAsia="en-GB"/>
        </w:rPr>
      </w:pPr>
      <w:r w:rsidRPr="00054204">
        <w:rPr>
          <w:rFonts w:ascii="Times New Roman" w:eastAsia="Times New Roman" w:hAnsi="Times New Roman" w:cs="Times New Roman"/>
          <w:b/>
          <w:bCs/>
          <w:lang w:val="en-GB" w:eastAsia="en-GB"/>
        </w:rPr>
        <w:lastRenderedPageBreak/>
        <w:t xml:space="preserve">Appendix 2 - </w:t>
      </w:r>
    </w:p>
    <w:p w14:paraId="74EB6007" w14:textId="77777777" w:rsidR="00054204" w:rsidRPr="00054204" w:rsidRDefault="00054204" w:rsidP="00054204">
      <w:pPr>
        <w:rPr>
          <w:rFonts w:ascii="Times New Roman" w:eastAsia="Times New Roman" w:hAnsi="Times New Roman" w:cs="Times New Roman"/>
          <w:lang w:val="en-GB" w:eastAsia="en-GB"/>
        </w:rPr>
      </w:pPr>
      <w:r w:rsidRPr="00054204">
        <w:rPr>
          <w:rFonts w:ascii="Times New Roman" w:eastAsia="Times New Roman" w:hAnsi="Times New Roman" w:cs="Times New Roman"/>
          <w:b/>
          <w:bCs/>
          <w:lang w:val="en-GB" w:eastAsia="en-GB"/>
        </w:rPr>
        <w:t>Table – Country Comparison with findings from the Scoping review</w:t>
      </w:r>
      <w:r w:rsidRPr="00054204">
        <w:rPr>
          <w:rFonts w:ascii="Times New Roman" w:eastAsia="Times New Roman" w:hAnsi="Times New Roman" w:cs="Times New Roman"/>
          <w:lang w:val="en-GB" w:eastAsia="en-GB"/>
        </w:rPr>
        <w:t xml:space="preserve">. </w:t>
      </w:r>
    </w:p>
    <w:p w14:paraId="04CFF4C4" w14:textId="7C537605" w:rsidR="00054204" w:rsidRPr="00054204" w:rsidRDefault="00054204" w:rsidP="00054204">
      <w:pPr>
        <w:rPr>
          <w:rFonts w:ascii="Times New Roman" w:eastAsia="Times New Roman" w:hAnsi="Times New Roman" w:cs="Times New Roman"/>
          <w:lang w:val="en-GB" w:eastAsia="en-GB"/>
        </w:rPr>
      </w:pPr>
      <w:r w:rsidRPr="00054204">
        <w:rPr>
          <w:rFonts w:ascii="Times New Roman" w:eastAsia="Times New Roman" w:hAnsi="Times New Roman" w:cs="Times New Roman"/>
          <w:lang w:val="en-GB" w:eastAsia="en-GB"/>
        </w:rPr>
        <w:t xml:space="preserve">Source: Own elaboration – </w:t>
      </w:r>
      <w:r w:rsidR="000D6CDF" w:rsidRPr="00054204">
        <w:rPr>
          <w:rFonts w:ascii="Times New Roman" w:eastAsia="Times New Roman" w:hAnsi="Times New Roman" w:cs="Times New Roman"/>
          <w:lang w:val="en-GB" w:eastAsia="en-GB"/>
        </w:rPr>
        <w:t>References</w:t>
      </w:r>
      <w:r w:rsidRPr="00054204">
        <w:rPr>
          <w:rFonts w:ascii="Times New Roman" w:eastAsia="Times New Roman" w:hAnsi="Times New Roman" w:cs="Times New Roman"/>
          <w:lang w:val="en-GB" w:eastAsia="en-GB"/>
        </w:rPr>
        <w:t xml:space="preserve"> are inserted in the manuscript. </w:t>
      </w:r>
    </w:p>
    <w:tbl>
      <w:tblPr>
        <w:tblpPr w:leftFromText="180" w:rightFromText="180" w:vertAnchor="text" w:tblpY="1"/>
        <w:tblOverlap w:val="never"/>
        <w:tblW w:w="14858" w:type="dxa"/>
        <w:tblLook w:val="04A0" w:firstRow="1" w:lastRow="0" w:firstColumn="1" w:lastColumn="0" w:noHBand="0" w:noVBand="1"/>
      </w:tblPr>
      <w:tblGrid>
        <w:gridCol w:w="1407"/>
        <w:gridCol w:w="1751"/>
        <w:gridCol w:w="2928"/>
        <w:gridCol w:w="2976"/>
        <w:gridCol w:w="2987"/>
        <w:gridCol w:w="2809"/>
      </w:tblGrid>
      <w:tr w:rsidR="00054204" w:rsidRPr="00054204" w14:paraId="35445128" w14:textId="77777777" w:rsidTr="00AD78C9">
        <w:trPr>
          <w:trHeight w:val="340"/>
        </w:trPr>
        <w:tc>
          <w:tcPr>
            <w:tcW w:w="1407" w:type="dxa"/>
            <w:tcBorders>
              <w:top w:val="single" w:sz="8" w:space="0" w:color="auto"/>
              <w:left w:val="single" w:sz="8" w:space="0" w:color="auto"/>
              <w:bottom w:val="single" w:sz="8" w:space="0" w:color="auto"/>
              <w:right w:val="single" w:sz="8" w:space="0" w:color="auto"/>
            </w:tcBorders>
            <w:shd w:val="clear" w:color="auto" w:fill="auto"/>
            <w:hideMark/>
          </w:tcPr>
          <w:p w14:paraId="38EDBF5F"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w:t>
            </w:r>
          </w:p>
        </w:tc>
        <w:tc>
          <w:tcPr>
            <w:tcW w:w="1751" w:type="dxa"/>
            <w:tcBorders>
              <w:top w:val="single" w:sz="8" w:space="0" w:color="auto"/>
              <w:left w:val="nil"/>
              <w:bottom w:val="single" w:sz="8" w:space="0" w:color="auto"/>
              <w:right w:val="single" w:sz="8" w:space="0" w:color="auto"/>
            </w:tcBorders>
            <w:shd w:val="clear" w:color="auto" w:fill="auto"/>
            <w:hideMark/>
          </w:tcPr>
          <w:p w14:paraId="13D373E2"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w:t>
            </w:r>
          </w:p>
        </w:tc>
        <w:tc>
          <w:tcPr>
            <w:tcW w:w="2928" w:type="dxa"/>
            <w:tcBorders>
              <w:top w:val="single" w:sz="8" w:space="0" w:color="auto"/>
              <w:left w:val="nil"/>
              <w:bottom w:val="single" w:sz="8" w:space="0" w:color="auto"/>
              <w:right w:val="single" w:sz="8" w:space="0" w:color="auto"/>
            </w:tcBorders>
            <w:shd w:val="clear" w:color="auto" w:fill="auto"/>
            <w:hideMark/>
          </w:tcPr>
          <w:p w14:paraId="32116CCF" w14:textId="77777777" w:rsidR="00054204" w:rsidRPr="00054204" w:rsidRDefault="00054204" w:rsidP="00054204">
            <w:pPr>
              <w:jc w:val="center"/>
              <w:rPr>
                <w:rFonts w:ascii="Arial" w:eastAsia="Times New Roman" w:hAnsi="Arial" w:cs="Arial"/>
                <w:color w:val="000000"/>
                <w:sz w:val="20"/>
                <w:szCs w:val="20"/>
              </w:rPr>
            </w:pPr>
            <w:r w:rsidRPr="00054204">
              <w:rPr>
                <w:rFonts w:ascii="Arial" w:eastAsia="Times New Roman" w:hAnsi="Arial" w:cs="Arial"/>
                <w:color w:val="000000"/>
                <w:sz w:val="20"/>
                <w:szCs w:val="20"/>
              </w:rPr>
              <w:t>Argentina</w:t>
            </w:r>
          </w:p>
        </w:tc>
        <w:tc>
          <w:tcPr>
            <w:tcW w:w="2976" w:type="dxa"/>
            <w:tcBorders>
              <w:top w:val="single" w:sz="8" w:space="0" w:color="auto"/>
              <w:left w:val="nil"/>
              <w:bottom w:val="single" w:sz="8" w:space="0" w:color="auto"/>
              <w:right w:val="single" w:sz="8" w:space="0" w:color="auto"/>
            </w:tcBorders>
            <w:shd w:val="clear" w:color="auto" w:fill="auto"/>
            <w:hideMark/>
          </w:tcPr>
          <w:p w14:paraId="61881485" w14:textId="77777777" w:rsidR="00054204" w:rsidRPr="00054204" w:rsidRDefault="00054204" w:rsidP="00054204">
            <w:pPr>
              <w:jc w:val="center"/>
              <w:rPr>
                <w:rFonts w:ascii="Arial" w:eastAsia="Times New Roman" w:hAnsi="Arial" w:cs="Arial"/>
                <w:color w:val="000000"/>
                <w:sz w:val="20"/>
                <w:szCs w:val="20"/>
              </w:rPr>
            </w:pPr>
            <w:r w:rsidRPr="00054204">
              <w:rPr>
                <w:rFonts w:ascii="Arial" w:eastAsia="Times New Roman" w:hAnsi="Arial" w:cs="Arial"/>
                <w:color w:val="000000"/>
                <w:sz w:val="20"/>
                <w:szCs w:val="20"/>
              </w:rPr>
              <w:t>Brazil</w:t>
            </w:r>
          </w:p>
        </w:tc>
        <w:tc>
          <w:tcPr>
            <w:tcW w:w="2987" w:type="dxa"/>
            <w:tcBorders>
              <w:top w:val="single" w:sz="8" w:space="0" w:color="auto"/>
              <w:left w:val="nil"/>
              <w:bottom w:val="single" w:sz="8" w:space="0" w:color="auto"/>
              <w:right w:val="single" w:sz="8" w:space="0" w:color="auto"/>
            </w:tcBorders>
            <w:shd w:val="clear" w:color="auto" w:fill="auto"/>
            <w:hideMark/>
          </w:tcPr>
          <w:p w14:paraId="3C880B8E" w14:textId="77777777" w:rsidR="00054204" w:rsidRPr="00054204" w:rsidRDefault="00054204" w:rsidP="00054204">
            <w:pPr>
              <w:jc w:val="center"/>
              <w:rPr>
                <w:rFonts w:ascii="Arial" w:eastAsia="Times New Roman" w:hAnsi="Arial" w:cs="Arial"/>
                <w:color w:val="000000"/>
                <w:sz w:val="20"/>
                <w:szCs w:val="20"/>
              </w:rPr>
            </w:pPr>
            <w:r w:rsidRPr="00054204">
              <w:rPr>
                <w:rFonts w:ascii="Arial" w:eastAsia="Times New Roman" w:hAnsi="Arial" w:cs="Arial"/>
                <w:color w:val="000000"/>
                <w:sz w:val="20"/>
                <w:szCs w:val="20"/>
              </w:rPr>
              <w:t>Colombia</w:t>
            </w:r>
          </w:p>
        </w:tc>
        <w:tc>
          <w:tcPr>
            <w:tcW w:w="2809" w:type="dxa"/>
            <w:tcBorders>
              <w:top w:val="single" w:sz="8" w:space="0" w:color="auto"/>
              <w:left w:val="nil"/>
              <w:bottom w:val="single" w:sz="8" w:space="0" w:color="auto"/>
              <w:right w:val="single" w:sz="8" w:space="0" w:color="auto"/>
            </w:tcBorders>
            <w:shd w:val="clear" w:color="auto" w:fill="auto"/>
            <w:hideMark/>
          </w:tcPr>
          <w:p w14:paraId="4A302D3D" w14:textId="77777777" w:rsidR="00054204" w:rsidRPr="00054204" w:rsidRDefault="00054204" w:rsidP="00054204">
            <w:pPr>
              <w:jc w:val="center"/>
              <w:rPr>
                <w:rFonts w:ascii="Arial" w:eastAsia="Times New Roman" w:hAnsi="Arial" w:cs="Arial"/>
                <w:color w:val="000000"/>
                <w:sz w:val="20"/>
                <w:szCs w:val="20"/>
              </w:rPr>
            </w:pPr>
            <w:r w:rsidRPr="00054204">
              <w:rPr>
                <w:rFonts w:ascii="Arial" w:eastAsia="Times New Roman" w:hAnsi="Arial" w:cs="Arial"/>
                <w:color w:val="000000"/>
                <w:sz w:val="20"/>
                <w:szCs w:val="20"/>
              </w:rPr>
              <w:t>Mexico</w:t>
            </w:r>
          </w:p>
        </w:tc>
      </w:tr>
      <w:tr w:rsidR="00054204" w:rsidRPr="00054204" w14:paraId="657F8AA5" w14:textId="77777777" w:rsidTr="00AD78C9">
        <w:trPr>
          <w:trHeight w:val="1300"/>
        </w:trPr>
        <w:tc>
          <w:tcPr>
            <w:tcW w:w="1407" w:type="dxa"/>
            <w:vMerge w:val="restart"/>
            <w:tcBorders>
              <w:top w:val="nil"/>
              <w:left w:val="single" w:sz="8" w:space="0" w:color="auto"/>
              <w:bottom w:val="nil"/>
              <w:right w:val="single" w:sz="8" w:space="0" w:color="auto"/>
            </w:tcBorders>
            <w:shd w:val="clear" w:color="auto" w:fill="auto"/>
            <w:hideMark/>
          </w:tcPr>
          <w:p w14:paraId="18EA36C3"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xml:space="preserve">Healthcare service delivery </w:t>
            </w:r>
          </w:p>
        </w:tc>
        <w:tc>
          <w:tcPr>
            <w:tcW w:w="1751" w:type="dxa"/>
            <w:tcBorders>
              <w:top w:val="nil"/>
              <w:left w:val="nil"/>
              <w:bottom w:val="nil"/>
              <w:right w:val="single" w:sz="8" w:space="0" w:color="auto"/>
            </w:tcBorders>
            <w:shd w:val="clear" w:color="auto" w:fill="auto"/>
            <w:hideMark/>
          </w:tcPr>
          <w:p w14:paraId="6C439866" w14:textId="77777777" w:rsidR="00054204" w:rsidRPr="00054204" w:rsidRDefault="00054204" w:rsidP="00054204">
            <w:pPr>
              <w:rPr>
                <w:rFonts w:ascii="Arial" w:eastAsia="Times New Roman" w:hAnsi="Arial" w:cs="Arial"/>
                <w:color w:val="000000"/>
                <w:sz w:val="20"/>
                <w:szCs w:val="20"/>
              </w:rPr>
            </w:pPr>
            <w:r w:rsidRPr="00054204">
              <w:rPr>
                <w:rFonts w:ascii="Arial" w:eastAsia="Times New Roman" w:hAnsi="Arial" w:cs="Arial"/>
                <w:color w:val="000000"/>
                <w:sz w:val="20"/>
                <w:szCs w:val="20"/>
              </w:rPr>
              <w:t>Expansion of UHC/PHC</w:t>
            </w:r>
          </w:p>
        </w:tc>
        <w:tc>
          <w:tcPr>
            <w:tcW w:w="2928" w:type="dxa"/>
            <w:tcBorders>
              <w:top w:val="nil"/>
              <w:left w:val="nil"/>
              <w:bottom w:val="nil"/>
              <w:right w:val="single" w:sz="8" w:space="0" w:color="auto"/>
            </w:tcBorders>
            <w:shd w:val="clear" w:color="auto" w:fill="auto"/>
            <w:hideMark/>
          </w:tcPr>
          <w:p w14:paraId="783A7EC8" w14:textId="77777777" w:rsidR="00054204" w:rsidRPr="00054204" w:rsidRDefault="00054204" w:rsidP="00054204">
            <w:pPr>
              <w:jc w:val="both"/>
              <w:rPr>
                <w:rFonts w:ascii="Arial" w:eastAsia="Times New Roman" w:hAnsi="Arial" w:cs="Arial"/>
                <w:i/>
                <w:iCs/>
                <w:color w:val="000000"/>
                <w:sz w:val="18"/>
                <w:szCs w:val="18"/>
              </w:rPr>
            </w:pPr>
            <w:r w:rsidRPr="00054204">
              <w:rPr>
                <w:rFonts w:ascii="Arial" w:eastAsia="Times New Roman" w:hAnsi="Arial" w:cs="Arial"/>
                <w:i/>
                <w:iCs/>
                <w:color w:val="000000"/>
                <w:sz w:val="18"/>
                <w:szCs w:val="18"/>
              </w:rPr>
              <w:t xml:space="preserve">Introduction of Plan Federal de </w:t>
            </w:r>
            <w:proofErr w:type="spellStart"/>
            <w:r w:rsidRPr="00054204">
              <w:rPr>
                <w:rFonts w:ascii="Arial" w:eastAsia="Times New Roman" w:hAnsi="Arial" w:cs="Arial"/>
                <w:i/>
                <w:iCs/>
                <w:color w:val="000000"/>
                <w:sz w:val="18"/>
                <w:szCs w:val="18"/>
              </w:rPr>
              <w:t>Salud</w:t>
            </w:r>
            <w:proofErr w:type="spellEnd"/>
            <w:r w:rsidRPr="00054204">
              <w:rPr>
                <w:rFonts w:ascii="Arial" w:eastAsia="Times New Roman" w:hAnsi="Arial" w:cs="Arial"/>
                <w:i/>
                <w:iCs/>
                <w:color w:val="000000"/>
                <w:sz w:val="18"/>
                <w:szCs w:val="18"/>
              </w:rPr>
              <w:t xml:space="preserve"> (2004) as the cornerstone of UHC based on PHC</w:t>
            </w:r>
          </w:p>
        </w:tc>
        <w:tc>
          <w:tcPr>
            <w:tcW w:w="2976" w:type="dxa"/>
            <w:tcBorders>
              <w:top w:val="nil"/>
              <w:left w:val="nil"/>
              <w:bottom w:val="nil"/>
              <w:right w:val="single" w:sz="8" w:space="0" w:color="auto"/>
            </w:tcBorders>
            <w:shd w:val="clear" w:color="auto" w:fill="auto"/>
            <w:hideMark/>
          </w:tcPr>
          <w:p w14:paraId="771EB710"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SUS establishment based on strong PHC model.</w:t>
            </w:r>
          </w:p>
        </w:tc>
        <w:tc>
          <w:tcPr>
            <w:tcW w:w="2987" w:type="dxa"/>
            <w:tcBorders>
              <w:top w:val="nil"/>
              <w:left w:val="nil"/>
              <w:bottom w:val="nil"/>
              <w:right w:val="single" w:sz="8" w:space="0" w:color="auto"/>
            </w:tcBorders>
            <w:shd w:val="clear" w:color="auto" w:fill="auto"/>
            <w:hideMark/>
          </w:tcPr>
          <w:p w14:paraId="7061DD1E"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Law 100 (1993) reformed established the Mandatory Health Benefit Package (POS) under two regimes, the contributive and the subsidized (for those without formal employment)</w:t>
            </w:r>
          </w:p>
        </w:tc>
        <w:tc>
          <w:tcPr>
            <w:tcW w:w="2809" w:type="dxa"/>
            <w:tcBorders>
              <w:top w:val="nil"/>
              <w:left w:val="nil"/>
              <w:bottom w:val="nil"/>
              <w:right w:val="single" w:sz="8" w:space="0" w:color="auto"/>
            </w:tcBorders>
            <w:shd w:val="clear" w:color="auto" w:fill="auto"/>
            <w:hideMark/>
          </w:tcPr>
          <w:p w14:paraId="756CAEEC" w14:textId="77777777" w:rsidR="00054204" w:rsidRPr="00054204" w:rsidRDefault="00054204" w:rsidP="00054204">
            <w:pPr>
              <w:jc w:val="both"/>
              <w:rPr>
                <w:rFonts w:ascii="Arial" w:eastAsia="Times New Roman" w:hAnsi="Arial" w:cs="Arial"/>
                <w:i/>
                <w:iCs/>
                <w:color w:val="000000"/>
                <w:sz w:val="18"/>
                <w:szCs w:val="18"/>
              </w:rPr>
            </w:pPr>
            <w:r w:rsidRPr="00054204">
              <w:rPr>
                <w:rFonts w:ascii="Arial" w:eastAsia="Times New Roman" w:hAnsi="Arial" w:cs="Arial"/>
                <w:i/>
                <w:iCs/>
                <w:color w:val="000000"/>
                <w:sz w:val="18"/>
                <w:szCs w:val="18"/>
              </w:rPr>
              <w:t xml:space="preserve">Establishment of </w:t>
            </w:r>
            <w:proofErr w:type="spellStart"/>
            <w:r w:rsidRPr="00054204">
              <w:rPr>
                <w:rFonts w:ascii="Arial" w:eastAsia="Times New Roman" w:hAnsi="Arial" w:cs="Arial"/>
                <w:i/>
                <w:iCs/>
                <w:color w:val="000000"/>
                <w:sz w:val="18"/>
                <w:szCs w:val="18"/>
              </w:rPr>
              <w:t>Seguro</w:t>
            </w:r>
            <w:proofErr w:type="spellEnd"/>
            <w:r w:rsidRPr="00054204">
              <w:rPr>
                <w:rFonts w:ascii="Arial" w:eastAsia="Times New Roman" w:hAnsi="Arial" w:cs="Arial"/>
                <w:i/>
                <w:iCs/>
                <w:color w:val="000000"/>
                <w:sz w:val="18"/>
                <w:szCs w:val="18"/>
              </w:rPr>
              <w:t xml:space="preserve"> Popular (2004) </w:t>
            </w:r>
            <w:r w:rsidRPr="00054204">
              <w:rPr>
                <w:rFonts w:ascii="Arial" w:eastAsia="Times New Roman" w:hAnsi="Arial" w:cs="Arial"/>
                <w:i/>
                <w:iCs/>
                <w:color w:val="000000"/>
                <w:sz w:val="18"/>
                <w:szCs w:val="18"/>
              </w:rPr>
              <w:br/>
              <w:t>"</w:t>
            </w:r>
            <w:proofErr w:type="spellStart"/>
            <w:r w:rsidRPr="00054204">
              <w:rPr>
                <w:rFonts w:ascii="Arial" w:eastAsia="Times New Roman" w:hAnsi="Arial" w:cs="Arial"/>
                <w:i/>
                <w:iCs/>
                <w:color w:val="000000"/>
                <w:sz w:val="18"/>
                <w:szCs w:val="18"/>
              </w:rPr>
              <w:t>Seguro</w:t>
            </w:r>
            <w:proofErr w:type="spellEnd"/>
            <w:r w:rsidRPr="00054204">
              <w:rPr>
                <w:rFonts w:ascii="Arial" w:eastAsia="Times New Roman" w:hAnsi="Arial" w:cs="Arial"/>
                <w:i/>
                <w:iCs/>
                <w:color w:val="000000"/>
                <w:sz w:val="18"/>
                <w:szCs w:val="18"/>
              </w:rPr>
              <w:t xml:space="preserve"> Medico </w:t>
            </w:r>
            <w:proofErr w:type="spellStart"/>
            <w:r w:rsidRPr="00054204">
              <w:rPr>
                <w:rFonts w:ascii="Arial" w:eastAsia="Times New Roman" w:hAnsi="Arial" w:cs="Arial"/>
                <w:i/>
                <w:iCs/>
                <w:color w:val="000000"/>
                <w:sz w:val="18"/>
                <w:szCs w:val="18"/>
              </w:rPr>
              <w:t>para</w:t>
            </w:r>
            <w:proofErr w:type="spellEnd"/>
            <w:r w:rsidRPr="00054204">
              <w:rPr>
                <w:rFonts w:ascii="Arial" w:eastAsia="Times New Roman" w:hAnsi="Arial" w:cs="Arial"/>
                <w:i/>
                <w:iCs/>
                <w:color w:val="000000"/>
                <w:sz w:val="18"/>
                <w:szCs w:val="18"/>
              </w:rPr>
              <w:t xml:space="preserve"> la </w:t>
            </w:r>
            <w:proofErr w:type="spellStart"/>
            <w:r w:rsidRPr="00054204">
              <w:rPr>
                <w:rFonts w:ascii="Arial" w:eastAsia="Times New Roman" w:hAnsi="Arial" w:cs="Arial"/>
                <w:i/>
                <w:iCs/>
                <w:color w:val="000000"/>
                <w:sz w:val="18"/>
                <w:szCs w:val="18"/>
              </w:rPr>
              <w:t>nueva</w:t>
            </w:r>
            <w:proofErr w:type="spellEnd"/>
            <w:r w:rsidRPr="00054204">
              <w:rPr>
                <w:rFonts w:ascii="Arial" w:eastAsia="Times New Roman" w:hAnsi="Arial" w:cs="Arial"/>
                <w:i/>
                <w:iCs/>
                <w:color w:val="000000"/>
                <w:sz w:val="18"/>
                <w:szCs w:val="18"/>
              </w:rPr>
              <w:t xml:space="preserve"> </w:t>
            </w:r>
            <w:proofErr w:type="spellStart"/>
            <w:r w:rsidRPr="00054204">
              <w:rPr>
                <w:rFonts w:ascii="Arial" w:eastAsia="Times New Roman" w:hAnsi="Arial" w:cs="Arial"/>
                <w:i/>
                <w:iCs/>
                <w:color w:val="000000"/>
                <w:sz w:val="18"/>
                <w:szCs w:val="18"/>
              </w:rPr>
              <w:t>generacion</w:t>
            </w:r>
            <w:proofErr w:type="spellEnd"/>
            <w:r w:rsidRPr="00054204">
              <w:rPr>
                <w:rFonts w:ascii="Arial" w:eastAsia="Times New Roman" w:hAnsi="Arial" w:cs="Arial"/>
                <w:i/>
                <w:iCs/>
                <w:color w:val="000000"/>
                <w:sz w:val="18"/>
                <w:szCs w:val="18"/>
              </w:rPr>
              <w:t xml:space="preserve">” (2007) improved coverage for </w:t>
            </w:r>
            <w:proofErr w:type="spellStart"/>
            <w:r w:rsidRPr="00054204">
              <w:rPr>
                <w:rFonts w:ascii="Arial" w:eastAsia="Times New Roman" w:hAnsi="Arial" w:cs="Arial"/>
                <w:i/>
                <w:iCs/>
                <w:color w:val="000000"/>
                <w:sz w:val="18"/>
                <w:szCs w:val="18"/>
              </w:rPr>
              <w:t>childrens</w:t>
            </w:r>
            <w:proofErr w:type="spellEnd"/>
            <w:r w:rsidRPr="00054204">
              <w:rPr>
                <w:rFonts w:ascii="Arial" w:eastAsia="Times New Roman" w:hAnsi="Arial" w:cs="Arial"/>
                <w:i/>
                <w:iCs/>
                <w:color w:val="000000"/>
                <w:sz w:val="18"/>
                <w:szCs w:val="18"/>
              </w:rPr>
              <w:t xml:space="preserve"> </w:t>
            </w:r>
          </w:p>
        </w:tc>
      </w:tr>
      <w:tr w:rsidR="00054204" w:rsidRPr="00054204" w14:paraId="6B2DFD91" w14:textId="77777777" w:rsidTr="00AD78C9">
        <w:trPr>
          <w:trHeight w:val="2100"/>
        </w:trPr>
        <w:tc>
          <w:tcPr>
            <w:tcW w:w="1407" w:type="dxa"/>
            <w:vMerge/>
            <w:tcBorders>
              <w:top w:val="nil"/>
              <w:left w:val="single" w:sz="8" w:space="0" w:color="auto"/>
              <w:bottom w:val="nil"/>
              <w:right w:val="single" w:sz="8" w:space="0" w:color="auto"/>
            </w:tcBorders>
            <w:hideMark/>
          </w:tcPr>
          <w:p w14:paraId="68F6BFF8"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nil"/>
              <w:right w:val="single" w:sz="8" w:space="0" w:color="auto"/>
            </w:tcBorders>
            <w:shd w:val="clear" w:color="auto" w:fill="auto"/>
            <w:hideMark/>
          </w:tcPr>
          <w:p w14:paraId="5D2F79BD" w14:textId="77777777" w:rsidR="00054204" w:rsidRPr="00054204" w:rsidRDefault="00054204" w:rsidP="00054204">
            <w:pPr>
              <w:rPr>
                <w:rFonts w:ascii="Arial" w:eastAsia="Times New Roman" w:hAnsi="Arial" w:cs="Arial"/>
                <w:color w:val="000000"/>
                <w:sz w:val="20"/>
                <w:szCs w:val="20"/>
              </w:rPr>
            </w:pPr>
          </w:p>
          <w:p w14:paraId="015E300A" w14:textId="77777777" w:rsidR="00054204" w:rsidRPr="00054204" w:rsidRDefault="00054204" w:rsidP="00054204">
            <w:pPr>
              <w:rPr>
                <w:rFonts w:ascii="Arial" w:eastAsia="Times New Roman" w:hAnsi="Arial" w:cs="Arial"/>
                <w:color w:val="000000"/>
                <w:sz w:val="20"/>
                <w:szCs w:val="20"/>
              </w:rPr>
            </w:pPr>
            <w:r w:rsidRPr="00054204">
              <w:rPr>
                <w:rFonts w:ascii="Arial" w:eastAsia="Times New Roman" w:hAnsi="Arial" w:cs="Arial"/>
                <w:color w:val="000000"/>
                <w:sz w:val="20"/>
                <w:szCs w:val="20"/>
              </w:rPr>
              <w:t>Implementation preventive health initiatives and early detection programs</w:t>
            </w:r>
          </w:p>
        </w:tc>
        <w:tc>
          <w:tcPr>
            <w:tcW w:w="2928" w:type="dxa"/>
            <w:tcBorders>
              <w:top w:val="nil"/>
              <w:left w:val="nil"/>
              <w:bottom w:val="nil"/>
              <w:right w:val="single" w:sz="8" w:space="0" w:color="auto"/>
            </w:tcBorders>
            <w:shd w:val="clear" w:color="auto" w:fill="auto"/>
            <w:hideMark/>
          </w:tcPr>
          <w:p w14:paraId="1565A416" w14:textId="77777777" w:rsidR="00054204" w:rsidRPr="00054204" w:rsidRDefault="00054204" w:rsidP="00054204">
            <w:pPr>
              <w:jc w:val="both"/>
              <w:rPr>
                <w:rFonts w:ascii="Arial" w:eastAsia="Times New Roman" w:hAnsi="Arial" w:cs="Arial"/>
                <w:i/>
                <w:iCs/>
                <w:color w:val="000000"/>
                <w:sz w:val="18"/>
                <w:szCs w:val="18"/>
              </w:rPr>
            </w:pPr>
          </w:p>
          <w:p w14:paraId="77549929" w14:textId="77777777" w:rsidR="00054204" w:rsidRPr="00054204" w:rsidRDefault="00054204" w:rsidP="00054204">
            <w:pPr>
              <w:jc w:val="both"/>
              <w:rPr>
                <w:rFonts w:ascii="Arial" w:eastAsia="Calibri" w:hAnsi="Arial" w:cs="Arial"/>
                <w:iCs/>
                <w:noProof/>
                <w:color w:val="000000"/>
                <w:sz w:val="18"/>
                <w:szCs w:val="18"/>
                <w:vertAlign w:val="superscript"/>
              </w:rPr>
            </w:pPr>
            <w:r w:rsidRPr="00054204">
              <w:rPr>
                <w:rFonts w:ascii="Arial" w:eastAsia="Times New Roman" w:hAnsi="Arial" w:cs="Arial"/>
                <w:i/>
                <w:iCs/>
                <w:color w:val="000000"/>
                <w:sz w:val="18"/>
                <w:szCs w:val="18"/>
              </w:rPr>
              <w:t xml:space="preserve">Plan </w:t>
            </w:r>
            <w:proofErr w:type="spellStart"/>
            <w:r w:rsidRPr="00054204">
              <w:rPr>
                <w:rFonts w:ascii="Arial" w:eastAsia="Times New Roman" w:hAnsi="Arial" w:cs="Arial"/>
                <w:i/>
                <w:iCs/>
                <w:color w:val="000000"/>
                <w:sz w:val="18"/>
                <w:szCs w:val="18"/>
              </w:rPr>
              <w:t>Nacer</w:t>
            </w:r>
            <w:proofErr w:type="spellEnd"/>
            <w:r w:rsidRPr="00054204">
              <w:rPr>
                <w:rFonts w:ascii="Arial" w:eastAsia="Times New Roman" w:hAnsi="Arial" w:cs="Arial"/>
                <w:i/>
                <w:iCs/>
                <w:color w:val="000000"/>
                <w:sz w:val="18"/>
                <w:szCs w:val="18"/>
              </w:rPr>
              <w:t xml:space="preserve"> / SUMAR:</w:t>
            </w:r>
            <w:r w:rsidRPr="00054204">
              <w:rPr>
                <w:rFonts w:ascii="Arial" w:eastAsia="Times New Roman" w:hAnsi="Arial" w:cs="Arial"/>
                <w:color w:val="000000"/>
                <w:sz w:val="18"/>
                <w:szCs w:val="18"/>
              </w:rPr>
              <w:t xml:space="preserve"> PHC oriented maternal and child health programs; Plan </w:t>
            </w:r>
            <w:r w:rsidRPr="00054204">
              <w:rPr>
                <w:rFonts w:ascii="Arial" w:eastAsia="Times New Roman" w:hAnsi="Arial" w:cs="Arial"/>
                <w:i/>
                <w:iCs/>
                <w:color w:val="000000"/>
                <w:sz w:val="18"/>
                <w:szCs w:val="18"/>
              </w:rPr>
              <w:t>REDES</w:t>
            </w:r>
            <w:r w:rsidRPr="00054204">
              <w:rPr>
                <w:rFonts w:ascii="Arial" w:eastAsia="Times New Roman" w:hAnsi="Arial" w:cs="Arial"/>
                <w:color w:val="000000"/>
                <w:sz w:val="18"/>
                <w:szCs w:val="18"/>
              </w:rPr>
              <w:t xml:space="preserve">  expanded to provide coverage for  all ages at PHC </w:t>
            </w:r>
            <w:r w:rsidRPr="00054204">
              <w:rPr>
                <w:rFonts w:ascii="Arial" w:eastAsia="Calibri" w:hAnsi="Arial" w:cs="Arial"/>
                <w:i/>
                <w:iCs/>
                <w:color w:val="000000"/>
                <w:sz w:val="18"/>
                <w:szCs w:val="18"/>
              </w:rPr>
              <w:t>)</w:t>
            </w:r>
            <w:r w:rsidRPr="00054204">
              <w:rPr>
                <w:rFonts w:ascii="Arial" w:eastAsia="Calibri" w:hAnsi="Arial" w:cs="Arial"/>
                <w:i/>
                <w:iCs/>
                <w:color w:val="000000"/>
                <w:sz w:val="18"/>
                <w:szCs w:val="18"/>
                <w:vertAlign w:val="superscript"/>
              </w:rPr>
              <w:t xml:space="preserve"> </w:t>
            </w:r>
            <w:r w:rsidRPr="00054204">
              <w:rPr>
                <w:rFonts w:ascii="Arial" w:eastAsia="Calibri" w:hAnsi="Arial" w:cs="Arial"/>
                <w:iCs/>
                <w:noProof/>
                <w:color w:val="000000"/>
                <w:sz w:val="18"/>
                <w:szCs w:val="18"/>
                <w:vertAlign w:val="superscript"/>
              </w:rPr>
              <w:fldChar w:fldCharType="begin" w:fldLock="1"/>
            </w:r>
            <w:r w:rsidRPr="00054204">
              <w:rPr>
                <w:rFonts w:ascii="Arial" w:eastAsia="Calibri" w:hAnsi="Arial" w:cs="Arial"/>
                <w:iCs/>
                <w:noProof/>
                <w:color w:val="000000"/>
                <w:sz w:val="18"/>
                <w:szCs w:val="18"/>
                <w:vertAlign w:val="superscript"/>
              </w:rPr>
              <w:instrText>ADDIN CSL_CITATION {"citationItems":[{"id":"ITEM-1","itemData":{"DOI":"10.1590/1413-81232017225.21102015","ISSN":"1413-8123","abstract":"Resumen El Informe Mundial de Salud 2010 de la OMS delineó un marco conceptual para analizar los componentes de la Cobertura Universal de Salud, sugiriendo tres dimensiones: cobertura del servicio, cobertura financiera y cobertura de la población. A partir de ese marco, se analizan los gastos relacionados a la salud en los hogares argentinos en el año 2012/13. Para el análisis se utilizó como fuente de datos la Encuesta Nacional de Gastos de Hogares 2012/13. Se construyeron indicadores de gasto en salud de los hogares siguiendo la propuesta de Sherri (2012) y se definieron modelos multivariados para identificar determinantes del gasto de los hogares. Los resultados evidencian que la situación de gasto catastrófico en compromete al 2,3% de los hogares del país, mientras que el empobrecimiento debido al gasto en salud se encontró en el 1,7% de los hogares.","author":[{"dropping-particle":"","family":"Abeldaño","given":"Roberto Ariel","non-dropping-particle":"","parse-names":false,"suffix":""}],"container-title":"Ciência &amp; Saúde Coletiva","id":"ITEM-1","issue":"5","issued":{"date-parts":[["2017","5"]]},"page":"1631-1640","title":"Análisis del gasto de los hogares en salud en Argentina, como componente de la cobertura universal de salud","type":"article-journal","volume":"22"},"uris":["http://www.mendeley.com/documents/?uuid=27150998-174f-4633-8275-1ce095b8cfc1"]},{"id":"ITEM-2","itemData":{"DOI":"10.18294/sc.2017.1312","ISSN":"18518265","abstract":"Los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Colectiva","id":"ITEM-2","issue":"4","issued":{"date-parts":[["2017"]]},"page":"663-676","title":"El universalismo en salud en Argentina entre 2003 y 2015: Balances y desafíos desde una aproximación macroinstitucional","type":"article-journal","volume":"13"},"uris":["http://www.mendeley.com/documents/?uuid=fb38d94a-b197-4112-9e76-50d54278f2b0"]}],"mendeley":{"formattedCitation":"[19,20]","plainTextFormattedCitation":"[19,20]","previouslyFormattedCitation":"&lt;sup&gt;19,20&lt;/sup&gt;"},"properties":{"noteIndex":0},"schema":"https://github.com/citation-style-language/schema/raw/master/csl-citation.json"}</w:instrText>
            </w:r>
            <w:r w:rsidRPr="00054204">
              <w:rPr>
                <w:rFonts w:ascii="Arial" w:eastAsia="Calibri" w:hAnsi="Arial" w:cs="Arial"/>
                <w:iCs/>
                <w:noProof/>
                <w:color w:val="000000"/>
                <w:sz w:val="18"/>
                <w:szCs w:val="18"/>
                <w:vertAlign w:val="superscript"/>
              </w:rPr>
              <w:fldChar w:fldCharType="separate"/>
            </w:r>
            <w:r w:rsidRPr="00054204">
              <w:rPr>
                <w:rFonts w:ascii="Arial" w:eastAsia="Calibri" w:hAnsi="Arial" w:cs="Arial"/>
                <w:iCs/>
                <w:noProof/>
                <w:color w:val="000000"/>
                <w:sz w:val="18"/>
                <w:szCs w:val="18"/>
              </w:rPr>
              <w:t>[19,20]</w:t>
            </w:r>
            <w:r w:rsidRPr="00054204">
              <w:rPr>
                <w:rFonts w:ascii="Arial" w:eastAsia="Calibri" w:hAnsi="Arial" w:cs="Arial"/>
                <w:iCs/>
                <w:noProof/>
                <w:color w:val="000000"/>
                <w:sz w:val="18"/>
                <w:szCs w:val="18"/>
                <w:vertAlign w:val="superscript"/>
              </w:rPr>
              <w:fldChar w:fldCharType="end"/>
            </w:r>
            <w:r w:rsidRPr="00054204">
              <w:rPr>
                <w:rFonts w:ascii="Arial" w:eastAsia="Times New Roman" w:hAnsi="Arial" w:cs="Arial"/>
                <w:i/>
                <w:iCs/>
                <w:color w:val="000000"/>
                <w:sz w:val="18"/>
                <w:szCs w:val="18"/>
              </w:rPr>
              <w:br/>
            </w:r>
            <w:r w:rsidRPr="00054204">
              <w:rPr>
                <w:rFonts w:ascii="Arial" w:eastAsia="Times New Roman" w:hAnsi="Arial" w:cs="Arial"/>
                <w:color w:val="000000"/>
                <w:sz w:val="18"/>
                <w:szCs w:val="18"/>
              </w:rPr>
              <w:t xml:space="preserve">Expanded disease management programs including sexually transmitted infections, cardiovascular disease, diabetes, and other chronic conditions.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{"citationItems":[{"id":"ITEM-1","itemData":{"DOI":"10.1590/1413-81232018237.08362018","ISSN":"1678-4561","abstract":"Resumo Nas últimas décadas, vários sistemas de saúde latino-americanos passaram por reformas. O artigo analisa as políticas de saúde na Argentina, Brasil e México de 1990 a 2014, explorando estratégias, condicionantes e efeitos das reformas sobre a configuração dos sistemas de saúde. Adotou-se a abordagem histórico-comparativa, considerando os eixos: trajetória da política de saúde; contexto político e econômico; agendas, processos e estratégias de reforma; mudanças na configuração do sistema, em termos de estratificação social e desmercantilização. A pesquisa compreendeu revisão bibliográfica, análise documental e de dados secundários e entrevistas. No período, a Argentina manteve na saúde o sistema corporativo fragmentado, com expansão do setor privado e de programas públicos específicos. O Brasil implantou um sistema público universal, que convive com um setor privado dinâmico e crescente. O México manteve o seguro social dos trabalhadores e criou um seguro de saúde para pobres. Em que pesem as diferenças nos condicionantes e estratégias de reforma, nos três países persistiram a estratificação social e a mercantilização em saúde, sob formas variadas. A transformação dessas características é fundamental para a construção de sistemas de saúde universais na América Latina.","author":[{"dropping-particle":"","family":"Machado","given":"Cristiani Vieira","non-dropping-particle":"","parse-names":false,"suffix":""}],"container-title":"Ciência &amp; Saúde Coletiva","id":"ITEM-1","issue":"7","issued":{"date-parts":[["2018","7"]]},"page":"2197-2212","title":"Políticas de Saúde na Argentina, Brasil e México: diferentes caminhos, muitos desafios","type":"article-journal","volume":"23"},"uris":["http://www.mendeley.com/documents/?uuid=2753217c-cf5a-44e5-902e-0b53272dfadd"]},{"id":"ITEM-2","itemData":{"DOI":"10.1080/23288604.2018.1477537","ISSN":"2328-8604","abstract":"The reform of a health care system requires attention to specific components but also to the creation of an environment that supports change. Argentina has achieved nominal universal health coverage (UHC) but it still needs to work on achieving effective universal health coverage, especially with regard to quality and equity. Nominal coverage means that everyone has been enrolled and has the right to access, and effective coverage means that people have actually received prioritized health care services. In this article, we present our proposals to advance UHC in Argentina. The article includes an overview of Argentina's health system, then introduces the driving forces for reform, and finally analyzes four key issues where we provide our action plan to implement health reform for moving Argentina forward. Overall, our ultimate goal is to provide actual UHC and not aspirational UHC in Argentina by strengthening provincial health systems through enforcing public insurance schemes; utilizing an explicit priority-setting approach to make decisions on health coverage; reducing health disparities in coverage and outcomes, at least on prioritized health problems; and building a primary care-oriented health care system.","author":[{"dropping-particle":"","family":"Rubinstein","given":"Adolfo","non-dropping-particle":"","parse-names":false,"suffix":""},{"dropping-particle":"","family":"Zerbino","given":"María Clara","non-dropping-particle":"","parse-names":false,"suffix":""},{"dropping-particle":"","family":"Cejas","given":"Cintia","non-dropping-particle":"","parse-names":false,"suffix":""},{"dropping-particle":"","family":"López","given":"Analía","non-dropping-particle":"","parse-names":false,"suffix":""}],"container-title":"Health Systems &amp; Reform","id":"ITEM-2","issue":"3","issued":{"date-parts":[["2018","7","3"]]},"page":"203-213","title":"Making Universal Health Care Effective in Argentina: A Blueprint for Reform","type":"article-journal","volume":"4"},"uris":["http://www.mendeley.com/documents/?uuid=4c5bc372-6d58-3e76-938c-0b6b97605ce8"]}],"mendeley":{"formattedCitation":"[18,23]","plainTextFormattedCitation":"[18,23]","previouslyFormattedCitation":"&lt;sup&gt;18,23&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[18,23]</w:t>
            </w:r>
            <w:r w:rsidRPr="00054204">
              <w:rPr>
                <w:rFonts w:ascii="Arial" w:eastAsia="Calibri" w:hAnsi="Arial" w:cs="Arial"/>
                <w:i/>
                <w:iCs/>
                <w:color w:val="000000"/>
                <w:sz w:val="18"/>
                <w:szCs w:val="18"/>
                <w:vertAlign w:val="superscript"/>
              </w:rPr>
              <w:fldChar w:fldCharType="end"/>
            </w:r>
          </w:p>
        </w:tc>
        <w:tc>
          <w:tcPr>
            <w:tcW w:w="2976" w:type="dxa"/>
            <w:tcBorders>
              <w:top w:val="nil"/>
              <w:left w:val="nil"/>
              <w:bottom w:val="nil"/>
              <w:right w:val="single" w:sz="8" w:space="0" w:color="auto"/>
            </w:tcBorders>
            <w:shd w:val="clear" w:color="auto" w:fill="auto"/>
            <w:hideMark/>
          </w:tcPr>
          <w:p w14:paraId="0384B5F1" w14:textId="77777777" w:rsidR="00054204" w:rsidRPr="00054204" w:rsidRDefault="00054204" w:rsidP="00054204">
            <w:pPr>
              <w:jc w:val="both"/>
              <w:rPr>
                <w:rFonts w:ascii="Arial" w:eastAsia="Times New Roman" w:hAnsi="Arial" w:cs="Arial"/>
                <w:i/>
                <w:iCs/>
                <w:color w:val="000000"/>
                <w:sz w:val="18"/>
                <w:szCs w:val="18"/>
              </w:rPr>
            </w:pPr>
          </w:p>
          <w:p w14:paraId="154499F9" w14:textId="77777777" w:rsidR="00054204" w:rsidRPr="00054204" w:rsidRDefault="00054204" w:rsidP="00054204">
            <w:pPr>
              <w:jc w:val="both"/>
              <w:rPr>
                <w:rFonts w:ascii="Arial" w:eastAsia="Times New Roman" w:hAnsi="Arial" w:cs="Arial"/>
                <w:i/>
                <w:iCs/>
                <w:color w:val="000000"/>
                <w:sz w:val="18"/>
                <w:szCs w:val="18"/>
              </w:rPr>
            </w:pPr>
            <w:r w:rsidRPr="00054204">
              <w:rPr>
                <w:rFonts w:ascii="Arial" w:eastAsia="Times New Roman" w:hAnsi="Arial" w:cs="Arial"/>
                <w:i/>
                <w:iCs/>
                <w:color w:val="000000"/>
                <w:sz w:val="18"/>
                <w:szCs w:val="18"/>
              </w:rPr>
              <w:t>ESF</w:t>
            </w:r>
            <w:r w:rsidRPr="00054204">
              <w:rPr>
                <w:rFonts w:ascii="Arial" w:eastAsia="Times New Roman" w:hAnsi="Arial" w:cs="Arial"/>
                <w:color w:val="000000"/>
                <w:sz w:val="18"/>
                <w:szCs w:val="18"/>
              </w:rPr>
              <w:t xml:space="preserve"> introduced to </w:t>
            </w:r>
            <w:proofErr w:type="gramStart"/>
            <w:r w:rsidRPr="00054204">
              <w:rPr>
                <w:rFonts w:ascii="Arial" w:eastAsia="Times New Roman" w:hAnsi="Arial" w:cs="Arial"/>
                <w:color w:val="000000"/>
                <w:sz w:val="18"/>
                <w:szCs w:val="18"/>
              </w:rPr>
              <w:t>increase  coverage</w:t>
            </w:r>
            <w:proofErr w:type="gramEnd"/>
            <w:r w:rsidRPr="00054204">
              <w:rPr>
                <w:rFonts w:ascii="Arial" w:eastAsia="Times New Roman" w:hAnsi="Arial" w:cs="Arial"/>
                <w:color w:val="000000"/>
                <w:sz w:val="18"/>
                <w:szCs w:val="18"/>
              </w:rPr>
              <w:t xml:space="preserve"> in underserved areas  and reduced mortality from both non-communicable and infectious diseases, especially infant mortality due to diarrhea and respiratory infections. Improvement of pre-natal care and sexual and reproductive health programs.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{"citationItems":[{"id":"ITEM-1","itemData":{"DOI":"10.1371/journal.pmed.1001692","ISSN":"1549-1676","abstract":"&lt;sec&gt; &lt;title&gt;&lt;/title&gt; &lt;p&gt;This paper is a country case study for the Universal Health Coverage Collection, organized by WHO. Tanvir Mahmudul Huda and colleagues illustrate progress towards UHC and its monitoring and evaluation in Bangladesh.&lt;/p&gt; &lt;p&gt;&lt;italic&gt;Please see later in the article for the Editors' Summary&lt;/italic&gt;&lt;/p&gt; &lt;/sec&gt;","author":[{"dropping-particle":"","family":"Barreto","given":"Mauricio L.","non-dropping-particle":"","parse-names":false,"suffix":""},{"dropping-particle":"","family":"Rasella","given":"Davide","non-dropping-particle":"","parse-names":false,"suffix":""},{"dropping-particle":"","family":"Machado","given":"Daiane B.","non-dropping-particle":"","parse-names":false,"suffix":""},{"dropping-particle":"","family":"Aquino","given":"Rosana","non-dropping-particle":"","parse-names":false,"suffix":""},{"dropping-particle":"","family":"Lima","given":"Diana","non-dropping-particle":"","parse-names":false,"suffix":""},{"dropping-particle":"","family":"Garcia","given":"Leila P.","non-dropping-particle":"","parse-names":false,"suffix":""},{"dropping-particle":"","family":"Boing","given":"Alexandra C.","non-dropping-particle":"","parse-names":false,"suffix":""},{"dropping-particle":"","family":"Santos","given":"Jackson","non-dropping-particle":"","parse-names":false,"suffix":""},{"dropping-particle":"","family":"Escalante","given":"Juan","non-dropping-particle":"","parse-names":false,"suffix":""},{"dropping-particle":"","family":"Aquino","given":"Estela M. L.","non-dropping-particle":"","parse-names":false,"suffix":""},{"dropping-particle":"","family":"Travassos","given":"Claudia","non-dropping-particle":"","parse-names":false,"suffix":""},{"dropping-particle":"","family":"Chahed","given":"Mohamed Kouni","non-dropping-particle":"","parse-names":false,"suffix":""},{"dropping-particle":"","family":"Arfa","given":"Chokri","non-dropping-particle":"","parse-names":false,"suffix":""},{"dropping-particle":"","family":"Barreto","given":"Mauricio L.","non-dropping-particle":"","parse-names":false,"suffix":""},{"dropping-particle":"","family":"Rasella","given":"Davide","non-dropping-particle":"","parse-names":false,"suffix":""},{"dropping-particle":"","family":"Machado","given":"Daiane B.","non-dropping-particle":"","parse-names":false,"suffix":""},{"dropping-particle":"","family":"Aquino","given":"Rosana","non-dropping-particle":"","parse-names":false,"suffix":""},{"dropping-particle":"","family":"Lima","given":"Diana","non-dropping-particle":"","parse-names":false,"suffix":""},{"dropping-particle":"","family":"Garcia","given":"Leila P.","non-dropping-particle":"","parse-names":false,"suffix":""},{"dropping-particle":"","family":"Boing","given":"Alexandra C.","non-dropping-particle":"","parse-names":false,"suffix":""},{"dropping-particle":"","family":"Santos","given":"Jackson","non-dropping-particle":"","parse-names":false,"suffix":""},{"dropping-particle":"","family":"Escalante","given":"Juan","non-dropping-particle":"","parse-names":false,"suffix":""},{"dropping-particle":"","family":"Aquino","given":"Estela M. L.","non-dropping-particle":"","parse-names":false,"suffix":""},{"dropping-particle":"","family":"Travassos","given":"Claudia","non-dropping-particle":"","parse-names":false,"suffix":""}],"container-title":"PLoS Medicine","id":"ITEM-1","issue":"9","issued":{"date-parts":[["2014","9","22"]]},"page":"e1001692","title":"Monitoring and Evaluating Progress towards Universal Health Coverage in Brazil","type":"article-journal","volume":"11"},"uris":["http://www.mendeley.com/documents/?uuid=22f3c0de-5243-402a-a3c4-78045aec1ebf"]},{"id":"ITEM-2","itemData":{"DOI":"10.1186/s12939-016-0445-2","ISSN":"1475-9276","abstract":"© 2016 The Author(s). Background: The Brazilian SUS (Unified Health System) was created in 1988 within the new constitution, based on the premises of being universal, comprehensive, and equitable. The SUS offers free health care, independent of contribution or affiliation. Since then, great efforts and increasing investments have been made for the system to achieve its goals. We assessed how coverage and equity in selected reproductive and maternal interventions progressed in Brazil from 1986 to 2013. Methods: We reanalysed data from four national health surveys carried out in Brazil in 1986, 1996, 2006 and 2013. We estimated coverage for six interventions [use of modern contraceptives; antenatal care (ANC) 1+ visits by any provider; ANC 4+ visits by any provider; first ANC visit during the first trimester of pregnancy; institutional delivery; and Caesarean sections] using standard international definitions, and stratified results by wealth quintile, urban or rural residence and country regions. We also calculated two inequality indicators: the slope index of inequality (SII) and the concentration index (CIX). Results: All indicators showed steady increases in coverage over time. ANC 1+ and 4+ and institutional delivery reached coverage above 90 % in 2013. Prevalence of use of modern contraceptives was 83 % in 2013, indicating nearly universal satisfaction of need for contraception. On a less positive note, the proportion of C-sections has also grown continuously, reaching 55 % in 2013. There were marked reductions in wealth inequalities for all preventive interventions. Inequalities were significantly reduced for all indicators except for the C-section rate (p = 0.06), particularly in absolute terms (SII). Conclusions: Despite the difficulties faced in the implementation of SUS, coverage of essential interventions increased and equity has improved dramatically, due in most cases to marked increase in coverage among the poorest 40 %. An increase in unnecessary Caesarean sections was also observed during the period. Further evaluation on the quality of healthcare provided is needed.","author":[{"dropping-particle":"","family":"França","given":"Giovanny V. A.","non-dropping-particle":"","parse-names":false,"suffix":""},{"dropping-particle":"","family":"Restrepo-Méndez","given":"María Clara","non-dropping-particle":"","parse-names":false,"suffix":""},{"dropping-particle":"","family":"Maia","given":"Maria Fátima S.","non-dropping-particle":"","parse-names":false,"suffix":""},{"dropping-particle":"","family":"Victora","given":"Cesar G.","non-dropping-particle":"","parse-names":false,"suffix":""},{"dropping-particle":"","family":"Barros","given":"Aluísio J. D.","non-dropping-particle":"","parse-names":false,"suffix":""}],"container-title":"International Journal for Equity in Health","id":"ITEM-2","issue":"1","issued":{"date-parts":[["2016","12","17"]]},"page":"149","title":"Coverage and equity in reproductive and maternal health interventions in Brazil: impressive progress following the implementation of the Unified Health System","type":"article-journal","volume":"15"},"uris":["http://www.mendeley.com/documents/?uuid=6eed381d-74b8-4e08-b3ba-2f62a9edc7f3"]},{"id":"ITEM-3","itemData":{"DOI":"10.1371/journal.pmed.1002306","ISSN":"1549-1676","abstract":"© 2017 Hone et al. Background: Universal health coverage (UHC) can play an important role in achieving Sustainable Development Goal (SDG) 10, which addr esses reducing inequalities, but little supporting evidence is available from low- and middle-income countries. Brazil’s Estratégia de Saúde da Família (ESF) (family health strategy) is a community-based primary healthcare (PHC) programme that has been expanding since the 1990s and is the main platform for delivering UHC in the country. We evaluated whether expansion of the ESF was associated with differential reductions in mortality amenable to PHC between racial groups. Methods and findings: Municipality-level longitudinal fixed-effects panel regressions were used to examine associations between ESF coverage and mortality from ambulatory-care-sensitive conditions (ACSCs) in black/pardo (mixed race) and white individuals over the period 2000–2013. Models were adjusted for socio-economic development and wider health system variables. Over the period 2000–2013, there were 281,877 and 318,030 ACSC deaths (after age standardisation) in the black/pardo and white groups, respectively, in the 1,622 municipalities studied. Age-standardised ACSC mortality fell from 93.3 to 57.9 per 100,000 population in the black/pardo group and from 75.7 to 49.2 per 100,000 population in the white group. ESF expansion (from 0% to 100%) was associated with a 15.4% (rate ratio [RR]: 0.846; 95% CI: 0.796–0.899) reduction in ACSC mortality in the black/pardo group compared with a 6.8% (RR: 0.932; 95% CI: 0.892–0.974) reduction in the white group (coefficients significantly different, p = 0.012). These differential benefits were driven by greater reductions in mortality from infectious diseases, nutritional deficiencies and anaemia, diabetes, and cardiovascular disease in the black/pardo group. Although the analysis is ecological, sensitivity analyses suggest that over 30% of black/pardo deaths would have to be incorrectly coded for the results to be invalid. This study is limited by the use of municipal-aggregate data, which precludes individual-level inference. Omitted variable bias, where factors associated with ESF expansion are also associated with changes in mortality rates, may have influenced our findings, although sensitivity analyses show the robustness of the findings to pre-ESF trends and the inclusion of other municipal-level factors that could be associated with coverage. Conclusions: PHC expansion is associated with …","author":[{"dropping-particle":"","family":"Hone","given":"Thomas","non-dropping-particle":"","parse-names":false,"suffix":""},{"dropping-particle":"","family":"Rasella","given":"Davide","non-dropping-particle":"","parse-names":false,"suffix":""},{"dropping-particle":"","family":"Barreto","given":"Mauricio L.","non-dropping-particle":"","parse-names":false,"suffix":""},{"dropping-particle":"","family":"Majeed","given":"Azeem","non-dropping-particle":"","parse-names":false,"suffix":""},{"dropping-particle":"","family":"Millett","given":"Christopher","non-dropping-particle":"","parse-names":false,"suffix":""}],"container-title":"PLOS Medicine","id":"ITEM-3","issue":"5","issued":{"date-parts":[["2017","5","30"]]},"page":"1-19","title":"Association between expansion of primary healthcare and racial inequalities in mortality amenable to primary care in Brazil: A national longitudinal analysis","type":"article-journal","volume":"14"},"uris":["http://www.mendeley.com/documents/?uuid=2d257325-3fab-4dc8-9d7f-6fc9317fd7e1"]},{"id":"ITEM-4","itemData":{"DOI":"10.1056/NEJMp1501140","ISSN":"0028-4793","abstract":"In any field, improving performance and accountability depends on having a shared goal that unites the interests and activities of all stakeholders. In health care, however, stakeholders have myriad, often conflicting goals, including access to services, profitability, high quality, cost containment, safety, convenience, patient-centeredness, and satisfaction. Lack of clarity about goals has led to divergent approaches, gaming of the system, and slow progress in performance improvement. Achieving high value for patients must become the overarching goal of health care delivery, with value defined as the health outcomes achieved per dollar spent.(1) This goal is what matters for patients and unites . . .","author":[{"dropping-particle":"","family":"Macinko","given":"James","non-dropping-particle":"","parse-names":false,"suffix":""},{"dropping-particle":"","family":"Harris","given":"Matthew J.","non-dropping-particle":"","parse-names":false,"suffix":""}],"container-title":"New England Journal of Medicine","id":"ITEM-4","issue":"23","issued":{"date-parts":[["2015","6","4"]]},"page":"2177-2181","title":"Brazil's Family Health Strategy — Delivering Community-Based Primary Care in a Universal Health System","type":"article-journal","volume":"372"},"uris":["http://www.mendeley.com/documents/?uuid=2d2ee16c-0142-4b2b-847e-4da965c2ec51"]},{"id":"ITEM-5","itemData":{"DOI":"10.7189/jogh.07.010303","ISSN":"2047-2978","abstract":"A number of developing countries that are often referred to as emerging economies have turned their attention to addressing their public health issues in more comprehensive and systematic ways. A number of developing countries that are often referred to as emerging economies have turned their attention to addressing their public health issues in more comprehensive and systematic ways. One of the most notable recent additions to the ranks of these countries is India, where consultations about building a universal health care system have been going on since 2015. While the tra-jectory of this particular initiative and similar ones elsewhere is yet to be determined, the aim of this piece is to draw some lessons from an emerging economy that, for contingent historical and political reasons, started building a universal public health care system earlier: Brazil. The key argument offered from the Brazilian experience is that building a robust public health care system based on the principles of universality and equity is a challenge of a political economy nature and one that ought to be met at multiple levels simultaneously. The Indian National Health Policy draft published in 2015 recommended the creation of a universal health care system in India based on equity and universality [1], a progressive move that should be unanimously applauded especially in light of the relatively poor state of health in the country. The challenges of building a public health care system have been enormous wherever this project has been attempted, as any historical overview of the more successful public health care systems would confirm. These challenges are obviously time-and place-specific, as those drafting the Indian National Health Policy seem to be well aware of. One interesting element of this initiative is the relatively delayed response of the Indian state to fulfilling the right to health that, although not explicitly listed as a fundamental right in the Indian Constitution , has been consistently interpreted by the judiciary as central to the right to life guaranteed under Article 21. Another interesting element of this public health initiative relates to its appeal to universality and equality at a time these principles have come under increased pressures-not only of a financial nature-in many existing and well-established public health care systems (eg, in Europe). Both these characteristics-the relatively late emergence of efforts to build a public health care syst…","author":[{"dropping-particle":"","family":"Muzaka","given":"Valbona","non-dropping-particle":"","parse-names":false,"suffix":""}],"container-title":"Journal of Global Health","id":"ITEM-5","issue":"1","issued":{"date-parts":[["2017","6"]]},"page":"1-5","title":"Lessons from Brazil: on the difficulties of building a universal health care system","type":"article-journal","volume":"7"},"uris":["http://www.mendeley.com/documents/?uuid=eefd43ad-7aac-4805-b56b-64414f9a1912"]}],"mendeley":{"formattedCitation":"[15–17,21,40]","plainTextFormattedCitation":"[15–17,21,40]","previouslyFormattedCitation":"&lt;sup&gt;15–17,21,40&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[15–17,21,40]</w:t>
            </w:r>
            <w:r w:rsidRPr="00054204">
              <w:rPr>
                <w:rFonts w:ascii="Arial" w:eastAsia="Calibri" w:hAnsi="Arial" w:cs="Arial"/>
                <w:i/>
                <w:iCs/>
                <w:color w:val="000000"/>
                <w:sz w:val="18"/>
                <w:szCs w:val="18"/>
                <w:vertAlign w:val="superscript"/>
              </w:rPr>
              <w:fldChar w:fldCharType="end"/>
            </w:r>
          </w:p>
        </w:tc>
        <w:tc>
          <w:tcPr>
            <w:tcW w:w="2987" w:type="dxa"/>
            <w:tcBorders>
              <w:top w:val="nil"/>
              <w:left w:val="nil"/>
              <w:bottom w:val="nil"/>
              <w:right w:val="single" w:sz="8" w:space="0" w:color="auto"/>
            </w:tcBorders>
            <w:shd w:val="clear" w:color="auto" w:fill="auto"/>
            <w:hideMark/>
          </w:tcPr>
          <w:p w14:paraId="03D39A83" w14:textId="77777777" w:rsidR="00054204" w:rsidRPr="00054204" w:rsidRDefault="00054204" w:rsidP="00054204">
            <w:pPr>
              <w:jc w:val="both"/>
              <w:rPr>
                <w:rFonts w:ascii="Arial" w:eastAsia="Times New Roman" w:hAnsi="Arial" w:cs="Arial"/>
                <w:color w:val="000000"/>
                <w:sz w:val="18"/>
                <w:szCs w:val="18"/>
              </w:rPr>
            </w:pPr>
          </w:p>
          <w:p w14:paraId="67DB37C7"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2015 </w:t>
            </w:r>
            <w:r w:rsidRPr="00054204">
              <w:rPr>
                <w:rFonts w:ascii="Arial" w:eastAsia="Times New Roman" w:hAnsi="Arial" w:cs="Arial"/>
                <w:i/>
                <w:iCs/>
                <w:color w:val="000000"/>
                <w:sz w:val="18"/>
                <w:szCs w:val="18"/>
              </w:rPr>
              <w:t>Statutory Law</w:t>
            </w:r>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i/>
                <w:iCs/>
                <w:color w:val="000000"/>
                <w:sz w:val="18"/>
                <w:szCs w:val="18"/>
              </w:rPr>
              <w:t>Statutury</w:t>
            </w:r>
            <w:proofErr w:type="spellEnd"/>
            <w:r w:rsidRPr="00054204">
              <w:rPr>
                <w:rFonts w:ascii="Arial" w:eastAsia="Times New Roman" w:hAnsi="Arial" w:cs="Arial"/>
                <w:i/>
                <w:iCs/>
                <w:color w:val="000000"/>
                <w:sz w:val="18"/>
                <w:szCs w:val="18"/>
              </w:rPr>
              <w:t xml:space="preserve"> Law</w:t>
            </w:r>
            <w:r w:rsidRPr="00054204">
              <w:rPr>
                <w:rFonts w:ascii="Arial" w:eastAsia="Times New Roman" w:hAnsi="Arial" w:cs="Arial"/>
                <w:color w:val="000000"/>
                <w:sz w:val="18"/>
                <w:szCs w:val="18"/>
              </w:rPr>
              <w:t xml:space="preserve">) tend to strengthen and unify POS (based on World Bank UHC model), increasing its breadth and reducing </w:t>
            </w:r>
            <w:proofErr w:type="spellStart"/>
            <w:r w:rsidRPr="00054204">
              <w:rPr>
                <w:rFonts w:ascii="Arial" w:eastAsia="Times New Roman" w:hAnsi="Arial" w:cs="Arial"/>
                <w:color w:val="000000"/>
                <w:sz w:val="18"/>
                <w:szCs w:val="18"/>
              </w:rPr>
              <w:t>lasymetries</w:t>
            </w:r>
            <w:proofErr w:type="spellEnd"/>
            <w:r w:rsidRPr="00054204">
              <w:rPr>
                <w:rFonts w:ascii="Arial" w:eastAsia="Times New Roman" w:hAnsi="Arial" w:cs="Arial"/>
                <w:color w:val="000000"/>
                <w:sz w:val="18"/>
                <w:szCs w:val="18"/>
              </w:rPr>
              <w:t xml:space="preserve"> among the two groups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{"citationItems":[{"id":"ITEM-1","itemData":{"DOI":"10.1590/0102-311x00112616","ISSN":"0102-311X","PMID":"28767813","abstract":"Resumen: En años recientes se viene discutiendo la necesidad de incorporar modificaciones a los sistemas de salud en América Latina. Esta iniciativa, promovida nuevamente por el Banco Mundial como Universal Health Coverage (Cobertura Universal en Salud), se enfoca en las estrategias de protección contra riesgos financieros y en el acceso unificado a servicios y medicinas esenciales. A pesar de que las tendencias del Banco Mundial han sido incorporadas de diferentes formas en los países de la región, desde finales de los ochenta, también se han producido rupturas importantes en casos como los de Argentina, Brasil, Uruguay y Ecuador, quienes en momentos distintos han buscado implementar políticas y programas que enfatizan valores diferentes a los del mercado. Sin embargo, los cambios políticos, acaecidos recientemente con la crisis de los llamados gobiernos progresistas, han incidido para que la visión economicista de la salud vuelva con fuerza a las agendas públicas. Países de ingresos medios como México y Colombia se han caracterizado por implementar cambios inspirados en este modelo, en ambos casos distintos actores afines a este enfoque vienen impulsando la re-adecuación de los sistemas de salud a la perspectiva de los organismos financieros internacionales. Este trabajo plantea que estos cambios, promovidos como una alternativa “renovada” para responder a los problemas derivados de las transformaciones realizadas desde hace poco más de dos décadas, mantienen las bases del modelo neoliberal para la salud.","author":[{"dropping-particle":"","family":"Uribe-Gómez","given":"Monica","non-dropping-particle":"","parse-names":false,"suffix":""},{"dropping-particle":"","family":"Uribe-Gomez","given":"Monica","non-dropping-particle":"","parse-names":false,"suffix":""}],"container-title":"Cadernos de Saúde Pública","id":"ITEM-1","issue":"suppl 2","issued":{"date-parts":[["2017","7"]]},"language":"spa","page":"e00112616","publisher-place":"Brazil","title":"Nuevos cambios, viejos esquemas: las políticas de salud en México y Colombia en los años 2000","type":"article-journal","volume":"33"},"uris":["http://www.mendeley.com/documents/?uuid=9bc470d3-2f9b-4fe4-a10b-56cf94a26945"]}],"mendeley":{"formattedCitation":"[27]","plainTextFormattedCitation":"[27]","previouslyFormattedCitation":"&lt;sup&gt;27&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[27]</w:t>
            </w:r>
            <w:r w:rsidRPr="00054204">
              <w:rPr>
                <w:rFonts w:ascii="Arial" w:eastAsia="Calibri" w:hAnsi="Arial" w:cs="Arial"/>
                <w:i/>
                <w:iCs/>
                <w:color w:val="000000"/>
                <w:sz w:val="18"/>
                <w:szCs w:val="18"/>
                <w:vertAlign w:val="superscript"/>
              </w:rPr>
              <w:fldChar w:fldCharType="end"/>
            </w:r>
          </w:p>
        </w:tc>
        <w:tc>
          <w:tcPr>
            <w:tcW w:w="2809" w:type="dxa"/>
            <w:tcBorders>
              <w:top w:val="nil"/>
              <w:left w:val="nil"/>
              <w:bottom w:val="nil"/>
              <w:right w:val="single" w:sz="8" w:space="0" w:color="auto"/>
            </w:tcBorders>
            <w:shd w:val="clear" w:color="auto" w:fill="auto"/>
            <w:hideMark/>
          </w:tcPr>
          <w:p w14:paraId="5FF7C33A"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I</w:t>
            </w:r>
          </w:p>
          <w:p w14:paraId="3F098487" w14:textId="77777777" w:rsidR="00054204" w:rsidRPr="00054204" w:rsidRDefault="00054204" w:rsidP="00054204">
            <w:pPr>
              <w:jc w:val="both"/>
              <w:rPr>
                <w:rFonts w:ascii="Arial" w:eastAsia="Times New Roman" w:hAnsi="Arial" w:cs="Arial"/>
                <w:color w:val="000000"/>
                <w:sz w:val="18"/>
                <w:szCs w:val="18"/>
              </w:rPr>
            </w:pPr>
            <w:proofErr w:type="spellStart"/>
            <w:proofErr w:type="gramStart"/>
            <w:r w:rsidRPr="00054204">
              <w:rPr>
                <w:rFonts w:ascii="Arial" w:eastAsia="Times New Roman" w:hAnsi="Arial" w:cs="Arial"/>
                <w:color w:val="000000"/>
                <w:sz w:val="18"/>
                <w:szCs w:val="18"/>
              </w:rPr>
              <w:t>mprovement</w:t>
            </w:r>
            <w:proofErr w:type="spellEnd"/>
            <w:proofErr w:type="gramEnd"/>
            <w:r w:rsidRPr="00054204">
              <w:rPr>
                <w:rFonts w:ascii="Arial" w:eastAsia="Times New Roman" w:hAnsi="Arial" w:cs="Arial"/>
                <w:color w:val="000000"/>
                <w:sz w:val="18"/>
                <w:szCs w:val="18"/>
              </w:rPr>
              <w:t xml:space="preserve"> in the integral coverage of hypertension, diabetes, included 1,807 ICD 10 diagnostic categories, 294 surgical procedures, and treatments for 65 different catastrophic </w:t>
            </w:r>
            <w:proofErr w:type="spellStart"/>
            <w:r w:rsidRPr="00054204">
              <w:rPr>
                <w:rFonts w:ascii="Arial" w:eastAsia="Times New Roman" w:hAnsi="Arial" w:cs="Arial"/>
                <w:color w:val="000000"/>
                <w:sz w:val="18"/>
                <w:szCs w:val="18"/>
              </w:rPr>
              <w:t>diseases.Also</w:t>
            </w:r>
            <w:proofErr w:type="spellEnd"/>
            <w:r w:rsidRPr="00054204">
              <w:rPr>
                <w:rFonts w:ascii="Arial" w:eastAsia="Times New Roman" w:hAnsi="Arial" w:cs="Arial"/>
                <w:color w:val="000000"/>
                <w:sz w:val="18"/>
                <w:szCs w:val="18"/>
              </w:rPr>
              <w:t xml:space="preserve"> birth control and integral pregnancy management for 90% of the population under </w:t>
            </w:r>
            <w:proofErr w:type="spellStart"/>
            <w:r w:rsidRPr="00054204">
              <w:rPr>
                <w:rFonts w:ascii="Arial" w:eastAsia="Times New Roman" w:hAnsi="Arial" w:cs="Arial"/>
                <w:color w:val="000000"/>
                <w:sz w:val="18"/>
                <w:szCs w:val="18"/>
              </w:rPr>
              <w:t>Seguro</w:t>
            </w:r>
            <w:proofErr w:type="spellEnd"/>
            <w:r w:rsidRPr="00054204">
              <w:rPr>
                <w:rFonts w:ascii="Arial" w:eastAsia="Times New Roman" w:hAnsi="Arial" w:cs="Arial"/>
                <w:color w:val="000000"/>
                <w:sz w:val="18"/>
                <w:szCs w:val="18"/>
              </w:rPr>
              <w:t xml:space="preserve"> Popular.</w:t>
            </w:r>
          </w:p>
        </w:tc>
      </w:tr>
      <w:tr w:rsidR="00054204" w:rsidRPr="00054204" w14:paraId="33AB3181" w14:textId="77777777" w:rsidTr="00AD78C9">
        <w:trPr>
          <w:trHeight w:val="1980"/>
        </w:trPr>
        <w:tc>
          <w:tcPr>
            <w:tcW w:w="1407" w:type="dxa"/>
            <w:vMerge/>
            <w:tcBorders>
              <w:top w:val="nil"/>
              <w:left w:val="single" w:sz="8" w:space="0" w:color="auto"/>
              <w:bottom w:val="single" w:sz="8" w:space="0" w:color="auto"/>
              <w:right w:val="single" w:sz="8" w:space="0" w:color="auto"/>
            </w:tcBorders>
            <w:hideMark/>
          </w:tcPr>
          <w:p w14:paraId="5E658B4D"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single" w:sz="8" w:space="0" w:color="auto"/>
              <w:right w:val="single" w:sz="8" w:space="0" w:color="auto"/>
            </w:tcBorders>
            <w:shd w:val="clear" w:color="auto" w:fill="auto"/>
            <w:hideMark/>
          </w:tcPr>
          <w:p w14:paraId="789DEAE7" w14:textId="77777777" w:rsidR="00054204" w:rsidRPr="00054204" w:rsidRDefault="00054204" w:rsidP="00054204">
            <w:pPr>
              <w:jc w:val="both"/>
              <w:rPr>
                <w:rFonts w:ascii="Arial" w:eastAsia="Times New Roman" w:hAnsi="Arial" w:cs="Arial"/>
                <w:color w:val="000000"/>
                <w:sz w:val="20"/>
                <w:szCs w:val="20"/>
              </w:rPr>
            </w:pPr>
          </w:p>
          <w:p w14:paraId="5D498944"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xml:space="preserve">Human </w:t>
            </w:r>
            <w:proofErr w:type="spellStart"/>
            <w:r w:rsidRPr="00054204">
              <w:rPr>
                <w:rFonts w:ascii="Arial" w:eastAsia="Times New Roman" w:hAnsi="Arial" w:cs="Arial"/>
                <w:color w:val="000000"/>
                <w:sz w:val="20"/>
                <w:szCs w:val="20"/>
              </w:rPr>
              <w:t>resurces</w:t>
            </w:r>
            <w:proofErr w:type="spellEnd"/>
            <w:r w:rsidRPr="00054204">
              <w:rPr>
                <w:rFonts w:ascii="Arial" w:eastAsia="Times New Roman" w:hAnsi="Arial" w:cs="Arial"/>
                <w:color w:val="000000"/>
                <w:sz w:val="20"/>
                <w:szCs w:val="20"/>
              </w:rPr>
              <w:t xml:space="preserve"> for PHC</w:t>
            </w:r>
          </w:p>
        </w:tc>
        <w:tc>
          <w:tcPr>
            <w:tcW w:w="2928" w:type="dxa"/>
            <w:tcBorders>
              <w:top w:val="nil"/>
              <w:left w:val="nil"/>
              <w:bottom w:val="single" w:sz="8" w:space="0" w:color="auto"/>
              <w:right w:val="single" w:sz="8" w:space="0" w:color="auto"/>
            </w:tcBorders>
            <w:shd w:val="clear" w:color="auto" w:fill="auto"/>
            <w:hideMark/>
          </w:tcPr>
          <w:p w14:paraId="6923DE87" w14:textId="77777777" w:rsidR="00054204" w:rsidRPr="00054204" w:rsidRDefault="00054204" w:rsidP="00054204">
            <w:pPr>
              <w:jc w:val="both"/>
              <w:rPr>
                <w:rFonts w:ascii="Arial" w:eastAsia="Times New Roman" w:hAnsi="Arial" w:cs="Arial"/>
                <w:color w:val="000000"/>
                <w:sz w:val="18"/>
                <w:szCs w:val="18"/>
              </w:rPr>
            </w:pPr>
          </w:p>
          <w:p w14:paraId="201CBF4E" w14:textId="77777777" w:rsidR="00054204" w:rsidRPr="00054204" w:rsidRDefault="00054204" w:rsidP="00054204">
            <w:pPr>
              <w:jc w:val="both"/>
              <w:rPr>
                <w:rFonts w:ascii="Arial" w:eastAsia="Calibri" w:hAnsi="Arial" w:cs="Arial"/>
                <w:iCs/>
                <w:noProof/>
                <w:color w:val="000000"/>
                <w:sz w:val="18"/>
                <w:szCs w:val="18"/>
                <w:vertAlign w:val="superscript"/>
              </w:rPr>
            </w:pPr>
            <w:proofErr w:type="spellStart"/>
            <w:r w:rsidRPr="00054204">
              <w:rPr>
                <w:rFonts w:ascii="Arial" w:eastAsia="Times New Roman" w:hAnsi="Arial" w:cs="Arial"/>
                <w:color w:val="000000"/>
                <w:sz w:val="18"/>
                <w:szCs w:val="18"/>
              </w:rPr>
              <w:t>Programa</w:t>
            </w:r>
            <w:proofErr w:type="spellEnd"/>
            <w:r w:rsidRPr="00054204">
              <w:rPr>
                <w:rFonts w:ascii="Arial" w:eastAsia="Times New Roman" w:hAnsi="Arial" w:cs="Arial"/>
                <w:color w:val="000000"/>
                <w:sz w:val="18"/>
                <w:szCs w:val="18"/>
              </w:rPr>
              <w:t xml:space="preserve"> de Medicos </w:t>
            </w:r>
            <w:proofErr w:type="spellStart"/>
            <w:r w:rsidRPr="00054204">
              <w:rPr>
                <w:rFonts w:ascii="Arial" w:eastAsia="Times New Roman" w:hAnsi="Arial" w:cs="Arial"/>
                <w:color w:val="000000"/>
                <w:sz w:val="18"/>
                <w:szCs w:val="18"/>
              </w:rPr>
              <w:t>Comunitarios</w:t>
            </w:r>
            <w:proofErr w:type="spellEnd"/>
            <w:r w:rsidRPr="00054204">
              <w:rPr>
                <w:rFonts w:ascii="Arial" w:eastAsia="Times New Roman" w:hAnsi="Arial" w:cs="Arial"/>
                <w:color w:val="000000"/>
                <w:sz w:val="18"/>
                <w:szCs w:val="18"/>
              </w:rPr>
              <w:t xml:space="preserve"> applied differential payments to family medicine and general practice physicians working within PHC centers</w:t>
            </w:r>
            <w:r w:rsidRPr="00054204">
              <w:rPr>
                <w:rFonts w:ascii="Arial" w:eastAsia="Calibri" w:hAnsi="Arial" w:cs="Arial"/>
                <w:i/>
                <w:iCs/>
                <w:color w:val="000000"/>
                <w:sz w:val="18"/>
                <w:szCs w:val="18"/>
                <w:vertAlign w:val="superscript"/>
              </w:rPr>
              <w:t xml:space="preserve">. </w:t>
            </w:r>
            <w:r w:rsidRPr="00054204">
              <w:rPr>
                <w:rFonts w:ascii="Arial" w:eastAsia="Calibri" w:hAnsi="Arial" w:cs="Arial"/>
                <w:iCs/>
                <w:noProof/>
                <w:color w:val="000000"/>
                <w:sz w:val="18"/>
                <w:szCs w:val="18"/>
                <w:vertAlign w:val="superscript"/>
              </w:rPr>
              <w:fldChar w:fldCharType="begin" w:fldLock="1"/>
            </w:r>
            <w:r w:rsidRPr="00054204">
              <w:rPr>
                <w:rFonts w:ascii="Arial" w:eastAsia="Calibri" w:hAnsi="Arial" w:cs="Arial"/>
                <w:iCs/>
                <w:noProof/>
                <w:color w:val="000000"/>
                <w:sz w:val="18"/>
                <w:szCs w:val="18"/>
                <w:vertAlign w:val="superscript"/>
              </w:rPr>
              <w:instrText>ADDIN CSL_CITATION {"citationItems":[{"id":"ITEM-1","itemData":{"DOI":"10.1590/1413-81232018237.08362018","ISSN":"1678-4561","abstract":"Resumo Nas últimas décadas, vários sistemas de saúde latino-americanos passaram por reformas. O artigo analisa as políticas de saúde na Argentina, Brasil e México de 1990 a 2014, explorando estratégias, condicionantes e efeitos das reformas sobre a configuração dos sistemas de saúde. Adotou-se a abordagem histórico-comparativa, considerando os eixos: trajetória da política de saúde; contexto político e econômico; agendas, processos e estratégias de reforma; mudanças na configuração do sistema, em termos de estratificação social e desmercantilização. A pesquisa compreendeu revisão bibliográfica, análise documental e de dados secundários e entrevistas. No período, a Argentina manteve na saúde o sistema corporativo fragmentado, com expansão do setor privado e de programas públicos específicos. O Brasil implantou um sistema público universal, que convive com um setor privado dinâmico e crescente. O México manteve o seguro social dos trabalhadores e criou um seguro de saúde para pobres. Em que pesem as diferenças nos condicionantes e estratégias de reforma, nos três países persistiram a estratificação social e a mercantilização em saúde, sob formas variadas. A transformação dessas características é fundamental para a construção de sistemas de saúde universais na América Latina.","author":[{"dropping-particle":"","family":"Machado","given":"Cristiani Vieira","non-dropping-particle":"","parse-names":false,"suffix":""}],"container-title":"Ciência &amp; Saúde Coletiva","id":"ITEM-1","issue":"7","issued":{"date-parts":[["2018","7"]]},"page":"2197-2212","title":"Políticas de Saúde na Argentina, Brasil e México: diferentes caminhos, muitos desafios","type":"article-journal","volume":"23"},"uris":["http://www.mendeley.com/documents/?uuid=2753217c-cf5a-44e5-902e-0b53272dfadd"]}],"mendeley":{"formattedCitation":"[23]","plainTextFormattedCitation":"[23]","previouslyFormattedCitation":"&lt;sup&gt;23&lt;/sup&gt;"},"properties":{"noteIndex":0},"schema":"https://github.com/citation-style-language/schema/raw/master/csl-citation.json"}</w:instrText>
            </w:r>
            <w:r w:rsidRPr="00054204">
              <w:rPr>
                <w:rFonts w:ascii="Arial" w:eastAsia="Calibri" w:hAnsi="Arial" w:cs="Arial"/>
                <w:iCs/>
                <w:noProof/>
                <w:color w:val="000000"/>
                <w:sz w:val="18"/>
                <w:szCs w:val="18"/>
                <w:vertAlign w:val="superscript"/>
              </w:rPr>
              <w:fldChar w:fldCharType="separate"/>
            </w:r>
            <w:r w:rsidRPr="00054204">
              <w:rPr>
                <w:rFonts w:ascii="Arial" w:eastAsia="Calibri" w:hAnsi="Arial" w:cs="Arial"/>
                <w:iCs/>
                <w:noProof/>
                <w:color w:val="000000"/>
                <w:sz w:val="18"/>
                <w:szCs w:val="18"/>
              </w:rPr>
              <w:t>[23]</w:t>
            </w:r>
            <w:r w:rsidRPr="00054204">
              <w:rPr>
                <w:rFonts w:ascii="Arial" w:eastAsia="Calibri" w:hAnsi="Arial" w:cs="Arial"/>
                <w:iCs/>
                <w:noProof/>
                <w:color w:val="000000"/>
                <w:sz w:val="18"/>
                <w:szCs w:val="18"/>
                <w:vertAlign w:val="superscript"/>
              </w:rPr>
              <w:fldChar w:fldCharType="end"/>
            </w:r>
          </w:p>
          <w:p w14:paraId="09E3DA26" w14:textId="77777777" w:rsidR="00054204" w:rsidRPr="00054204" w:rsidRDefault="00054204" w:rsidP="00054204">
            <w:pPr>
              <w:jc w:val="both"/>
              <w:rPr>
                <w:rFonts w:ascii="Arial" w:eastAsia="Times New Roman" w:hAnsi="Arial" w:cs="Arial"/>
                <w:color w:val="000000"/>
                <w:sz w:val="18"/>
                <w:szCs w:val="18"/>
              </w:rPr>
            </w:pPr>
          </w:p>
        </w:tc>
        <w:tc>
          <w:tcPr>
            <w:tcW w:w="2976" w:type="dxa"/>
            <w:tcBorders>
              <w:top w:val="nil"/>
              <w:left w:val="nil"/>
              <w:bottom w:val="single" w:sz="8" w:space="0" w:color="auto"/>
              <w:right w:val="single" w:sz="8" w:space="0" w:color="auto"/>
            </w:tcBorders>
            <w:shd w:val="clear" w:color="auto" w:fill="auto"/>
            <w:hideMark/>
          </w:tcPr>
          <w:p w14:paraId="053489DF" w14:textId="77777777" w:rsidR="00054204" w:rsidRPr="00054204" w:rsidRDefault="00054204" w:rsidP="00054204">
            <w:pPr>
              <w:jc w:val="both"/>
              <w:rPr>
                <w:rFonts w:ascii="Arial" w:eastAsia="Times New Roman" w:hAnsi="Arial" w:cs="Arial"/>
                <w:color w:val="000000"/>
                <w:sz w:val="18"/>
                <w:szCs w:val="18"/>
              </w:rPr>
            </w:pPr>
          </w:p>
          <w:p w14:paraId="4B99EDFA"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w:t>
            </w:r>
            <w:proofErr w:type="spellStart"/>
            <w:r w:rsidRPr="00054204">
              <w:rPr>
                <w:rFonts w:ascii="Arial" w:eastAsia="Times New Roman" w:hAnsi="Arial" w:cs="Arial"/>
                <w:color w:val="000000"/>
                <w:sz w:val="18"/>
                <w:szCs w:val="18"/>
              </w:rPr>
              <w:t>Mais</w:t>
            </w:r>
            <w:proofErr w:type="spellEnd"/>
            <w:r w:rsidRPr="00054204">
              <w:rPr>
                <w:rFonts w:ascii="Arial" w:eastAsia="Times New Roman" w:hAnsi="Arial" w:cs="Arial"/>
                <w:color w:val="000000"/>
                <w:sz w:val="18"/>
                <w:szCs w:val="18"/>
              </w:rPr>
              <w:t xml:space="preserve"> Medicos” program recruited 1500 foreign physicians to cope with shortage of PHC level. Then Cuban and Brazil's Government agreed that the first will provide primary care physicians to increase the breadth of healthcare delivery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{"citationItems":[{"id":"ITEM-1","itemData":{"DOI":"10.2471/BLT.16.178236","ISSN":"0042-9686","abstract":"© 2017, World Health Organization. All rights reserved. Objective To evaluate the implementation of a programme to provide primary care physicians for remote and deprived populations in Brazil. Methods The Mais Médicos (More Doctors) programme was launched in July 2013 with public calls to recruit physicians for priority areas. Other strategies were to increase primary care infrastructure investments and to provide more places at medical schools. We conducted a quasi-experimental, before-and-after evaluation of the implementation of the programme in 1708 municipalities with populations living in extreme poverty and in remote border areas. We compared physician density, primary care coverage and avoidable hospitalizations in municipalities enrolled (n = 1450) and not enrolled (n = 258) in the programme. Data extracted from health information systems and Ministry of Health publications were analysed. Findings By September 2015, 4917 physicians had been added to the 16 524 physicians already in place in municipalities with remote and deprived populations. The number of municipalities with ≥ 1.0 physician per 1000 inhabitants doubled from 163 in 2013 to 348 in 2015. Primary care coverage in enrolled municipalities (based on 3000 inhabitants per primary care team) increased from 77.9% in 2012 to 86.3% in 2015. Avoidable hospitalizations in enrolled municipalities decreased from 44.9% in 2012 to 41.2% in 2015, but remained unchanged in control municipalities. We also documented higher infrastructure investments in enrolled municipalities and an increase in the number of medical school places over the study period. Conclusion Other countries having shortages of physicians could benefit from the lessons of Brazil’s programme towards achieving universal right to health.","author":[{"dropping-particle":"","family":"Santos","given":"Leonor Maria Pacheco","non-dropping-particle":"","parse-names":false,"suffix":""},{"dropping-particle":"","family":"Oliveira","given":"Aimê","non-dropping-particle":"","parse-names":false,"suffix":""},{"dropping-particle":"","family":"Trindade","given":"Josélia Souza","non-dropping-particle":"","parse-names":false,"suffix":""},{"dropping-particle":"","family":"Barreto","given":"Ivana CHC","non-dropping-particle":"","parse-names":false,"suffix":""},{"dropping-particle":"","family":"Palmeira","given":"Poliana Araújo","non-dropping-particle":"","parse-names":false,"suffix":""},{"dropping-particle":"","family":"Comes","given":"Yamila","non-dropping-particle":"","parse-names":false,"suffix":""},{"dropping-particle":"","family":"Santos","given":"Felipe OS","non-dropping-particle":"","parse-names":false,"suffix":""},{"dropping-particle":"","family":"Santos","given":"Wallace","non-dropping-particle":"","parse-names":false,"suffix":""},{"dropping-particle":"","family":"Oliveira","given":"João Paulo Alves","non-dropping-particle":"","parse-names":false,"suffix":""},{"dropping-particle":"","family":"Pessoa","given":"Vanira Matos","non-dropping-particle":"","parse-names":false,"suffix":""},{"dropping-particle":"","family":"Shimizu","given":"Helena Eri","non-dropping-particle":"","parse-names":false,"suffix":""}],"container-title":"Bulletin of the World Health Organization","id":"ITEM-1","issued":{"date-parts":[["2017"]]},"title":"Implementation research: towards universal health coverage with more doctors in Brazil","type":"article-journal"},"uris":["http://www.mendeley.com/documents/?uuid=0d811d6a-5633-42ec-9d00-567cb7724b5f"]}],"mendeley":{"formattedCitation":"[59]","plainTextFormattedCitation":"[59]","previouslyFormattedCitation":"&lt;sup&gt;59&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[59]</w:t>
            </w:r>
            <w:r w:rsidRPr="00054204">
              <w:rPr>
                <w:rFonts w:ascii="Arial" w:eastAsia="Calibri" w:hAnsi="Arial" w:cs="Arial"/>
                <w:i/>
                <w:iCs/>
                <w:color w:val="000000"/>
                <w:sz w:val="18"/>
                <w:szCs w:val="18"/>
                <w:vertAlign w:val="superscript"/>
              </w:rPr>
              <w:fldChar w:fldCharType="end"/>
            </w:r>
          </w:p>
        </w:tc>
        <w:tc>
          <w:tcPr>
            <w:tcW w:w="2987" w:type="dxa"/>
            <w:tcBorders>
              <w:top w:val="nil"/>
              <w:left w:val="nil"/>
              <w:bottom w:val="single" w:sz="8" w:space="0" w:color="auto"/>
              <w:right w:val="single" w:sz="8" w:space="0" w:color="auto"/>
            </w:tcBorders>
            <w:shd w:val="clear" w:color="auto" w:fill="auto"/>
            <w:hideMark/>
          </w:tcPr>
          <w:p w14:paraId="6B4B71F9"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w:t>
            </w:r>
          </w:p>
        </w:tc>
        <w:tc>
          <w:tcPr>
            <w:tcW w:w="2809" w:type="dxa"/>
            <w:tcBorders>
              <w:top w:val="nil"/>
              <w:left w:val="nil"/>
              <w:bottom w:val="single" w:sz="8" w:space="0" w:color="auto"/>
              <w:right w:val="single" w:sz="8" w:space="0" w:color="auto"/>
            </w:tcBorders>
            <w:shd w:val="clear" w:color="auto" w:fill="auto"/>
            <w:hideMark/>
          </w:tcPr>
          <w:p w14:paraId="48605BB6"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w:t>
            </w:r>
          </w:p>
        </w:tc>
      </w:tr>
      <w:tr w:rsidR="00054204" w:rsidRPr="00054204" w14:paraId="16D589A3" w14:textId="77777777" w:rsidTr="00AD78C9">
        <w:trPr>
          <w:trHeight w:val="1560"/>
        </w:trPr>
        <w:tc>
          <w:tcPr>
            <w:tcW w:w="1407" w:type="dxa"/>
            <w:vMerge w:val="restart"/>
            <w:tcBorders>
              <w:top w:val="single" w:sz="8" w:space="0" w:color="auto"/>
              <w:left w:val="single" w:sz="8" w:space="0" w:color="auto"/>
              <w:bottom w:val="single" w:sz="4" w:space="0" w:color="auto"/>
              <w:right w:val="single" w:sz="8" w:space="0" w:color="auto"/>
            </w:tcBorders>
            <w:shd w:val="clear" w:color="auto" w:fill="auto"/>
            <w:hideMark/>
          </w:tcPr>
          <w:p w14:paraId="4996FA47"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Access to Medicines and Health Products</w:t>
            </w:r>
          </w:p>
        </w:tc>
        <w:tc>
          <w:tcPr>
            <w:tcW w:w="1751" w:type="dxa"/>
            <w:tcBorders>
              <w:top w:val="single" w:sz="8" w:space="0" w:color="auto"/>
              <w:left w:val="nil"/>
              <w:bottom w:val="single" w:sz="4" w:space="0" w:color="auto"/>
              <w:right w:val="single" w:sz="8" w:space="0" w:color="auto"/>
            </w:tcBorders>
            <w:shd w:val="clear" w:color="auto" w:fill="auto"/>
            <w:hideMark/>
          </w:tcPr>
          <w:p w14:paraId="400C5C85" w14:textId="77777777" w:rsidR="00054204" w:rsidRPr="00054204" w:rsidRDefault="00054204" w:rsidP="00054204">
            <w:pPr>
              <w:rPr>
                <w:rFonts w:ascii="Arial" w:eastAsia="Times New Roman" w:hAnsi="Arial" w:cs="Arial"/>
                <w:color w:val="000000"/>
                <w:sz w:val="20"/>
                <w:szCs w:val="20"/>
              </w:rPr>
            </w:pPr>
            <w:r w:rsidRPr="00054204">
              <w:rPr>
                <w:rFonts w:ascii="Arial" w:eastAsia="Times New Roman" w:hAnsi="Arial" w:cs="Arial"/>
                <w:color w:val="000000"/>
                <w:sz w:val="20"/>
                <w:szCs w:val="20"/>
              </w:rPr>
              <w:t>Provision of Essential Medicines and vaccines</w:t>
            </w:r>
          </w:p>
        </w:tc>
        <w:tc>
          <w:tcPr>
            <w:tcW w:w="2928" w:type="dxa"/>
            <w:tcBorders>
              <w:top w:val="single" w:sz="8" w:space="0" w:color="auto"/>
              <w:left w:val="nil"/>
              <w:bottom w:val="single" w:sz="4" w:space="0" w:color="auto"/>
              <w:right w:val="single" w:sz="8" w:space="0" w:color="auto"/>
            </w:tcBorders>
            <w:shd w:val="clear" w:color="auto" w:fill="auto"/>
            <w:hideMark/>
          </w:tcPr>
          <w:p w14:paraId="35463548" w14:textId="77777777" w:rsidR="00054204" w:rsidRPr="00054204" w:rsidRDefault="00054204" w:rsidP="00054204">
            <w:pPr>
              <w:jc w:val="both"/>
              <w:rPr>
                <w:rFonts w:ascii="Arial" w:eastAsia="Calibri" w:hAnsi="Arial" w:cs="Arial"/>
                <w:iCs/>
                <w:noProof/>
                <w:color w:val="000000"/>
                <w:sz w:val="18"/>
                <w:szCs w:val="18"/>
                <w:vertAlign w:val="superscript"/>
              </w:rPr>
            </w:pPr>
            <w:r w:rsidRPr="00054204">
              <w:rPr>
                <w:rFonts w:ascii="Arial" w:eastAsia="Times New Roman" w:hAnsi="Arial" w:cs="Arial"/>
                <w:i/>
                <w:iCs/>
                <w:color w:val="000000"/>
                <w:sz w:val="18"/>
                <w:szCs w:val="18"/>
              </w:rPr>
              <w:t>REMEDIAR</w:t>
            </w:r>
            <w:r w:rsidRPr="00054204">
              <w:rPr>
                <w:rFonts w:ascii="Arial" w:eastAsia="Times New Roman" w:hAnsi="Arial" w:cs="Arial"/>
                <w:color w:val="000000"/>
                <w:sz w:val="18"/>
                <w:szCs w:val="18"/>
              </w:rPr>
              <w:t xml:space="preserve"> provided pharmaceutical assistance at PHC level covering 85% of drugs for Diabetes, Hypertension, chronic pulmonary disease among other chronic conditions </w:t>
            </w:r>
            <w:r w:rsidRPr="00054204">
              <w:rPr>
                <w:rFonts w:ascii="Arial" w:eastAsia="Calibri" w:hAnsi="Arial" w:cs="Arial"/>
                <w:i/>
                <w:iCs/>
                <w:color w:val="000000"/>
                <w:sz w:val="18"/>
                <w:szCs w:val="18"/>
                <w:vertAlign w:val="superscript"/>
              </w:rPr>
              <w:t xml:space="preserve"> </w:t>
            </w:r>
            <w:r w:rsidRPr="00054204">
              <w:rPr>
                <w:rFonts w:ascii="Arial" w:eastAsia="Calibri" w:hAnsi="Arial" w:cs="Arial"/>
                <w:iCs/>
                <w:noProof/>
                <w:color w:val="000000"/>
                <w:sz w:val="18"/>
                <w:szCs w:val="18"/>
                <w:vertAlign w:val="superscript"/>
              </w:rPr>
              <w:fldChar w:fldCharType="begin" w:fldLock="1"/>
            </w:r>
            <w:r w:rsidRPr="00054204">
              <w:rPr>
                <w:rFonts w:ascii="Arial" w:eastAsia="Calibri" w:hAnsi="Arial" w:cs="Arial"/>
                <w:iCs/>
                <w:noProof/>
                <w:color w:val="000000"/>
                <w:sz w:val="18"/>
                <w:szCs w:val="18"/>
                <w:vertAlign w:val="superscript"/>
              </w:rPr>
              <w:instrText>ADDIN CSL_CITATION {"citationItems":[{"id":"ITEM-1","itemData":{"DOI":"10.1590/1413-81232017225.21102015","ISSN":"1413-8123","abstract":"Resumen El Informe Mundial de Salud 2010 de la OMS delineó un marco conceptual para analizar los componentes de la Cobertura Universal de Salud, sugiriendo tres dimensiones: cobertura del servicio, cobertura financiera y cobertura de la población. A partir de ese marco, se analizan los gastos relacionados a la salud en los hogares argentinos en el año 2012/13. Para el análisis se utilizó como fuente de datos la Encuesta Nacional de Gastos de Hogares 2012/13. Se construyeron indicadores de gasto en salud de los hogares siguiendo la propuesta de Sherri (2012) y se definieron modelos multivariados para identificar determinantes del gasto de los hogares. Los resultados evidencian que la situación de gasto catastrófico en compromete al 2,3% de los hogares del país, mientras que el empobrecimiento debido al gasto en salud se encontró en el 1,7% de los hogares.","author":[{"dropping-particle":"","family":"Abeldaño","given":"Roberto Ariel","non-dropping-particle":"","parse-names":false,"suffix":""}],"container-title":"Ciência &amp; Saúde Coletiva","id":"ITEM-1","issue":"5","issued":{"date-parts":[["2017","5"]]},"page":"1631-1640","title":"Análisis del gasto de los hogares en salud en Argentina, como componente de la cobertura universal de salud","type":"article-journal","volume":"22"},"uris":["http://www.mendeley.com/documents/?uuid=27150998-174f-4633-8275-1ce095b8cfc1"]},{"id":"ITEM-2","itemData":{"DOI":"10.18294/sc.2017.1312","ISSN":"18518265","abstract":"Los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Colectiva","id":"ITEM-2","issue":"4","issued":{"date-parts":[["2017"]]},"page":"663-676","title":"El universalismo en salud en Argentina entre 2003 y 2015: Balances y desafíos desde una aproximación macroinstitucional","type":"article-journal","volume":"13"},"uris":["http://www.mendeley.com/documents/?uuid=fb38d94a-b197-4112-9e76-50d54278f2b0"]}],"mendeley":{"formattedCitation":"[19,20]","plainTextFormattedCitation":"[19,20]","previouslyFormattedCitation":"&lt;sup&gt;19,20&lt;/sup&gt;"},"properties":{"noteIndex":0},"schema":"https://github.com/citation-style-language/schema/raw/master/csl-citation.json"}</w:instrText>
            </w:r>
            <w:r w:rsidRPr="00054204">
              <w:rPr>
                <w:rFonts w:ascii="Arial" w:eastAsia="Calibri" w:hAnsi="Arial" w:cs="Arial"/>
                <w:iCs/>
                <w:noProof/>
                <w:color w:val="000000"/>
                <w:sz w:val="18"/>
                <w:szCs w:val="18"/>
                <w:vertAlign w:val="superscript"/>
              </w:rPr>
              <w:fldChar w:fldCharType="separate"/>
            </w:r>
            <w:r w:rsidRPr="00054204">
              <w:rPr>
                <w:rFonts w:ascii="Arial" w:eastAsia="Calibri" w:hAnsi="Arial" w:cs="Arial"/>
                <w:iCs/>
                <w:noProof/>
                <w:color w:val="000000"/>
                <w:sz w:val="18"/>
                <w:szCs w:val="18"/>
              </w:rPr>
              <w:t>[19,20]</w:t>
            </w:r>
            <w:r w:rsidRPr="00054204">
              <w:rPr>
                <w:rFonts w:ascii="Arial" w:eastAsia="Calibri" w:hAnsi="Arial" w:cs="Arial"/>
                <w:iCs/>
                <w:noProof/>
                <w:color w:val="000000"/>
                <w:sz w:val="18"/>
                <w:szCs w:val="18"/>
                <w:vertAlign w:val="superscript"/>
              </w:rPr>
              <w:fldChar w:fldCharType="end"/>
            </w:r>
          </w:p>
          <w:p w14:paraId="6176D243" w14:textId="77777777" w:rsidR="00054204" w:rsidRPr="00054204" w:rsidRDefault="00054204" w:rsidP="00054204">
            <w:pPr>
              <w:rPr>
                <w:rFonts w:ascii="Arial" w:eastAsia="Times New Roman" w:hAnsi="Arial" w:cs="Arial"/>
                <w:i/>
                <w:iCs/>
                <w:color w:val="000000"/>
                <w:sz w:val="18"/>
                <w:szCs w:val="18"/>
              </w:rPr>
            </w:pPr>
          </w:p>
        </w:tc>
        <w:tc>
          <w:tcPr>
            <w:tcW w:w="2976" w:type="dxa"/>
            <w:tcBorders>
              <w:top w:val="single" w:sz="8" w:space="0" w:color="auto"/>
              <w:left w:val="nil"/>
              <w:bottom w:val="single" w:sz="4" w:space="0" w:color="auto"/>
              <w:right w:val="single" w:sz="8" w:space="0" w:color="auto"/>
            </w:tcBorders>
            <w:shd w:val="clear" w:color="auto" w:fill="auto"/>
            <w:hideMark/>
          </w:tcPr>
          <w:p w14:paraId="266D3CA4" w14:textId="77777777" w:rsidR="00054204" w:rsidRPr="00054204" w:rsidRDefault="00054204" w:rsidP="00054204">
            <w:pPr>
              <w:jc w:val="both"/>
              <w:rPr>
                <w:rFonts w:ascii="Arial" w:eastAsia="Times New Roman" w:hAnsi="Arial" w:cs="Arial"/>
                <w:i/>
                <w:iCs/>
                <w:color w:val="000000"/>
                <w:sz w:val="18"/>
                <w:szCs w:val="18"/>
              </w:rPr>
            </w:pPr>
            <w:proofErr w:type="spellStart"/>
            <w:r w:rsidRPr="00054204">
              <w:rPr>
                <w:rFonts w:ascii="Arial" w:eastAsia="Times New Roman" w:hAnsi="Arial" w:cs="Arial"/>
                <w:i/>
                <w:iCs/>
                <w:color w:val="000000"/>
                <w:sz w:val="18"/>
                <w:szCs w:val="18"/>
              </w:rPr>
              <w:t>Farmacia</w:t>
            </w:r>
            <w:proofErr w:type="spellEnd"/>
            <w:r w:rsidRPr="00054204">
              <w:rPr>
                <w:rFonts w:ascii="Arial" w:eastAsia="Times New Roman" w:hAnsi="Arial" w:cs="Arial"/>
                <w:i/>
                <w:iCs/>
                <w:color w:val="000000"/>
                <w:sz w:val="18"/>
                <w:szCs w:val="18"/>
              </w:rPr>
              <w:t xml:space="preserve"> Popular</w:t>
            </w:r>
            <w:r w:rsidRPr="00054204">
              <w:rPr>
                <w:rFonts w:ascii="Arial" w:eastAsia="Times New Roman" w:hAnsi="Arial" w:cs="Arial"/>
                <w:color w:val="000000"/>
                <w:sz w:val="18"/>
                <w:szCs w:val="18"/>
              </w:rPr>
              <w:t xml:space="preserve"> Do </w:t>
            </w:r>
            <w:proofErr w:type="spellStart"/>
            <w:r w:rsidRPr="00054204">
              <w:rPr>
                <w:rFonts w:ascii="Arial" w:eastAsia="Times New Roman" w:hAnsi="Arial" w:cs="Arial"/>
                <w:color w:val="000000"/>
                <w:sz w:val="18"/>
                <w:szCs w:val="18"/>
              </w:rPr>
              <w:t>Brasill</w:t>
            </w:r>
            <w:proofErr w:type="spellEnd"/>
            <w:r w:rsidRPr="00054204">
              <w:rPr>
                <w:rFonts w:ascii="Arial" w:eastAsia="Times New Roman" w:hAnsi="Arial" w:cs="Arial"/>
                <w:color w:val="000000"/>
                <w:sz w:val="18"/>
                <w:szCs w:val="18"/>
              </w:rPr>
              <w:t xml:space="preserve">, </w:t>
            </w:r>
            <w:r w:rsidRPr="00054204">
              <w:rPr>
                <w:rFonts w:ascii="Arial" w:eastAsia="Times New Roman" w:hAnsi="Arial" w:cs="Arial"/>
                <w:i/>
                <w:iCs/>
                <w:color w:val="000000"/>
                <w:sz w:val="18"/>
                <w:szCs w:val="18"/>
              </w:rPr>
              <w:t xml:space="preserve">Dose </w:t>
            </w:r>
            <w:proofErr w:type="spellStart"/>
            <w:r w:rsidRPr="00054204">
              <w:rPr>
                <w:rFonts w:ascii="Arial" w:eastAsia="Times New Roman" w:hAnsi="Arial" w:cs="Arial"/>
                <w:i/>
                <w:iCs/>
                <w:color w:val="000000"/>
                <w:sz w:val="18"/>
                <w:szCs w:val="18"/>
              </w:rPr>
              <w:t>Certa</w:t>
            </w:r>
            <w:proofErr w:type="spellEnd"/>
            <w:r w:rsidRPr="00054204">
              <w:rPr>
                <w:rFonts w:ascii="Arial" w:eastAsia="Times New Roman" w:hAnsi="Arial" w:cs="Arial"/>
                <w:i/>
                <w:iCs/>
                <w:color w:val="000000"/>
                <w:sz w:val="18"/>
                <w:szCs w:val="18"/>
              </w:rPr>
              <w:t xml:space="preserve">, </w:t>
            </w:r>
            <w:proofErr w:type="spellStart"/>
            <w:r w:rsidRPr="00054204">
              <w:rPr>
                <w:rFonts w:ascii="Arial" w:eastAsia="Times New Roman" w:hAnsi="Arial" w:cs="Arial"/>
                <w:i/>
                <w:iCs/>
                <w:color w:val="000000"/>
                <w:sz w:val="18"/>
                <w:szCs w:val="18"/>
              </w:rPr>
              <w:t>Remedio</w:t>
            </w:r>
            <w:proofErr w:type="spellEnd"/>
            <w:r w:rsidRPr="00054204">
              <w:rPr>
                <w:rFonts w:ascii="Arial" w:eastAsia="Times New Roman" w:hAnsi="Arial" w:cs="Arial"/>
                <w:i/>
                <w:iCs/>
                <w:color w:val="000000"/>
                <w:sz w:val="18"/>
                <w:szCs w:val="18"/>
              </w:rPr>
              <w:t xml:space="preserve"> </w:t>
            </w:r>
            <w:proofErr w:type="spellStart"/>
            <w:r w:rsidRPr="00054204">
              <w:rPr>
                <w:rFonts w:ascii="Arial" w:eastAsia="Times New Roman" w:hAnsi="Arial" w:cs="Arial"/>
                <w:i/>
                <w:iCs/>
                <w:color w:val="000000"/>
                <w:sz w:val="18"/>
                <w:szCs w:val="18"/>
              </w:rPr>
              <w:t>em</w:t>
            </w:r>
            <w:proofErr w:type="spellEnd"/>
            <w:r w:rsidRPr="00054204">
              <w:rPr>
                <w:rFonts w:ascii="Arial" w:eastAsia="Times New Roman" w:hAnsi="Arial" w:cs="Arial"/>
                <w:i/>
                <w:iCs/>
                <w:color w:val="000000"/>
                <w:sz w:val="18"/>
                <w:szCs w:val="18"/>
              </w:rPr>
              <w:t xml:space="preserve"> Casa </w:t>
            </w:r>
            <w:r w:rsidRPr="00054204">
              <w:rPr>
                <w:rFonts w:ascii="Arial" w:eastAsia="Times New Roman" w:hAnsi="Arial" w:cs="Arial"/>
                <w:color w:val="000000"/>
                <w:sz w:val="18"/>
                <w:szCs w:val="18"/>
              </w:rPr>
              <w:t xml:space="preserve">programs subsidized </w:t>
            </w:r>
            <w:proofErr w:type="gramStart"/>
            <w:r w:rsidRPr="00054204">
              <w:rPr>
                <w:rFonts w:ascii="Arial" w:eastAsia="Times New Roman" w:hAnsi="Arial" w:cs="Arial"/>
                <w:color w:val="000000"/>
                <w:sz w:val="18"/>
                <w:szCs w:val="18"/>
              </w:rPr>
              <w:t>costs  in</w:t>
            </w:r>
            <w:proofErr w:type="gramEnd"/>
            <w:r w:rsidRPr="00054204">
              <w:rPr>
                <w:rFonts w:ascii="Arial" w:eastAsia="Times New Roman" w:hAnsi="Arial" w:cs="Arial"/>
                <w:color w:val="000000"/>
                <w:sz w:val="18"/>
                <w:szCs w:val="18"/>
              </w:rPr>
              <w:t xml:space="preserve"> treatments for diabetes, hypertension, asthma, and cardiovascular diseases.</w:t>
            </w:r>
            <w:r w:rsidRPr="00054204">
              <w:rPr>
                <w:rFonts w:ascii="Arial" w:eastAsia="Times New Roman" w:hAnsi="Arial" w:cs="Arial"/>
                <w:i/>
                <w:iCs/>
                <w:color w:val="000000"/>
                <w:sz w:val="18"/>
                <w:szCs w:val="18"/>
              </w:rPr>
              <w:br/>
              <w:t>National Immunization program providing free vaccination</w:t>
            </w:r>
            <w:proofErr w:type="gramStart"/>
            <w:r w:rsidRPr="00054204">
              <w:rPr>
                <w:rFonts w:ascii="Arial" w:eastAsia="Times New Roman" w:hAnsi="Arial" w:cs="Arial"/>
                <w:i/>
                <w:iCs/>
                <w:color w:val="000000"/>
                <w:sz w:val="18"/>
                <w:szCs w:val="18"/>
              </w:rPr>
              <w:t xml:space="preserve">. </w:t>
            </w:r>
            <w:r w:rsidRPr="00054204">
              <w:rPr>
                <w:rFonts w:ascii="Arial" w:eastAsia="Calibri" w:hAnsi="Arial" w:cs="Arial"/>
                <w:iCs/>
                <w:noProof/>
                <w:color w:val="000000"/>
                <w:sz w:val="18"/>
                <w:szCs w:val="18"/>
              </w:rPr>
              <w:t xml:space="preserve"> </w:t>
            </w:r>
            <w:proofErr w:type="gramEnd"/>
            <w:r w:rsidRPr="00054204">
              <w:rPr>
                <w:rFonts w:ascii="Arial" w:eastAsia="Calibri" w:hAnsi="Arial" w:cs="Arial"/>
                <w:iCs/>
                <w:noProof/>
                <w:color w:val="000000"/>
                <w:sz w:val="18"/>
                <w:szCs w:val="18"/>
              </w:rPr>
              <w:t xml:space="preserve">one et al., 2017; Macinko and Harris, </w:t>
            </w:r>
            <w:r w:rsidRPr="00054204">
              <w:rPr>
                <w:rFonts w:ascii="Arial" w:eastAsia="Calibri" w:hAnsi="Arial" w:cs="Arial"/>
                <w:iCs/>
                <w:noProof/>
                <w:color w:val="000000"/>
                <w:sz w:val="18"/>
                <w:szCs w:val="18"/>
              </w:rPr>
              <w:lastRenderedPageBreak/>
              <w:t>2015; Muzaka, 2017)</w:t>
            </w:r>
          </w:p>
        </w:tc>
        <w:tc>
          <w:tcPr>
            <w:tcW w:w="2987" w:type="dxa"/>
            <w:tcBorders>
              <w:top w:val="single" w:sz="8" w:space="0" w:color="auto"/>
              <w:left w:val="nil"/>
              <w:bottom w:val="single" w:sz="4" w:space="0" w:color="auto"/>
              <w:right w:val="single" w:sz="8" w:space="0" w:color="auto"/>
            </w:tcBorders>
            <w:shd w:val="clear" w:color="auto" w:fill="auto"/>
            <w:hideMark/>
          </w:tcPr>
          <w:p w14:paraId="47BC336C"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lastRenderedPageBreak/>
              <w:t xml:space="preserve">Medicines and health products are included in the POS lists managed by the EPS; Before the POS unification (2008) and the </w:t>
            </w:r>
            <w:proofErr w:type="spellStart"/>
            <w:r w:rsidRPr="00054204">
              <w:rPr>
                <w:rFonts w:ascii="Arial" w:eastAsia="Times New Roman" w:hAnsi="Arial" w:cs="Arial"/>
                <w:color w:val="000000"/>
                <w:sz w:val="18"/>
                <w:szCs w:val="18"/>
              </w:rPr>
              <w:t>Statutuory</w:t>
            </w:r>
            <w:proofErr w:type="spellEnd"/>
            <w:r w:rsidRPr="00054204">
              <w:rPr>
                <w:rFonts w:ascii="Arial" w:eastAsia="Times New Roman" w:hAnsi="Arial" w:cs="Arial"/>
                <w:color w:val="000000"/>
                <w:sz w:val="18"/>
                <w:szCs w:val="18"/>
              </w:rPr>
              <w:t xml:space="preserve"> Law, large proportion in out of pocket expenditure on essential medicines were seen.</w:t>
            </w:r>
          </w:p>
        </w:tc>
        <w:tc>
          <w:tcPr>
            <w:tcW w:w="2809" w:type="dxa"/>
            <w:tcBorders>
              <w:top w:val="single" w:sz="8" w:space="0" w:color="auto"/>
              <w:left w:val="nil"/>
              <w:bottom w:val="single" w:sz="4" w:space="0" w:color="auto"/>
              <w:right w:val="single" w:sz="8" w:space="0" w:color="auto"/>
            </w:tcBorders>
            <w:shd w:val="clear" w:color="auto" w:fill="auto"/>
            <w:hideMark/>
          </w:tcPr>
          <w:p w14:paraId="1A0D99E4"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Subsidization for medicines to control chronic diseases</w:t>
            </w:r>
            <w:proofErr w:type="gramStart"/>
            <w:r w:rsidRPr="00054204">
              <w:rPr>
                <w:rFonts w:ascii="Arial" w:eastAsia="Times New Roman" w:hAnsi="Arial" w:cs="Arial"/>
                <w:color w:val="000000"/>
                <w:sz w:val="18"/>
                <w:szCs w:val="18"/>
              </w:rPr>
              <w:t xml:space="preserve">.  </w:t>
            </w:r>
            <w:proofErr w:type="gramEnd"/>
            <w:r w:rsidRPr="00054204">
              <w:rPr>
                <w:rFonts w:ascii="Arial" w:eastAsia="Times New Roman" w:hAnsi="Arial" w:cs="Arial"/>
                <w:color w:val="000000"/>
                <w:sz w:val="18"/>
                <w:szCs w:val="18"/>
              </w:rPr>
              <w:br/>
              <w:t xml:space="preserve">Vaccination cards are available for Mexican Children’s independently of socioeconomic status and health insurance  </w:t>
            </w:r>
          </w:p>
        </w:tc>
      </w:tr>
      <w:tr w:rsidR="00054204" w:rsidRPr="00054204" w14:paraId="47D3983B" w14:textId="77777777" w:rsidTr="00AD78C9">
        <w:trPr>
          <w:trHeight w:val="2080"/>
        </w:trPr>
        <w:tc>
          <w:tcPr>
            <w:tcW w:w="1407" w:type="dxa"/>
            <w:vMerge/>
            <w:tcBorders>
              <w:top w:val="single" w:sz="4" w:space="0" w:color="auto"/>
              <w:left w:val="single" w:sz="8" w:space="0" w:color="auto"/>
              <w:bottom w:val="single" w:sz="8" w:space="0" w:color="000000"/>
              <w:right w:val="single" w:sz="8" w:space="0" w:color="auto"/>
            </w:tcBorders>
            <w:hideMark/>
          </w:tcPr>
          <w:p w14:paraId="190DE279" w14:textId="77777777" w:rsidR="00054204" w:rsidRPr="00054204" w:rsidRDefault="00054204" w:rsidP="00054204">
            <w:pPr>
              <w:rPr>
                <w:rFonts w:ascii="Arial" w:eastAsia="Times New Roman" w:hAnsi="Arial" w:cs="Arial"/>
                <w:color w:val="000000"/>
                <w:sz w:val="20"/>
                <w:szCs w:val="20"/>
              </w:rPr>
            </w:pPr>
          </w:p>
        </w:tc>
        <w:tc>
          <w:tcPr>
            <w:tcW w:w="1751" w:type="dxa"/>
            <w:tcBorders>
              <w:top w:val="single" w:sz="4" w:space="0" w:color="auto"/>
              <w:left w:val="nil"/>
              <w:bottom w:val="nil"/>
              <w:right w:val="single" w:sz="8" w:space="0" w:color="auto"/>
            </w:tcBorders>
            <w:shd w:val="clear" w:color="auto" w:fill="auto"/>
            <w:hideMark/>
          </w:tcPr>
          <w:p w14:paraId="44B5EE89"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Extended coverage for diseases with social impact or limiting chronic conditions</w:t>
            </w:r>
          </w:p>
        </w:tc>
        <w:tc>
          <w:tcPr>
            <w:tcW w:w="2928" w:type="dxa"/>
            <w:tcBorders>
              <w:top w:val="single" w:sz="4" w:space="0" w:color="auto"/>
              <w:left w:val="nil"/>
              <w:bottom w:val="nil"/>
              <w:right w:val="single" w:sz="8" w:space="0" w:color="auto"/>
            </w:tcBorders>
            <w:shd w:val="clear" w:color="auto" w:fill="auto"/>
            <w:hideMark/>
          </w:tcPr>
          <w:p w14:paraId="128CC88D" w14:textId="77777777" w:rsidR="00054204" w:rsidRPr="00054204" w:rsidRDefault="00054204" w:rsidP="00054204">
            <w:pPr>
              <w:jc w:val="both"/>
              <w:rPr>
                <w:rFonts w:ascii="Arial" w:eastAsia="Calibri" w:hAnsi="Arial" w:cs="Arial"/>
                <w:iCs/>
                <w:noProof/>
                <w:color w:val="000000"/>
                <w:sz w:val="18"/>
                <w:szCs w:val="18"/>
                <w:vertAlign w:val="superscript"/>
              </w:rPr>
            </w:pPr>
            <w:r w:rsidRPr="00054204">
              <w:rPr>
                <w:rFonts w:ascii="Arial" w:eastAsia="Times New Roman" w:hAnsi="Arial" w:cs="Arial"/>
                <w:color w:val="000000"/>
                <w:sz w:val="18"/>
                <w:szCs w:val="18"/>
              </w:rPr>
              <w:t xml:space="preserve">Comprehensive care programs for HIV and cancer guarantee treatments for patients w/o coverage </w:t>
            </w:r>
            <w:r w:rsidRPr="00054204">
              <w:rPr>
                <w:rFonts w:ascii="Arial" w:eastAsia="Calibri" w:hAnsi="Arial" w:cs="Arial"/>
                <w:iCs/>
                <w:noProof/>
                <w:color w:val="000000"/>
                <w:sz w:val="18"/>
                <w:szCs w:val="18"/>
                <w:vertAlign w:val="superscript"/>
              </w:rPr>
              <w:fldChar w:fldCharType="begin" w:fldLock="1"/>
            </w:r>
            <w:r w:rsidRPr="00054204">
              <w:rPr>
                <w:rFonts w:ascii="Arial" w:eastAsia="Calibri" w:hAnsi="Arial" w:cs="Arial"/>
                <w:iCs/>
                <w:noProof/>
                <w:color w:val="000000"/>
                <w:sz w:val="18"/>
                <w:szCs w:val="18"/>
                <w:vertAlign w:val="superscript"/>
              </w:rPr>
              <w:instrText>ADDIN CSL_CITATION {"citationItems":[{"id":"ITEM-1","itemData":{"DOI":"10.1590/1413-81232017225.21102015","ISSN":"1413-8123","abstract":"Resumen El Informe Mundial de Salud 2010 de la OMS delineó un marco conceptual para analizar los componentes de la Cobertura Universal de Salud, sugiriendo tres dimensiones: cobertura del servicio, cobertura financiera y cobertura de la población. A partir de ese marco, se analizan los gastos relacionados a la salud en los hogares argentinos en el año 2012/13. Para el análisis se utilizó como fuente de datos la Encuesta Nacional de Gastos de Hogares 2012/13. Se construyeron indicadores de gasto en salud de los hogares siguiendo la propuesta de Sherri (2012) y se definieron modelos multivariados para identificar determinantes del gasto de los hogares. Los resultados evidencian que la situación de gasto catastrófico en compromete al 2,3% de los hogares del país, mientras que el empobrecimiento debido al gasto en salud se encontró en el 1,7% de los hogares.","author":[{"dropping-particle":"","family":"Abeldaño","given":"Roberto Ariel","non-dropping-particle":"","parse-names":false,"suffix":""}],"container-title":"Ciência &amp; Saúde Coletiva","id":"ITEM-1","issue":"5","issued":{"date-parts":[["2017","5"]]},"page":"1631-1640","title":"Análisis del gasto de los hogares en salud en Argentina, como componente de la cobertura universal de salud","type":"article-journal","volume":"22"},"uris":["http://www.mendeley.com/documents/?uuid=27150998-174f-4633-8275-1ce095b8cfc1"]},{"id":"ITEM-2","itemData":{"DOI":"10.18294/sc.2017.1312","ISSN":"18518265","abstract":"Los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Colectiva","id":"ITEM-2","issue":"4","issued":{"date-parts":[["2017"]]},"page":"663-676","title":"El universalismo en salud en Argentina entre 2003 y 2015: Balances y desafíos desde una aproximación macroinstitucional","type":"article-journal","volume":"13"},"uris":["http://www.mendeley.com/documents/?uuid=fb38d94a-b197-4112-9e76-50d54278f2b0"]}],"mendeley":{"formattedCitation":"[19,20]","plainTextFormattedCitation":"[19,20]","previouslyFormattedCitation":"&lt;sup&gt;19,20&lt;/sup&gt;"},"properties":{"noteIndex":0},"schema":"https://github.com/citation-style-language/schema/raw/master/csl-citation.json"}</w:instrText>
            </w:r>
            <w:r w:rsidRPr="00054204">
              <w:rPr>
                <w:rFonts w:ascii="Arial" w:eastAsia="Calibri" w:hAnsi="Arial" w:cs="Arial"/>
                <w:iCs/>
                <w:noProof/>
                <w:color w:val="000000"/>
                <w:sz w:val="18"/>
                <w:szCs w:val="18"/>
                <w:vertAlign w:val="superscript"/>
              </w:rPr>
              <w:fldChar w:fldCharType="separate"/>
            </w:r>
            <w:r w:rsidRPr="00054204">
              <w:rPr>
                <w:rFonts w:ascii="Arial" w:eastAsia="Calibri" w:hAnsi="Arial" w:cs="Arial"/>
                <w:iCs/>
                <w:noProof/>
                <w:color w:val="000000"/>
                <w:sz w:val="18"/>
                <w:szCs w:val="18"/>
              </w:rPr>
              <w:t>[19,20]</w:t>
            </w:r>
            <w:r w:rsidRPr="00054204">
              <w:rPr>
                <w:rFonts w:ascii="Arial" w:eastAsia="Calibri" w:hAnsi="Arial" w:cs="Arial"/>
                <w:iCs/>
                <w:noProof/>
                <w:color w:val="000000"/>
                <w:sz w:val="18"/>
                <w:szCs w:val="18"/>
                <w:vertAlign w:val="superscript"/>
              </w:rPr>
              <w:fldChar w:fldCharType="end"/>
            </w:r>
          </w:p>
          <w:p w14:paraId="3DF68757" w14:textId="77777777" w:rsidR="00054204" w:rsidRPr="00054204" w:rsidRDefault="00054204" w:rsidP="00054204">
            <w:pPr>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Colorectal Cancer, Cervical and Uterine Cancer, Diabetes, Smoke cessation programs provide free of charge treatments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{"citationItems":[{"id":"ITEM-1","itemData":{"DOI":"10.1590/1413-81232018237.08362018","ISSN":"1678-4561","abstract":"Resumo Nas últimas décadas, vários sistemas de saúde latino-americanos passaram por reformas. O artigo analisa as políticas de saúde na Argentina, Brasil e México de 1990 a 2014, explorando estratégias, condicionantes e efeitos das reformas sobre a configuração dos sistemas de saúde. Adotou-se a abordagem histórico-comparativa, considerando os eixos: trajetória da política de saúde; contexto político e econômico; agendas, processos e estratégias de reforma; mudanças na configuração do sistema, em termos de estratificação social e desmercantilização. A pesquisa compreendeu revisão bibliográfica, análise documental e de dados secundários e entrevistas. No período, a Argentina manteve na saúde o sistema corporativo fragmentado, com expansão do setor privado e de programas públicos específicos. O Brasil implantou um sistema público universal, que convive com um setor privado dinâmico e crescente. O México manteve o seguro social dos trabalhadores e criou um seguro de saúde para pobres. Em que pesem as diferenças nos condicionantes e estratégias de reforma, nos três países persistiram a estratificação social e a mercantilização em saúde, sob formas variadas. A transformação dessas características é fundamental para a construção de sistemas de saúde universais na América Latina.","author":[{"dropping-particle":"","family":"Machado","given":"Cristiani Vieira","non-dropping-particle":"","parse-names":false,"suffix":""}],"container-title":"Ciência &amp; Saúde Coletiva","id":"ITEM-1","issue":"7","issued":{"date-parts":[["2018","7"]]},"page":"2197-2212","title":"Políticas de Saúde na Argentina, Brasil e México: diferentes caminhos, muitos desafios","type":"article-journal","volume":"23"},"uris":["http://www.mendeley.com/documents/?uuid=2753217c-cf5a-44e5-902e-0b53272dfadd"]},{"id":"ITEM-2","itemData":{"DOI":"10.1080/23288604.2018.1477537","ISSN":"2328-8604","abstract":"The reform of a health care system requires attention to specific components but also to the creation of an environment that supports change. Argentina has achieved nominal universal health coverage (UHC) but it still needs to work on achieving effective universal health coverage, especially with regard to quality and equity. Nominal coverage means that everyone has been enrolled and has the right to access, and effective coverage means that people have actually received prioritized health care services. In this article, we present our proposals to advance UHC in Argentina. The article includes an overview of Argentina's health system, then introduces the driving forces for reform, and finally analyzes four key issues where we provide our action plan to implement health reform for moving Argentina forward. Overall, our ultimate goal is to provide actual UHC and not aspirational UHC in Argentina by strengthening provincial health systems through enforcing public insurance schemes; utilizing an explicit priority-setting approach to make decisions on health coverage; reducing health disparities in coverage and outcomes, at least on prioritized health problems; and building a primary care-oriented health care system.","author":[{"dropping-particle":"","family":"Rubinstein","given":"Adolfo","non-dropping-particle":"","parse-names":false,"suffix":""},{"dropping-particle":"","family":"Zerbino","given":"María Clara","non-dropping-particle":"","parse-names":false,"suffix":""},{"dropping-particle":"","family":"Cejas","given":"Cintia","non-dropping-particle":"","parse-names":false,"suffix":""},{"dropping-particle":"","family":"López","given":"Analía","non-dropping-particle":"","parse-names":false,"suffix":""}],"container-title":"Health Systems &amp; Reform","id":"ITEM-2","issue":"3","issued":{"date-parts":[["2018","7","3"]]},"page":"203-213","title":"Making Universal Health Care Effective in Argentina: A Blueprint for Reform","type":"article-journal","volume":"4"},"uris":["http://www.mendeley.com/documents/?uuid=4c5bc372-6d58-3e76-938c-0b6b97605ce8"]}],"mendeley":{"formattedCitation":"[18,23]","plainTextFormattedCitation":"[18,23]","previouslyFormattedCitation":"&lt;sup&gt;18,23&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[18,23]</w:t>
            </w:r>
            <w:r w:rsidRPr="00054204">
              <w:rPr>
                <w:rFonts w:ascii="Arial" w:eastAsia="Calibri" w:hAnsi="Arial" w:cs="Arial"/>
                <w:i/>
                <w:iCs/>
                <w:color w:val="000000"/>
                <w:sz w:val="18"/>
                <w:szCs w:val="18"/>
                <w:vertAlign w:val="superscript"/>
              </w:rPr>
              <w:fldChar w:fldCharType="end"/>
            </w:r>
          </w:p>
        </w:tc>
        <w:tc>
          <w:tcPr>
            <w:tcW w:w="2976" w:type="dxa"/>
            <w:tcBorders>
              <w:top w:val="single" w:sz="4" w:space="0" w:color="auto"/>
              <w:left w:val="nil"/>
              <w:bottom w:val="nil"/>
              <w:right w:val="single" w:sz="8" w:space="0" w:color="auto"/>
            </w:tcBorders>
            <w:shd w:val="clear" w:color="auto" w:fill="auto"/>
            <w:hideMark/>
          </w:tcPr>
          <w:p w14:paraId="35B2DE56"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Other diseases like nutritional and bleeding disorders, cholera, </w:t>
            </w:r>
            <w:proofErr w:type="spellStart"/>
            <w:r w:rsidRPr="00054204">
              <w:rPr>
                <w:rFonts w:ascii="Arial" w:eastAsia="Times New Roman" w:hAnsi="Arial" w:cs="Arial"/>
                <w:color w:val="000000"/>
                <w:sz w:val="18"/>
                <w:szCs w:val="18"/>
              </w:rPr>
              <w:t>Chagas</w:t>
            </w:r>
            <w:proofErr w:type="spellEnd"/>
            <w:r w:rsidRPr="00054204">
              <w:rPr>
                <w:rFonts w:ascii="Arial" w:eastAsia="Times New Roman" w:hAnsi="Arial" w:cs="Arial"/>
                <w:color w:val="000000"/>
                <w:sz w:val="18"/>
                <w:szCs w:val="18"/>
              </w:rPr>
              <w:t xml:space="preserve"> disease, dengue, </w:t>
            </w:r>
            <w:proofErr w:type="spellStart"/>
            <w:r w:rsidRPr="00054204">
              <w:rPr>
                <w:rFonts w:ascii="Arial" w:eastAsia="Times New Roman" w:hAnsi="Arial" w:cs="Arial"/>
                <w:color w:val="000000"/>
                <w:sz w:val="18"/>
                <w:szCs w:val="18"/>
              </w:rPr>
              <w:t>schistosomiasis</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filariasis</w:t>
            </w:r>
            <w:proofErr w:type="spellEnd"/>
            <w:r w:rsidRPr="00054204">
              <w:rPr>
                <w:rFonts w:ascii="Arial" w:eastAsia="Times New Roman" w:hAnsi="Arial" w:cs="Arial"/>
                <w:color w:val="000000"/>
                <w:sz w:val="18"/>
                <w:szCs w:val="18"/>
              </w:rPr>
              <w:t xml:space="preserve">, leprosy, HIV/AIDS, influenza, </w:t>
            </w:r>
            <w:proofErr w:type="spellStart"/>
            <w:r w:rsidRPr="00054204">
              <w:rPr>
                <w:rFonts w:ascii="Arial" w:eastAsia="Times New Roman" w:hAnsi="Arial" w:cs="Arial"/>
                <w:color w:val="000000"/>
                <w:sz w:val="18"/>
                <w:szCs w:val="18"/>
              </w:rPr>
              <w:t>leishmaniasis</w:t>
            </w:r>
            <w:proofErr w:type="spellEnd"/>
            <w:r w:rsidRPr="00054204">
              <w:rPr>
                <w:rFonts w:ascii="Arial" w:eastAsia="Times New Roman" w:hAnsi="Arial" w:cs="Arial"/>
                <w:color w:val="000000"/>
                <w:sz w:val="18"/>
                <w:szCs w:val="18"/>
              </w:rPr>
              <w:t xml:space="preserve">, malaria, meningitis, systemic mycoses, multiple myeloma, human rabies, trachoma, and tuberculosis have expanded coverage. </w:t>
            </w:r>
          </w:p>
        </w:tc>
        <w:tc>
          <w:tcPr>
            <w:tcW w:w="2987" w:type="dxa"/>
            <w:tcBorders>
              <w:top w:val="single" w:sz="4" w:space="0" w:color="auto"/>
              <w:left w:val="nil"/>
              <w:bottom w:val="nil"/>
              <w:right w:val="single" w:sz="8" w:space="0" w:color="auto"/>
            </w:tcBorders>
            <w:shd w:val="clear" w:color="auto" w:fill="auto"/>
            <w:hideMark/>
          </w:tcPr>
          <w:p w14:paraId="2A0858E5" w14:textId="77777777" w:rsidR="00054204" w:rsidRPr="00054204" w:rsidRDefault="00054204" w:rsidP="00054204">
            <w:pPr>
              <w:jc w:val="both"/>
              <w:rPr>
                <w:rFonts w:ascii="Arial" w:eastAsia="Times New Roman" w:hAnsi="Arial" w:cs="Arial"/>
                <w:i/>
                <w:iCs/>
                <w:color w:val="000000"/>
                <w:sz w:val="18"/>
                <w:szCs w:val="18"/>
              </w:rPr>
            </w:pPr>
            <w:r w:rsidRPr="00054204">
              <w:rPr>
                <w:rFonts w:ascii="Arial" w:eastAsia="Times New Roman" w:hAnsi="Arial" w:cs="Arial"/>
                <w:color w:val="000000"/>
                <w:sz w:val="18"/>
                <w:szCs w:val="18"/>
              </w:rPr>
              <w:t>Statutory</w:t>
            </w:r>
            <w:r w:rsidRPr="00054204">
              <w:rPr>
                <w:rFonts w:ascii="Arial" w:eastAsia="Times New Roman" w:hAnsi="Arial" w:cs="Arial"/>
                <w:i/>
                <w:iCs/>
                <w:color w:val="000000"/>
                <w:sz w:val="18"/>
                <w:szCs w:val="18"/>
              </w:rPr>
              <w:t xml:space="preserve"> law </w:t>
            </w:r>
            <w:r w:rsidRPr="00054204">
              <w:rPr>
                <w:rFonts w:ascii="Arial" w:eastAsia="Times New Roman" w:hAnsi="Arial" w:cs="Arial"/>
                <w:color w:val="000000"/>
                <w:sz w:val="18"/>
                <w:szCs w:val="18"/>
              </w:rPr>
              <w:t>mandated the creating of a list of medicines and health products that should be removed from POS due to the lack of clinical benefit and value for the people.</w:t>
            </w:r>
            <w:r w:rsidRPr="00054204">
              <w:rPr>
                <w:rFonts w:ascii="Arial" w:eastAsia="Times New Roman" w:hAnsi="Arial" w:cs="Arial"/>
                <w:i/>
                <w:iCs/>
                <w:color w:val="000000"/>
                <w:sz w:val="18"/>
                <w:szCs w:val="18"/>
              </w:rPr>
              <w:br/>
              <w:t>After the POS negative list creation, all medicines included are funded by the Capitation Payment Unit (UPC).</w:t>
            </w:r>
          </w:p>
        </w:tc>
        <w:tc>
          <w:tcPr>
            <w:tcW w:w="2809" w:type="dxa"/>
            <w:tcBorders>
              <w:top w:val="single" w:sz="4" w:space="0" w:color="auto"/>
              <w:left w:val="nil"/>
              <w:bottom w:val="nil"/>
              <w:right w:val="single" w:sz="8" w:space="0" w:color="auto"/>
            </w:tcBorders>
            <w:shd w:val="clear" w:color="auto" w:fill="auto"/>
            <w:hideMark/>
          </w:tcPr>
          <w:p w14:paraId="1D46FFE4"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w:t>
            </w:r>
          </w:p>
        </w:tc>
      </w:tr>
      <w:tr w:rsidR="00054204" w:rsidRPr="00054204" w14:paraId="38C9542C" w14:textId="77777777" w:rsidTr="00AD78C9">
        <w:trPr>
          <w:trHeight w:val="4420"/>
        </w:trPr>
        <w:tc>
          <w:tcPr>
            <w:tcW w:w="1407" w:type="dxa"/>
            <w:vMerge/>
            <w:tcBorders>
              <w:top w:val="single" w:sz="8" w:space="0" w:color="auto"/>
              <w:left w:val="single" w:sz="8" w:space="0" w:color="auto"/>
              <w:bottom w:val="single" w:sz="8" w:space="0" w:color="000000"/>
              <w:right w:val="single" w:sz="8" w:space="0" w:color="auto"/>
            </w:tcBorders>
            <w:hideMark/>
          </w:tcPr>
          <w:p w14:paraId="1B83F770"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nil"/>
              <w:right w:val="single" w:sz="8" w:space="0" w:color="auto"/>
            </w:tcBorders>
            <w:shd w:val="clear" w:color="auto" w:fill="auto"/>
            <w:hideMark/>
          </w:tcPr>
          <w:p w14:paraId="30B83BA9" w14:textId="77777777" w:rsidR="00054204" w:rsidRPr="00054204" w:rsidRDefault="00054204" w:rsidP="00054204">
            <w:pPr>
              <w:jc w:val="both"/>
              <w:rPr>
                <w:rFonts w:ascii="Arial" w:eastAsia="Times New Roman" w:hAnsi="Arial" w:cs="Arial"/>
                <w:color w:val="000000"/>
                <w:sz w:val="20"/>
                <w:szCs w:val="20"/>
              </w:rPr>
            </w:pPr>
          </w:p>
          <w:p w14:paraId="26D5902C"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xml:space="preserve">Implementation of Health Technology Assessment or value </w:t>
            </w:r>
            <w:proofErr w:type="spellStart"/>
            <w:r w:rsidRPr="00054204">
              <w:rPr>
                <w:rFonts w:ascii="Arial" w:eastAsia="Times New Roman" w:hAnsi="Arial" w:cs="Arial"/>
                <w:color w:val="000000"/>
                <w:sz w:val="20"/>
                <w:szCs w:val="20"/>
              </w:rPr>
              <w:t>demostration</w:t>
            </w:r>
            <w:proofErr w:type="spellEnd"/>
            <w:r w:rsidRPr="00054204">
              <w:rPr>
                <w:rFonts w:ascii="Arial" w:eastAsia="Times New Roman" w:hAnsi="Arial" w:cs="Arial"/>
                <w:color w:val="000000"/>
                <w:sz w:val="20"/>
                <w:szCs w:val="20"/>
              </w:rPr>
              <w:t xml:space="preserve"> for high cost drugs</w:t>
            </w:r>
          </w:p>
        </w:tc>
        <w:tc>
          <w:tcPr>
            <w:tcW w:w="2928" w:type="dxa"/>
            <w:tcBorders>
              <w:top w:val="nil"/>
              <w:left w:val="nil"/>
              <w:bottom w:val="nil"/>
              <w:right w:val="single" w:sz="8" w:space="0" w:color="auto"/>
            </w:tcBorders>
            <w:shd w:val="clear" w:color="auto" w:fill="auto"/>
            <w:hideMark/>
          </w:tcPr>
          <w:p w14:paraId="6A08B04A" w14:textId="77777777" w:rsidR="00054204" w:rsidRPr="00054204" w:rsidRDefault="00054204" w:rsidP="00054204">
            <w:pPr>
              <w:rPr>
                <w:rFonts w:ascii="Arial" w:eastAsia="Times New Roman" w:hAnsi="Arial" w:cs="Arial"/>
                <w:color w:val="000000"/>
                <w:sz w:val="18"/>
                <w:szCs w:val="18"/>
              </w:rPr>
            </w:pPr>
          </w:p>
          <w:p w14:paraId="6A5FEB96" w14:textId="77777777" w:rsidR="00054204" w:rsidRPr="00054204" w:rsidRDefault="00054204" w:rsidP="00054204">
            <w:pPr>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UCEETS Office established in 2009 to control quality of care and assess health technologies. In 2018 the National Commission of Health Technology Assessment (CONETEC) was created under the MOH umbrella, as the first </w:t>
            </w:r>
            <w:proofErr w:type="spellStart"/>
            <w:r w:rsidRPr="00054204">
              <w:rPr>
                <w:rFonts w:ascii="Arial" w:eastAsia="Times New Roman" w:hAnsi="Arial" w:cs="Arial"/>
                <w:color w:val="000000"/>
                <w:sz w:val="18"/>
                <w:szCs w:val="18"/>
              </w:rPr>
              <w:t>multistakeholder</w:t>
            </w:r>
            <w:proofErr w:type="spellEnd"/>
            <w:r w:rsidRPr="00054204">
              <w:rPr>
                <w:rFonts w:ascii="Arial" w:eastAsia="Times New Roman" w:hAnsi="Arial" w:cs="Arial"/>
                <w:color w:val="000000"/>
                <w:sz w:val="18"/>
                <w:szCs w:val="18"/>
              </w:rPr>
              <w:t xml:space="preserve"> governing body for HTA. </w:t>
            </w:r>
            <w:r w:rsidRPr="00054204">
              <w:rPr>
                <w:rFonts w:ascii="Arial" w:eastAsia="Times New Roman" w:hAnsi="Arial" w:cs="Arial"/>
                <w:color w:val="000000"/>
                <w:sz w:val="18"/>
                <w:szCs w:val="18"/>
              </w:rPr>
              <w:fldChar w:fldCharType="begin" w:fldLock="1"/>
            </w:r>
            <w:r w:rsidRPr="00054204">
              <w:rPr>
                <w:rFonts w:ascii="Arial" w:eastAsia="Times New Roman" w:hAnsi="Arial" w:cs="Arial"/>
                <w:color w:val="000000"/>
                <w:sz w:val="18"/>
                <w:szCs w:val="18"/>
              </w:rPr>
              <w:instrText>ADDIN CSL_CITATION {"citationItems":[{"id":"ITEM-1","itemData":{"DOI":"10.1016/j.vhri.2019.10.002","ISSN":"22121102","PMID":"31999988","abstract":"Objectives: In the last two decades, several countries in Latin America (LA) have shown an interest in developing health technology assessments (HTAs), but the process has not been uniform and has often been challenged by the health systems characteristics and the political or economic idiosyncrasies of these countries. Methods: This article summarizes the discussions held by the participants at the 40th International Society for Pharmacoeconomics and Outcomes Research (ISPOR) HTA Council Roundtable for LA. An additional literature review was carried out to support some of the concepts included. Results: This article includes a brief description of the implementation of HTA over the last 30 years and then a conceptual analysis using examples of the broader use of HTA to support procurement decisions and risk-sharing agreements, which might play a future role in healthcare priority-setting in LA. Conclusions: Formerly, HTA processes and methods played important although mostly isolated roles (with drug licensing or reimbursement being examples of this). Nowadays, with more and more innovative technologies and the establishment of value frameworks to support the priority setting in healthcare, HTA features a promising panorama for the health systems sustainability.","author":[{"dropping-particle":"","family":"Gilardino","given":"Ramiro E.","non-dropping-particle":"","parse-names":false,"suffix":""},{"dropping-particle":"","family":"Mejía","given":"Aurelio","non-dropping-particle":"","parse-names":false,"suffix":""},{"dropping-particle":"","family":"Guarín","given":"Diego","non-dropping-particle":"","parse-names":false,"suffix":""},{"dropping-particle":"","family":"Rey-Ares","given":"Lucila","non-dropping-particle":"","parse-names":false,"suffix":""},{"dropping-particle":"","family":"Perez","given":"Ana","non-dropping-particle":"","parse-names":false,"suffix":""}],"container-title":"Value in Health Regional Issues","id":"ITEM-1","issued":{"date-parts":[["2020","12"]]},"page":"6-12","title":"Implementing Health Technology Assessments in Latin America: Looking at the Past, Mirroring the Future. A Perspective from the ISPOR Health Technology Assessment Roundtable in Latin America","type":"article-journal","volume":"23"},"uris":["http://www.mendeley.com/documents/?uuid=cb4e282a-1890-3e3f-8b7b-130c6d964829"]}],"mendeley":{"formattedCitation":"[35]","plainTextFormattedCitation":"[35]","previouslyFormattedCitation":"&lt;sup&gt;35&lt;/sup&gt;"},"properties":{"noteIndex":0},"schema":"https://github.com/citation-style-language/schema/raw/master/csl-citation.json"}</w:instrText>
            </w:r>
            <w:r w:rsidRPr="00054204">
              <w:rPr>
                <w:rFonts w:ascii="Arial" w:eastAsia="Times New Roman" w:hAnsi="Arial" w:cs="Arial"/>
                <w:color w:val="000000"/>
                <w:sz w:val="18"/>
                <w:szCs w:val="18"/>
              </w:rPr>
              <w:fldChar w:fldCharType="separate"/>
            </w:r>
            <w:r w:rsidRPr="00054204">
              <w:rPr>
                <w:rFonts w:ascii="Arial" w:eastAsia="Times New Roman" w:hAnsi="Arial" w:cs="Arial"/>
                <w:noProof/>
                <w:color w:val="000000"/>
                <w:sz w:val="18"/>
                <w:szCs w:val="18"/>
              </w:rPr>
              <w:t>[35]</w:t>
            </w:r>
            <w:r w:rsidRPr="00054204">
              <w:rPr>
                <w:rFonts w:ascii="Arial" w:eastAsia="Times New Roman" w:hAnsi="Arial" w:cs="Arial"/>
                <w:color w:val="000000"/>
                <w:sz w:val="18"/>
                <w:szCs w:val="18"/>
              </w:rPr>
              <w:fldChar w:fldCharType="end"/>
            </w:r>
          </w:p>
        </w:tc>
        <w:tc>
          <w:tcPr>
            <w:tcW w:w="2976" w:type="dxa"/>
            <w:tcBorders>
              <w:top w:val="nil"/>
              <w:left w:val="nil"/>
              <w:bottom w:val="nil"/>
              <w:right w:val="single" w:sz="8" w:space="0" w:color="auto"/>
            </w:tcBorders>
            <w:shd w:val="clear" w:color="auto" w:fill="auto"/>
            <w:hideMark/>
          </w:tcPr>
          <w:p w14:paraId="7CDDB820" w14:textId="77777777" w:rsidR="00054204" w:rsidRPr="00054204" w:rsidRDefault="00054204" w:rsidP="00054204">
            <w:pPr>
              <w:jc w:val="both"/>
              <w:rPr>
                <w:rFonts w:ascii="Arial" w:eastAsia="Times New Roman" w:hAnsi="Arial" w:cs="Arial"/>
                <w:color w:val="000000"/>
                <w:sz w:val="18"/>
                <w:szCs w:val="18"/>
              </w:rPr>
            </w:pPr>
          </w:p>
          <w:p w14:paraId="60ED8D46"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In 2011 of </w:t>
            </w:r>
            <w:proofErr w:type="spellStart"/>
            <w:r w:rsidRPr="00054204">
              <w:rPr>
                <w:rFonts w:ascii="Arial" w:eastAsia="Times New Roman" w:hAnsi="Arial" w:cs="Arial"/>
                <w:color w:val="000000"/>
                <w:sz w:val="18"/>
                <w:szCs w:val="18"/>
              </w:rPr>
              <w:t>Comissão</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Nacional</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Incorporação</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Technologias</w:t>
            </w:r>
            <w:proofErr w:type="spellEnd"/>
            <w:r w:rsidRPr="00054204">
              <w:rPr>
                <w:rFonts w:ascii="Arial" w:eastAsia="Times New Roman" w:hAnsi="Arial" w:cs="Arial"/>
                <w:color w:val="000000"/>
                <w:sz w:val="18"/>
                <w:szCs w:val="18"/>
              </w:rPr>
              <w:t xml:space="preserve"> No </w:t>
            </w:r>
            <w:proofErr w:type="spellStart"/>
            <w:r w:rsidRPr="00054204">
              <w:rPr>
                <w:rFonts w:ascii="Arial" w:eastAsia="Times New Roman" w:hAnsi="Arial" w:cs="Arial"/>
                <w:color w:val="000000"/>
                <w:sz w:val="18"/>
                <w:szCs w:val="18"/>
              </w:rPr>
              <w:t>Sistema</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Único</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Saúde</w:t>
            </w:r>
            <w:proofErr w:type="spellEnd"/>
            <w:r w:rsidRPr="00054204">
              <w:rPr>
                <w:rFonts w:ascii="Arial" w:eastAsia="Times New Roman" w:hAnsi="Arial" w:cs="Arial"/>
                <w:color w:val="000000"/>
                <w:sz w:val="18"/>
                <w:szCs w:val="18"/>
              </w:rPr>
              <w:t xml:space="preserve"> [National Commission for the Incorporation of Technologies in the Unified Health System] or CONITEC was </w:t>
            </w:r>
            <w:proofErr w:type="spellStart"/>
            <w:r w:rsidRPr="00054204">
              <w:rPr>
                <w:rFonts w:ascii="Arial" w:eastAsia="Times New Roman" w:hAnsi="Arial" w:cs="Arial"/>
                <w:color w:val="000000"/>
                <w:sz w:val="18"/>
                <w:szCs w:val="18"/>
              </w:rPr>
              <w:t>stablished</w:t>
            </w:r>
            <w:proofErr w:type="spellEnd"/>
            <w:r w:rsidRPr="00054204">
              <w:rPr>
                <w:rFonts w:ascii="Arial" w:eastAsia="Times New Roman" w:hAnsi="Arial" w:cs="Arial"/>
                <w:color w:val="000000"/>
                <w:sz w:val="18"/>
                <w:szCs w:val="18"/>
              </w:rPr>
              <w:t xml:space="preserve"> to determine the value of technologies funded by SUS, including horizon scanning to identify emerging technologies and anticipate the effects such technologies may have on the health system. </w:t>
            </w:r>
          </w:p>
        </w:tc>
        <w:tc>
          <w:tcPr>
            <w:tcW w:w="2987" w:type="dxa"/>
            <w:tcBorders>
              <w:top w:val="nil"/>
              <w:left w:val="nil"/>
              <w:bottom w:val="nil"/>
              <w:right w:val="single" w:sz="8" w:space="0" w:color="auto"/>
            </w:tcBorders>
            <w:shd w:val="clear" w:color="auto" w:fill="auto"/>
            <w:hideMark/>
          </w:tcPr>
          <w:p w14:paraId="145194C4" w14:textId="77777777" w:rsidR="00054204" w:rsidRPr="00054204" w:rsidRDefault="00054204" w:rsidP="00054204">
            <w:pPr>
              <w:jc w:val="both"/>
              <w:rPr>
                <w:rFonts w:ascii="Arial" w:eastAsia="Times New Roman" w:hAnsi="Arial" w:cs="Arial"/>
                <w:color w:val="000000"/>
                <w:sz w:val="18"/>
                <w:szCs w:val="18"/>
              </w:rPr>
            </w:pPr>
          </w:p>
          <w:p w14:paraId="18C4F0FB"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In 2011 The </w:t>
            </w:r>
            <w:proofErr w:type="spellStart"/>
            <w:r w:rsidRPr="00054204">
              <w:rPr>
                <w:rFonts w:ascii="Arial" w:eastAsia="Times New Roman" w:hAnsi="Arial" w:cs="Arial"/>
                <w:color w:val="000000"/>
                <w:sz w:val="18"/>
                <w:szCs w:val="18"/>
              </w:rPr>
              <w:t>Instituto</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Evaluaciones</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Tecnologicas</w:t>
            </w:r>
            <w:proofErr w:type="spellEnd"/>
            <w:r w:rsidRPr="00054204">
              <w:rPr>
                <w:rFonts w:ascii="Arial" w:eastAsia="Times New Roman" w:hAnsi="Arial" w:cs="Arial"/>
                <w:color w:val="000000"/>
                <w:sz w:val="18"/>
                <w:szCs w:val="18"/>
              </w:rPr>
              <w:t xml:space="preserve"> en </w:t>
            </w:r>
            <w:proofErr w:type="spellStart"/>
            <w:r w:rsidRPr="00054204">
              <w:rPr>
                <w:rFonts w:ascii="Arial" w:eastAsia="Times New Roman" w:hAnsi="Arial" w:cs="Arial"/>
                <w:color w:val="000000"/>
                <w:sz w:val="18"/>
                <w:szCs w:val="18"/>
              </w:rPr>
              <w:t>Salud</w:t>
            </w:r>
            <w:proofErr w:type="spellEnd"/>
            <w:r w:rsidRPr="00054204">
              <w:rPr>
                <w:rFonts w:ascii="Arial" w:eastAsia="Times New Roman" w:hAnsi="Arial" w:cs="Arial"/>
                <w:color w:val="000000"/>
                <w:sz w:val="18"/>
                <w:szCs w:val="18"/>
              </w:rPr>
              <w:t xml:space="preserve"> (Institute for Health Technology Assessment) or IETS was created, to inform drug coverage for decision makers or defining eligible populations, dose or treatment duration, or line of therapy through clinical guidelines. </w:t>
            </w:r>
            <w:r w:rsidRPr="00054204">
              <w:rPr>
                <w:rFonts w:ascii="Arial" w:eastAsia="Times New Roman" w:hAnsi="Arial" w:cs="Arial"/>
                <w:color w:val="000000"/>
                <w:sz w:val="18"/>
                <w:szCs w:val="18"/>
              </w:rPr>
              <w:fldChar w:fldCharType="begin" w:fldLock="1"/>
            </w:r>
            <w:r w:rsidRPr="00054204">
              <w:rPr>
                <w:rFonts w:ascii="Arial" w:eastAsia="Times New Roman" w:hAnsi="Arial" w:cs="Arial"/>
                <w:color w:val="000000"/>
                <w:sz w:val="18"/>
                <w:szCs w:val="18"/>
              </w:rPr>
              <w:instrText>ADDIN CSL_CITATION {"citationItems":[{"id":"ITEM-1","itemData":{"DOI":"10.1016/j.vhri.2019.10.002","ISSN":"22121102","PMID":"31999988","abstract":"Objectives: In the last two decades, several countries in Latin America (LA) have shown an interest in developing health technology assessments (HTAs), but the process has not been uniform and has often been challenged by the health systems characteristics and the political or economic idiosyncrasies of these countries. Methods: This article summarizes the discussions held by the participants at the 40th International Society for Pharmacoeconomics and Outcomes Research (ISPOR) HTA Council Roundtable for LA. An additional literature review was carried out to support some of the concepts included. Results: This article includes a brief description of the implementation of HTA over the last 30 years and then a conceptual analysis using examples of the broader use of HTA to support procurement decisions and risk-sharing agreements, which might play a future role in healthcare priority-setting in LA. Conclusions: Formerly, HTA processes and methods played important although mostly isolated roles (with drug licensing or reimbursement being examples of this). Nowadays, with more and more innovative technologies and the establishment of value frameworks to support the priority setting in healthcare, HTA features a promising panorama for the health systems sustainability.","author":[{"dropping-particle":"","family":"Gilardino","given":"Ramiro E.","non-dropping-particle":"","parse-names":false,"suffix":""},{"dropping-particle":"","family":"Mejía","given":"Aurelio","non-dropping-particle":"","parse-names":false,"suffix":""},{"dropping-particle":"","family":"Guarín","given":"Diego","non-dropping-particle":"","parse-names":false,"suffix":""},{"dropping-particle":"","family":"Rey-Ares","given":"Lucila","non-dropping-particle":"","parse-names":false,"suffix":""},{"dropping-particle":"","family":"Perez","given":"Ana","non-dropping-particle":"","parse-names":false,"suffix":""}],"container-title":"Value in Health Regional Issues","id":"ITEM-1","issued":{"date-parts":[["2020","12"]]},"page":"6-12","title":"Implementing Health Technology Assessments in Latin America: Looking at the Past, Mirroring the Future. A Perspective from the ISPOR Health Technology Assessment Roundtable in Latin America","type":"article-journal","volume":"23"},"uris":["http://www.mendeley.com/documents/?uuid=cb4e282a-1890-3e3f-8b7b-130c6d964829"]}],"mendeley":{"formattedCitation":"[35]","plainTextFormattedCitation":"[35]","previouslyFormattedCitation":"&lt;sup&gt;35&lt;/sup&gt;"},"properties":{"noteIndex":0},"schema":"https://github.com/citation-style-language/schema/raw/master/csl-citation.json"}</w:instrText>
            </w:r>
            <w:r w:rsidRPr="00054204">
              <w:rPr>
                <w:rFonts w:ascii="Arial" w:eastAsia="Times New Roman" w:hAnsi="Arial" w:cs="Arial"/>
                <w:color w:val="000000"/>
                <w:sz w:val="18"/>
                <w:szCs w:val="18"/>
              </w:rPr>
              <w:fldChar w:fldCharType="separate"/>
            </w:r>
            <w:r w:rsidRPr="00054204">
              <w:rPr>
                <w:rFonts w:ascii="Arial" w:eastAsia="Times New Roman" w:hAnsi="Arial" w:cs="Arial"/>
                <w:noProof/>
                <w:color w:val="000000"/>
                <w:sz w:val="18"/>
                <w:szCs w:val="18"/>
              </w:rPr>
              <w:t>[35]</w:t>
            </w:r>
            <w:r w:rsidRPr="00054204">
              <w:rPr>
                <w:rFonts w:ascii="Arial" w:eastAsia="Times New Roman" w:hAnsi="Arial" w:cs="Arial"/>
                <w:color w:val="000000"/>
                <w:sz w:val="18"/>
                <w:szCs w:val="18"/>
              </w:rPr>
              <w:fldChar w:fldCharType="end"/>
            </w:r>
            <w:r w:rsidRPr="00054204">
              <w:rPr>
                <w:rFonts w:ascii="Arial" w:eastAsia="Times New Roman" w:hAnsi="Arial" w:cs="Arial"/>
                <w:color w:val="000000"/>
                <w:sz w:val="18"/>
                <w:szCs w:val="18"/>
              </w:rPr>
              <w:br/>
              <w:t xml:space="preserve">In 2017, resolution 330 established the procedure involving different stakeholders (including the public), to decide which technologies should be disinvested. Then, the MOH underwent a deliberative process to prioritize and create a negative POS list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{"citationItems":[{"id":"ITEM-1","itemData":{"DOI":"10.1590/0102-311x00112616","ISSN":"0102-311X","PMID":"28767813","abstract":"Resumen: En años recientes se viene discutiendo la necesidad de incorporar modificaciones a los sistemas de salud en América Latina. Esta iniciativa, promovida nuevamente por el Banco Mundial como Universal Health Coverage (Cobertura Universal en Salud), se enfoca en las estrategias de protección contra riesgos financieros y en el acceso unificado a servicios y medicinas esenciales. A pesar de que las tendencias del Banco Mundial han sido incorporadas de diferentes formas en los países de la región, desde finales de los ochenta, también se han producido rupturas importantes en casos como los de Argentina, Brasil, Uruguay y Ecuador, quienes en momentos distintos han buscado implementar políticas y programas que enfatizan valores diferentes a los del mercado. Sin embargo, los cambios políticos, acaecidos recientemente con la crisis de los llamados gobiernos progresistas, han incidido para que la visión economicista de la salud vuelva con fuerza a las agendas públicas. Países de ingresos medios como México y Colombia se han caracterizado por implementar cambios inspirados en este modelo, en ambos casos distintos actores afines a este enfoque vienen impulsando la re-adecuación de los sistemas de salud a la perspectiva de los organismos financieros internacionales. Este trabajo plantea que estos cambios, promovidos como una alternativa “renovada” para responder a los problemas derivados de las transformaciones realizadas desde hace poco más de dos décadas, mantienen las bases del modelo neoliberal para la salud.","author":[{"dropping-particle":"","family":"Uribe-Gómez","given":"Monica","non-dropping-particle":"","parse-names":false,"suffix":""},{"dropping-particle":"","family":"Uribe-Gomez","given":"Monica","non-dropping-particle":"","parse-names":false,"suffix":""}],"container-title":"Cadernos de Saúde Pública","id":"ITEM-1","issue":"suppl 2","issued":{"date-parts":[["2017","7"]]},"language":"spa","page":"e00112616","publisher-place":"Brazil","title":"Nuevos cambios, viejos esquemas: las políticas de salud en México y Colombia en los años 2000","type":"article-journal","volume":"33"},"uris":["http://www.mendeley.com/documents/?uuid=9bc470d3-2f9b-4fe4-a10b-56cf94a26945"]}],"mendeley":{"formattedCitation":"[27]","plainTextFormattedCitation":"[27]","previouslyFormattedCitation":"&lt;sup&gt;27&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[27]</w:t>
            </w:r>
            <w:r w:rsidRPr="00054204">
              <w:rPr>
                <w:rFonts w:ascii="Arial" w:eastAsia="Calibri" w:hAnsi="Arial" w:cs="Arial"/>
                <w:i/>
                <w:iCs/>
                <w:color w:val="000000"/>
                <w:sz w:val="18"/>
                <w:szCs w:val="18"/>
                <w:vertAlign w:val="superscript"/>
              </w:rPr>
              <w:fldChar w:fldCharType="end"/>
            </w:r>
          </w:p>
        </w:tc>
        <w:tc>
          <w:tcPr>
            <w:tcW w:w="2809" w:type="dxa"/>
            <w:tcBorders>
              <w:top w:val="nil"/>
              <w:left w:val="nil"/>
              <w:bottom w:val="nil"/>
              <w:right w:val="single" w:sz="8" w:space="0" w:color="auto"/>
            </w:tcBorders>
            <w:shd w:val="clear" w:color="auto" w:fill="auto"/>
            <w:hideMark/>
          </w:tcPr>
          <w:p w14:paraId="565D957D" w14:textId="77777777" w:rsidR="00054204" w:rsidRPr="00054204" w:rsidRDefault="00054204" w:rsidP="00054204">
            <w:pPr>
              <w:jc w:val="both"/>
              <w:rPr>
                <w:rFonts w:ascii="Arial" w:eastAsia="Times New Roman" w:hAnsi="Arial" w:cs="Arial"/>
                <w:color w:val="000000"/>
                <w:sz w:val="18"/>
                <w:szCs w:val="18"/>
              </w:rPr>
            </w:pPr>
          </w:p>
          <w:p w14:paraId="5F3CC11D"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In 2004 Mexican Centro </w:t>
            </w:r>
            <w:proofErr w:type="spellStart"/>
            <w:r w:rsidRPr="00054204">
              <w:rPr>
                <w:rFonts w:ascii="Arial" w:eastAsia="Times New Roman" w:hAnsi="Arial" w:cs="Arial"/>
                <w:color w:val="000000"/>
                <w:sz w:val="18"/>
                <w:szCs w:val="18"/>
              </w:rPr>
              <w:t>Nacional</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Excelencia</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Tecnologica</w:t>
            </w:r>
            <w:proofErr w:type="spellEnd"/>
            <w:r w:rsidRPr="00054204">
              <w:rPr>
                <w:rFonts w:ascii="Arial" w:eastAsia="Times New Roman" w:hAnsi="Arial" w:cs="Arial"/>
                <w:color w:val="000000"/>
                <w:sz w:val="18"/>
                <w:szCs w:val="18"/>
              </w:rPr>
              <w:t xml:space="preserve"> en </w:t>
            </w:r>
            <w:proofErr w:type="spellStart"/>
            <w:r w:rsidRPr="00054204">
              <w:rPr>
                <w:rFonts w:ascii="Arial" w:eastAsia="Times New Roman" w:hAnsi="Arial" w:cs="Arial"/>
                <w:color w:val="000000"/>
                <w:sz w:val="18"/>
                <w:szCs w:val="18"/>
              </w:rPr>
              <w:t>Salud</w:t>
            </w:r>
            <w:proofErr w:type="spellEnd"/>
            <w:r w:rsidRPr="00054204">
              <w:rPr>
                <w:rFonts w:ascii="Arial" w:eastAsia="Times New Roman" w:hAnsi="Arial" w:cs="Arial"/>
                <w:color w:val="000000"/>
                <w:sz w:val="18"/>
                <w:szCs w:val="18"/>
              </w:rPr>
              <w:t xml:space="preserve"> [National Center for Health Technology excellence – CENETEC] was </w:t>
            </w:r>
            <w:proofErr w:type="spellStart"/>
            <w:r w:rsidRPr="00054204">
              <w:rPr>
                <w:rFonts w:ascii="Arial" w:eastAsia="Times New Roman" w:hAnsi="Arial" w:cs="Arial"/>
                <w:color w:val="000000"/>
                <w:sz w:val="18"/>
                <w:szCs w:val="18"/>
              </w:rPr>
              <w:t>stablished</w:t>
            </w:r>
            <w:proofErr w:type="spellEnd"/>
            <w:r w:rsidRPr="00054204">
              <w:rPr>
                <w:rFonts w:ascii="Arial" w:eastAsia="Times New Roman" w:hAnsi="Arial" w:cs="Arial"/>
                <w:color w:val="000000"/>
                <w:sz w:val="18"/>
                <w:szCs w:val="18"/>
              </w:rPr>
              <w:t xml:space="preserve"> to create clinical </w:t>
            </w:r>
            <w:proofErr w:type="spellStart"/>
            <w:r w:rsidRPr="00054204">
              <w:rPr>
                <w:rFonts w:ascii="Arial" w:eastAsia="Times New Roman" w:hAnsi="Arial" w:cs="Arial"/>
                <w:color w:val="000000"/>
                <w:sz w:val="18"/>
                <w:szCs w:val="18"/>
              </w:rPr>
              <w:t>guideliness</w:t>
            </w:r>
            <w:proofErr w:type="spellEnd"/>
            <w:r w:rsidRPr="00054204">
              <w:rPr>
                <w:rFonts w:ascii="Arial" w:eastAsia="Times New Roman" w:hAnsi="Arial" w:cs="Arial"/>
                <w:color w:val="000000"/>
                <w:sz w:val="18"/>
                <w:szCs w:val="18"/>
              </w:rPr>
              <w:t xml:space="preserve"> and assess the value of health technologies. Then, the General Health Council </w:t>
            </w:r>
            <w:proofErr w:type="gramStart"/>
            <w:r w:rsidRPr="00054204">
              <w:rPr>
                <w:rFonts w:ascii="Arial" w:eastAsia="Times New Roman" w:hAnsi="Arial" w:cs="Arial"/>
                <w:color w:val="000000"/>
                <w:sz w:val="18"/>
                <w:szCs w:val="18"/>
              </w:rPr>
              <w:t>define</w:t>
            </w:r>
            <w:proofErr w:type="gramEnd"/>
            <w:r w:rsidRPr="00054204">
              <w:rPr>
                <w:rFonts w:ascii="Arial" w:eastAsia="Times New Roman" w:hAnsi="Arial" w:cs="Arial"/>
                <w:color w:val="000000"/>
                <w:sz w:val="18"/>
                <w:szCs w:val="18"/>
              </w:rPr>
              <w:t xml:space="preserve"> listing/inclusion of drugs and devices in the national formulary (called </w:t>
            </w:r>
            <w:proofErr w:type="spellStart"/>
            <w:r w:rsidRPr="00054204">
              <w:rPr>
                <w:rFonts w:ascii="Arial" w:eastAsia="Times New Roman" w:hAnsi="Arial" w:cs="Arial"/>
                <w:color w:val="000000"/>
                <w:sz w:val="18"/>
                <w:szCs w:val="18"/>
              </w:rPr>
              <w:t>Cuadro</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Basico</w:t>
            </w:r>
            <w:proofErr w:type="spellEnd"/>
            <w:r w:rsidRPr="00054204">
              <w:rPr>
                <w:rFonts w:ascii="Arial" w:eastAsia="Times New Roman" w:hAnsi="Arial" w:cs="Arial"/>
                <w:color w:val="000000"/>
                <w:sz w:val="18"/>
                <w:szCs w:val="18"/>
              </w:rPr>
              <w:t xml:space="preserve">). </w:t>
            </w:r>
            <w:r w:rsidRPr="00054204">
              <w:rPr>
                <w:rFonts w:ascii="Arial" w:eastAsia="Times New Roman" w:hAnsi="Arial" w:cs="Arial"/>
                <w:color w:val="000000"/>
                <w:sz w:val="18"/>
                <w:szCs w:val="18"/>
              </w:rPr>
              <w:br/>
              <w:t xml:space="preserve">Government established centralized purchasing after the inclusion in the national formularies. The Coordinating Commission for the Negotiation of Prices of Medicines and Health Supplies) negotiates with the manufacturers the price of the drugs included on its “essential medicine list” considering “value for money” or </w:t>
            </w:r>
            <w:r w:rsidRPr="00054204">
              <w:rPr>
                <w:rFonts w:ascii="Arial" w:eastAsia="Times New Roman" w:hAnsi="Arial" w:cs="Arial"/>
                <w:color w:val="000000"/>
                <w:sz w:val="18"/>
                <w:szCs w:val="18"/>
              </w:rPr>
              <w:lastRenderedPageBreak/>
              <w:t xml:space="preserve">budget impact with pricing regulations based on reference pricing at the national level </w:t>
            </w:r>
            <w:r w:rsidRPr="00054204">
              <w:rPr>
                <w:rFonts w:ascii="Arial" w:eastAsia="Times New Roman" w:hAnsi="Arial" w:cs="Arial"/>
                <w:color w:val="000000"/>
                <w:sz w:val="18"/>
                <w:szCs w:val="18"/>
              </w:rPr>
              <w:fldChar w:fldCharType="begin" w:fldLock="1"/>
            </w:r>
            <w:r w:rsidRPr="00054204">
              <w:rPr>
                <w:rFonts w:ascii="Arial" w:eastAsia="Times New Roman" w:hAnsi="Arial" w:cs="Arial"/>
                <w:color w:val="000000"/>
                <w:sz w:val="18"/>
                <w:szCs w:val="18"/>
              </w:rPr>
              <w:instrText>ADDIN CSL_CITATION {"citationItems":[{"id":"ITEM-1","itemData":{"DOI":"10.1016/j.vhri.2019.10.002","ISSN":"22121102","PMID":"31999988","abstract":"Objectives: In the last two decades, several countries in Latin America (LA) have shown an interest in developing health technology assessments (HTAs), but the process has not been uniform and has often been challenged by the health systems characteristics and the political or economic idiosyncrasies of these countries. Methods: This article summarizes the discussions held by the participants at the 40th International Society for Pharmacoeconomics and Outcomes Research (ISPOR) HTA Council Roundtable for LA. An additional literature review was carried out to support some of the concepts included. Results: This article includes a brief description of the implementation of HTA over the last 30 years and then a conceptual analysis using examples of the broader use of HTA to support procurement decisions and risk-sharing agreements, which might play a future role in healthcare priority-setting in LA. Conclusions: Formerly, HTA processes and methods played important although mostly isolated roles (with drug licensing or reimbursement being examples of this). Nowadays, with more and more innovative technologies and the establishment of value frameworks to support the priority setting in healthcare, HTA features a promising panorama for the health systems sustainability.","author":[{"dropping-particle":"","family":"Gilardino","given":"Ramiro E.","non-dropping-particle":"","parse-names":false,"suffix":""},{"dropping-particle":"","family":"Mejía","given":"Aurelio","non-dropping-particle":"","parse-names":false,"suffix":""},{"dropping-particle":"","family":"Guarín","given":"Diego","non-dropping-particle":"","parse-names":false,"suffix":""},{"dropping-particle":"","family":"Rey-Ares","given":"Lucila","non-dropping-particle":"","parse-names":false,"suffix":""},{"dropping-particle":"","family":"Perez","given":"Ana","non-dropping-particle":"","parse-names":false,"suffix":""}],"container-title":"Value in Health Regional Issues","id":"ITEM-1","issued":{"date-parts":[["2020","12"]]},"page":"6-12","title":"Implementing Health Technology Assessments in Latin America: Looking at the Past, Mirroring the Future. A Perspective from the ISPOR Health Technology Assessment Roundtable in Latin America","type":"article-journal","volume":"23"},"uris":["http://www.mendeley.com/documents/?uuid=cb4e282a-1890-3e3f-8b7b-130c6d964829"]}],"mendeley":{"formattedCitation":"[35]","plainTextFormattedCitation":"[35]","previouslyFormattedCitation":"&lt;sup&gt;35&lt;/sup&gt;"},"properties":{"noteIndex":0},"schema":"https://github.com/citation-style-language/schema/raw/master/csl-citation.json"}</w:instrText>
            </w:r>
            <w:r w:rsidRPr="00054204">
              <w:rPr>
                <w:rFonts w:ascii="Arial" w:eastAsia="Times New Roman" w:hAnsi="Arial" w:cs="Arial"/>
                <w:color w:val="000000"/>
                <w:sz w:val="18"/>
                <w:szCs w:val="18"/>
              </w:rPr>
              <w:fldChar w:fldCharType="separate"/>
            </w:r>
            <w:r w:rsidRPr="00054204">
              <w:rPr>
                <w:rFonts w:ascii="Arial" w:eastAsia="Times New Roman" w:hAnsi="Arial" w:cs="Arial"/>
                <w:noProof/>
                <w:color w:val="000000"/>
                <w:sz w:val="18"/>
                <w:szCs w:val="18"/>
              </w:rPr>
              <w:t>[35]</w:t>
            </w:r>
            <w:r w:rsidRPr="00054204">
              <w:rPr>
                <w:rFonts w:ascii="Arial" w:eastAsia="Times New Roman" w:hAnsi="Arial" w:cs="Arial"/>
                <w:color w:val="000000"/>
                <w:sz w:val="18"/>
                <w:szCs w:val="18"/>
              </w:rPr>
              <w:fldChar w:fldCharType="end"/>
            </w:r>
          </w:p>
        </w:tc>
      </w:tr>
      <w:tr w:rsidR="00054204" w:rsidRPr="00054204" w14:paraId="6423F540" w14:textId="77777777" w:rsidTr="00AD78C9">
        <w:trPr>
          <w:trHeight w:val="340"/>
        </w:trPr>
        <w:tc>
          <w:tcPr>
            <w:tcW w:w="1407" w:type="dxa"/>
            <w:vMerge/>
            <w:tcBorders>
              <w:top w:val="single" w:sz="8" w:space="0" w:color="auto"/>
              <w:left w:val="single" w:sz="8" w:space="0" w:color="auto"/>
              <w:bottom w:val="single" w:sz="4" w:space="0" w:color="auto"/>
              <w:right w:val="single" w:sz="8" w:space="0" w:color="auto"/>
            </w:tcBorders>
            <w:hideMark/>
          </w:tcPr>
          <w:p w14:paraId="1EAEDF46"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single" w:sz="4" w:space="0" w:color="auto"/>
              <w:right w:val="single" w:sz="8" w:space="0" w:color="auto"/>
            </w:tcBorders>
            <w:shd w:val="clear" w:color="auto" w:fill="auto"/>
            <w:hideMark/>
          </w:tcPr>
          <w:p w14:paraId="35B83841"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w:t>
            </w:r>
          </w:p>
        </w:tc>
        <w:tc>
          <w:tcPr>
            <w:tcW w:w="2928" w:type="dxa"/>
            <w:tcBorders>
              <w:top w:val="nil"/>
              <w:left w:val="nil"/>
              <w:bottom w:val="single" w:sz="4" w:space="0" w:color="auto"/>
              <w:right w:val="single" w:sz="8" w:space="0" w:color="auto"/>
            </w:tcBorders>
            <w:shd w:val="clear" w:color="auto" w:fill="auto"/>
            <w:hideMark/>
          </w:tcPr>
          <w:p w14:paraId="7752D573"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w:t>
            </w:r>
          </w:p>
        </w:tc>
        <w:tc>
          <w:tcPr>
            <w:tcW w:w="2976" w:type="dxa"/>
            <w:tcBorders>
              <w:top w:val="nil"/>
              <w:left w:val="nil"/>
              <w:bottom w:val="single" w:sz="4" w:space="0" w:color="auto"/>
              <w:right w:val="single" w:sz="8" w:space="0" w:color="auto"/>
            </w:tcBorders>
            <w:shd w:val="clear" w:color="auto" w:fill="auto"/>
            <w:hideMark/>
          </w:tcPr>
          <w:p w14:paraId="3FD393B0" w14:textId="77777777" w:rsidR="00054204" w:rsidRPr="00054204" w:rsidRDefault="00054204" w:rsidP="00054204">
            <w:pPr>
              <w:rPr>
                <w:rFonts w:ascii="Calibri" w:eastAsia="Times New Roman" w:hAnsi="Calibri" w:cs="Times New Roman"/>
                <w:color w:val="000000"/>
              </w:rPr>
            </w:pPr>
            <w:r w:rsidRPr="00054204">
              <w:rPr>
                <w:rFonts w:ascii="Calibri" w:eastAsia="Times New Roman" w:hAnsi="Calibri" w:cs="Times New Roman"/>
                <w:color w:val="000000"/>
              </w:rPr>
              <w:t> </w:t>
            </w:r>
          </w:p>
        </w:tc>
        <w:tc>
          <w:tcPr>
            <w:tcW w:w="2987" w:type="dxa"/>
            <w:tcBorders>
              <w:top w:val="nil"/>
              <w:left w:val="nil"/>
              <w:bottom w:val="single" w:sz="4" w:space="0" w:color="auto"/>
              <w:right w:val="single" w:sz="8" w:space="0" w:color="auto"/>
            </w:tcBorders>
            <w:shd w:val="clear" w:color="auto" w:fill="auto"/>
            <w:hideMark/>
          </w:tcPr>
          <w:p w14:paraId="32D5AAF8" w14:textId="77777777" w:rsidR="00054204" w:rsidRPr="00054204" w:rsidRDefault="00054204" w:rsidP="00054204">
            <w:pPr>
              <w:rPr>
                <w:rFonts w:ascii="Calibri" w:eastAsia="Times New Roman" w:hAnsi="Calibri" w:cs="Times New Roman"/>
                <w:color w:val="000000"/>
              </w:rPr>
            </w:pPr>
            <w:r w:rsidRPr="00054204">
              <w:rPr>
                <w:rFonts w:ascii="Calibri" w:eastAsia="Times New Roman" w:hAnsi="Calibri" w:cs="Times New Roman"/>
                <w:color w:val="000000"/>
              </w:rPr>
              <w:t> </w:t>
            </w:r>
          </w:p>
        </w:tc>
        <w:tc>
          <w:tcPr>
            <w:tcW w:w="2809" w:type="dxa"/>
            <w:tcBorders>
              <w:top w:val="nil"/>
              <w:left w:val="nil"/>
              <w:bottom w:val="single" w:sz="4" w:space="0" w:color="auto"/>
              <w:right w:val="single" w:sz="8" w:space="0" w:color="auto"/>
            </w:tcBorders>
            <w:shd w:val="clear" w:color="auto" w:fill="auto"/>
            <w:hideMark/>
          </w:tcPr>
          <w:p w14:paraId="4A0CB260"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w:t>
            </w:r>
          </w:p>
        </w:tc>
      </w:tr>
      <w:tr w:rsidR="00054204" w:rsidRPr="00054204" w14:paraId="084E6A4C" w14:textId="77777777" w:rsidTr="00AD78C9">
        <w:trPr>
          <w:trHeight w:val="1300"/>
        </w:trPr>
        <w:tc>
          <w:tcPr>
            <w:tcW w:w="1407" w:type="dxa"/>
            <w:vMerge w:val="restart"/>
            <w:tcBorders>
              <w:top w:val="single" w:sz="4" w:space="0" w:color="auto"/>
              <w:left w:val="single" w:sz="8" w:space="0" w:color="auto"/>
              <w:bottom w:val="single" w:sz="8" w:space="0" w:color="000000"/>
              <w:right w:val="single" w:sz="8" w:space="0" w:color="auto"/>
            </w:tcBorders>
            <w:shd w:val="clear" w:color="auto" w:fill="auto"/>
            <w:hideMark/>
          </w:tcPr>
          <w:p w14:paraId="52847310" w14:textId="77777777" w:rsidR="00054204" w:rsidRPr="00054204" w:rsidRDefault="00054204" w:rsidP="00054204">
            <w:pPr>
              <w:jc w:val="center"/>
              <w:rPr>
                <w:rFonts w:ascii="Arial" w:eastAsia="Times New Roman" w:hAnsi="Arial" w:cs="Arial"/>
                <w:color w:val="000000"/>
                <w:sz w:val="20"/>
                <w:szCs w:val="20"/>
              </w:rPr>
            </w:pPr>
            <w:r w:rsidRPr="00054204">
              <w:rPr>
                <w:rFonts w:ascii="Arial" w:eastAsia="Times New Roman" w:hAnsi="Arial" w:cs="Arial"/>
                <w:color w:val="000000"/>
                <w:sz w:val="20"/>
                <w:szCs w:val="20"/>
              </w:rPr>
              <w:t>Financing, Governance, Stewardship and Health Information Systems</w:t>
            </w:r>
          </w:p>
        </w:tc>
        <w:tc>
          <w:tcPr>
            <w:tcW w:w="1751" w:type="dxa"/>
            <w:tcBorders>
              <w:top w:val="single" w:sz="4" w:space="0" w:color="auto"/>
              <w:left w:val="nil"/>
              <w:bottom w:val="nil"/>
              <w:right w:val="single" w:sz="8" w:space="0" w:color="auto"/>
            </w:tcBorders>
            <w:shd w:val="clear" w:color="auto" w:fill="auto"/>
            <w:hideMark/>
          </w:tcPr>
          <w:p w14:paraId="3E3F0C59"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Healthcare Financing (Taxation)</w:t>
            </w:r>
          </w:p>
        </w:tc>
        <w:tc>
          <w:tcPr>
            <w:tcW w:w="2928" w:type="dxa"/>
            <w:tcBorders>
              <w:top w:val="single" w:sz="4" w:space="0" w:color="auto"/>
              <w:left w:val="nil"/>
              <w:bottom w:val="nil"/>
              <w:right w:val="single" w:sz="8" w:space="0" w:color="auto"/>
            </w:tcBorders>
            <w:shd w:val="clear" w:color="auto" w:fill="auto"/>
            <w:hideMark/>
          </w:tcPr>
          <w:p w14:paraId="13C97C84"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Value added Taxes collected by the Ministry of </w:t>
            </w:r>
            <w:proofErr w:type="spellStart"/>
            <w:r w:rsidRPr="00054204">
              <w:rPr>
                <w:rFonts w:ascii="Arial" w:eastAsia="Times New Roman" w:hAnsi="Arial" w:cs="Arial"/>
                <w:color w:val="000000"/>
                <w:sz w:val="18"/>
                <w:szCs w:val="18"/>
              </w:rPr>
              <w:t>Financce</w:t>
            </w:r>
            <w:proofErr w:type="spellEnd"/>
            <w:r w:rsidRPr="00054204">
              <w:rPr>
                <w:rFonts w:ascii="Arial" w:eastAsia="Times New Roman" w:hAnsi="Arial" w:cs="Arial"/>
                <w:color w:val="000000"/>
                <w:sz w:val="18"/>
                <w:szCs w:val="18"/>
              </w:rPr>
              <w:t xml:space="preserve">. Provincial and municipal taxes collected and managed independently. </w:t>
            </w:r>
            <w:r w:rsidRPr="00054204">
              <w:rPr>
                <w:rFonts w:ascii="Arial" w:eastAsia="Calibri" w:hAnsi="Arial" w:cs="Arial"/>
                <w:i/>
                <w:iCs/>
                <w:sz w:val="18"/>
                <w:szCs w:val="18"/>
                <w:vertAlign w:val="superscript"/>
              </w:rPr>
              <w:fldChar w:fldCharType="begin" w:fldLock="1"/>
            </w:r>
            <w:r w:rsidRPr="00054204">
              <w:rPr>
                <w:rFonts w:ascii="Arial" w:eastAsia="Calibri" w:hAnsi="Arial" w:cs="Arial"/>
                <w:i/>
                <w:iCs/>
                <w:sz w:val="18"/>
                <w:szCs w:val="18"/>
                <w:vertAlign w:val="superscript"/>
              </w:rPr>
              <w:instrText>ADDIN CSL_CITATION {"citationItems":[{"id":"ITEM-1","itemData":{"DOI":"10.18294/sc.2017.1312","ISSN":"18518265","abstract":"Los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Colectiva","id":"ITEM-1","issue":"4","issued":{"date-parts":[["2017"]]},"page":"663-676","title":"El universalismo en salud en Argentina entre 2003 y 2015: Balances y desafíos desde una aproximación macroinstitucional","type":"article-journal","volume":"13"},"uris":["http://www.mendeley.com/documents/?uuid=fb38d94a-b197-4112-9e76-50d54278f2b0"]}],"mendeley":{"formattedCitation":"[20]","plainTextFormattedCitation":"[20]","previouslyFormattedCitation":"&lt;sup&gt;20&lt;/sup&gt;"},"properties":{"noteIndex":0},"schema":"https://github.com/citation-style-language/schema/raw/master/csl-citation.json"}</w:instrText>
            </w:r>
            <w:r w:rsidRPr="00054204">
              <w:rPr>
                <w:rFonts w:ascii="Arial" w:eastAsia="Calibri" w:hAnsi="Arial" w:cs="Arial"/>
                <w:i/>
                <w:iCs/>
                <w:sz w:val="18"/>
                <w:szCs w:val="18"/>
                <w:vertAlign w:val="superscript"/>
              </w:rPr>
              <w:fldChar w:fldCharType="separate"/>
            </w:r>
            <w:r w:rsidRPr="00054204">
              <w:rPr>
                <w:rFonts w:ascii="Arial" w:eastAsia="Calibri" w:hAnsi="Arial" w:cs="Arial"/>
                <w:iCs/>
                <w:noProof/>
                <w:sz w:val="18"/>
                <w:szCs w:val="18"/>
              </w:rPr>
              <w:t>[20]</w:t>
            </w:r>
            <w:r w:rsidRPr="00054204">
              <w:rPr>
                <w:rFonts w:ascii="Arial" w:eastAsia="Calibri" w:hAnsi="Arial" w:cs="Arial"/>
                <w:i/>
                <w:iCs/>
                <w:sz w:val="18"/>
                <w:szCs w:val="18"/>
                <w:vertAlign w:val="superscript"/>
              </w:rPr>
              <w:fldChar w:fldCharType="end"/>
            </w:r>
          </w:p>
        </w:tc>
        <w:tc>
          <w:tcPr>
            <w:tcW w:w="2976" w:type="dxa"/>
            <w:tcBorders>
              <w:top w:val="single" w:sz="4" w:space="0" w:color="auto"/>
              <w:left w:val="nil"/>
              <w:bottom w:val="nil"/>
              <w:right w:val="single" w:sz="8" w:space="0" w:color="auto"/>
            </w:tcBorders>
            <w:shd w:val="clear" w:color="auto" w:fill="auto"/>
            <w:hideMark/>
          </w:tcPr>
          <w:p w14:paraId="33BA80B0"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Central Tax revenue; Budgets </w:t>
            </w:r>
            <w:proofErr w:type="gramStart"/>
            <w:r w:rsidRPr="00054204">
              <w:rPr>
                <w:rFonts w:ascii="Arial" w:eastAsia="Times New Roman" w:hAnsi="Arial" w:cs="Arial"/>
                <w:color w:val="000000"/>
                <w:sz w:val="18"/>
                <w:szCs w:val="18"/>
              </w:rPr>
              <w:t xml:space="preserve">from  </w:t>
            </w:r>
            <w:proofErr w:type="spellStart"/>
            <w:r w:rsidRPr="00054204">
              <w:rPr>
                <w:rFonts w:ascii="Arial" w:eastAsia="Times New Roman" w:hAnsi="Arial" w:cs="Arial"/>
                <w:color w:val="000000"/>
                <w:sz w:val="18"/>
                <w:szCs w:val="18"/>
              </w:rPr>
              <w:t>statal</w:t>
            </w:r>
            <w:proofErr w:type="spellEnd"/>
            <w:proofErr w:type="gramEnd"/>
            <w:r w:rsidRPr="00054204">
              <w:rPr>
                <w:rFonts w:ascii="Arial" w:eastAsia="Times New Roman" w:hAnsi="Arial" w:cs="Arial"/>
                <w:color w:val="000000"/>
                <w:sz w:val="18"/>
                <w:szCs w:val="18"/>
              </w:rPr>
              <w:t xml:space="preserve"> and municipal governments,  are the SUS source of funding. (17) </w:t>
            </w:r>
          </w:p>
        </w:tc>
        <w:tc>
          <w:tcPr>
            <w:tcW w:w="2987" w:type="dxa"/>
            <w:tcBorders>
              <w:top w:val="single" w:sz="4" w:space="0" w:color="auto"/>
              <w:left w:val="nil"/>
              <w:bottom w:val="nil"/>
              <w:right w:val="single" w:sz="8" w:space="0" w:color="auto"/>
            </w:tcBorders>
            <w:shd w:val="clear" w:color="auto" w:fill="auto"/>
            <w:hideMark/>
          </w:tcPr>
          <w:p w14:paraId="14E7A446" w14:textId="77777777" w:rsidR="00054204" w:rsidRPr="00054204" w:rsidRDefault="00054204" w:rsidP="00054204">
            <w:pPr>
              <w:jc w:val="both"/>
              <w:rPr>
                <w:rFonts w:ascii="Arial" w:eastAsia="Calibri" w:hAnsi="Arial" w:cs="Arial"/>
                <w:i/>
                <w:iCs/>
                <w:color w:val="000000"/>
                <w:sz w:val="18"/>
                <w:szCs w:val="18"/>
                <w:vertAlign w:val="superscript"/>
              </w:rPr>
            </w:pPr>
            <w:r w:rsidRPr="00054204">
              <w:rPr>
                <w:rFonts w:ascii="Arial" w:eastAsia="Times New Roman" w:hAnsi="Arial" w:cs="Arial"/>
                <w:color w:val="000000"/>
                <w:sz w:val="18"/>
                <w:szCs w:val="18"/>
              </w:rPr>
              <w:t xml:space="preserve">Government contributions and municipal taxes, including gambling taxes. </w:t>
            </w:r>
            <w:r w:rsidRPr="00054204">
              <w:rPr>
                <w:rFonts w:ascii="Arial" w:eastAsia="Times New Roman" w:hAnsi="Arial" w:cs="Arial"/>
                <w:color w:val="000000"/>
                <w:sz w:val="18"/>
                <w:szCs w:val="18"/>
              </w:rPr>
              <w:br/>
              <w:t xml:space="preserve">Law </w:t>
            </w:r>
            <w:proofErr w:type="gramStart"/>
            <w:r w:rsidRPr="00054204">
              <w:rPr>
                <w:rFonts w:ascii="Arial" w:eastAsia="Times New Roman" w:hAnsi="Arial" w:cs="Arial"/>
                <w:color w:val="000000"/>
                <w:sz w:val="18"/>
                <w:szCs w:val="18"/>
              </w:rPr>
              <w:t>100  established</w:t>
            </w:r>
            <w:proofErr w:type="gramEnd"/>
            <w:r w:rsidRPr="00054204">
              <w:rPr>
                <w:rFonts w:ascii="Arial" w:eastAsia="Times New Roman" w:hAnsi="Arial" w:cs="Arial"/>
                <w:color w:val="000000"/>
                <w:sz w:val="18"/>
                <w:szCs w:val="18"/>
              </w:rPr>
              <w:t xml:space="preserve"> the UPC a fixed amount that government pay  to EPS per insured  per fiscal year.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{"citationItems":[{"id":"ITEM-1","itemData":{"DOI":"10.1590/0102-311x00112616","ISSN":"0102-311X","PMID":"28767813","abstract":"Resumen: En años recientes se viene discutiendo la necesidad de incorporar modificaciones a los sistemas de salud en América Latina. Esta iniciativa, promovida nuevamente por el Banco Mundial como Universal Health Coverage (Cobertura Universal en Salud), se enfoca en las estrategias de protección contra riesgos financieros y en el acceso unificado a servicios y medicinas esenciales. A pesar de que las tendencias del Banco Mundial han sido incorporadas de diferentes formas en los países de la región, desde finales de los ochenta, también se han producido rupturas importantes en casos como los de Argentina, Brasil, Uruguay y Ecuador, quienes en momentos distintos han buscado implementar políticas y programas que enfatizan valores diferentes a los del mercado. Sin embargo, los cambios políticos, acaecidos recientemente con la crisis de los llamados gobiernos progresistas, han incidido para que la visión economicista de la salud vuelva con fuerza a las agendas públicas. Países de ingresos medios como México y Colombia se han caracterizado por implementar cambios inspirados en este modelo, en ambos casos distintos actores afines a este enfoque vienen impulsando la re-adecuación de los sistemas de salud a la perspectiva de los organismos financieros internacionales. Este trabajo plantea que estos cambios, promovidos como una alternativa “renovada” para responder a los problemas derivados de las transformaciones realizadas desde hace poco más de dos décadas, mantienen las bases del modelo neoliberal para la salud.","author":[{"dropping-particle":"","family":"Uribe-Gómez","given":"Monica","non-dropping-particle":"","parse-names":false,"suffix":""},{"dropping-particle":"","family":"Uribe-Gomez","given":"Monica","non-dropping-particle":"","parse-names":false,"suffix":""}],"container-title":"Cadernos de Saúde Pública","id":"ITEM-1","issue":"suppl 2","issued":{"date-parts":[["2017","7"]]},"language":"spa","page":"e00112616","publisher-place":"Brazil","title":"Nuevos cambios, viejos esquemas: las políticas de salud en México y Colombia en los años 2000","type":"article-journal","volume":"33"},"uris":["http://www.mendeley.com/documents/?uuid=9bc470d3-2f9b-4fe4-a10b-56cf94a26945"]}],"mendeley":{"formattedCitation":"[27]","plainTextFormattedCitation":"[27]","previouslyFormattedCitation":"&lt;sup&gt;27&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[27]</w:t>
            </w:r>
            <w:r w:rsidRPr="00054204">
              <w:rPr>
                <w:rFonts w:ascii="Arial" w:eastAsia="Calibri" w:hAnsi="Arial" w:cs="Arial"/>
                <w:i/>
                <w:iCs/>
                <w:color w:val="000000"/>
                <w:sz w:val="18"/>
                <w:szCs w:val="18"/>
                <w:vertAlign w:val="superscript"/>
              </w:rPr>
              <w:fldChar w:fldCharType="end"/>
            </w:r>
          </w:p>
          <w:p w14:paraId="1595DE16" w14:textId="77777777" w:rsidR="00054204" w:rsidRPr="00054204" w:rsidRDefault="00054204" w:rsidP="00054204">
            <w:pPr>
              <w:jc w:val="both"/>
              <w:rPr>
                <w:rFonts w:ascii="Arial" w:eastAsia="Times New Roman" w:hAnsi="Arial" w:cs="Arial"/>
                <w:color w:val="000000"/>
                <w:sz w:val="18"/>
                <w:szCs w:val="18"/>
              </w:rPr>
            </w:pPr>
          </w:p>
        </w:tc>
        <w:tc>
          <w:tcPr>
            <w:tcW w:w="2809" w:type="dxa"/>
            <w:tcBorders>
              <w:top w:val="single" w:sz="4" w:space="0" w:color="auto"/>
              <w:left w:val="nil"/>
              <w:bottom w:val="nil"/>
              <w:right w:val="single" w:sz="8" w:space="0" w:color="auto"/>
            </w:tcBorders>
            <w:shd w:val="clear" w:color="auto" w:fill="auto"/>
            <w:hideMark/>
          </w:tcPr>
          <w:p w14:paraId="31759E80"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The Mexican SP is highly-subsidized through federal and state taxes, with the federal government contributing 83% of annual per-person cost and states funding the balance)</w:t>
            </w:r>
          </w:p>
        </w:tc>
      </w:tr>
      <w:tr w:rsidR="00054204" w:rsidRPr="00054204" w14:paraId="4B51B82A" w14:textId="77777777" w:rsidTr="00AD78C9">
        <w:trPr>
          <w:trHeight w:val="2600"/>
        </w:trPr>
        <w:tc>
          <w:tcPr>
            <w:tcW w:w="1407" w:type="dxa"/>
            <w:vMerge/>
            <w:tcBorders>
              <w:top w:val="nil"/>
              <w:left w:val="single" w:sz="8" w:space="0" w:color="auto"/>
              <w:bottom w:val="single" w:sz="8" w:space="0" w:color="000000"/>
              <w:right w:val="single" w:sz="8" w:space="0" w:color="auto"/>
            </w:tcBorders>
            <w:hideMark/>
          </w:tcPr>
          <w:p w14:paraId="43509843"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nil"/>
              <w:right w:val="single" w:sz="8" w:space="0" w:color="auto"/>
            </w:tcBorders>
            <w:shd w:val="clear" w:color="auto" w:fill="auto"/>
            <w:hideMark/>
          </w:tcPr>
          <w:p w14:paraId="05EE1417" w14:textId="77777777" w:rsidR="00054204" w:rsidRPr="00054204" w:rsidRDefault="00054204" w:rsidP="00054204">
            <w:pPr>
              <w:jc w:val="both"/>
              <w:rPr>
                <w:rFonts w:ascii="Arial" w:eastAsia="Times New Roman" w:hAnsi="Arial" w:cs="Arial"/>
                <w:color w:val="000000"/>
                <w:sz w:val="20"/>
                <w:szCs w:val="20"/>
              </w:rPr>
            </w:pPr>
          </w:p>
          <w:p w14:paraId="1985705A"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 xml:space="preserve">Sustainable financing mechanisms (Cross-funding, </w:t>
            </w:r>
            <w:proofErr w:type="spellStart"/>
            <w:r w:rsidRPr="00054204">
              <w:rPr>
                <w:rFonts w:ascii="Arial" w:eastAsia="Times New Roman" w:hAnsi="Arial" w:cs="Arial"/>
                <w:color w:val="000000"/>
                <w:sz w:val="20"/>
                <w:szCs w:val="20"/>
              </w:rPr>
              <w:t>etc</w:t>
            </w:r>
            <w:proofErr w:type="spellEnd"/>
            <w:r w:rsidRPr="00054204">
              <w:rPr>
                <w:rFonts w:ascii="Arial" w:eastAsia="Times New Roman" w:hAnsi="Arial" w:cs="Arial"/>
                <w:color w:val="000000"/>
                <w:sz w:val="20"/>
                <w:szCs w:val="20"/>
              </w:rPr>
              <w:t>)</w:t>
            </w:r>
          </w:p>
        </w:tc>
        <w:tc>
          <w:tcPr>
            <w:tcW w:w="2928" w:type="dxa"/>
            <w:tcBorders>
              <w:top w:val="nil"/>
              <w:left w:val="nil"/>
              <w:bottom w:val="nil"/>
              <w:right w:val="single" w:sz="8" w:space="0" w:color="auto"/>
            </w:tcBorders>
            <w:shd w:val="clear" w:color="auto" w:fill="auto"/>
            <w:hideMark/>
          </w:tcPr>
          <w:p w14:paraId="2F33F6CD" w14:textId="77777777" w:rsidR="00054204" w:rsidRPr="00054204" w:rsidRDefault="00054204" w:rsidP="00054204">
            <w:pPr>
              <w:jc w:val="both"/>
              <w:rPr>
                <w:rFonts w:ascii="Arial" w:eastAsia="Times New Roman" w:hAnsi="Arial" w:cs="Arial"/>
                <w:color w:val="000000"/>
                <w:sz w:val="18"/>
                <w:szCs w:val="18"/>
              </w:rPr>
            </w:pPr>
          </w:p>
          <w:p w14:paraId="778FE299"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Central government transferred more than USD 234 million to provinces to fund primary health strategy over </w:t>
            </w:r>
            <w:r w:rsidRPr="00054204">
              <w:rPr>
                <w:rFonts w:ascii="Arial" w:eastAsia="Times New Roman" w:hAnsi="Arial" w:cs="Arial"/>
                <w:i/>
                <w:iCs/>
                <w:color w:val="000000"/>
                <w:sz w:val="18"/>
                <w:szCs w:val="18"/>
              </w:rPr>
              <w:t>SUMAR</w:t>
            </w:r>
            <w:r w:rsidRPr="00054204">
              <w:rPr>
                <w:rFonts w:ascii="Arial" w:eastAsia="Times New Roman" w:hAnsi="Arial" w:cs="Arial"/>
                <w:color w:val="000000"/>
                <w:sz w:val="18"/>
                <w:szCs w:val="18"/>
              </w:rPr>
              <w:t xml:space="preserve"> and provide financial aid programs, such as </w:t>
            </w:r>
            <w:proofErr w:type="spellStart"/>
            <w:r w:rsidRPr="00054204">
              <w:rPr>
                <w:rFonts w:ascii="Arial" w:eastAsia="Times New Roman" w:hAnsi="Arial" w:cs="Arial"/>
                <w:color w:val="000000"/>
                <w:sz w:val="18"/>
                <w:szCs w:val="18"/>
              </w:rPr>
              <w:t>Asignación</w:t>
            </w:r>
            <w:proofErr w:type="spellEnd"/>
            <w:r w:rsidRPr="00054204">
              <w:rPr>
                <w:rFonts w:ascii="Arial" w:eastAsia="Times New Roman" w:hAnsi="Arial" w:cs="Arial"/>
                <w:color w:val="000000"/>
                <w:sz w:val="18"/>
                <w:szCs w:val="18"/>
              </w:rPr>
              <w:t xml:space="preserve"> Universal </w:t>
            </w:r>
            <w:proofErr w:type="spellStart"/>
            <w:r w:rsidRPr="00054204">
              <w:rPr>
                <w:rFonts w:ascii="Arial" w:eastAsia="Times New Roman" w:hAnsi="Arial" w:cs="Arial"/>
                <w:color w:val="000000"/>
                <w:sz w:val="18"/>
                <w:szCs w:val="18"/>
              </w:rPr>
              <w:t>por</w:t>
            </w:r>
            <w:proofErr w:type="spellEnd"/>
            <w:r w:rsidRPr="00054204">
              <w:rPr>
                <w:rFonts w:ascii="Arial" w:eastAsia="Times New Roman" w:hAnsi="Arial" w:cs="Arial"/>
                <w:color w:val="000000"/>
                <w:sz w:val="18"/>
                <w:szCs w:val="18"/>
              </w:rPr>
              <w:t xml:space="preserve"> </w:t>
            </w:r>
            <w:proofErr w:type="spellStart"/>
            <w:r w:rsidRPr="00054204">
              <w:rPr>
                <w:rFonts w:ascii="Arial" w:eastAsia="Times New Roman" w:hAnsi="Arial" w:cs="Arial"/>
                <w:color w:val="000000"/>
                <w:sz w:val="18"/>
                <w:szCs w:val="18"/>
              </w:rPr>
              <w:t>Hijo</w:t>
            </w:r>
            <w:proofErr w:type="spellEnd"/>
            <w:r w:rsidRPr="00054204">
              <w:rPr>
                <w:rFonts w:ascii="Arial" w:eastAsia="Times New Roman" w:hAnsi="Arial" w:cs="Arial"/>
                <w:color w:val="000000"/>
                <w:sz w:val="18"/>
                <w:szCs w:val="18"/>
              </w:rPr>
              <w:t xml:space="preserve"> [Universal Child Allowance] and </w:t>
            </w:r>
            <w:proofErr w:type="spellStart"/>
            <w:r w:rsidRPr="00054204">
              <w:rPr>
                <w:rFonts w:ascii="Arial" w:eastAsia="Times New Roman" w:hAnsi="Arial" w:cs="Arial"/>
                <w:color w:val="000000"/>
                <w:sz w:val="18"/>
                <w:szCs w:val="18"/>
              </w:rPr>
              <w:t>Asignación</w:t>
            </w:r>
            <w:proofErr w:type="spellEnd"/>
            <w:r w:rsidRPr="00054204">
              <w:rPr>
                <w:rFonts w:ascii="Arial" w:eastAsia="Times New Roman" w:hAnsi="Arial" w:cs="Arial"/>
                <w:color w:val="000000"/>
                <w:sz w:val="18"/>
                <w:szCs w:val="18"/>
              </w:rPr>
              <w:t xml:space="preserve"> Universal </w:t>
            </w:r>
            <w:proofErr w:type="spellStart"/>
            <w:r w:rsidRPr="00054204">
              <w:rPr>
                <w:rFonts w:ascii="Arial" w:eastAsia="Times New Roman" w:hAnsi="Arial" w:cs="Arial"/>
                <w:color w:val="000000"/>
                <w:sz w:val="18"/>
                <w:szCs w:val="18"/>
              </w:rPr>
              <w:t>por</w:t>
            </w:r>
            <w:proofErr w:type="spellEnd"/>
            <w:r w:rsidRPr="00054204">
              <w:rPr>
                <w:rFonts w:ascii="Arial" w:eastAsia="Times New Roman" w:hAnsi="Arial" w:cs="Arial"/>
                <w:color w:val="000000"/>
                <w:sz w:val="18"/>
                <w:szCs w:val="18"/>
              </w:rPr>
              <w:t xml:space="preserve"> Nacimiento [Universal Birth Allowance] </w:t>
            </w:r>
            <w:r w:rsidRPr="00054204">
              <w:rPr>
                <w:rFonts w:ascii="Arial" w:eastAsia="Calibri" w:hAnsi="Arial" w:cs="Arial"/>
                <w:i/>
                <w:iCs/>
                <w:sz w:val="18"/>
                <w:szCs w:val="18"/>
                <w:vertAlign w:val="superscript"/>
              </w:rPr>
              <w:fldChar w:fldCharType="begin" w:fldLock="1"/>
            </w:r>
            <w:r w:rsidRPr="00054204">
              <w:rPr>
                <w:rFonts w:ascii="Arial" w:eastAsia="Calibri" w:hAnsi="Arial" w:cs="Arial"/>
                <w:i/>
                <w:iCs/>
                <w:sz w:val="18"/>
                <w:szCs w:val="18"/>
                <w:vertAlign w:val="superscript"/>
              </w:rPr>
              <w:instrText>ADDIN CSL_CITATION {"citationItems":[{"id":"ITEM-1","itemData":{"DOI":"10.18294/sc.2017.1312","ISSN":"18518265","abstract":"Los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Colectiva","id":"ITEM-1","issue":"4","issued":{"date-parts":[["2017"]]},"page":"663-676","title":"El universalismo en salud en Argentina entre 2003 y 2015: Balances y desafíos desde una aproximación macroinstitucional","type":"article-journal","volume":"13"},"uris":["http://www.mendeley.com/documents/?uuid=fb38d94a-b197-4112-9e76-50d54278f2b0"]}],"mendeley":{"formattedCitation":"[20]","plainTextFormattedCitation":"[20]","previouslyFormattedCitation":"&lt;sup&gt;20&lt;/sup&gt;"},"properties":{"noteIndex":0},"schema":"https://github.com/citation-style-language/schema/raw/master/csl-citation.json"}</w:instrText>
            </w:r>
            <w:r w:rsidRPr="00054204">
              <w:rPr>
                <w:rFonts w:ascii="Arial" w:eastAsia="Calibri" w:hAnsi="Arial" w:cs="Arial"/>
                <w:i/>
                <w:iCs/>
                <w:sz w:val="18"/>
                <w:szCs w:val="18"/>
                <w:vertAlign w:val="superscript"/>
              </w:rPr>
              <w:fldChar w:fldCharType="separate"/>
            </w:r>
            <w:r w:rsidRPr="00054204">
              <w:rPr>
                <w:rFonts w:ascii="Arial" w:eastAsia="Calibri" w:hAnsi="Arial" w:cs="Arial"/>
                <w:iCs/>
                <w:noProof/>
                <w:sz w:val="18"/>
                <w:szCs w:val="18"/>
              </w:rPr>
              <w:t>[20]</w:t>
            </w:r>
            <w:r w:rsidRPr="00054204">
              <w:rPr>
                <w:rFonts w:ascii="Arial" w:eastAsia="Calibri" w:hAnsi="Arial" w:cs="Arial"/>
                <w:i/>
                <w:iCs/>
                <w:sz w:val="18"/>
                <w:szCs w:val="18"/>
                <w:vertAlign w:val="superscript"/>
              </w:rPr>
              <w:fldChar w:fldCharType="end"/>
            </w:r>
          </w:p>
        </w:tc>
        <w:tc>
          <w:tcPr>
            <w:tcW w:w="2976" w:type="dxa"/>
            <w:tcBorders>
              <w:top w:val="nil"/>
              <w:left w:val="nil"/>
              <w:bottom w:val="nil"/>
              <w:right w:val="single" w:sz="8" w:space="0" w:color="auto"/>
            </w:tcBorders>
            <w:shd w:val="clear" w:color="auto" w:fill="auto"/>
            <w:hideMark/>
          </w:tcPr>
          <w:p w14:paraId="65F4F666" w14:textId="77777777" w:rsidR="00054204" w:rsidRPr="00054204" w:rsidRDefault="00054204" w:rsidP="00054204">
            <w:pPr>
              <w:jc w:val="both"/>
              <w:rPr>
                <w:rFonts w:ascii="Arial" w:eastAsia="Times New Roman" w:hAnsi="Arial" w:cs="Arial"/>
                <w:color w:val="000000"/>
                <w:sz w:val="18"/>
                <w:szCs w:val="18"/>
              </w:rPr>
            </w:pPr>
          </w:p>
          <w:p w14:paraId="019D99C6" w14:textId="77777777" w:rsidR="00054204" w:rsidRPr="00054204" w:rsidRDefault="00054204" w:rsidP="00054204">
            <w:pPr>
              <w:jc w:val="both"/>
              <w:rPr>
                <w:rFonts w:ascii="Arial" w:eastAsia="Calibri" w:hAnsi="Arial" w:cs="Arial"/>
                <w:i/>
                <w:iCs/>
                <w:color w:val="000000"/>
                <w:sz w:val="18"/>
                <w:szCs w:val="18"/>
              </w:rPr>
            </w:pPr>
            <w:proofErr w:type="spellStart"/>
            <w:r w:rsidRPr="00054204">
              <w:rPr>
                <w:rFonts w:ascii="Arial" w:eastAsia="Times New Roman" w:hAnsi="Arial" w:cs="Arial"/>
                <w:color w:val="000000"/>
                <w:sz w:val="18"/>
                <w:szCs w:val="18"/>
              </w:rPr>
              <w:t>Bolsa</w:t>
            </w:r>
            <w:proofErr w:type="spellEnd"/>
            <w:r w:rsidRPr="00054204">
              <w:rPr>
                <w:rFonts w:ascii="Arial" w:eastAsia="Times New Roman" w:hAnsi="Arial" w:cs="Arial"/>
                <w:color w:val="000000"/>
                <w:sz w:val="18"/>
                <w:szCs w:val="18"/>
              </w:rPr>
              <w:t xml:space="preserve"> de </w:t>
            </w:r>
            <w:proofErr w:type="spellStart"/>
            <w:r w:rsidRPr="00054204">
              <w:rPr>
                <w:rFonts w:ascii="Arial" w:eastAsia="Times New Roman" w:hAnsi="Arial" w:cs="Arial"/>
                <w:color w:val="000000"/>
                <w:sz w:val="18"/>
                <w:szCs w:val="18"/>
              </w:rPr>
              <w:t>Família</w:t>
            </w:r>
            <w:proofErr w:type="spellEnd"/>
            <w:r w:rsidRPr="00054204">
              <w:rPr>
                <w:rFonts w:ascii="Arial" w:eastAsia="Times New Roman" w:hAnsi="Arial" w:cs="Arial"/>
                <w:color w:val="000000"/>
                <w:sz w:val="18"/>
                <w:szCs w:val="18"/>
              </w:rPr>
              <w:t xml:space="preserve"> [Family Grant</w:t>
            </w:r>
            <w:proofErr w:type="gramStart"/>
            <w:r w:rsidRPr="00054204">
              <w:rPr>
                <w:rFonts w:ascii="Arial" w:eastAsia="Times New Roman" w:hAnsi="Arial" w:cs="Arial"/>
                <w:color w:val="000000"/>
                <w:sz w:val="18"/>
                <w:szCs w:val="18"/>
              </w:rPr>
              <w:t>],</w:t>
            </w:r>
            <w:proofErr w:type="gramEnd"/>
            <w:r w:rsidRPr="00054204">
              <w:rPr>
                <w:rFonts w:ascii="Arial" w:eastAsia="Times New Roman" w:hAnsi="Arial" w:cs="Arial"/>
                <w:color w:val="000000"/>
                <w:sz w:val="18"/>
                <w:szCs w:val="18"/>
              </w:rPr>
              <w:t xml:space="preserve"> unifies multiple social initiatives to provide extra cash to the poorest, conditional upon school attendance and use of PHC services. Strong criticisms about underfunding of SUS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{"citationItems":[{"id":"ITEM-1","itemData":{"DOI":"10.1590/1413-81232018236.05582018","ISSN":"1678-4561","abstract":"Resumo O objetivo deste artigo é apresentar um conjunto de estratégias políticas, de gestão e de ordenamento do cuidado objetivando o fortalecimento do Sistema Único de Saúde (SUS). Mais do que trazer certezas, objetiva oferecer bases para ampliar o debate sobre as condições de possibilidade para tornar concreto o direito universal à saúde.","author":[{"dropping-particle":"","family":"Campos","given":"Gastão Wagner de Sousa","non-dropping-particle":"","parse-names":false,"suffix":""}],"container-title":"Ciência &amp; Saúde Coletiva","id":"ITEM-1","issue":"6","issued":{"date-parts":[["2018","6"]]},"page":"1707-1714","title":"SUS: o que e como fazer?","type":"article-journal","volume":"23"},"uris":["http://www.mendeley.com/documents/?uuid=5906ac0b-11af-4525-80ab-85529f57c13c"]}],"mendeley":{"formattedCitation":"[42]","plainTextFormattedCitation":"[42]","previouslyFormattedCitation":"&lt;sup&gt;42&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[42]</w:t>
            </w:r>
            <w:r w:rsidRPr="00054204">
              <w:rPr>
                <w:rFonts w:ascii="Arial" w:eastAsia="Calibri" w:hAnsi="Arial" w:cs="Arial"/>
                <w:i/>
                <w:iCs/>
                <w:color w:val="000000"/>
                <w:sz w:val="18"/>
                <w:szCs w:val="18"/>
                <w:vertAlign w:val="superscript"/>
              </w:rPr>
              <w:fldChar w:fldCharType="end"/>
            </w:r>
            <w:r w:rsidRPr="00054204">
              <w:rPr>
                <w:rFonts w:ascii="Arial" w:eastAsia="Times New Roman" w:hAnsi="Arial" w:cs="Arial"/>
                <w:color w:val="000000"/>
                <w:sz w:val="18"/>
                <w:szCs w:val="18"/>
              </w:rPr>
              <w:br/>
              <w:t xml:space="preserve">Federal spending on healthcare unchanged over 15 year period, slight increase of 0,7% GDP in public health expenditure over 5 year period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{"citationItems":[{"id":"ITEM-1","itemData":{"DOI":"10.7189/jogh.07.010303","ISSN":"2047-2978","abstract":"A number of developing countries that are often referred to as emerging economies have turned their attention to addressing their public health issues in more comprehensive and systematic ways. A number of developing countries that are often referred to as emerging economies have turned their attention to addressing their public health issues in more comprehensive and systematic ways. One of the most notable recent additions to the ranks of these countries is India, where consultations about building a universal health care system have been going on since 2015. While the tra-jectory of this particular initiative and similar ones elsewhere is yet to be determined, the aim of this piece is to draw some lessons from an emerging economy that, for contingent historical and political reasons, started building a universal public health care system earlier: Brazil. The key argument offered from the Brazilian experience is that building a robust public health care system based on the principles of universality and equity is a challenge of a political economy nature and one that ought to be met at multiple levels simultaneously. The Indian National Health Policy draft published in 2015 recommended the creation of a universal health care system in India based on equity and universality [1], a progressive move that should be unanimously applauded especially in light of the relatively poor state of health in the country. The challenges of building a public health care system have been enormous wherever this project has been attempted, as any historical overview of the more successful public health care systems would confirm. These challenges are obviously time-and place-specific, as those drafting the Indian National Health Policy seem to be well aware of. One interesting element of this initiative is the relatively delayed response of the Indian state to fulfilling the right to health that, although not explicitly listed as a fundamental right in the Indian Constitution , has been consistently interpreted by the judiciary as central to the right to life guaranteed under Article 21. Another interesting element of this public health initiative relates to its appeal to universality and equality at a time these principles have come under increased pressures-not only of a financial nature-in many existing and well-established public health care systems (eg, in Europe). Both these characteristics-the relatively late emergence of efforts to build a public health care syst…","author":[{"dropping-particle":"","family":"Muzaka","given":"Valbona","non-dropping-particle":"","parse-names":false,"suffix":""}],"container-title":"Journal of Global Health","id":"ITEM-1","issue":"1","issued":{"date-parts":[["2017","6"]]},"page":"1-5","title":"Lessons from Brazil: on the difficulties of building a universal health care system","type":"article-journal","volume":"7"},"uris":["http://www.mendeley.com/documents/?uuid=eefd43ad-7aac-4805-b56b-64414f9a1912"]}],"mendeley":{"formattedCitation":"[21]","plainTextFormattedCitation":"[21]","previouslyFormattedCitation":"&lt;sup&gt;21&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[21]</w:t>
            </w:r>
            <w:r w:rsidRPr="00054204">
              <w:rPr>
                <w:rFonts w:ascii="Arial" w:eastAsia="Calibri" w:hAnsi="Arial" w:cs="Arial"/>
                <w:i/>
                <w:iCs/>
                <w:color w:val="000000"/>
                <w:sz w:val="18"/>
                <w:szCs w:val="18"/>
                <w:vertAlign w:val="superscript"/>
              </w:rPr>
              <w:fldChar w:fldCharType="end"/>
            </w:r>
            <w:r w:rsidRPr="00054204">
              <w:rPr>
                <w:rFonts w:ascii="Arial" w:eastAsia="Calibri" w:hAnsi="Arial" w:cs="Arial"/>
                <w:i/>
                <w:iCs/>
                <w:color w:val="000000"/>
                <w:sz w:val="18"/>
                <w:szCs w:val="18"/>
                <w:vertAlign w:val="superscript"/>
              </w:rPr>
              <w:t xml:space="preserve"> </w:t>
            </w:r>
          </w:p>
        </w:tc>
        <w:tc>
          <w:tcPr>
            <w:tcW w:w="2987" w:type="dxa"/>
            <w:tcBorders>
              <w:top w:val="nil"/>
              <w:left w:val="nil"/>
              <w:bottom w:val="nil"/>
              <w:right w:val="single" w:sz="8" w:space="0" w:color="auto"/>
            </w:tcBorders>
            <w:shd w:val="clear" w:color="auto" w:fill="auto"/>
            <w:hideMark/>
          </w:tcPr>
          <w:p w14:paraId="1620F7EE" w14:textId="77777777" w:rsidR="00054204" w:rsidRPr="00054204" w:rsidRDefault="00054204" w:rsidP="00054204">
            <w:pPr>
              <w:jc w:val="both"/>
              <w:rPr>
                <w:rFonts w:ascii="Arial" w:eastAsia="Times New Roman" w:hAnsi="Arial" w:cs="Arial"/>
                <w:color w:val="000000"/>
                <w:sz w:val="18"/>
                <w:szCs w:val="18"/>
              </w:rPr>
            </w:pPr>
          </w:p>
          <w:p w14:paraId="09D42561"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Labor contributions are based on fixed proportion of the income collected by the government under FOSYGA; 1.5% of funds from payroll taxes were transferred from the contributive regime to the subsidized POS as a cross-subsidization </w:t>
            </w:r>
            <w:r w:rsidRPr="00054204">
              <w:rPr>
                <w:rFonts w:ascii="Arial" w:eastAsia="Calibri" w:hAnsi="Arial" w:cs="Arial"/>
                <w:i/>
                <w:iCs/>
                <w:color w:val="000000"/>
                <w:sz w:val="18"/>
                <w:szCs w:val="18"/>
              </w:rPr>
              <w:t>)</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{"citationItems":[{"id":"ITEM-1","itemData":{"DOI":"10.1002/hpm.2268","ISSN":"07496753","abstract":"Even though access to health insurance in Colombia has improved since the implementation of the 1993 health reforms (Law 100), universal coverage has not yet been accomplished. There is still a segment of the population under the low-income (subsidized) health insurance policy or without health insurance altogether. The purpose of this research was to identify preferences and behavior regarding health insurance among the subsidized rural population in La Guajira, Colombia, and to understand why that population remains under the subsidized health insurance policy. The field experiment gathered information from 400 households regarding their socioeconomic situation, health conditions, and preferences for health insurance characteristics. Results suggest that the surveyed population gives priority to expanded family coverage, physician and hospital choice, and access to specialists, rather than to attributes associated with co-payments or premiums. That indicates that people value healthcare benefits and family coverage more than health insurance expenses, and policy makers could use these preferences to enroll subsidized population into the contributory regime.","author":[{"dropping-particle":"","family":"Amaya","given":"Jeannette Liliana","non-dropping-particle":"","parse-names":false,"suffix":""},{"dropping-particle":"","family":"Ruiz","given":"Fernando","non-dropping-particle":"","parse-names":false,"suffix":""},{"dropping-particle":"","family":"Trujillo","given":"Antonio J.","non-dropping-particle":"","parse-names":false,"suffix":""},{"dropping-particle":"","family":"Buttorff","given":"Christine","non-dropping-particle":"","parse-names":false,"suffix":""},{"dropping-particle":"","family":"Library","given":"Wiley Online","non-dropping-particle":"","parse-names":false,"suffix":""}],"container-title":"The International Journal of Health Planning and Management","id":"ITEM-1","issue":"1","issued":{"date-parts":[["2016","1"]]},"page":"126-138","title":"Identifying barriers to move to better health coverage: preferences for health insurance benefits among the rural poor population in La Guajira, Colombia","type":"article-journal","volume":"31"},"uris":["http://www.mendeley.com/documents/?uuid=1d7dfbad-6e81-4ab8-bf42-c723b5cd476d"]}],"mendeley":{"formattedCitation":"[24]","plainTextFormattedCitation":"[24]","previouslyFormattedCitation":"&lt;sup&gt;24&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[24]</w:t>
            </w:r>
            <w:r w:rsidRPr="00054204">
              <w:rPr>
                <w:rFonts w:ascii="Arial" w:eastAsia="Calibri" w:hAnsi="Arial" w:cs="Arial"/>
                <w:i/>
                <w:iCs/>
                <w:color w:val="000000"/>
                <w:sz w:val="18"/>
                <w:szCs w:val="18"/>
                <w:vertAlign w:val="superscript"/>
              </w:rPr>
              <w:fldChar w:fldCharType="end"/>
            </w:r>
          </w:p>
        </w:tc>
        <w:tc>
          <w:tcPr>
            <w:tcW w:w="2809" w:type="dxa"/>
            <w:tcBorders>
              <w:top w:val="nil"/>
              <w:left w:val="nil"/>
              <w:bottom w:val="nil"/>
              <w:right w:val="single" w:sz="8" w:space="0" w:color="auto"/>
            </w:tcBorders>
            <w:shd w:val="clear" w:color="auto" w:fill="auto"/>
            <w:hideMark/>
          </w:tcPr>
          <w:p w14:paraId="2AAAB6E5" w14:textId="77777777" w:rsidR="00054204" w:rsidRPr="00054204" w:rsidRDefault="00054204" w:rsidP="00054204">
            <w:pPr>
              <w:jc w:val="both"/>
              <w:rPr>
                <w:rFonts w:ascii="Arial" w:eastAsia="Times New Roman" w:hAnsi="Arial" w:cs="Arial"/>
                <w:color w:val="000000"/>
                <w:sz w:val="18"/>
                <w:szCs w:val="18"/>
              </w:rPr>
            </w:pPr>
          </w:p>
          <w:p w14:paraId="7237374F" w14:textId="77777777" w:rsidR="00054204" w:rsidRPr="00054204" w:rsidRDefault="00054204" w:rsidP="00054204">
            <w:pPr>
              <w:jc w:val="both"/>
              <w:rPr>
                <w:rFonts w:ascii="Arial" w:eastAsia="Times New Roman" w:hAnsi="Arial" w:cs="Arial"/>
                <w:color w:val="000000"/>
                <w:sz w:val="18"/>
                <w:szCs w:val="18"/>
              </w:rPr>
            </w:pPr>
            <w:proofErr w:type="spellStart"/>
            <w:r w:rsidRPr="00054204">
              <w:rPr>
                <w:rFonts w:ascii="Arial" w:eastAsia="Times New Roman" w:hAnsi="Arial" w:cs="Arial"/>
                <w:color w:val="000000"/>
                <w:sz w:val="18"/>
                <w:szCs w:val="18"/>
              </w:rPr>
              <w:t>Descentralization</w:t>
            </w:r>
            <w:proofErr w:type="spellEnd"/>
            <w:r w:rsidRPr="00054204">
              <w:rPr>
                <w:rFonts w:ascii="Arial" w:eastAsia="Times New Roman" w:hAnsi="Arial" w:cs="Arial"/>
                <w:color w:val="000000"/>
                <w:sz w:val="18"/>
                <w:szCs w:val="18"/>
              </w:rPr>
              <w:t xml:space="preserve"> of CNPSS and REPSS decreased out of pocket health expenditure and increased number of people under SP. ( </w:t>
            </w:r>
          </w:p>
        </w:tc>
      </w:tr>
      <w:tr w:rsidR="00054204" w:rsidRPr="00054204" w14:paraId="7FEE8758" w14:textId="77777777" w:rsidTr="00AD78C9">
        <w:trPr>
          <w:trHeight w:val="1400"/>
        </w:trPr>
        <w:tc>
          <w:tcPr>
            <w:tcW w:w="1407" w:type="dxa"/>
            <w:vMerge/>
            <w:tcBorders>
              <w:top w:val="nil"/>
              <w:left w:val="single" w:sz="8" w:space="0" w:color="auto"/>
              <w:bottom w:val="single" w:sz="8" w:space="0" w:color="000000"/>
              <w:right w:val="single" w:sz="8" w:space="0" w:color="auto"/>
            </w:tcBorders>
            <w:hideMark/>
          </w:tcPr>
          <w:p w14:paraId="1912F90E"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nil"/>
              <w:right w:val="single" w:sz="8" w:space="0" w:color="auto"/>
            </w:tcBorders>
            <w:shd w:val="clear" w:color="auto" w:fill="auto"/>
            <w:hideMark/>
          </w:tcPr>
          <w:p w14:paraId="07E940BE" w14:textId="77777777" w:rsidR="00054204" w:rsidRPr="00054204" w:rsidRDefault="00054204" w:rsidP="00054204">
            <w:pPr>
              <w:jc w:val="both"/>
              <w:rPr>
                <w:rFonts w:ascii="Arial" w:eastAsia="Times New Roman" w:hAnsi="Arial" w:cs="Arial"/>
                <w:color w:val="000000"/>
                <w:sz w:val="20"/>
                <w:szCs w:val="20"/>
              </w:rPr>
            </w:pPr>
            <w:proofErr w:type="spellStart"/>
            <w:r w:rsidRPr="00054204">
              <w:rPr>
                <w:rFonts w:ascii="Arial" w:eastAsia="Times New Roman" w:hAnsi="Arial" w:cs="Arial"/>
                <w:color w:val="000000"/>
                <w:sz w:val="20"/>
                <w:szCs w:val="20"/>
              </w:rPr>
              <w:t>Descentralization</w:t>
            </w:r>
            <w:proofErr w:type="spellEnd"/>
            <w:r w:rsidRPr="00054204">
              <w:rPr>
                <w:rFonts w:ascii="Arial" w:eastAsia="Times New Roman" w:hAnsi="Arial" w:cs="Arial"/>
                <w:color w:val="000000"/>
                <w:sz w:val="20"/>
                <w:szCs w:val="20"/>
              </w:rPr>
              <w:t xml:space="preserve"> of healthcare provision mechanisms and PPP</w:t>
            </w:r>
          </w:p>
        </w:tc>
        <w:tc>
          <w:tcPr>
            <w:tcW w:w="2928" w:type="dxa"/>
            <w:tcBorders>
              <w:top w:val="nil"/>
              <w:left w:val="nil"/>
              <w:bottom w:val="nil"/>
              <w:right w:val="single" w:sz="8" w:space="0" w:color="auto"/>
            </w:tcBorders>
            <w:shd w:val="clear" w:color="auto" w:fill="auto"/>
            <w:hideMark/>
          </w:tcPr>
          <w:p w14:paraId="1A656469"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The country lack of decentralization policies that regulate health provision from central to subnational levels with lower primary care orientation in the provinces due to poor institutional capacities </w:t>
            </w:r>
            <w:r w:rsidRPr="00054204">
              <w:rPr>
                <w:rFonts w:ascii="Arial" w:eastAsia="Calibri" w:hAnsi="Arial" w:cs="Arial"/>
                <w:i/>
                <w:iCs/>
                <w:sz w:val="18"/>
                <w:szCs w:val="18"/>
                <w:vertAlign w:val="superscript"/>
              </w:rPr>
              <w:fldChar w:fldCharType="begin" w:fldLock="1"/>
            </w:r>
            <w:r w:rsidRPr="00054204">
              <w:rPr>
                <w:rFonts w:ascii="Arial" w:eastAsia="Calibri" w:hAnsi="Arial" w:cs="Arial"/>
                <w:i/>
                <w:iCs/>
                <w:sz w:val="18"/>
                <w:szCs w:val="18"/>
                <w:vertAlign w:val="superscript"/>
              </w:rPr>
              <w:instrText>ADDIN CSL_CITATION {"citationItems":[{"id":"ITEM-1","itemData":{"DOI":"10.18294/sc.2017.1312","ISSN":"18518265","abstract":"Los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Colectiva","id":"ITEM-1","issue":"4","issued":{"date-parts":[["2017"]]},"page":"663-676","title":"El universalismo en salud en Argentina entre 2003 y 2015: Balances y desafíos desde una aproximación macroinstitucional","type":"article-journal","volume":"13"},"uris":["http://www.mendeley.com/documents/?uuid=fb38d94a-b197-4112-9e76-50d54278f2b0"]}],"mendeley":{"formattedCitation":"[20]","plainTextFormattedCitation":"[20]","previouslyFormattedCitation":"&lt;sup&gt;20&lt;/sup&gt;"},"properties":{"noteIndex":0},"schema":"https://github.com/citation-style-language/schema/raw/master/csl-citation.json"}</w:instrText>
            </w:r>
            <w:r w:rsidRPr="00054204">
              <w:rPr>
                <w:rFonts w:ascii="Arial" w:eastAsia="Calibri" w:hAnsi="Arial" w:cs="Arial"/>
                <w:i/>
                <w:iCs/>
                <w:sz w:val="18"/>
                <w:szCs w:val="18"/>
                <w:vertAlign w:val="superscript"/>
              </w:rPr>
              <w:fldChar w:fldCharType="separate"/>
            </w:r>
            <w:r w:rsidRPr="00054204">
              <w:rPr>
                <w:rFonts w:ascii="Arial" w:eastAsia="Calibri" w:hAnsi="Arial" w:cs="Arial"/>
                <w:iCs/>
                <w:noProof/>
                <w:sz w:val="18"/>
                <w:szCs w:val="18"/>
              </w:rPr>
              <w:t>[20]</w:t>
            </w:r>
            <w:r w:rsidRPr="00054204">
              <w:rPr>
                <w:rFonts w:ascii="Arial" w:eastAsia="Calibri" w:hAnsi="Arial" w:cs="Arial"/>
                <w:i/>
                <w:iCs/>
                <w:sz w:val="18"/>
                <w:szCs w:val="18"/>
                <w:vertAlign w:val="superscript"/>
              </w:rPr>
              <w:fldChar w:fldCharType="end"/>
            </w:r>
          </w:p>
        </w:tc>
        <w:tc>
          <w:tcPr>
            <w:tcW w:w="2976" w:type="dxa"/>
            <w:tcBorders>
              <w:top w:val="nil"/>
              <w:left w:val="nil"/>
              <w:bottom w:val="nil"/>
              <w:right w:val="single" w:sz="8" w:space="0" w:color="auto"/>
            </w:tcBorders>
            <w:shd w:val="clear" w:color="auto" w:fill="auto"/>
            <w:hideMark/>
          </w:tcPr>
          <w:p w14:paraId="3EC9CA24"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Decentralization of healthcare services and budget management responsibility at municipal level.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{"citationItems":[{"id":"ITEM-1","itemData":{"DOI":"10.1371/journal.pmed.1002306","ISSN":"1549-1676","abstract":"© 2017 Hone et al. Background: Universal health coverage (UHC) can play an important role in achieving Sustainable Development Goal (SDG) 10, which addr esses reducing inequalities, but little supporting evidence is available from low- and middle-income countries. Brazil’s Estratégia de Saúde da Família (ESF) (family health strategy) is a community-based primary healthcare (PHC) programme that has been expanding since the 1990s and is the main platform for delivering UHC in the country. We evaluated whether expansion of the ESF was associated with differential reductions in mortality amenable to PHC between racial groups. Methods and findings: Municipality-level longitudinal fixed-effects panel regressions were used to examine associations between ESF coverage and mortality from ambulatory-care-sensitive conditions (ACSCs) in black/pardo (mixed race) and white individuals over the period 2000–2013. Models were adjusted for socio-economic development and wider health system variables. Over the period 2000–2013, there were 281,877 and 318,030 ACSC deaths (after age standardisation) in the black/pardo and white groups, respectively, in the 1,622 municipalities studied. Age-standardised ACSC mortality fell from 93.3 to 57.9 per 100,000 population in the black/pardo group and from 75.7 to 49.2 per 100,000 population in the white group. ESF expansion (from 0% to 100%) was associated with a 15.4% (rate ratio [RR]: 0.846; 95% CI: 0.796–0.899) reduction in ACSC mortality in the black/pardo group compared with a 6.8% (RR: 0.932; 95% CI: 0.892–0.974) reduction in the white group (coefficients significantly different, p = 0.012). These differential benefits were driven by greater reductions in mortality from infectious diseases, nutritional deficiencies and anaemia, diabetes, and cardiovascular disease in the black/pardo group. Although the analysis is ecological, sensitivity analyses suggest that over 30% of black/pardo deaths would have to be incorrectly coded for the results to be invalid. This study is limited by the use of municipal-aggregate data, which precludes individual-level inference. Omitted variable bias, where factors associated with ESF expansion are also associated with changes in mortality rates, may have influenced our findings, although sensitivity analyses show the robustness of the findings to pre-ESF trends and the inclusion of other municipal-level factors that could be associated with coverage. Conclusions: PHC expansion is associated with …","author":[{"dropping-particle":"","family":"Hone","given":"Thomas","non-dropping-particle":"","parse-names":false,"suffix":""},{"dropping-particle":"","family":"Rasella","given":"Davide","non-dropping-particle":"","parse-names":false,"suffix":""},{"dropping-particle":"","family":"Barreto","given":"Mauricio L.","non-dropping-particle":"","parse-names":false,"suffix":""},{"dropping-particle":"","family":"Majeed","given":"Azeem","non-dropping-particle":"","parse-names":false,"suffix":""},{"dropping-particle":"","family":"Millett","given":"Christopher","non-dropping-particle":"","parse-names":false,"suffix":""}],"container-title":"PLOS Medicine","id":"ITEM-1","issue":"5","issued":{"date-parts":[["2017","5","30"]]},"page":"1-19","title":"Association between expansion of primary healthcare and racial inequalities in mortality amenable to primary care in Brazil: A national longitudinal analysis","type":"article-journal","volume":"14"},"uris":["http://www.mendeley.com/documents/?uuid=2d257325-3fab-4dc8-9d7f-6fc9317fd7e1"]}],"mendeley":{"formattedCitation":"[15]","plainTextFormattedCitation":"[15]","previouslyFormattedCitation":"&lt;sup&gt;15&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[15]</w:t>
            </w:r>
            <w:r w:rsidRPr="00054204">
              <w:rPr>
                <w:rFonts w:ascii="Arial" w:eastAsia="Calibri" w:hAnsi="Arial" w:cs="Arial"/>
                <w:i/>
                <w:iCs/>
                <w:color w:val="000000"/>
                <w:sz w:val="18"/>
                <w:szCs w:val="18"/>
                <w:vertAlign w:val="superscript"/>
              </w:rPr>
              <w:fldChar w:fldCharType="end"/>
            </w:r>
            <w:r w:rsidRPr="00054204">
              <w:rPr>
                <w:rFonts w:ascii="Arial" w:eastAsia="Calibri" w:hAnsi="Arial" w:cs="Arial"/>
                <w:i/>
                <w:iCs/>
                <w:color w:val="000000"/>
                <w:sz w:val="18"/>
                <w:szCs w:val="18"/>
              </w:rPr>
              <w:t xml:space="preserve"> </w:t>
            </w:r>
            <w:r w:rsidRPr="00054204">
              <w:rPr>
                <w:rFonts w:ascii="Arial" w:eastAsia="Times New Roman" w:hAnsi="Arial" w:cs="Arial"/>
                <w:color w:val="000000"/>
                <w:sz w:val="18"/>
                <w:szCs w:val="18"/>
              </w:rPr>
              <w:t xml:space="preserve">NGOs were contracted to </w:t>
            </w:r>
            <w:proofErr w:type="spellStart"/>
            <w:r w:rsidRPr="00054204">
              <w:rPr>
                <w:rFonts w:ascii="Arial" w:eastAsia="Times New Roman" w:hAnsi="Arial" w:cs="Arial"/>
                <w:color w:val="000000"/>
                <w:sz w:val="18"/>
                <w:szCs w:val="18"/>
              </w:rPr>
              <w:t>to</w:t>
            </w:r>
            <w:proofErr w:type="spellEnd"/>
            <w:r w:rsidRPr="00054204">
              <w:rPr>
                <w:rFonts w:ascii="Arial" w:eastAsia="Times New Roman" w:hAnsi="Arial" w:cs="Arial"/>
                <w:color w:val="000000"/>
                <w:sz w:val="18"/>
                <w:szCs w:val="18"/>
              </w:rPr>
              <w:t xml:space="preserve"> provide support to public health services</w:t>
            </w:r>
            <w:r w:rsidRPr="00054204">
              <w:rPr>
                <w:rFonts w:ascii="Arial" w:eastAsia="Times New Roman" w:hAnsi="Arial" w:cs="Arial"/>
                <w:color w:val="000000"/>
                <w:sz w:val="18"/>
                <w:szCs w:val="18"/>
                <w:vertAlign w:val="superscript"/>
              </w:rPr>
              <w:t xml:space="preserve"> </w:t>
            </w:r>
            <w:r w:rsidRPr="00054204">
              <w:rPr>
                <w:rFonts w:ascii="Arial" w:eastAsia="Calibri" w:hAnsi="Arial" w:cs="Arial"/>
                <w:i/>
                <w:iCs/>
                <w:color w:val="000000"/>
                <w:sz w:val="18"/>
                <w:szCs w:val="18"/>
                <w:vertAlign w:val="superscript"/>
              </w:rPr>
              <w:t xml:space="preserve">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{"citationItems":[{"id":"ITEM-1","itemData":{"DOI":"10.1093/heapol/czw176","ISSN":"0268-1080","abstract":"As a means of dealing with shortcomings in the coverage, quality and efficiency of the public health care sector, several municipalities in the state of Sao Paulo, Brazil, have started to contract pre-certified non-profit or non-governmental organizations to take part in the delivery of health care services. This paper explores the impact of introducing these contracts in the primary health care sector. Using data on the 645 municipalities in the state of Sao Paulo and difference-in-differences methods, we estimate the effect of contracting out in the primary health care sector on various dimensions of mortality and health care use. The results show that implementation of the contracting out strategy significantly increases the number of primary health care appointments by approximately one appointment per user of the national health care system per year. Point estimates indicate a reducing effect on hospitalization for preventable diseases.","author":[{"dropping-particle":"","family":"Greve","given":"Jane","non-dropping-particle":"","parse-names":false,"suffix":""},{"dropping-particle":"","family":"Schattan Ruas Pereira Coelho","given":"Vera","non-dropping-particle":"","parse-names":false,"suffix":""}],"container-title":"Health Policy and Planning","id":"ITEM-1","issue":"7","issued":{"date-parts":[["2017","9","1"]]},"page":"923-933","title":"Evaluating the impact of contracting out basic health care services in the state of São Paulo, Brazil","type":"article-journal","volume":"32"},"uris":["http://www.mendeley.com/documents/?uuid=d424d1ad-6e87-4589-99e8-fb6eb89faf1a"]}],"mendeley":{"formattedCitation":"[39]","plainTextFormattedCitation":"[39]","previouslyFormattedCitation":"&lt;sup&gt;39&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[39]</w:t>
            </w:r>
            <w:r w:rsidRPr="00054204">
              <w:rPr>
                <w:rFonts w:ascii="Arial" w:eastAsia="Calibri" w:hAnsi="Arial" w:cs="Arial"/>
                <w:i/>
                <w:iCs/>
                <w:color w:val="000000"/>
                <w:sz w:val="18"/>
                <w:szCs w:val="18"/>
                <w:vertAlign w:val="superscript"/>
              </w:rPr>
              <w:fldChar w:fldCharType="end"/>
            </w:r>
          </w:p>
        </w:tc>
        <w:tc>
          <w:tcPr>
            <w:tcW w:w="2987" w:type="dxa"/>
            <w:tcBorders>
              <w:top w:val="nil"/>
              <w:left w:val="nil"/>
              <w:bottom w:val="nil"/>
              <w:right w:val="single" w:sz="8" w:space="0" w:color="auto"/>
            </w:tcBorders>
            <w:shd w:val="clear" w:color="auto" w:fill="auto"/>
            <w:hideMark/>
          </w:tcPr>
          <w:p w14:paraId="5E5C912E"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w:t>
            </w:r>
          </w:p>
        </w:tc>
        <w:tc>
          <w:tcPr>
            <w:tcW w:w="2809" w:type="dxa"/>
            <w:tcBorders>
              <w:top w:val="nil"/>
              <w:left w:val="nil"/>
              <w:bottom w:val="nil"/>
              <w:right w:val="single" w:sz="8" w:space="0" w:color="auto"/>
            </w:tcBorders>
            <w:shd w:val="clear" w:color="auto" w:fill="auto"/>
            <w:hideMark/>
          </w:tcPr>
          <w:p w14:paraId="203A8434"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Implementation of PPP to increase coverage to NCD has been cost-effective. </w:t>
            </w:r>
          </w:p>
        </w:tc>
      </w:tr>
      <w:tr w:rsidR="00054204" w:rsidRPr="00054204" w14:paraId="5B5D10C4" w14:textId="77777777" w:rsidTr="00AD78C9">
        <w:trPr>
          <w:trHeight w:val="1140"/>
        </w:trPr>
        <w:tc>
          <w:tcPr>
            <w:tcW w:w="1407" w:type="dxa"/>
            <w:vMerge/>
            <w:tcBorders>
              <w:top w:val="nil"/>
              <w:left w:val="single" w:sz="8" w:space="0" w:color="auto"/>
              <w:bottom w:val="single" w:sz="8" w:space="0" w:color="000000"/>
              <w:right w:val="single" w:sz="8" w:space="0" w:color="auto"/>
            </w:tcBorders>
            <w:hideMark/>
          </w:tcPr>
          <w:p w14:paraId="7CCB2D9B" w14:textId="77777777" w:rsidR="00054204" w:rsidRPr="00054204" w:rsidRDefault="00054204" w:rsidP="00054204">
            <w:pPr>
              <w:rPr>
                <w:rFonts w:ascii="Arial" w:eastAsia="Times New Roman" w:hAnsi="Arial" w:cs="Arial"/>
                <w:color w:val="000000"/>
                <w:sz w:val="20"/>
                <w:szCs w:val="20"/>
              </w:rPr>
            </w:pPr>
          </w:p>
        </w:tc>
        <w:tc>
          <w:tcPr>
            <w:tcW w:w="1751" w:type="dxa"/>
            <w:tcBorders>
              <w:top w:val="nil"/>
              <w:left w:val="nil"/>
              <w:bottom w:val="single" w:sz="8" w:space="0" w:color="auto"/>
              <w:right w:val="single" w:sz="8" w:space="0" w:color="auto"/>
            </w:tcBorders>
            <w:shd w:val="clear" w:color="auto" w:fill="auto"/>
            <w:hideMark/>
          </w:tcPr>
          <w:p w14:paraId="19A19037" w14:textId="77777777" w:rsidR="00054204" w:rsidRPr="00054204" w:rsidRDefault="00054204" w:rsidP="00054204">
            <w:pPr>
              <w:jc w:val="both"/>
              <w:rPr>
                <w:rFonts w:ascii="Arial" w:eastAsia="Times New Roman" w:hAnsi="Arial" w:cs="Arial"/>
                <w:color w:val="000000"/>
                <w:sz w:val="20"/>
                <w:szCs w:val="20"/>
              </w:rPr>
            </w:pPr>
            <w:r w:rsidRPr="00054204">
              <w:rPr>
                <w:rFonts w:ascii="Arial" w:eastAsia="Times New Roman" w:hAnsi="Arial" w:cs="Arial"/>
                <w:color w:val="000000"/>
                <w:sz w:val="20"/>
                <w:szCs w:val="20"/>
              </w:rPr>
              <w:t>Advances in HIS (including Electronic health records)</w:t>
            </w:r>
          </w:p>
        </w:tc>
        <w:tc>
          <w:tcPr>
            <w:tcW w:w="2928" w:type="dxa"/>
            <w:tcBorders>
              <w:top w:val="nil"/>
              <w:left w:val="nil"/>
              <w:bottom w:val="single" w:sz="8" w:space="0" w:color="auto"/>
              <w:right w:val="single" w:sz="8" w:space="0" w:color="auto"/>
            </w:tcBorders>
            <w:shd w:val="clear" w:color="auto" w:fill="auto"/>
            <w:hideMark/>
          </w:tcPr>
          <w:p w14:paraId="66266006"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HIS is still in development and the country lacks of connectivity across the entire health </w:t>
            </w:r>
            <w:r w:rsidRPr="00054204">
              <w:rPr>
                <w:rFonts w:ascii="Arial" w:eastAsia="Times New Roman" w:hAnsi="Arial" w:cs="Arial"/>
                <w:color w:val="000000"/>
                <w:sz w:val="18"/>
                <w:szCs w:val="18"/>
                <w:vertAlign w:val="superscript"/>
              </w:rPr>
              <w:t xml:space="preserve"> </w:t>
            </w:r>
            <w:r w:rsidRPr="00054204">
              <w:rPr>
                <w:rFonts w:ascii="Arial" w:eastAsia="Times New Roman" w:hAnsi="Arial" w:cs="Arial"/>
                <w:color w:val="000000"/>
                <w:sz w:val="18"/>
                <w:szCs w:val="18"/>
              </w:rPr>
              <w:t>[</w:t>
            </w:r>
            <w:r w:rsidRPr="00054204">
              <w:rPr>
                <w:rFonts w:ascii="Arial" w:eastAsia="Calibri" w:hAnsi="Arial" w:cs="Arial"/>
                <w:i/>
                <w:iCs/>
                <w:sz w:val="18"/>
                <w:szCs w:val="18"/>
                <w:vertAlign w:val="superscript"/>
              </w:rPr>
              <w:fldChar w:fldCharType="begin" w:fldLock="1"/>
            </w:r>
            <w:r w:rsidRPr="00054204">
              <w:rPr>
                <w:rFonts w:ascii="Arial" w:eastAsia="Calibri" w:hAnsi="Arial" w:cs="Arial"/>
                <w:i/>
                <w:iCs/>
                <w:sz w:val="18"/>
                <w:szCs w:val="18"/>
                <w:vertAlign w:val="superscript"/>
              </w:rPr>
              <w:instrText>ADDIN CSL_CITATION {"citationItems":[{"id":"ITEM-1","itemData":{"DOI":"10.18294/sc.2017.1312","ISSN":"18518265","abstract":"Los debates en torno al universalismo en salud fueron ganando terreno en la región e ingresando a la agenda de las políticas con resultados desiguales. Aun en el contexto del federalismo, los cambios más profundos que se sucedieron en Argentina en la última década tuvieron lugar en la arena de la política nacional. A partir de los aportes teóricos del neoinstitucionalismo histórico y de los estudios de implementación, este trabajo se propone analizar el alcance de la política nacional en torno a la universalización en salud, en un nivel macroinstitucional. Se trata de un estudio descriptivo, basado en fuentes secundarias y en la revisión de resultados de investigaciones sobre la implementación del Programa Remediar, el Plan Nacer y el Programa Sumar en relación con cuatro variables: acceso, cobertura, conjunto de beneficios y derechos que recoge la política. Dadas las características de la matriz institucional argentina, puede esperarse que la implementación en los escenarios subnacionales recorra espacios complejos y heterogéneos en los que los programas pueden adquirir nuevos significados con relación al horizonte de la universalidad que cada uno de ellos plantea.","author":[{"dropping-particle":"","family":"Chiara","given":"Magdalena","non-dropping-particle":"","parse-names":false,"suffix":""},{"dropping-particle":"","family":"Crojethovic","given":"María","non-dropping-particle":"","parse-names":false,"suffix":""},{"dropping-particle":"","family":"Ariovich","given":"Ana","non-dropping-particle":"","parse-names":false,"suffix":""}],"container-title":"Salud Colectiva","id":"ITEM-1","issue":"4","issued":{"date-parts":[["2017"]]},"page":"663-676","title":"El universalismo en salud en Argentina entre 2003 y 2015: Balances y desafíos desde una aproximación macroinstitucional","type":"article-journal","volume":"13"},"uris":["http://www.mendeley.com/documents/?uuid=fb38d94a-b197-4112-9e76-50d54278f2b0"]}],"mendeley":{"formattedCitation":"[20]","plainTextFormattedCitation":"[20]","previouslyFormattedCitation":"&lt;sup&gt;20&lt;/sup&gt;"},"properties":{"noteIndex":0},"schema":"https://github.com/citation-style-language/schema/raw/master/csl-citation.json"}</w:instrText>
            </w:r>
            <w:r w:rsidRPr="00054204">
              <w:rPr>
                <w:rFonts w:ascii="Arial" w:eastAsia="Calibri" w:hAnsi="Arial" w:cs="Arial"/>
                <w:i/>
                <w:iCs/>
                <w:sz w:val="18"/>
                <w:szCs w:val="18"/>
                <w:vertAlign w:val="superscript"/>
              </w:rPr>
              <w:fldChar w:fldCharType="separate"/>
            </w:r>
            <w:r w:rsidRPr="00054204">
              <w:rPr>
                <w:rFonts w:ascii="Arial" w:eastAsia="Calibri" w:hAnsi="Arial" w:cs="Arial"/>
                <w:iCs/>
                <w:noProof/>
                <w:sz w:val="18"/>
                <w:szCs w:val="18"/>
              </w:rPr>
              <w:t>[20]</w:t>
            </w:r>
            <w:r w:rsidRPr="00054204">
              <w:rPr>
                <w:rFonts w:ascii="Arial" w:eastAsia="Calibri" w:hAnsi="Arial" w:cs="Arial"/>
                <w:i/>
                <w:iCs/>
                <w:sz w:val="18"/>
                <w:szCs w:val="18"/>
                <w:vertAlign w:val="superscript"/>
              </w:rPr>
              <w:fldChar w:fldCharType="end"/>
            </w:r>
          </w:p>
        </w:tc>
        <w:tc>
          <w:tcPr>
            <w:tcW w:w="2976" w:type="dxa"/>
            <w:tcBorders>
              <w:top w:val="nil"/>
              <w:left w:val="nil"/>
              <w:bottom w:val="single" w:sz="8" w:space="0" w:color="auto"/>
              <w:right w:val="single" w:sz="8" w:space="0" w:color="auto"/>
            </w:tcBorders>
            <w:shd w:val="clear" w:color="auto" w:fill="auto"/>
            <w:hideMark/>
          </w:tcPr>
          <w:p w14:paraId="693EC269"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xml:space="preserve">Lower development of unified HIS in the public healthcare services </w:t>
            </w:r>
            <w:r w:rsidRPr="00054204">
              <w:rPr>
                <w:rFonts w:ascii="Arial" w:eastAsia="Calibri" w:hAnsi="Arial" w:cs="Arial"/>
                <w:i/>
                <w:iCs/>
                <w:color w:val="000000"/>
                <w:sz w:val="18"/>
                <w:szCs w:val="18"/>
              </w:rPr>
              <w:t xml:space="preserve"> </w:t>
            </w:r>
            <w:r w:rsidRPr="00054204">
              <w:rPr>
                <w:rFonts w:ascii="Arial" w:eastAsia="Calibri" w:hAnsi="Arial" w:cs="Arial"/>
                <w:i/>
                <w:iCs/>
                <w:color w:val="000000"/>
                <w:sz w:val="18"/>
                <w:szCs w:val="18"/>
                <w:vertAlign w:val="superscript"/>
              </w:rPr>
              <w:fldChar w:fldCharType="begin" w:fldLock="1"/>
            </w:r>
            <w:r w:rsidRPr="00054204">
              <w:rPr>
                <w:rFonts w:ascii="Arial" w:eastAsia="Calibri" w:hAnsi="Arial" w:cs="Arial"/>
                <w:i/>
                <w:iCs/>
                <w:color w:val="000000"/>
                <w:sz w:val="18"/>
                <w:szCs w:val="18"/>
                <w:vertAlign w:val="superscript"/>
              </w:rPr>
              <w:instrText>ADDIN CSL_CITATION {"citationItems":[{"id":"ITEM-1","itemData":{"DOI":"10.1056/NEJMp1501140","ISSN":"0028-4793","abstract":"In any field, improving performance and accountability depends on having a shared goal that unites the interests and activities of all stakeholders. In health care, however, stakeholders have myriad, often conflicting goals, including access to services, profitability, high quality, cost containment, safety, convenience, patient-centeredness, and satisfaction. Lack of clarity about goals has led to divergent approaches, gaming of the system, and slow progress in performance improvement. Achieving high value for patients must become the overarching goal of health care delivery, with value defined as the health outcomes achieved per dollar spent.(1) This goal is what matters for patients and unites . . .","author":[{"dropping-particle":"","family":"Macinko","given":"James","non-dropping-particle":"","parse-names":false,"suffix":""},{"dropping-particle":"","family":"Harris","given":"Matthew J.","non-dropping-particle":"","parse-names":false,"suffix":""}],"container-title":"New England Journal of Medicine","id":"ITEM-1","issue":"23","issued":{"date-parts":[["2015","6","4"]]},"page":"2177-2181","title":"Brazil's Family Health Strategy — Delivering Community-Based Primary Care in a Universal Health System","type":"article-journal","volume":"372"},"uris":["http://www.mendeley.com/documents/?uuid=2d2ee16c-0142-4b2b-847e-4da965c2ec51"]}],"mendeley":{"formattedCitation":"[17]","plainTextFormattedCitation":"[17]","previouslyFormattedCitation":"&lt;sup&gt;17&lt;/sup&gt;"},"properties":{"noteIndex":0},"schema":"https://github.com/citation-style-language/schema/raw/master/csl-citation.json"}</w:instrText>
            </w:r>
            <w:r w:rsidRPr="00054204">
              <w:rPr>
                <w:rFonts w:ascii="Arial" w:eastAsia="Calibri" w:hAnsi="Arial" w:cs="Arial"/>
                <w:i/>
                <w:iCs/>
                <w:color w:val="000000"/>
                <w:sz w:val="18"/>
                <w:szCs w:val="18"/>
                <w:vertAlign w:val="superscript"/>
              </w:rPr>
              <w:fldChar w:fldCharType="separate"/>
            </w:r>
            <w:r w:rsidRPr="00054204">
              <w:rPr>
                <w:rFonts w:ascii="Arial" w:eastAsia="Calibri" w:hAnsi="Arial" w:cs="Arial"/>
                <w:iCs/>
                <w:noProof/>
                <w:color w:val="000000"/>
                <w:sz w:val="18"/>
                <w:szCs w:val="18"/>
              </w:rPr>
              <w:t>[17]</w:t>
            </w:r>
            <w:r w:rsidRPr="00054204">
              <w:rPr>
                <w:rFonts w:ascii="Arial" w:eastAsia="Calibri" w:hAnsi="Arial" w:cs="Arial"/>
                <w:i/>
                <w:iCs/>
                <w:color w:val="000000"/>
                <w:sz w:val="18"/>
                <w:szCs w:val="18"/>
                <w:vertAlign w:val="superscript"/>
              </w:rPr>
              <w:fldChar w:fldCharType="end"/>
            </w:r>
          </w:p>
        </w:tc>
        <w:tc>
          <w:tcPr>
            <w:tcW w:w="2987" w:type="dxa"/>
            <w:tcBorders>
              <w:top w:val="nil"/>
              <w:left w:val="nil"/>
              <w:bottom w:val="single" w:sz="8" w:space="0" w:color="auto"/>
              <w:right w:val="single" w:sz="8" w:space="0" w:color="auto"/>
            </w:tcBorders>
            <w:shd w:val="clear" w:color="auto" w:fill="auto"/>
            <w:hideMark/>
          </w:tcPr>
          <w:p w14:paraId="27B51621"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 </w:t>
            </w:r>
          </w:p>
        </w:tc>
        <w:tc>
          <w:tcPr>
            <w:tcW w:w="2809" w:type="dxa"/>
            <w:tcBorders>
              <w:top w:val="nil"/>
              <w:left w:val="nil"/>
              <w:bottom w:val="single" w:sz="8" w:space="0" w:color="auto"/>
              <w:right w:val="single" w:sz="8" w:space="0" w:color="auto"/>
            </w:tcBorders>
            <w:shd w:val="clear" w:color="auto" w:fill="auto"/>
            <w:hideMark/>
          </w:tcPr>
          <w:p w14:paraId="691EBD9D" w14:textId="77777777" w:rsidR="00054204" w:rsidRPr="00054204" w:rsidRDefault="00054204" w:rsidP="00054204">
            <w:pPr>
              <w:jc w:val="both"/>
              <w:rPr>
                <w:rFonts w:ascii="Arial" w:eastAsia="Times New Roman" w:hAnsi="Arial" w:cs="Arial"/>
                <w:color w:val="000000"/>
                <w:sz w:val="18"/>
                <w:szCs w:val="18"/>
              </w:rPr>
            </w:pPr>
            <w:r w:rsidRPr="00054204">
              <w:rPr>
                <w:rFonts w:ascii="Arial" w:eastAsia="Times New Roman" w:hAnsi="Arial" w:cs="Arial"/>
                <w:color w:val="000000"/>
                <w:sz w:val="18"/>
                <w:szCs w:val="18"/>
              </w:rPr>
              <w:t>SP move towards accreditation of facilities, investments in technology and qualified human resources</w:t>
            </w:r>
            <w:r w:rsidRPr="00054204">
              <w:rPr>
                <w:rFonts w:ascii="Arial" w:eastAsia="Times New Roman" w:hAnsi="Arial" w:cs="Arial"/>
                <w:color w:val="000000"/>
                <w:sz w:val="16"/>
                <w:szCs w:val="16"/>
              </w:rPr>
              <w:t xml:space="preserve">. </w:t>
            </w:r>
          </w:p>
        </w:tc>
      </w:tr>
    </w:tbl>
    <w:p w14:paraId="3D68BE6E" w14:textId="765E4505" w:rsidR="00054204" w:rsidRDefault="00054204" w:rsidP="00054204"/>
    <w:sectPr w:rsidR="00054204" w:rsidSect="00054204">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054204"/>
    <w:rsid w:val="00054204"/>
    <w:rsid w:val="0008314C"/>
    <w:rsid w:val="000B2CC1"/>
    <w:rsid w:val="000D6CDF"/>
    <w:rsid w:val="001C0AB8"/>
    <w:rsid w:val="00237307"/>
    <w:rsid w:val="00296EA5"/>
    <w:rsid w:val="003243AB"/>
    <w:rsid w:val="003D648B"/>
    <w:rsid w:val="005016DA"/>
    <w:rsid w:val="00501D7C"/>
    <w:rsid w:val="005218EB"/>
    <w:rsid w:val="00647413"/>
    <w:rsid w:val="006C2E88"/>
    <w:rsid w:val="006C5713"/>
    <w:rsid w:val="00704F3A"/>
    <w:rsid w:val="007324A9"/>
    <w:rsid w:val="00792107"/>
    <w:rsid w:val="007C7B3D"/>
    <w:rsid w:val="0082788E"/>
    <w:rsid w:val="00837706"/>
    <w:rsid w:val="00861B37"/>
    <w:rsid w:val="00924B08"/>
    <w:rsid w:val="00956368"/>
    <w:rsid w:val="00A62CBA"/>
    <w:rsid w:val="00AD0A4C"/>
    <w:rsid w:val="00BD19D2"/>
    <w:rsid w:val="00CA41D6"/>
    <w:rsid w:val="00E24F68"/>
    <w:rsid w:val="00E26ACD"/>
    <w:rsid w:val="00E5321A"/>
    <w:rsid w:val="00EB1A02"/>
    <w:rsid w:val="00ED5876"/>
    <w:rsid w:val="00F6773F"/>
    <w:rsid w:val="00F85594"/>
    <w:rsid w:val="00FB1250"/>
    <w:rsid w:val="00FD5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8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04F3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ementoarequerir">
    <w:name w:val="Elemento a requerir"/>
    <w:basedOn w:val="Heading4"/>
    <w:qFormat/>
    <w:rsid w:val="00704F3A"/>
    <w:pPr>
      <w:spacing w:line="360" w:lineRule="auto"/>
      <w:jc w:val="both"/>
    </w:pPr>
    <w:rPr>
      <w:rFonts w:ascii="Times New Roman" w:hAnsi="Times New Roman"/>
      <w:color w:val="44546A" w:themeColor="text2"/>
    </w:rPr>
  </w:style>
  <w:style w:type="character" w:customStyle="1" w:styleId="Heading4Char">
    <w:name w:val="Heading 4 Char"/>
    <w:basedOn w:val="DefaultParagraphFont"/>
    <w:link w:val="Heading4"/>
    <w:uiPriority w:val="9"/>
    <w:semiHidden/>
    <w:rsid w:val="00704F3A"/>
    <w:rPr>
      <w:rFonts w:asciiTheme="majorHAnsi" w:eastAsiaTheme="majorEastAsia" w:hAnsiTheme="majorHAnsi" w:cstheme="majorBidi"/>
      <w:i/>
      <w:iCs/>
      <w:color w:val="2F5496"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04F3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ementoarequerir">
    <w:name w:val="Elemento a requerir"/>
    <w:basedOn w:val="Heading4"/>
    <w:qFormat/>
    <w:rsid w:val="00704F3A"/>
    <w:pPr>
      <w:spacing w:line="360" w:lineRule="auto"/>
      <w:jc w:val="both"/>
    </w:pPr>
    <w:rPr>
      <w:rFonts w:ascii="Times New Roman" w:hAnsi="Times New Roman"/>
      <w:color w:val="44546A" w:themeColor="text2"/>
    </w:rPr>
  </w:style>
  <w:style w:type="character" w:customStyle="1" w:styleId="Heading4Char">
    <w:name w:val="Heading 4 Char"/>
    <w:basedOn w:val="DefaultParagraphFont"/>
    <w:link w:val="Heading4"/>
    <w:uiPriority w:val="9"/>
    <w:semiHidden/>
    <w:rsid w:val="00704F3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12774</Words>
  <Characters>78052</Characters>
  <Application>Microsoft Office Word</Application>
  <DocSecurity>0</DocSecurity>
  <Lines>4108</Lines>
  <Paragraphs>732</Paragraphs>
  <ScaleCrop>false</ScaleCrop>
  <Company/>
  <LinksUpToDate>false</LinksUpToDate>
  <CharactersWithSpaces>90094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5084</dc:creator>
  <cp:keywords/>
  <dc:description/>
  <cp:lastModifiedBy>MSARDAN</cp:lastModifiedBy>
  <cp:revision>3</cp:revision>
  <dcterms:created xsi:type="dcterms:W3CDTF">2021-07-12T09:04:00Z</dcterms:created>
  <dcterms:modified xsi:type="dcterms:W3CDTF">2022-01-14T11:36:00Z</dcterms:modified>
</cp:coreProperties>
</file>