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EBC" w:rsidRDefault="00341FAF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b/>
        </w:rPr>
      </w:pPr>
      <w:bookmarkStart w:id="0" w:name="_GoBack"/>
      <w:bookmarkEnd w:id="0"/>
      <w:r>
        <w:rPr>
          <w:b/>
        </w:rPr>
        <w:t>Supplementary files:</w:t>
      </w:r>
    </w:p>
    <w:p w:rsidR="00DE0EBC" w:rsidRDefault="00341FAF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b/>
        </w:rPr>
      </w:pPr>
      <w:r>
        <w:rPr>
          <w:b/>
        </w:rPr>
        <w:t>Sex differences in disease characteristics and weight categories:</w:t>
      </w:r>
    </w:p>
    <w:p w:rsidR="00DE0EBC" w:rsidRDefault="00DE0EBC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b/>
        </w:rPr>
      </w:pPr>
    </w:p>
    <w:p w:rsidR="00DE0EBC" w:rsidRDefault="00DE0EBC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b/>
        </w:rPr>
      </w:pPr>
    </w:p>
    <w:p w:rsidR="00DE0EBC" w:rsidRDefault="00341FAF">
      <w:pPr>
        <w:keepNext/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b/>
        </w:rPr>
      </w:pPr>
      <w:r>
        <w:rPr>
          <w:b/>
        </w:rPr>
        <w:t>Table S1</w:t>
      </w:r>
      <w:r>
        <w:rPr>
          <w:b/>
          <w:u w:val="single"/>
        </w:rPr>
        <w:t>:</w:t>
      </w:r>
      <w:r>
        <w:rPr>
          <w:b/>
        </w:rPr>
        <w:t xml:space="preserve"> Significant sex differences in disease characteristics and weight categories of studied patients with multiple sclerosis at </w:t>
      </w:r>
      <w:proofErr w:type="spellStart"/>
      <w:r>
        <w:rPr>
          <w:b/>
        </w:rPr>
        <w:t>Kasr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Alainy</w:t>
      </w:r>
      <w:proofErr w:type="spellEnd"/>
      <w:r>
        <w:rPr>
          <w:b/>
        </w:rPr>
        <w:t xml:space="preserve"> Multiple Sclerosis Unit, Cairo, Egypt 2019</w:t>
      </w:r>
      <w:r>
        <w:rPr>
          <w:b/>
        </w:rPr>
        <w:t>-2020</w:t>
      </w:r>
    </w:p>
    <w:tbl>
      <w:tblPr>
        <w:tblStyle w:val="a4"/>
        <w:tblW w:w="1018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29"/>
        <w:gridCol w:w="3160"/>
        <w:gridCol w:w="1445"/>
        <w:gridCol w:w="1283"/>
        <w:gridCol w:w="1341"/>
        <w:gridCol w:w="926"/>
      </w:tblGrid>
      <w:tr w:rsidR="00DE0EBC">
        <w:trPr>
          <w:trHeight w:val="828"/>
          <w:jc w:val="center"/>
        </w:trPr>
        <w:tc>
          <w:tcPr>
            <w:tcW w:w="5189" w:type="dxa"/>
            <w:gridSpan w:val="2"/>
            <w:shd w:val="clear" w:color="auto" w:fill="F2F2F2"/>
            <w:vAlign w:val="center"/>
          </w:tcPr>
          <w:p w:rsidR="00DE0EBC" w:rsidRDefault="00341FAF">
            <w:pPr>
              <w:jc w:val="center"/>
              <w:rPr>
                <w:b/>
              </w:rPr>
            </w:pPr>
            <w:r>
              <w:rPr>
                <w:b/>
              </w:rPr>
              <w:t>Characteristics</w:t>
            </w:r>
          </w:p>
        </w:tc>
        <w:tc>
          <w:tcPr>
            <w:tcW w:w="1445" w:type="dxa"/>
            <w:shd w:val="clear" w:color="auto" w:fill="D9E2F3"/>
            <w:vAlign w:val="center"/>
          </w:tcPr>
          <w:p w:rsidR="00DE0EBC" w:rsidRDefault="00341FAF">
            <w:pPr>
              <w:jc w:val="center"/>
              <w:rPr>
                <w:b/>
              </w:rPr>
            </w:pPr>
            <w:r>
              <w:rPr>
                <w:b/>
              </w:rPr>
              <w:t>Females (</w:t>
            </w:r>
            <w:r>
              <w:t>87</w:t>
            </w:r>
            <w:r>
              <w:rPr>
                <w:b/>
              </w:rPr>
              <w:t>)</w:t>
            </w:r>
          </w:p>
        </w:tc>
        <w:tc>
          <w:tcPr>
            <w:tcW w:w="1283" w:type="dxa"/>
            <w:shd w:val="clear" w:color="auto" w:fill="F2F2F2"/>
            <w:vAlign w:val="center"/>
          </w:tcPr>
          <w:p w:rsidR="00DE0EBC" w:rsidRDefault="00341FAF">
            <w:pPr>
              <w:jc w:val="center"/>
              <w:rPr>
                <w:b/>
              </w:rPr>
            </w:pPr>
            <w:r>
              <w:rPr>
                <w:b/>
              </w:rPr>
              <w:t>Males (33)</w:t>
            </w:r>
          </w:p>
        </w:tc>
        <w:tc>
          <w:tcPr>
            <w:tcW w:w="1341" w:type="dxa"/>
            <w:shd w:val="clear" w:color="auto" w:fill="F2F2F2"/>
          </w:tcPr>
          <w:p w:rsidR="00DE0EBC" w:rsidRDefault="00DE0EBC">
            <w:pPr>
              <w:jc w:val="center"/>
              <w:rPr>
                <w:b/>
              </w:rPr>
            </w:pPr>
          </w:p>
          <w:p w:rsidR="00DE0EBC" w:rsidRDefault="00341FAF">
            <w:pPr>
              <w:rPr>
                <w:b/>
              </w:rPr>
            </w:pPr>
            <w:r>
              <w:rPr>
                <w:b/>
              </w:rPr>
              <w:t>Total (120)</w:t>
            </w:r>
          </w:p>
        </w:tc>
        <w:tc>
          <w:tcPr>
            <w:tcW w:w="926" w:type="dxa"/>
            <w:shd w:val="clear" w:color="auto" w:fill="F2F2F2"/>
            <w:vAlign w:val="center"/>
          </w:tcPr>
          <w:p w:rsidR="00DE0EBC" w:rsidRDefault="00341FAF">
            <w:pPr>
              <w:jc w:val="center"/>
              <w:rPr>
                <w:b/>
              </w:rPr>
            </w:pPr>
            <w:r>
              <w:rPr>
                <w:b/>
              </w:rPr>
              <w:t xml:space="preserve">P value </w:t>
            </w:r>
          </w:p>
        </w:tc>
      </w:tr>
      <w:tr w:rsidR="00DE0EBC">
        <w:trPr>
          <w:trHeight w:val="828"/>
          <w:jc w:val="center"/>
        </w:trPr>
        <w:tc>
          <w:tcPr>
            <w:tcW w:w="5189" w:type="dxa"/>
            <w:gridSpan w:val="2"/>
            <w:shd w:val="clear" w:color="auto" w:fill="auto"/>
            <w:vAlign w:val="center"/>
          </w:tcPr>
          <w:p w:rsidR="00DE0EBC" w:rsidRDefault="00341FAF">
            <w:r>
              <w:t xml:space="preserve">Onset of disease </w:t>
            </w:r>
            <w:r>
              <w:rPr>
                <w:i/>
              </w:rPr>
              <w:t xml:space="preserve">(mean ± SD) </w:t>
            </w:r>
          </w:p>
        </w:tc>
        <w:tc>
          <w:tcPr>
            <w:tcW w:w="1445" w:type="dxa"/>
            <w:shd w:val="clear" w:color="auto" w:fill="D9E2F3"/>
            <w:vAlign w:val="center"/>
          </w:tcPr>
          <w:p w:rsidR="00DE0EBC" w:rsidRDefault="00341FAF">
            <w:pPr>
              <w:jc w:val="center"/>
              <w:rPr>
                <w:b/>
              </w:rPr>
            </w:pPr>
            <w:r>
              <w:t>2013.8 ± 4.6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DE0EBC" w:rsidRDefault="00341FAF">
            <w:pPr>
              <w:jc w:val="center"/>
              <w:rPr>
                <w:b/>
              </w:rPr>
            </w:pPr>
            <w:r>
              <w:t>2011.1 ± 6.8</w:t>
            </w:r>
          </w:p>
        </w:tc>
        <w:tc>
          <w:tcPr>
            <w:tcW w:w="1341" w:type="dxa"/>
          </w:tcPr>
          <w:p w:rsidR="00DE0EBC" w:rsidRDefault="00341FAF">
            <w:pPr>
              <w:jc w:val="center"/>
            </w:pPr>
            <w:r>
              <w:t>2013.1 ± 5.4</w:t>
            </w:r>
          </w:p>
        </w:tc>
        <w:tc>
          <w:tcPr>
            <w:tcW w:w="926" w:type="dxa"/>
            <w:shd w:val="clear" w:color="auto" w:fill="auto"/>
            <w:vAlign w:val="center"/>
          </w:tcPr>
          <w:p w:rsidR="00DE0EBC" w:rsidRDefault="00341FAF">
            <w:pPr>
              <w:jc w:val="center"/>
              <w:rPr>
                <w:b/>
              </w:rPr>
            </w:pPr>
            <w:r>
              <w:t>0.014*</w:t>
            </w:r>
          </w:p>
        </w:tc>
      </w:tr>
      <w:tr w:rsidR="00DE0EBC">
        <w:trPr>
          <w:trHeight w:val="828"/>
          <w:jc w:val="center"/>
        </w:trPr>
        <w:tc>
          <w:tcPr>
            <w:tcW w:w="5189" w:type="dxa"/>
            <w:gridSpan w:val="2"/>
            <w:shd w:val="clear" w:color="auto" w:fill="auto"/>
            <w:vAlign w:val="center"/>
          </w:tcPr>
          <w:p w:rsidR="00DE0EBC" w:rsidRDefault="00341FAF">
            <w:pPr>
              <w:widowControl w:val="0"/>
            </w:pPr>
            <w:r>
              <w:t xml:space="preserve">Duration of the disease in years </w:t>
            </w:r>
            <w:r>
              <w:rPr>
                <w:i/>
              </w:rPr>
              <w:t>(mean ± SD)</w:t>
            </w:r>
          </w:p>
        </w:tc>
        <w:tc>
          <w:tcPr>
            <w:tcW w:w="1445" w:type="dxa"/>
            <w:shd w:val="clear" w:color="auto" w:fill="D9E2F3"/>
            <w:vAlign w:val="center"/>
          </w:tcPr>
          <w:p w:rsidR="00DE0EBC" w:rsidRDefault="00341FAF">
            <w:pPr>
              <w:widowControl w:val="0"/>
              <w:jc w:val="center"/>
            </w:pPr>
            <w:r>
              <w:t>6.25 ± 4.6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DE0EBC" w:rsidRDefault="00341FAF">
            <w:pPr>
              <w:widowControl w:val="0"/>
              <w:jc w:val="center"/>
            </w:pPr>
            <w:r>
              <w:t>8.9 ± 6.8</w:t>
            </w:r>
          </w:p>
        </w:tc>
        <w:tc>
          <w:tcPr>
            <w:tcW w:w="1341" w:type="dxa"/>
            <w:vAlign w:val="center"/>
          </w:tcPr>
          <w:p w:rsidR="00DE0EBC" w:rsidRDefault="00341FAF">
            <w:pPr>
              <w:widowControl w:val="0"/>
              <w:jc w:val="center"/>
            </w:pPr>
            <w:r>
              <w:t>7.0 ± 5.4</w:t>
            </w:r>
          </w:p>
        </w:tc>
        <w:tc>
          <w:tcPr>
            <w:tcW w:w="926" w:type="dxa"/>
            <w:shd w:val="clear" w:color="auto" w:fill="auto"/>
            <w:vAlign w:val="center"/>
          </w:tcPr>
          <w:p w:rsidR="00DE0EBC" w:rsidRDefault="00341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0.014*</w:t>
            </w:r>
          </w:p>
        </w:tc>
      </w:tr>
      <w:tr w:rsidR="00DE0EBC">
        <w:trPr>
          <w:trHeight w:val="828"/>
          <w:jc w:val="center"/>
        </w:trPr>
        <w:tc>
          <w:tcPr>
            <w:tcW w:w="5189" w:type="dxa"/>
            <w:gridSpan w:val="2"/>
            <w:shd w:val="clear" w:color="auto" w:fill="auto"/>
            <w:vAlign w:val="center"/>
          </w:tcPr>
          <w:p w:rsidR="00DE0EBC" w:rsidRDefault="00341FAF">
            <w:r>
              <w:t xml:space="preserve">EDSS </w:t>
            </w:r>
            <w:r>
              <w:rPr>
                <w:i/>
              </w:rPr>
              <w:t>(mean ± SD)</w:t>
            </w:r>
          </w:p>
        </w:tc>
        <w:tc>
          <w:tcPr>
            <w:tcW w:w="1445" w:type="dxa"/>
            <w:shd w:val="clear" w:color="auto" w:fill="D9E2F3"/>
            <w:vAlign w:val="center"/>
          </w:tcPr>
          <w:p w:rsidR="00DE0EBC" w:rsidRDefault="00341FAF">
            <w:pPr>
              <w:jc w:val="center"/>
            </w:pPr>
            <w:r>
              <w:t>2.82 ± 1.6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DE0EBC" w:rsidRDefault="00341FAF">
            <w:pPr>
              <w:jc w:val="center"/>
            </w:pPr>
            <w:r>
              <w:t>4.12 ± 1.6</w:t>
            </w:r>
          </w:p>
        </w:tc>
        <w:tc>
          <w:tcPr>
            <w:tcW w:w="1341" w:type="dxa"/>
          </w:tcPr>
          <w:p w:rsidR="00DE0EBC" w:rsidRDefault="00341FAF">
            <w:pPr>
              <w:jc w:val="center"/>
            </w:pPr>
            <w:r>
              <w:t>3.18 ± 1.7</w:t>
            </w:r>
          </w:p>
        </w:tc>
        <w:tc>
          <w:tcPr>
            <w:tcW w:w="926" w:type="dxa"/>
            <w:shd w:val="clear" w:color="auto" w:fill="auto"/>
            <w:vAlign w:val="center"/>
          </w:tcPr>
          <w:p w:rsidR="00DE0EBC" w:rsidRDefault="00341FAF">
            <w:pPr>
              <w:jc w:val="center"/>
            </w:pPr>
            <w:r>
              <w:t>0.000*</w:t>
            </w:r>
          </w:p>
        </w:tc>
      </w:tr>
      <w:tr w:rsidR="00DE0EBC">
        <w:trPr>
          <w:trHeight w:val="828"/>
          <w:jc w:val="center"/>
        </w:trPr>
        <w:tc>
          <w:tcPr>
            <w:tcW w:w="2029" w:type="dxa"/>
            <w:vMerge w:val="restart"/>
            <w:shd w:val="clear" w:color="auto" w:fill="auto"/>
            <w:vAlign w:val="center"/>
          </w:tcPr>
          <w:p w:rsidR="00DE0EBC" w:rsidRDefault="00341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>Disease subtype, N (%)</w:t>
            </w:r>
          </w:p>
        </w:tc>
        <w:tc>
          <w:tcPr>
            <w:tcW w:w="3160" w:type="dxa"/>
            <w:shd w:val="clear" w:color="auto" w:fill="auto"/>
            <w:tcMar>
              <w:left w:w="113" w:type="dxa"/>
            </w:tcMar>
            <w:vAlign w:val="center"/>
          </w:tcPr>
          <w:p w:rsidR="00DE0EBC" w:rsidRDefault="00341FAF">
            <w:pPr>
              <w:widowControl w:val="0"/>
            </w:pPr>
            <w:r>
              <w:t>Relapsing Remitting Multiple Sclerosis (RRMS)</w:t>
            </w:r>
          </w:p>
        </w:tc>
        <w:tc>
          <w:tcPr>
            <w:tcW w:w="1445" w:type="dxa"/>
            <w:shd w:val="clear" w:color="auto" w:fill="D9E2F3"/>
            <w:vAlign w:val="center"/>
          </w:tcPr>
          <w:p w:rsidR="00DE0EBC" w:rsidRDefault="00341FAF">
            <w:pPr>
              <w:widowControl w:val="0"/>
              <w:jc w:val="center"/>
            </w:pPr>
            <w:r>
              <w:t>81 (93.1%)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DE0EBC" w:rsidRDefault="00341FAF">
            <w:pPr>
              <w:widowControl w:val="0"/>
              <w:jc w:val="center"/>
            </w:pPr>
            <w:r>
              <w:t>23 (69.7%)</w:t>
            </w:r>
          </w:p>
        </w:tc>
        <w:tc>
          <w:tcPr>
            <w:tcW w:w="1341" w:type="dxa"/>
            <w:shd w:val="clear" w:color="auto" w:fill="auto"/>
            <w:vAlign w:val="center"/>
          </w:tcPr>
          <w:p w:rsidR="00DE0EBC" w:rsidRDefault="00341FAF">
            <w:pPr>
              <w:widowControl w:val="0"/>
              <w:jc w:val="center"/>
            </w:pPr>
            <w:r>
              <w:t>104 (86.7%)</w:t>
            </w:r>
          </w:p>
        </w:tc>
        <w:tc>
          <w:tcPr>
            <w:tcW w:w="926" w:type="dxa"/>
            <w:vMerge w:val="restart"/>
            <w:shd w:val="clear" w:color="auto" w:fill="auto"/>
            <w:vAlign w:val="center"/>
          </w:tcPr>
          <w:p w:rsidR="00DE0EBC" w:rsidRDefault="00341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0.002*</w:t>
            </w:r>
          </w:p>
        </w:tc>
      </w:tr>
      <w:tr w:rsidR="00DE0EBC">
        <w:trPr>
          <w:trHeight w:val="828"/>
          <w:jc w:val="center"/>
        </w:trPr>
        <w:tc>
          <w:tcPr>
            <w:tcW w:w="2029" w:type="dxa"/>
            <w:vMerge/>
            <w:shd w:val="clear" w:color="auto" w:fill="auto"/>
            <w:vAlign w:val="center"/>
          </w:tcPr>
          <w:p w:rsidR="00DE0EBC" w:rsidRDefault="00DE0E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160" w:type="dxa"/>
            <w:shd w:val="clear" w:color="auto" w:fill="auto"/>
            <w:tcMar>
              <w:left w:w="113" w:type="dxa"/>
            </w:tcMar>
            <w:vAlign w:val="center"/>
          </w:tcPr>
          <w:p w:rsidR="00DE0EBC" w:rsidRDefault="00341FAF">
            <w:pPr>
              <w:widowControl w:val="0"/>
            </w:pPr>
            <w:r>
              <w:t>Secondary Progressive Multiple Sclerosis (SPMS)</w:t>
            </w:r>
          </w:p>
        </w:tc>
        <w:tc>
          <w:tcPr>
            <w:tcW w:w="1445" w:type="dxa"/>
            <w:shd w:val="clear" w:color="auto" w:fill="D9E2F3"/>
            <w:vAlign w:val="center"/>
          </w:tcPr>
          <w:p w:rsidR="00DE0EBC" w:rsidRDefault="00341FAF">
            <w:pPr>
              <w:widowControl w:val="0"/>
              <w:jc w:val="center"/>
            </w:pPr>
            <w:r>
              <w:t>6 (6.9%)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DE0EBC" w:rsidRDefault="00341FAF">
            <w:pPr>
              <w:widowControl w:val="0"/>
              <w:jc w:val="center"/>
            </w:pPr>
            <w:r>
              <w:t>9 (27.3%)</w:t>
            </w:r>
          </w:p>
        </w:tc>
        <w:tc>
          <w:tcPr>
            <w:tcW w:w="1341" w:type="dxa"/>
            <w:shd w:val="clear" w:color="auto" w:fill="auto"/>
            <w:vAlign w:val="center"/>
          </w:tcPr>
          <w:p w:rsidR="00DE0EBC" w:rsidRDefault="00341FAF">
            <w:pPr>
              <w:widowControl w:val="0"/>
              <w:jc w:val="center"/>
            </w:pPr>
            <w:r>
              <w:t>15 (12.5%)</w:t>
            </w:r>
          </w:p>
        </w:tc>
        <w:tc>
          <w:tcPr>
            <w:tcW w:w="926" w:type="dxa"/>
            <w:vMerge/>
            <w:shd w:val="clear" w:color="auto" w:fill="auto"/>
            <w:vAlign w:val="center"/>
          </w:tcPr>
          <w:p w:rsidR="00DE0EBC" w:rsidRDefault="00DE0E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DE0EBC">
        <w:trPr>
          <w:trHeight w:val="828"/>
          <w:jc w:val="center"/>
        </w:trPr>
        <w:tc>
          <w:tcPr>
            <w:tcW w:w="2029" w:type="dxa"/>
            <w:vMerge/>
            <w:shd w:val="clear" w:color="auto" w:fill="auto"/>
            <w:vAlign w:val="center"/>
          </w:tcPr>
          <w:p w:rsidR="00DE0EBC" w:rsidRDefault="00DE0E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160" w:type="dxa"/>
            <w:shd w:val="clear" w:color="auto" w:fill="auto"/>
            <w:tcMar>
              <w:left w:w="113" w:type="dxa"/>
            </w:tcMar>
            <w:vAlign w:val="center"/>
          </w:tcPr>
          <w:p w:rsidR="00DE0EBC" w:rsidRDefault="00341FAF">
            <w:pPr>
              <w:widowControl w:val="0"/>
            </w:pPr>
            <w:r>
              <w:t>Primary Progressive Multiple Sclerosis (PPMS)</w:t>
            </w:r>
          </w:p>
        </w:tc>
        <w:tc>
          <w:tcPr>
            <w:tcW w:w="1445" w:type="dxa"/>
            <w:shd w:val="clear" w:color="auto" w:fill="D9E2F3"/>
            <w:vAlign w:val="center"/>
          </w:tcPr>
          <w:p w:rsidR="00DE0EBC" w:rsidRDefault="00341FAF">
            <w:pPr>
              <w:widowControl w:val="0"/>
              <w:jc w:val="center"/>
            </w:pPr>
            <w:r>
              <w:t>0 (0.0%)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DE0EBC" w:rsidRDefault="00341FAF">
            <w:pPr>
              <w:widowControl w:val="0"/>
              <w:jc w:val="center"/>
            </w:pPr>
            <w:r>
              <w:t>1 (1.3%)</w:t>
            </w:r>
          </w:p>
        </w:tc>
        <w:tc>
          <w:tcPr>
            <w:tcW w:w="1341" w:type="dxa"/>
            <w:shd w:val="clear" w:color="auto" w:fill="auto"/>
            <w:vAlign w:val="center"/>
          </w:tcPr>
          <w:p w:rsidR="00DE0EBC" w:rsidRDefault="00341FAF">
            <w:pPr>
              <w:widowControl w:val="0"/>
              <w:jc w:val="center"/>
            </w:pPr>
            <w:r>
              <w:t>1 (0.8%)</w:t>
            </w:r>
          </w:p>
        </w:tc>
        <w:tc>
          <w:tcPr>
            <w:tcW w:w="926" w:type="dxa"/>
            <w:vMerge/>
            <w:shd w:val="clear" w:color="auto" w:fill="auto"/>
            <w:vAlign w:val="center"/>
          </w:tcPr>
          <w:p w:rsidR="00DE0EBC" w:rsidRDefault="00DE0E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DE0EBC">
        <w:trPr>
          <w:trHeight w:val="828"/>
          <w:jc w:val="center"/>
        </w:trPr>
        <w:tc>
          <w:tcPr>
            <w:tcW w:w="2029" w:type="dxa"/>
            <w:vMerge/>
            <w:shd w:val="clear" w:color="auto" w:fill="auto"/>
            <w:vAlign w:val="center"/>
          </w:tcPr>
          <w:p w:rsidR="00DE0EBC" w:rsidRDefault="00DE0E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160" w:type="dxa"/>
            <w:shd w:val="clear" w:color="auto" w:fill="auto"/>
            <w:tcMar>
              <w:left w:w="113" w:type="dxa"/>
            </w:tcMar>
            <w:vAlign w:val="center"/>
          </w:tcPr>
          <w:p w:rsidR="00DE0EBC" w:rsidRDefault="00341FAF">
            <w:pPr>
              <w:widowControl w:val="0"/>
            </w:pPr>
            <w:r>
              <w:t>Total</w:t>
            </w:r>
          </w:p>
        </w:tc>
        <w:tc>
          <w:tcPr>
            <w:tcW w:w="1445" w:type="dxa"/>
            <w:shd w:val="clear" w:color="auto" w:fill="D9E2F3"/>
          </w:tcPr>
          <w:p w:rsidR="00DE0EBC" w:rsidRDefault="00341FAF">
            <w:pPr>
              <w:jc w:val="center"/>
            </w:pPr>
            <w:r>
              <w:t>87 (100%)</w:t>
            </w:r>
          </w:p>
        </w:tc>
        <w:tc>
          <w:tcPr>
            <w:tcW w:w="1283" w:type="dxa"/>
            <w:shd w:val="clear" w:color="auto" w:fill="auto"/>
          </w:tcPr>
          <w:p w:rsidR="00DE0EBC" w:rsidRDefault="00341FAF">
            <w:pPr>
              <w:jc w:val="center"/>
            </w:pPr>
            <w:r>
              <w:t>33 (100%)</w:t>
            </w:r>
          </w:p>
        </w:tc>
        <w:tc>
          <w:tcPr>
            <w:tcW w:w="1341" w:type="dxa"/>
            <w:shd w:val="clear" w:color="auto" w:fill="auto"/>
          </w:tcPr>
          <w:p w:rsidR="00DE0EBC" w:rsidRDefault="00341FAF">
            <w:pPr>
              <w:jc w:val="center"/>
            </w:pPr>
            <w:r>
              <w:t>120 (100%)</w:t>
            </w:r>
          </w:p>
        </w:tc>
        <w:tc>
          <w:tcPr>
            <w:tcW w:w="926" w:type="dxa"/>
            <w:vMerge/>
            <w:shd w:val="clear" w:color="auto" w:fill="auto"/>
            <w:vAlign w:val="center"/>
          </w:tcPr>
          <w:p w:rsidR="00DE0EBC" w:rsidRDefault="00DE0E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DE0EBC">
        <w:trPr>
          <w:trHeight w:val="828"/>
          <w:jc w:val="center"/>
        </w:trPr>
        <w:tc>
          <w:tcPr>
            <w:tcW w:w="2029" w:type="dxa"/>
            <w:vMerge w:val="restart"/>
            <w:shd w:val="clear" w:color="auto" w:fill="F2F2F2"/>
            <w:vAlign w:val="center"/>
          </w:tcPr>
          <w:p w:rsidR="00DE0EBC" w:rsidRDefault="00341FAF">
            <w:pPr>
              <w:rPr>
                <w:b/>
              </w:rPr>
            </w:pPr>
            <w:r>
              <w:rPr>
                <w:b/>
              </w:rPr>
              <w:t>BMI# categories, N (%)</w:t>
            </w:r>
          </w:p>
        </w:tc>
        <w:tc>
          <w:tcPr>
            <w:tcW w:w="3160" w:type="dxa"/>
            <w:shd w:val="clear" w:color="auto" w:fill="F2F2F2"/>
            <w:tcMar>
              <w:left w:w="113" w:type="dxa"/>
            </w:tcMar>
            <w:vAlign w:val="center"/>
          </w:tcPr>
          <w:p w:rsidR="00DE0EBC" w:rsidRDefault="00341FAF">
            <w:r>
              <w:t>Normal weight</w:t>
            </w:r>
          </w:p>
        </w:tc>
        <w:tc>
          <w:tcPr>
            <w:tcW w:w="1445" w:type="dxa"/>
            <w:shd w:val="clear" w:color="auto" w:fill="D9E2F3"/>
          </w:tcPr>
          <w:p w:rsidR="00DE0EBC" w:rsidRDefault="00341FAF">
            <w:pPr>
              <w:jc w:val="center"/>
            </w:pPr>
            <w:r>
              <w:t>22 (25.3%)</w:t>
            </w:r>
          </w:p>
        </w:tc>
        <w:tc>
          <w:tcPr>
            <w:tcW w:w="1283" w:type="dxa"/>
            <w:shd w:val="clear" w:color="auto" w:fill="F2F2F2"/>
          </w:tcPr>
          <w:p w:rsidR="00DE0EBC" w:rsidRDefault="00341FAF">
            <w:pPr>
              <w:jc w:val="center"/>
            </w:pPr>
            <w:r>
              <w:t>20 (60.6%)</w:t>
            </w:r>
          </w:p>
        </w:tc>
        <w:tc>
          <w:tcPr>
            <w:tcW w:w="1341" w:type="dxa"/>
            <w:shd w:val="clear" w:color="auto" w:fill="F2F2F2"/>
          </w:tcPr>
          <w:p w:rsidR="00DE0EBC" w:rsidRDefault="00341FAF">
            <w:pPr>
              <w:jc w:val="center"/>
            </w:pPr>
            <w:r>
              <w:t>42 (35.0%)</w:t>
            </w:r>
          </w:p>
        </w:tc>
        <w:tc>
          <w:tcPr>
            <w:tcW w:w="926" w:type="dxa"/>
            <w:vMerge w:val="restart"/>
            <w:shd w:val="clear" w:color="auto" w:fill="F2F2F2"/>
            <w:vAlign w:val="center"/>
          </w:tcPr>
          <w:p w:rsidR="00DE0EBC" w:rsidRDefault="00341FAF">
            <w:pPr>
              <w:jc w:val="center"/>
            </w:pPr>
            <w:r>
              <w:t>0.002*</w:t>
            </w:r>
          </w:p>
        </w:tc>
      </w:tr>
      <w:tr w:rsidR="00DE0EBC">
        <w:trPr>
          <w:trHeight w:val="828"/>
          <w:jc w:val="center"/>
        </w:trPr>
        <w:tc>
          <w:tcPr>
            <w:tcW w:w="2029" w:type="dxa"/>
            <w:vMerge/>
            <w:shd w:val="clear" w:color="auto" w:fill="F2F2F2"/>
            <w:vAlign w:val="center"/>
          </w:tcPr>
          <w:p w:rsidR="00DE0EBC" w:rsidRDefault="00DE0E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160" w:type="dxa"/>
            <w:shd w:val="clear" w:color="auto" w:fill="F2F2F2"/>
            <w:tcMar>
              <w:left w:w="113" w:type="dxa"/>
            </w:tcMar>
            <w:vAlign w:val="center"/>
          </w:tcPr>
          <w:p w:rsidR="00DE0EBC" w:rsidRDefault="00341FAF">
            <w:r>
              <w:t xml:space="preserve">Obese </w:t>
            </w:r>
          </w:p>
        </w:tc>
        <w:tc>
          <w:tcPr>
            <w:tcW w:w="1445" w:type="dxa"/>
            <w:shd w:val="clear" w:color="auto" w:fill="D9E2F3"/>
          </w:tcPr>
          <w:p w:rsidR="00DE0EBC" w:rsidRDefault="00341FAF">
            <w:pPr>
              <w:jc w:val="center"/>
            </w:pPr>
            <w:r>
              <w:t>35 (40.2%)</w:t>
            </w:r>
          </w:p>
        </w:tc>
        <w:tc>
          <w:tcPr>
            <w:tcW w:w="1283" w:type="dxa"/>
            <w:shd w:val="clear" w:color="auto" w:fill="F2F2F2"/>
          </w:tcPr>
          <w:p w:rsidR="00DE0EBC" w:rsidRDefault="00341FAF">
            <w:pPr>
              <w:jc w:val="center"/>
            </w:pPr>
            <w:r>
              <w:t>4 (12.1%)</w:t>
            </w:r>
          </w:p>
        </w:tc>
        <w:tc>
          <w:tcPr>
            <w:tcW w:w="1341" w:type="dxa"/>
            <w:shd w:val="clear" w:color="auto" w:fill="F2F2F2"/>
          </w:tcPr>
          <w:p w:rsidR="00DE0EBC" w:rsidRDefault="00341FAF">
            <w:pPr>
              <w:jc w:val="center"/>
            </w:pPr>
            <w:r>
              <w:t>39 (32.5%)</w:t>
            </w:r>
          </w:p>
        </w:tc>
        <w:tc>
          <w:tcPr>
            <w:tcW w:w="926" w:type="dxa"/>
            <w:vMerge/>
            <w:shd w:val="clear" w:color="auto" w:fill="F2F2F2"/>
            <w:vAlign w:val="center"/>
          </w:tcPr>
          <w:p w:rsidR="00DE0EBC" w:rsidRDefault="00DE0E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DE0EBC">
        <w:trPr>
          <w:trHeight w:val="828"/>
          <w:jc w:val="center"/>
        </w:trPr>
        <w:tc>
          <w:tcPr>
            <w:tcW w:w="2029" w:type="dxa"/>
            <w:vMerge/>
            <w:shd w:val="clear" w:color="auto" w:fill="F2F2F2"/>
            <w:vAlign w:val="center"/>
          </w:tcPr>
          <w:p w:rsidR="00DE0EBC" w:rsidRDefault="00DE0E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160" w:type="dxa"/>
            <w:shd w:val="clear" w:color="auto" w:fill="F2F2F2"/>
            <w:tcMar>
              <w:left w:w="113" w:type="dxa"/>
            </w:tcMar>
            <w:vAlign w:val="center"/>
          </w:tcPr>
          <w:p w:rsidR="00DE0EBC" w:rsidRDefault="00341FAF">
            <w:r>
              <w:t>Overweight</w:t>
            </w:r>
          </w:p>
        </w:tc>
        <w:tc>
          <w:tcPr>
            <w:tcW w:w="1445" w:type="dxa"/>
            <w:shd w:val="clear" w:color="auto" w:fill="D9E2F3"/>
          </w:tcPr>
          <w:p w:rsidR="00DE0EBC" w:rsidRDefault="00341FAF">
            <w:pPr>
              <w:jc w:val="center"/>
            </w:pPr>
            <w:r>
              <w:t>29 (33.3%)</w:t>
            </w:r>
          </w:p>
        </w:tc>
        <w:tc>
          <w:tcPr>
            <w:tcW w:w="1283" w:type="dxa"/>
            <w:shd w:val="clear" w:color="auto" w:fill="F2F2F2"/>
          </w:tcPr>
          <w:p w:rsidR="00DE0EBC" w:rsidRDefault="00341FAF">
            <w:pPr>
              <w:jc w:val="center"/>
            </w:pPr>
            <w:r>
              <w:t>9 (27.3%)</w:t>
            </w:r>
          </w:p>
        </w:tc>
        <w:tc>
          <w:tcPr>
            <w:tcW w:w="1341" w:type="dxa"/>
            <w:shd w:val="clear" w:color="auto" w:fill="F2F2F2"/>
          </w:tcPr>
          <w:p w:rsidR="00DE0EBC" w:rsidRDefault="00341FAF">
            <w:pPr>
              <w:jc w:val="center"/>
            </w:pPr>
            <w:r>
              <w:t>38 (31.7%)</w:t>
            </w:r>
          </w:p>
        </w:tc>
        <w:tc>
          <w:tcPr>
            <w:tcW w:w="926" w:type="dxa"/>
            <w:vMerge/>
            <w:shd w:val="clear" w:color="auto" w:fill="F2F2F2"/>
            <w:vAlign w:val="center"/>
          </w:tcPr>
          <w:p w:rsidR="00DE0EBC" w:rsidRDefault="00DE0E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DE0EBC">
        <w:trPr>
          <w:trHeight w:val="828"/>
          <w:jc w:val="center"/>
        </w:trPr>
        <w:tc>
          <w:tcPr>
            <w:tcW w:w="2029" w:type="dxa"/>
            <w:vMerge/>
            <w:shd w:val="clear" w:color="auto" w:fill="F2F2F2"/>
            <w:vAlign w:val="center"/>
          </w:tcPr>
          <w:p w:rsidR="00DE0EBC" w:rsidRDefault="00DE0E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160" w:type="dxa"/>
            <w:shd w:val="clear" w:color="auto" w:fill="F2F2F2"/>
            <w:tcMar>
              <w:left w:w="113" w:type="dxa"/>
            </w:tcMar>
            <w:vAlign w:val="center"/>
          </w:tcPr>
          <w:p w:rsidR="00DE0EBC" w:rsidRDefault="00341FAF">
            <w:r>
              <w:t xml:space="preserve">Underweight </w:t>
            </w:r>
          </w:p>
        </w:tc>
        <w:tc>
          <w:tcPr>
            <w:tcW w:w="1445" w:type="dxa"/>
            <w:shd w:val="clear" w:color="auto" w:fill="D9E2F3"/>
          </w:tcPr>
          <w:p w:rsidR="00DE0EBC" w:rsidRDefault="00341FAF">
            <w:pPr>
              <w:jc w:val="center"/>
            </w:pPr>
            <w:r>
              <w:t>1 (1.1 %)</w:t>
            </w:r>
          </w:p>
        </w:tc>
        <w:tc>
          <w:tcPr>
            <w:tcW w:w="1283" w:type="dxa"/>
            <w:shd w:val="clear" w:color="auto" w:fill="F2F2F2"/>
          </w:tcPr>
          <w:p w:rsidR="00DE0EBC" w:rsidRDefault="00341FAF">
            <w:pPr>
              <w:jc w:val="center"/>
            </w:pPr>
            <w:r>
              <w:t>0 (0.0 %)</w:t>
            </w:r>
          </w:p>
        </w:tc>
        <w:tc>
          <w:tcPr>
            <w:tcW w:w="1341" w:type="dxa"/>
            <w:shd w:val="clear" w:color="auto" w:fill="F2F2F2"/>
          </w:tcPr>
          <w:p w:rsidR="00DE0EBC" w:rsidRDefault="00341FAF">
            <w:pPr>
              <w:jc w:val="center"/>
            </w:pPr>
            <w:r>
              <w:t>1 (0.8 %)</w:t>
            </w:r>
          </w:p>
        </w:tc>
        <w:tc>
          <w:tcPr>
            <w:tcW w:w="926" w:type="dxa"/>
            <w:vMerge/>
            <w:shd w:val="clear" w:color="auto" w:fill="F2F2F2"/>
            <w:vAlign w:val="center"/>
          </w:tcPr>
          <w:p w:rsidR="00DE0EBC" w:rsidRDefault="00DE0E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DE0EBC">
        <w:trPr>
          <w:trHeight w:val="828"/>
          <w:jc w:val="center"/>
        </w:trPr>
        <w:tc>
          <w:tcPr>
            <w:tcW w:w="2029" w:type="dxa"/>
            <w:vMerge/>
            <w:shd w:val="clear" w:color="auto" w:fill="F2F2F2"/>
            <w:vAlign w:val="center"/>
          </w:tcPr>
          <w:p w:rsidR="00DE0EBC" w:rsidRDefault="00DE0E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160" w:type="dxa"/>
            <w:shd w:val="clear" w:color="auto" w:fill="F2F2F2"/>
            <w:tcMar>
              <w:left w:w="113" w:type="dxa"/>
            </w:tcMar>
            <w:vAlign w:val="center"/>
          </w:tcPr>
          <w:p w:rsidR="00DE0EBC" w:rsidRDefault="00341FAF">
            <w:r>
              <w:t>Total</w:t>
            </w:r>
          </w:p>
        </w:tc>
        <w:tc>
          <w:tcPr>
            <w:tcW w:w="1445" w:type="dxa"/>
            <w:shd w:val="clear" w:color="auto" w:fill="D9E2F3"/>
          </w:tcPr>
          <w:p w:rsidR="00DE0EBC" w:rsidRDefault="00341FAF">
            <w:pPr>
              <w:jc w:val="center"/>
            </w:pPr>
            <w:r>
              <w:t>87 (100.0%)</w:t>
            </w:r>
          </w:p>
        </w:tc>
        <w:tc>
          <w:tcPr>
            <w:tcW w:w="1283" w:type="dxa"/>
            <w:shd w:val="clear" w:color="auto" w:fill="F2F2F2"/>
          </w:tcPr>
          <w:p w:rsidR="00DE0EBC" w:rsidRDefault="00341FAF">
            <w:pPr>
              <w:jc w:val="center"/>
            </w:pPr>
            <w:r>
              <w:t>33 (100.0%)</w:t>
            </w:r>
          </w:p>
        </w:tc>
        <w:tc>
          <w:tcPr>
            <w:tcW w:w="1341" w:type="dxa"/>
            <w:shd w:val="clear" w:color="auto" w:fill="F2F2F2"/>
          </w:tcPr>
          <w:p w:rsidR="00DE0EBC" w:rsidRDefault="00341FAF">
            <w:pPr>
              <w:jc w:val="center"/>
            </w:pPr>
            <w:r>
              <w:t>120 (100.0%)</w:t>
            </w:r>
          </w:p>
        </w:tc>
        <w:tc>
          <w:tcPr>
            <w:tcW w:w="926" w:type="dxa"/>
            <w:vMerge/>
            <w:shd w:val="clear" w:color="auto" w:fill="F2F2F2"/>
            <w:vAlign w:val="center"/>
          </w:tcPr>
          <w:p w:rsidR="00DE0EBC" w:rsidRDefault="00DE0E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</w:tbl>
    <w:p w:rsidR="00DE0EBC" w:rsidRDefault="00341FAF">
      <w:pPr>
        <w:rPr>
          <w:i/>
        </w:rPr>
      </w:pPr>
      <w:r>
        <w:rPr>
          <w:i/>
        </w:rPr>
        <w:t>#BMI: Body mass index</w:t>
      </w:r>
    </w:p>
    <w:p w:rsidR="00DE0EBC" w:rsidRDefault="00341FAF">
      <w:pPr>
        <w:keepNext/>
        <w:spacing w:before="120"/>
        <w:jc w:val="both"/>
        <w:rPr>
          <w:i/>
        </w:rPr>
      </w:pPr>
      <w:r>
        <w:rPr>
          <w:i/>
        </w:rPr>
        <w:t>*Significant P value</w:t>
      </w:r>
    </w:p>
    <w:p w:rsidR="00DE0EBC" w:rsidRDefault="00DE0EBC"/>
    <w:p w:rsidR="00DE0EBC" w:rsidRDefault="00DE0EBC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b/>
        </w:rPr>
      </w:pPr>
    </w:p>
    <w:p w:rsidR="00DE0EBC" w:rsidRDefault="00341FAF">
      <w:pPr>
        <w:spacing w:line="480" w:lineRule="auto"/>
        <w:rPr>
          <w:b/>
        </w:rPr>
      </w:pPr>
      <w:r>
        <w:rPr>
          <w:b/>
        </w:rPr>
        <w:t>PPA for anthropometric measurements of the compliers of the two groups (IG and CG)</w:t>
      </w:r>
    </w:p>
    <w:p w:rsidR="00DE0EBC" w:rsidRDefault="00341FAF">
      <w:pPr>
        <w:keepNext/>
        <w:spacing w:before="120" w:after="120" w:line="480" w:lineRule="auto"/>
        <w:jc w:val="both"/>
      </w:pPr>
      <w:bookmarkStart w:id="1" w:name="_4d34og8" w:colFirst="0" w:colLast="0"/>
      <w:bookmarkEnd w:id="1"/>
      <w:r>
        <w:t xml:space="preserve">Among the enrolled participants, 78.9% and 89.3% of IG and CG patients were compliant to the prescribed regimens as reported in the final assessment (p=0.213). The CG patients were compliant to the conventional regimen of </w:t>
      </w:r>
      <w:proofErr w:type="spellStart"/>
      <w:r>
        <w:t>Kasr</w:t>
      </w:r>
      <w:proofErr w:type="spellEnd"/>
      <w:r>
        <w:t xml:space="preserve"> Al-</w:t>
      </w:r>
      <w:proofErr w:type="spellStart"/>
      <w:r>
        <w:t>Ainy</w:t>
      </w:r>
      <w:proofErr w:type="spellEnd"/>
      <w:r>
        <w:t xml:space="preserve"> multiple sclerosis un</w:t>
      </w:r>
      <w:r>
        <w:t xml:space="preserve">it while the IG patients were compliant to the dietary instruction in addition to the conventional regimen of the unit. </w:t>
      </w:r>
    </w:p>
    <w:p w:rsidR="00DE0EBC" w:rsidRDefault="00341FAF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</w:pPr>
      <w:r>
        <w:t>Table S2 shows that following the intervention, the mean weight of the compliant patients significantly decreased from 75.1±15.97 kg to</w:t>
      </w:r>
      <w:r>
        <w:t xml:space="preserve"> 72±14.1kg kg in the IG while it remained almost the same in the control group (72.4±14.6 and 72.3±15.1 kg). Similarly, the mean BMI significantly decreased after the intervention from 28.1±5.8 to 26±4.99 kg/m2 while it remained almost the same in the cont</w:t>
      </w:r>
      <w:r>
        <w:t>rol group (26.8±5.4 and 26.7±5.6 kg/m2). Counseling intervention significantly reduced weight (p value =0.000) and BMI (p value =0.000).</w:t>
      </w:r>
    </w:p>
    <w:p w:rsidR="00DE0EBC" w:rsidRDefault="00341FAF">
      <w:pPr>
        <w:keepNext/>
        <w:spacing w:before="120" w:after="120" w:line="480" w:lineRule="auto"/>
        <w:jc w:val="both"/>
      </w:pPr>
      <w:r>
        <w:t>In addition, the mean waist circumference of females decreased from 101±14 cm to 98.2±11.4 cm in the IG while it remain</w:t>
      </w:r>
      <w:r>
        <w:t xml:space="preserve">ed almost the same in the CG (97.5±12.6 cm and 97.5±13 cm). Regarding males, the mean waist circumference decreased from 96.4±11.5 cm to 94.2±9.7 cm in the IG while it remained almost the same in the CG (92±10.3 cm and 91.6±10.7 cm). There was significant </w:t>
      </w:r>
      <w:r>
        <w:t xml:space="preserve">difference in the means waist circumference of female (p= 0.000) and male (p= </w:t>
      </w:r>
      <w:r>
        <w:lastRenderedPageBreak/>
        <w:t xml:space="preserve">0.043) subjects between the IG and the CG in the post-intervention assessment, whilst adjusting for the pre-intervention waist circumference.   </w:t>
      </w:r>
    </w:p>
    <w:p w:rsidR="00DE0EBC" w:rsidRDefault="00341FAF">
      <w:pPr>
        <w:keepNext/>
        <w:spacing w:before="120" w:after="120" w:line="480" w:lineRule="auto"/>
        <w:jc w:val="both"/>
        <w:rPr>
          <w:b/>
        </w:rPr>
      </w:pPr>
      <w:bookmarkStart w:id="2" w:name="_2s8eyo1" w:colFirst="0" w:colLast="0"/>
      <w:bookmarkEnd w:id="2"/>
      <w:r>
        <w:rPr>
          <w:b/>
        </w:rPr>
        <w:t>Table S2:  Mean of weight, Body m</w:t>
      </w:r>
      <w:r>
        <w:rPr>
          <w:b/>
        </w:rPr>
        <w:t xml:space="preserve">ass index (BMI) and waist circumference of the compliant studied patients with multiple sclerosis at </w:t>
      </w:r>
      <w:proofErr w:type="spellStart"/>
      <w:r>
        <w:rPr>
          <w:b/>
        </w:rPr>
        <w:t>Kasr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Alainy</w:t>
      </w:r>
      <w:proofErr w:type="spellEnd"/>
      <w:r>
        <w:rPr>
          <w:b/>
        </w:rPr>
        <w:t xml:space="preserve"> Multiple Sclerosis </w:t>
      </w:r>
      <w:proofErr w:type="gramStart"/>
      <w:r>
        <w:rPr>
          <w:b/>
        </w:rPr>
        <w:t>Unit ,</w:t>
      </w:r>
      <w:proofErr w:type="gramEnd"/>
      <w:r>
        <w:rPr>
          <w:b/>
        </w:rPr>
        <w:t xml:space="preserve"> Cairo, Egypt 2019-2020</w:t>
      </w:r>
    </w:p>
    <w:p w:rsidR="00DE0EBC" w:rsidRDefault="00DE0EBC"/>
    <w:tbl>
      <w:tblPr>
        <w:tblStyle w:val="a5"/>
        <w:tblW w:w="912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63"/>
        <w:gridCol w:w="830"/>
        <w:gridCol w:w="775"/>
        <w:gridCol w:w="830"/>
        <w:gridCol w:w="643"/>
        <w:gridCol w:w="883"/>
        <w:gridCol w:w="643"/>
        <w:gridCol w:w="949"/>
        <w:gridCol w:w="636"/>
        <w:gridCol w:w="1077"/>
      </w:tblGrid>
      <w:tr w:rsidR="00DE0EBC">
        <w:trPr>
          <w:trHeight w:val="370"/>
          <w:jc w:val="center"/>
        </w:trPr>
        <w:tc>
          <w:tcPr>
            <w:tcW w:w="1863" w:type="dxa"/>
            <w:vMerge w:val="restart"/>
            <w:shd w:val="clear" w:color="auto" w:fill="E7E6E6"/>
            <w:vAlign w:val="center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Anthropometry</w:t>
            </w:r>
          </w:p>
        </w:tc>
        <w:tc>
          <w:tcPr>
            <w:tcW w:w="3078" w:type="dxa"/>
            <w:gridSpan w:val="4"/>
            <w:shd w:val="clear" w:color="auto" w:fill="E6E6E6"/>
            <w:vAlign w:val="center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</w:rPr>
            </w:pPr>
            <w:r>
              <w:rPr>
                <w:b/>
              </w:rPr>
              <w:t>Pre-intervention</w:t>
            </w:r>
          </w:p>
        </w:tc>
        <w:tc>
          <w:tcPr>
            <w:tcW w:w="3111" w:type="dxa"/>
            <w:gridSpan w:val="4"/>
            <w:shd w:val="clear" w:color="auto" w:fill="E6E6E6"/>
            <w:vAlign w:val="center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Post-intervention</w:t>
            </w:r>
          </w:p>
        </w:tc>
        <w:tc>
          <w:tcPr>
            <w:tcW w:w="1077" w:type="dxa"/>
            <w:vMerge w:val="restart"/>
            <w:shd w:val="clear" w:color="auto" w:fill="E7E6E6"/>
            <w:vAlign w:val="center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P value#</w:t>
            </w:r>
          </w:p>
        </w:tc>
      </w:tr>
      <w:tr w:rsidR="00DE0EBC">
        <w:trPr>
          <w:trHeight w:val="370"/>
          <w:jc w:val="center"/>
        </w:trPr>
        <w:tc>
          <w:tcPr>
            <w:tcW w:w="1863" w:type="dxa"/>
            <w:vMerge/>
            <w:shd w:val="clear" w:color="auto" w:fill="E7E6E6"/>
            <w:vAlign w:val="center"/>
          </w:tcPr>
          <w:p w:rsidR="00DE0EBC" w:rsidRDefault="00DE0E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sz w:val="24"/>
                <w:szCs w:val="24"/>
              </w:rPr>
            </w:pPr>
          </w:p>
        </w:tc>
        <w:tc>
          <w:tcPr>
            <w:tcW w:w="1605" w:type="dxa"/>
            <w:gridSpan w:val="2"/>
            <w:shd w:val="clear" w:color="auto" w:fill="C6D9F1"/>
            <w:vAlign w:val="center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</w:rPr>
            </w:pPr>
            <w:r>
              <w:rPr>
                <w:b/>
              </w:rPr>
              <w:t xml:space="preserve">IG (N=45) </w:t>
            </w:r>
          </w:p>
        </w:tc>
        <w:tc>
          <w:tcPr>
            <w:tcW w:w="1473" w:type="dxa"/>
            <w:gridSpan w:val="2"/>
            <w:shd w:val="clear" w:color="auto" w:fill="E6E6E6"/>
            <w:vAlign w:val="center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</w:rPr>
            </w:pPr>
            <w:r>
              <w:rPr>
                <w:b/>
              </w:rPr>
              <w:t xml:space="preserve">CG (N=50) </w:t>
            </w:r>
          </w:p>
        </w:tc>
        <w:tc>
          <w:tcPr>
            <w:tcW w:w="1526" w:type="dxa"/>
            <w:gridSpan w:val="2"/>
            <w:shd w:val="clear" w:color="auto" w:fill="C6D9F1"/>
            <w:vAlign w:val="center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 xml:space="preserve">IG (N=45) </w:t>
            </w:r>
          </w:p>
        </w:tc>
        <w:tc>
          <w:tcPr>
            <w:tcW w:w="1585" w:type="dxa"/>
            <w:gridSpan w:val="2"/>
            <w:shd w:val="clear" w:color="auto" w:fill="E6E6E6"/>
            <w:vAlign w:val="center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 xml:space="preserve">CG (N=50) </w:t>
            </w:r>
          </w:p>
        </w:tc>
        <w:tc>
          <w:tcPr>
            <w:tcW w:w="1077" w:type="dxa"/>
            <w:vMerge/>
            <w:shd w:val="clear" w:color="auto" w:fill="E7E6E6"/>
            <w:vAlign w:val="center"/>
          </w:tcPr>
          <w:p w:rsidR="00DE0EBC" w:rsidRDefault="00DE0E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sz w:val="24"/>
                <w:szCs w:val="24"/>
              </w:rPr>
            </w:pPr>
          </w:p>
        </w:tc>
      </w:tr>
      <w:tr w:rsidR="00DE0EBC">
        <w:trPr>
          <w:trHeight w:val="370"/>
          <w:jc w:val="center"/>
        </w:trPr>
        <w:tc>
          <w:tcPr>
            <w:tcW w:w="1863" w:type="dxa"/>
            <w:vMerge/>
            <w:shd w:val="clear" w:color="auto" w:fill="E7E6E6"/>
            <w:vAlign w:val="center"/>
          </w:tcPr>
          <w:p w:rsidR="00DE0EBC" w:rsidRDefault="00DE0E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sz w:val="24"/>
                <w:szCs w:val="24"/>
              </w:rPr>
            </w:pPr>
          </w:p>
        </w:tc>
        <w:tc>
          <w:tcPr>
            <w:tcW w:w="830" w:type="dxa"/>
            <w:shd w:val="clear" w:color="auto" w:fill="C6D9F1"/>
            <w:vAlign w:val="center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</w:rPr>
            </w:pPr>
            <w:r>
              <w:rPr>
                <w:b/>
              </w:rPr>
              <w:t>Mean</w:t>
            </w:r>
          </w:p>
        </w:tc>
        <w:tc>
          <w:tcPr>
            <w:tcW w:w="775" w:type="dxa"/>
            <w:shd w:val="clear" w:color="auto" w:fill="C6D9F1"/>
            <w:vAlign w:val="center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</w:rPr>
            </w:pPr>
            <w:r>
              <w:rPr>
                <w:b/>
              </w:rPr>
              <w:t>SD</w:t>
            </w:r>
          </w:p>
        </w:tc>
        <w:tc>
          <w:tcPr>
            <w:tcW w:w="830" w:type="dxa"/>
            <w:shd w:val="clear" w:color="auto" w:fill="E6E6E6"/>
            <w:vAlign w:val="center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</w:rPr>
            </w:pPr>
            <w:r>
              <w:rPr>
                <w:b/>
              </w:rPr>
              <w:t>Mean</w:t>
            </w:r>
          </w:p>
        </w:tc>
        <w:tc>
          <w:tcPr>
            <w:tcW w:w="643" w:type="dxa"/>
            <w:shd w:val="clear" w:color="auto" w:fill="E6E6E6"/>
            <w:vAlign w:val="center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</w:rPr>
            </w:pPr>
            <w:r>
              <w:rPr>
                <w:b/>
              </w:rPr>
              <w:t>SD</w:t>
            </w:r>
          </w:p>
        </w:tc>
        <w:tc>
          <w:tcPr>
            <w:tcW w:w="883" w:type="dxa"/>
            <w:shd w:val="clear" w:color="auto" w:fill="C6D9F1"/>
            <w:vAlign w:val="center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Mean</w:t>
            </w:r>
          </w:p>
        </w:tc>
        <w:tc>
          <w:tcPr>
            <w:tcW w:w="643" w:type="dxa"/>
            <w:shd w:val="clear" w:color="auto" w:fill="C6D9F1"/>
            <w:vAlign w:val="center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SD</w:t>
            </w:r>
          </w:p>
        </w:tc>
        <w:tc>
          <w:tcPr>
            <w:tcW w:w="949" w:type="dxa"/>
            <w:shd w:val="clear" w:color="auto" w:fill="E6E6E6"/>
            <w:vAlign w:val="center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Mean</w:t>
            </w:r>
          </w:p>
        </w:tc>
        <w:tc>
          <w:tcPr>
            <w:tcW w:w="636" w:type="dxa"/>
            <w:shd w:val="clear" w:color="auto" w:fill="E7E6E6"/>
            <w:vAlign w:val="center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SD</w:t>
            </w:r>
          </w:p>
        </w:tc>
        <w:tc>
          <w:tcPr>
            <w:tcW w:w="1077" w:type="dxa"/>
            <w:shd w:val="clear" w:color="auto" w:fill="E7E6E6"/>
            <w:vAlign w:val="center"/>
          </w:tcPr>
          <w:p w:rsidR="00DE0EBC" w:rsidRDefault="00DE0EBC">
            <w:pPr>
              <w:widowControl w:val="0"/>
              <w:pBdr>
                <w:between w:val="nil"/>
              </w:pBd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DE0EBC">
        <w:trPr>
          <w:trHeight w:val="370"/>
          <w:jc w:val="center"/>
        </w:trPr>
        <w:tc>
          <w:tcPr>
            <w:tcW w:w="1863" w:type="dxa"/>
            <w:shd w:val="clear" w:color="auto" w:fill="E7E6E6"/>
            <w:vAlign w:val="center"/>
          </w:tcPr>
          <w:p w:rsidR="00DE0EBC" w:rsidRDefault="00341FAF">
            <w:pPr>
              <w:spacing w:after="0" w:line="240" w:lineRule="auto"/>
              <w:ind w:left="60" w:right="60"/>
              <w:rPr>
                <w:sz w:val="24"/>
                <w:szCs w:val="24"/>
              </w:rPr>
            </w:pPr>
            <w:r>
              <w:t>Weight (kg</w:t>
            </w:r>
            <w:r>
              <w:rPr>
                <w:sz w:val="28"/>
                <w:szCs w:val="28"/>
              </w:rPr>
              <w:t>)</w:t>
            </w:r>
            <w:r>
              <w:t xml:space="preserve"> </w:t>
            </w:r>
          </w:p>
        </w:tc>
        <w:tc>
          <w:tcPr>
            <w:tcW w:w="830" w:type="dxa"/>
            <w:shd w:val="clear" w:color="auto" w:fill="C6D9F1"/>
            <w:vAlign w:val="center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</w:rPr>
            </w:pPr>
            <w:r>
              <w:t>75.1</w:t>
            </w:r>
          </w:p>
        </w:tc>
        <w:tc>
          <w:tcPr>
            <w:tcW w:w="775" w:type="dxa"/>
            <w:shd w:val="clear" w:color="auto" w:fill="C6D9F1"/>
            <w:vAlign w:val="center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</w:rPr>
            </w:pPr>
            <w:r>
              <w:t>15.97</w:t>
            </w:r>
          </w:p>
        </w:tc>
        <w:tc>
          <w:tcPr>
            <w:tcW w:w="830" w:type="dxa"/>
            <w:shd w:val="clear" w:color="auto" w:fill="E7E6E6"/>
            <w:vAlign w:val="center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</w:rPr>
            </w:pPr>
            <w:r>
              <w:t>72.4</w:t>
            </w:r>
          </w:p>
        </w:tc>
        <w:tc>
          <w:tcPr>
            <w:tcW w:w="643" w:type="dxa"/>
            <w:shd w:val="clear" w:color="auto" w:fill="E7E6E6"/>
            <w:vAlign w:val="center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</w:rPr>
            </w:pPr>
            <w:r>
              <w:t>14.6</w:t>
            </w:r>
          </w:p>
        </w:tc>
        <w:tc>
          <w:tcPr>
            <w:tcW w:w="883" w:type="dxa"/>
            <w:shd w:val="clear" w:color="auto" w:fill="C6D9F1"/>
            <w:vAlign w:val="center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</w:rPr>
            </w:pPr>
            <w:r>
              <w:t>72</w:t>
            </w:r>
          </w:p>
        </w:tc>
        <w:tc>
          <w:tcPr>
            <w:tcW w:w="643" w:type="dxa"/>
            <w:shd w:val="clear" w:color="auto" w:fill="C6D9F1"/>
            <w:vAlign w:val="center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</w:rPr>
            </w:pPr>
            <w:r>
              <w:t>14.1</w:t>
            </w:r>
          </w:p>
        </w:tc>
        <w:tc>
          <w:tcPr>
            <w:tcW w:w="949" w:type="dxa"/>
            <w:shd w:val="clear" w:color="auto" w:fill="E7E6E6"/>
            <w:vAlign w:val="center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</w:rPr>
            </w:pPr>
            <w:r>
              <w:t>72.3</w:t>
            </w:r>
          </w:p>
        </w:tc>
        <w:tc>
          <w:tcPr>
            <w:tcW w:w="636" w:type="dxa"/>
            <w:shd w:val="clear" w:color="auto" w:fill="E7E6E6"/>
            <w:vAlign w:val="center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</w:rPr>
            </w:pPr>
            <w:r>
              <w:t>15.1</w:t>
            </w:r>
          </w:p>
        </w:tc>
        <w:tc>
          <w:tcPr>
            <w:tcW w:w="1077" w:type="dxa"/>
            <w:shd w:val="clear" w:color="auto" w:fill="E7E6E6"/>
            <w:vAlign w:val="center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</w:rPr>
            </w:pPr>
            <w:r>
              <w:t>0.000*</w:t>
            </w:r>
          </w:p>
        </w:tc>
      </w:tr>
      <w:tr w:rsidR="00DE0EBC">
        <w:trPr>
          <w:trHeight w:val="370"/>
          <w:jc w:val="center"/>
        </w:trPr>
        <w:tc>
          <w:tcPr>
            <w:tcW w:w="1863" w:type="dxa"/>
            <w:shd w:val="clear" w:color="auto" w:fill="auto"/>
            <w:vAlign w:val="center"/>
          </w:tcPr>
          <w:p w:rsidR="00DE0EBC" w:rsidRDefault="00341FAF">
            <w:pPr>
              <w:spacing w:after="0" w:line="240" w:lineRule="auto"/>
              <w:ind w:left="60" w:right="60"/>
              <w:rPr>
                <w:sz w:val="24"/>
                <w:szCs w:val="24"/>
              </w:rPr>
            </w:pPr>
            <w:r>
              <w:t>BMI (kg/m</w:t>
            </w:r>
            <w:r>
              <w:rPr>
                <w:vertAlign w:val="superscript"/>
              </w:rPr>
              <w:t>2</w:t>
            </w:r>
            <w:r>
              <w:rPr>
                <w:sz w:val="28"/>
                <w:szCs w:val="28"/>
              </w:rPr>
              <w:t>)</w:t>
            </w:r>
            <w:r>
              <w:t xml:space="preserve"> </w:t>
            </w:r>
          </w:p>
        </w:tc>
        <w:tc>
          <w:tcPr>
            <w:tcW w:w="830" w:type="dxa"/>
            <w:shd w:val="clear" w:color="auto" w:fill="C6D9F1"/>
            <w:vAlign w:val="center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</w:rPr>
            </w:pPr>
            <w:r>
              <w:t>28.1</w:t>
            </w:r>
          </w:p>
        </w:tc>
        <w:tc>
          <w:tcPr>
            <w:tcW w:w="775" w:type="dxa"/>
            <w:shd w:val="clear" w:color="auto" w:fill="C6D9F1"/>
            <w:vAlign w:val="center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</w:rPr>
            </w:pPr>
            <w:r>
              <w:t>5.8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</w:rPr>
            </w:pPr>
            <w:r>
              <w:t>26.8</w:t>
            </w:r>
          </w:p>
        </w:tc>
        <w:tc>
          <w:tcPr>
            <w:tcW w:w="643" w:type="dxa"/>
            <w:shd w:val="clear" w:color="auto" w:fill="auto"/>
            <w:vAlign w:val="center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</w:rPr>
            </w:pPr>
            <w:r>
              <w:t>5.4</w:t>
            </w:r>
          </w:p>
        </w:tc>
        <w:tc>
          <w:tcPr>
            <w:tcW w:w="883" w:type="dxa"/>
            <w:shd w:val="clear" w:color="auto" w:fill="C6D9F1"/>
            <w:vAlign w:val="center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</w:rPr>
            </w:pPr>
            <w:r>
              <w:t>26.9</w:t>
            </w:r>
          </w:p>
        </w:tc>
        <w:tc>
          <w:tcPr>
            <w:tcW w:w="643" w:type="dxa"/>
            <w:shd w:val="clear" w:color="auto" w:fill="C6D9F1"/>
            <w:vAlign w:val="center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</w:rPr>
            </w:pPr>
            <w:r>
              <w:t>4.99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</w:rPr>
            </w:pPr>
            <w:r>
              <w:t>26.7</w:t>
            </w:r>
          </w:p>
        </w:tc>
        <w:tc>
          <w:tcPr>
            <w:tcW w:w="636" w:type="dxa"/>
            <w:shd w:val="clear" w:color="auto" w:fill="auto"/>
            <w:vAlign w:val="center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</w:rPr>
            </w:pPr>
            <w:r>
              <w:t>5.6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  <w:vertAlign w:val="superscript"/>
              </w:rPr>
            </w:pPr>
            <w:r>
              <w:t>0.000*</w:t>
            </w:r>
          </w:p>
        </w:tc>
      </w:tr>
      <w:tr w:rsidR="00DE0EBC">
        <w:trPr>
          <w:trHeight w:val="370"/>
          <w:jc w:val="center"/>
        </w:trPr>
        <w:tc>
          <w:tcPr>
            <w:tcW w:w="9129" w:type="dxa"/>
            <w:gridSpan w:val="10"/>
            <w:shd w:val="clear" w:color="auto" w:fill="F2F2F2"/>
            <w:vAlign w:val="center"/>
          </w:tcPr>
          <w:p w:rsidR="00DE0EBC" w:rsidRDefault="00341FAF">
            <w:pPr>
              <w:spacing w:after="0" w:line="240" w:lineRule="auto"/>
              <w:ind w:left="60" w:right="60"/>
              <w:rPr>
                <w:sz w:val="24"/>
                <w:szCs w:val="24"/>
              </w:rPr>
            </w:pPr>
            <w:r>
              <w:t>Waist circumference (cm)##</w:t>
            </w:r>
          </w:p>
        </w:tc>
      </w:tr>
      <w:tr w:rsidR="00DE0EBC">
        <w:trPr>
          <w:trHeight w:val="370"/>
          <w:jc w:val="center"/>
        </w:trPr>
        <w:tc>
          <w:tcPr>
            <w:tcW w:w="1863" w:type="dxa"/>
            <w:shd w:val="clear" w:color="auto" w:fill="auto"/>
            <w:vAlign w:val="center"/>
          </w:tcPr>
          <w:p w:rsidR="00DE0EBC" w:rsidRDefault="00341FAF">
            <w:pPr>
              <w:spacing w:after="0" w:line="240" w:lineRule="auto"/>
              <w:ind w:left="60" w:right="6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Female</w:t>
            </w:r>
          </w:p>
        </w:tc>
        <w:tc>
          <w:tcPr>
            <w:tcW w:w="830" w:type="dxa"/>
            <w:shd w:val="clear" w:color="auto" w:fill="C6D9F1"/>
            <w:vAlign w:val="center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101</w:t>
            </w:r>
          </w:p>
        </w:tc>
        <w:tc>
          <w:tcPr>
            <w:tcW w:w="775" w:type="dxa"/>
            <w:shd w:val="clear" w:color="auto" w:fill="C6D9F1"/>
            <w:vAlign w:val="center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97.5</w:t>
            </w:r>
          </w:p>
        </w:tc>
        <w:tc>
          <w:tcPr>
            <w:tcW w:w="643" w:type="dxa"/>
            <w:shd w:val="clear" w:color="auto" w:fill="auto"/>
            <w:vAlign w:val="center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12.6</w:t>
            </w:r>
          </w:p>
        </w:tc>
        <w:tc>
          <w:tcPr>
            <w:tcW w:w="883" w:type="dxa"/>
            <w:shd w:val="clear" w:color="auto" w:fill="C6D9F1"/>
            <w:vAlign w:val="center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98.2</w:t>
            </w:r>
          </w:p>
        </w:tc>
        <w:tc>
          <w:tcPr>
            <w:tcW w:w="643" w:type="dxa"/>
            <w:shd w:val="clear" w:color="auto" w:fill="C6D9F1"/>
            <w:vAlign w:val="center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11.4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97.5</w:t>
            </w:r>
          </w:p>
        </w:tc>
        <w:tc>
          <w:tcPr>
            <w:tcW w:w="636" w:type="dxa"/>
            <w:shd w:val="clear" w:color="auto" w:fill="auto"/>
            <w:vAlign w:val="center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0.000*</w:t>
            </w:r>
          </w:p>
        </w:tc>
      </w:tr>
      <w:tr w:rsidR="00DE0EBC">
        <w:trPr>
          <w:trHeight w:val="371"/>
          <w:jc w:val="center"/>
        </w:trPr>
        <w:tc>
          <w:tcPr>
            <w:tcW w:w="1863" w:type="dxa"/>
            <w:shd w:val="clear" w:color="auto" w:fill="auto"/>
            <w:vAlign w:val="center"/>
          </w:tcPr>
          <w:p w:rsidR="00DE0EBC" w:rsidRDefault="00341FAF">
            <w:pPr>
              <w:spacing w:after="0" w:line="240" w:lineRule="auto"/>
              <w:ind w:left="60" w:right="6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Male</w:t>
            </w:r>
          </w:p>
        </w:tc>
        <w:tc>
          <w:tcPr>
            <w:tcW w:w="830" w:type="dxa"/>
            <w:shd w:val="clear" w:color="auto" w:fill="C6D9F1"/>
            <w:vAlign w:val="center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96.4</w:t>
            </w:r>
          </w:p>
        </w:tc>
        <w:tc>
          <w:tcPr>
            <w:tcW w:w="775" w:type="dxa"/>
            <w:shd w:val="clear" w:color="auto" w:fill="C6D9F1"/>
            <w:vAlign w:val="center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11.5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</w:t>
            </w:r>
          </w:p>
        </w:tc>
        <w:tc>
          <w:tcPr>
            <w:tcW w:w="643" w:type="dxa"/>
            <w:shd w:val="clear" w:color="auto" w:fill="auto"/>
            <w:vAlign w:val="center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10.3</w:t>
            </w:r>
          </w:p>
        </w:tc>
        <w:tc>
          <w:tcPr>
            <w:tcW w:w="883" w:type="dxa"/>
            <w:shd w:val="clear" w:color="auto" w:fill="C6D9F1"/>
            <w:vAlign w:val="center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94.2</w:t>
            </w:r>
          </w:p>
        </w:tc>
        <w:tc>
          <w:tcPr>
            <w:tcW w:w="643" w:type="dxa"/>
            <w:shd w:val="clear" w:color="auto" w:fill="C6D9F1"/>
            <w:vAlign w:val="center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9.7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91.6</w:t>
            </w:r>
          </w:p>
        </w:tc>
        <w:tc>
          <w:tcPr>
            <w:tcW w:w="636" w:type="dxa"/>
            <w:shd w:val="clear" w:color="auto" w:fill="auto"/>
            <w:vAlign w:val="center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10.7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0.043*</w:t>
            </w:r>
          </w:p>
        </w:tc>
      </w:tr>
    </w:tbl>
    <w:p w:rsidR="00DE0EBC" w:rsidRDefault="00341FAF">
      <w:pPr>
        <w:keepNext/>
        <w:spacing w:before="120"/>
        <w:jc w:val="both"/>
        <w:rPr>
          <w:i/>
        </w:rPr>
      </w:pPr>
      <w:r>
        <w:rPr>
          <w:i/>
        </w:rPr>
        <w:t># P value: ANCOVA</w:t>
      </w:r>
    </w:p>
    <w:p w:rsidR="00DE0EBC" w:rsidRDefault="00341FAF">
      <w:pPr>
        <w:tabs>
          <w:tab w:val="left" w:pos="2313"/>
        </w:tabs>
        <w:jc w:val="both"/>
        <w:rPr>
          <w:i/>
        </w:rPr>
      </w:pPr>
      <w:r>
        <w:rPr>
          <w:i/>
        </w:rPr>
        <w:t>##Normal value for males is below 94 cm and for females is below 80 cm</w:t>
      </w:r>
    </w:p>
    <w:p w:rsidR="00DE0EBC" w:rsidRDefault="00341FAF">
      <w:pPr>
        <w:keepNext/>
        <w:spacing w:before="120"/>
        <w:jc w:val="both"/>
        <w:rPr>
          <w:i/>
        </w:rPr>
      </w:pPr>
      <w:r>
        <w:rPr>
          <w:i/>
        </w:rPr>
        <w:t>*Significant P value</w:t>
      </w:r>
    </w:p>
    <w:p w:rsidR="00DE0EBC" w:rsidRDefault="00DE0EBC">
      <w:pPr>
        <w:keepNext/>
        <w:spacing w:before="120" w:after="120"/>
        <w:jc w:val="both"/>
        <w:rPr>
          <w:i/>
        </w:rPr>
      </w:pPr>
    </w:p>
    <w:p w:rsidR="00DE0EBC" w:rsidRDefault="00341FAF">
      <w:pPr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>Table S3 summarizes the means of the initial weight and the percentages of weight changes of the studied compliant patients after the 3 months follow up. Overweight and obese patients of the IG lost 5.4±2.2 % and 7.4±2.1% of their initial weights respectiv</w:t>
      </w:r>
      <w:r>
        <w:rPr>
          <w:sz w:val="28"/>
          <w:szCs w:val="28"/>
        </w:rPr>
        <w:t>ely while overweight and obese patients of the CG gained more weight (0.3±2.5 % and 0.4±1.2 % of their initial weights) after the 3 months follow up.</w:t>
      </w:r>
    </w:p>
    <w:p w:rsidR="00DE0EBC" w:rsidRDefault="00DE0EBC">
      <w:pPr>
        <w:spacing w:after="200" w:line="480" w:lineRule="auto"/>
        <w:ind w:left="60" w:right="60" w:firstLine="660"/>
        <w:jc w:val="both"/>
      </w:pPr>
    </w:p>
    <w:p w:rsidR="00DE0EBC" w:rsidRDefault="00341FAF">
      <w:pPr>
        <w:keepNext/>
        <w:spacing w:before="120" w:after="120" w:line="480" w:lineRule="auto"/>
        <w:jc w:val="both"/>
        <w:rPr>
          <w:b/>
        </w:rPr>
      </w:pPr>
      <w:r>
        <w:rPr>
          <w:b/>
          <w:u w:val="single"/>
        </w:rPr>
        <w:lastRenderedPageBreak/>
        <w:t>Table S3:</w:t>
      </w:r>
      <w:r>
        <w:rPr>
          <w:b/>
        </w:rPr>
        <w:t xml:space="preserve">  Weight change of compliant studied patients with multiple sclerosis at </w:t>
      </w:r>
      <w:proofErr w:type="spellStart"/>
      <w:r>
        <w:rPr>
          <w:b/>
        </w:rPr>
        <w:t>Kasr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Alainy</w:t>
      </w:r>
      <w:proofErr w:type="spellEnd"/>
      <w:r>
        <w:rPr>
          <w:b/>
        </w:rPr>
        <w:t xml:space="preserve"> Multiple Sc</w:t>
      </w:r>
      <w:r>
        <w:rPr>
          <w:b/>
        </w:rPr>
        <w:t>lerosis Unit, Cairo, Egypt 2019-2020</w:t>
      </w:r>
    </w:p>
    <w:tbl>
      <w:tblPr>
        <w:tblStyle w:val="a6"/>
        <w:tblW w:w="1015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53"/>
        <w:gridCol w:w="851"/>
        <w:gridCol w:w="1241"/>
        <w:gridCol w:w="1837"/>
        <w:gridCol w:w="568"/>
        <w:gridCol w:w="1381"/>
        <w:gridCol w:w="1867"/>
        <w:gridCol w:w="1058"/>
      </w:tblGrid>
      <w:tr w:rsidR="00DE0EBC">
        <w:trPr>
          <w:trHeight w:val="220"/>
          <w:jc w:val="center"/>
        </w:trPr>
        <w:tc>
          <w:tcPr>
            <w:tcW w:w="1353" w:type="dxa"/>
            <w:vMerge w:val="restart"/>
            <w:shd w:val="clear" w:color="auto" w:fill="FFFFFF"/>
            <w:vAlign w:val="center"/>
          </w:tcPr>
          <w:p w:rsidR="00DE0EBC" w:rsidRDefault="00341F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</w:rPr>
              <w:t>Initial BMI# Categories</w:t>
            </w:r>
          </w:p>
          <w:p w:rsidR="00DE0EBC" w:rsidRDefault="00DE0EBC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29" w:type="dxa"/>
            <w:gridSpan w:val="3"/>
            <w:shd w:val="clear" w:color="auto" w:fill="C6D9F1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</w:rPr>
            </w:pPr>
            <w:r>
              <w:rPr>
                <w:b/>
              </w:rPr>
              <w:t>IG (N=45)</w:t>
            </w:r>
          </w:p>
        </w:tc>
        <w:tc>
          <w:tcPr>
            <w:tcW w:w="3816" w:type="dxa"/>
            <w:gridSpan w:val="3"/>
            <w:shd w:val="clear" w:color="auto" w:fill="E6E6E6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</w:rPr>
            </w:pPr>
            <w:r>
              <w:rPr>
                <w:b/>
              </w:rPr>
              <w:t>CG (N=50)</w:t>
            </w:r>
          </w:p>
        </w:tc>
        <w:tc>
          <w:tcPr>
            <w:tcW w:w="1058" w:type="dxa"/>
            <w:vMerge w:val="restart"/>
            <w:shd w:val="clear" w:color="auto" w:fill="E6E6E6"/>
            <w:vAlign w:val="center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P value##</w:t>
            </w:r>
          </w:p>
        </w:tc>
      </w:tr>
      <w:tr w:rsidR="00DE0EBC">
        <w:trPr>
          <w:trHeight w:val="369"/>
          <w:jc w:val="center"/>
        </w:trPr>
        <w:tc>
          <w:tcPr>
            <w:tcW w:w="1353" w:type="dxa"/>
            <w:vMerge/>
            <w:shd w:val="clear" w:color="auto" w:fill="FFFFFF"/>
            <w:vAlign w:val="center"/>
          </w:tcPr>
          <w:p w:rsidR="00DE0EBC" w:rsidRDefault="00DE0E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shd w:val="clear" w:color="auto" w:fill="C6D9F1"/>
          </w:tcPr>
          <w:p w:rsidR="00DE0EBC" w:rsidRDefault="00DE0EBC">
            <w:pPr>
              <w:spacing w:after="0" w:line="240" w:lineRule="auto"/>
              <w:ind w:left="60" w:right="60"/>
              <w:jc w:val="center"/>
              <w:rPr>
                <w:b/>
                <w:sz w:val="24"/>
                <w:szCs w:val="24"/>
              </w:rPr>
            </w:pPr>
          </w:p>
          <w:p w:rsidR="00DE0EBC" w:rsidRDefault="00341FAF">
            <w:pPr>
              <w:spacing w:after="0" w:line="240" w:lineRule="auto"/>
              <w:ind w:left="60" w:right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N</w:t>
            </w:r>
          </w:p>
        </w:tc>
        <w:tc>
          <w:tcPr>
            <w:tcW w:w="1241" w:type="dxa"/>
            <w:shd w:val="clear" w:color="auto" w:fill="C6D9F1"/>
            <w:vAlign w:val="center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</w:rPr>
            </w:pPr>
            <w:r>
              <w:rPr>
                <w:b/>
              </w:rPr>
              <w:t xml:space="preserve">Initial Weight (kg) </w:t>
            </w:r>
          </w:p>
        </w:tc>
        <w:tc>
          <w:tcPr>
            <w:tcW w:w="1837" w:type="dxa"/>
            <w:shd w:val="clear" w:color="auto" w:fill="C6D9F1"/>
            <w:vAlign w:val="center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</w:rPr>
            </w:pPr>
            <w:r>
              <w:rPr>
                <w:b/>
              </w:rPr>
              <w:t>% Weight change after 3 months</w:t>
            </w:r>
          </w:p>
        </w:tc>
        <w:tc>
          <w:tcPr>
            <w:tcW w:w="568" w:type="dxa"/>
            <w:vMerge w:val="restart"/>
            <w:shd w:val="clear" w:color="auto" w:fill="E6E6E6"/>
          </w:tcPr>
          <w:p w:rsidR="00DE0EBC" w:rsidRDefault="00DE0EBC">
            <w:pPr>
              <w:spacing w:after="0" w:line="240" w:lineRule="auto"/>
              <w:ind w:left="60" w:right="60"/>
              <w:jc w:val="center"/>
              <w:rPr>
                <w:b/>
                <w:sz w:val="24"/>
                <w:szCs w:val="24"/>
              </w:rPr>
            </w:pPr>
          </w:p>
          <w:p w:rsidR="00DE0EBC" w:rsidRDefault="00341FAF">
            <w:pPr>
              <w:spacing w:after="0" w:line="240" w:lineRule="auto"/>
              <w:ind w:left="60" w:right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N</w:t>
            </w:r>
          </w:p>
        </w:tc>
        <w:tc>
          <w:tcPr>
            <w:tcW w:w="1381" w:type="dxa"/>
            <w:shd w:val="clear" w:color="auto" w:fill="E6E6E6"/>
            <w:vAlign w:val="center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</w:rPr>
            </w:pPr>
            <w:r>
              <w:rPr>
                <w:b/>
              </w:rPr>
              <w:t xml:space="preserve">Initial Weight (kg) </w:t>
            </w:r>
          </w:p>
        </w:tc>
        <w:tc>
          <w:tcPr>
            <w:tcW w:w="1867" w:type="dxa"/>
            <w:shd w:val="clear" w:color="auto" w:fill="E6E6E6"/>
            <w:vAlign w:val="center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</w:rPr>
            </w:pPr>
            <w:r>
              <w:rPr>
                <w:b/>
              </w:rPr>
              <w:t>% Weight change after 3 months</w:t>
            </w:r>
          </w:p>
        </w:tc>
        <w:tc>
          <w:tcPr>
            <w:tcW w:w="1058" w:type="dxa"/>
            <w:vMerge/>
            <w:shd w:val="clear" w:color="auto" w:fill="E6E6E6"/>
            <w:vAlign w:val="center"/>
          </w:tcPr>
          <w:p w:rsidR="00DE0EBC" w:rsidRDefault="00DE0E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24"/>
                <w:szCs w:val="24"/>
              </w:rPr>
            </w:pPr>
          </w:p>
        </w:tc>
      </w:tr>
      <w:tr w:rsidR="00DE0EBC">
        <w:trPr>
          <w:trHeight w:val="389"/>
          <w:jc w:val="center"/>
        </w:trPr>
        <w:tc>
          <w:tcPr>
            <w:tcW w:w="1353" w:type="dxa"/>
            <w:vMerge/>
            <w:shd w:val="clear" w:color="auto" w:fill="FFFFFF"/>
            <w:vAlign w:val="center"/>
          </w:tcPr>
          <w:p w:rsidR="00DE0EBC" w:rsidRDefault="00DE0E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shd w:val="clear" w:color="auto" w:fill="C6D9F1"/>
          </w:tcPr>
          <w:p w:rsidR="00DE0EBC" w:rsidRDefault="00DE0E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24"/>
                <w:szCs w:val="24"/>
              </w:rPr>
            </w:pPr>
          </w:p>
        </w:tc>
        <w:tc>
          <w:tcPr>
            <w:tcW w:w="1241" w:type="dxa"/>
            <w:shd w:val="clear" w:color="auto" w:fill="C6D9F1"/>
            <w:vAlign w:val="center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</w:rPr>
            </w:pPr>
            <w:r>
              <w:rPr>
                <w:b/>
              </w:rPr>
              <w:t>Mean (SD)</w:t>
            </w:r>
          </w:p>
        </w:tc>
        <w:tc>
          <w:tcPr>
            <w:tcW w:w="1837" w:type="dxa"/>
            <w:shd w:val="clear" w:color="auto" w:fill="C6D9F1"/>
            <w:vAlign w:val="center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</w:rPr>
            </w:pPr>
            <w:r>
              <w:rPr>
                <w:b/>
              </w:rPr>
              <w:t xml:space="preserve">Mean (SD) </w:t>
            </w:r>
          </w:p>
        </w:tc>
        <w:tc>
          <w:tcPr>
            <w:tcW w:w="568" w:type="dxa"/>
            <w:vMerge/>
            <w:shd w:val="clear" w:color="auto" w:fill="E6E6E6"/>
          </w:tcPr>
          <w:p w:rsidR="00DE0EBC" w:rsidRDefault="00DE0E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24"/>
                <w:szCs w:val="24"/>
              </w:rPr>
            </w:pPr>
          </w:p>
        </w:tc>
        <w:tc>
          <w:tcPr>
            <w:tcW w:w="1381" w:type="dxa"/>
            <w:shd w:val="clear" w:color="auto" w:fill="E6E6E6"/>
            <w:vAlign w:val="center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</w:rPr>
            </w:pPr>
            <w:r>
              <w:rPr>
                <w:b/>
              </w:rPr>
              <w:t xml:space="preserve">Mean (SD) </w:t>
            </w:r>
          </w:p>
        </w:tc>
        <w:tc>
          <w:tcPr>
            <w:tcW w:w="1867" w:type="dxa"/>
            <w:shd w:val="clear" w:color="auto" w:fill="E6E6E6"/>
            <w:vAlign w:val="center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trike/>
                <w:sz w:val="24"/>
                <w:szCs w:val="24"/>
              </w:rPr>
            </w:pPr>
            <w:r>
              <w:rPr>
                <w:b/>
              </w:rPr>
              <w:t xml:space="preserve">Mean (SD) </w:t>
            </w:r>
          </w:p>
        </w:tc>
        <w:tc>
          <w:tcPr>
            <w:tcW w:w="1058" w:type="dxa"/>
            <w:vMerge/>
            <w:shd w:val="clear" w:color="auto" w:fill="E6E6E6"/>
            <w:vAlign w:val="center"/>
          </w:tcPr>
          <w:p w:rsidR="00DE0EBC" w:rsidRDefault="00DE0E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trike/>
                <w:sz w:val="24"/>
                <w:szCs w:val="24"/>
              </w:rPr>
            </w:pPr>
          </w:p>
        </w:tc>
      </w:tr>
      <w:tr w:rsidR="00DE0EBC">
        <w:trPr>
          <w:trHeight w:val="262"/>
          <w:jc w:val="center"/>
        </w:trPr>
        <w:tc>
          <w:tcPr>
            <w:tcW w:w="1353" w:type="dxa"/>
            <w:shd w:val="clear" w:color="auto" w:fill="auto"/>
            <w:vAlign w:val="center"/>
          </w:tcPr>
          <w:p w:rsidR="00DE0EBC" w:rsidRDefault="00341FAF">
            <w:pPr>
              <w:spacing w:after="0" w:line="240" w:lineRule="auto"/>
              <w:ind w:left="60" w:right="60"/>
              <w:rPr>
                <w:b/>
                <w:sz w:val="24"/>
                <w:szCs w:val="24"/>
              </w:rPr>
            </w:pPr>
            <w:r>
              <w:rPr>
                <w:b/>
              </w:rPr>
              <w:t>Underweight</w:t>
            </w:r>
          </w:p>
        </w:tc>
        <w:tc>
          <w:tcPr>
            <w:tcW w:w="851" w:type="dxa"/>
            <w:shd w:val="clear" w:color="auto" w:fill="C6D9F1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1241" w:type="dxa"/>
            <w:shd w:val="clear" w:color="auto" w:fill="C6D9F1"/>
            <w:vAlign w:val="center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1837" w:type="dxa"/>
            <w:shd w:val="clear" w:color="auto" w:fill="C6D9F1"/>
            <w:vAlign w:val="center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568" w:type="dxa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</w:rPr>
            </w:pPr>
            <w:r>
              <w:t>1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1058" w:type="dxa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</w:tr>
      <w:tr w:rsidR="00DE0EBC">
        <w:trPr>
          <w:trHeight w:val="626"/>
          <w:jc w:val="center"/>
        </w:trPr>
        <w:tc>
          <w:tcPr>
            <w:tcW w:w="1353" w:type="dxa"/>
            <w:shd w:val="clear" w:color="auto" w:fill="auto"/>
            <w:vAlign w:val="center"/>
          </w:tcPr>
          <w:p w:rsidR="00DE0EBC" w:rsidRDefault="00341FAF">
            <w:pPr>
              <w:spacing w:after="0" w:line="240" w:lineRule="auto"/>
              <w:ind w:left="60" w:right="60"/>
              <w:rPr>
                <w:b/>
                <w:sz w:val="24"/>
                <w:szCs w:val="24"/>
              </w:rPr>
            </w:pPr>
            <w:r>
              <w:rPr>
                <w:b/>
              </w:rPr>
              <w:t>Normal weight</w:t>
            </w:r>
          </w:p>
        </w:tc>
        <w:tc>
          <w:tcPr>
            <w:tcW w:w="851" w:type="dxa"/>
            <w:shd w:val="clear" w:color="auto" w:fill="C6D9F1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</w:rPr>
            </w:pPr>
            <w:r>
              <w:t>17</w:t>
            </w:r>
          </w:p>
        </w:tc>
        <w:tc>
          <w:tcPr>
            <w:tcW w:w="1241" w:type="dxa"/>
            <w:shd w:val="clear" w:color="auto" w:fill="C6D9F1"/>
            <w:vAlign w:val="center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</w:rPr>
            </w:pPr>
            <w:r>
              <w:t>59.9 (9.8)</w:t>
            </w:r>
          </w:p>
        </w:tc>
        <w:tc>
          <w:tcPr>
            <w:tcW w:w="1837" w:type="dxa"/>
            <w:shd w:val="clear" w:color="auto" w:fill="C6D9F1"/>
            <w:vAlign w:val="center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</w:rPr>
            </w:pPr>
            <w:r>
              <w:t>0.68 (4.5)</w:t>
            </w:r>
          </w:p>
        </w:tc>
        <w:tc>
          <w:tcPr>
            <w:tcW w:w="568" w:type="dxa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</w:rPr>
            </w:pPr>
            <w:r>
              <w:t>18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</w:rPr>
            </w:pPr>
            <w:r>
              <w:t>60.3 (6.7)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</w:rPr>
            </w:pPr>
            <w:r>
              <w:t>-1.4 (2.5)</w:t>
            </w:r>
          </w:p>
        </w:tc>
        <w:tc>
          <w:tcPr>
            <w:tcW w:w="1058" w:type="dxa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</w:rPr>
            </w:pPr>
            <w:r>
              <w:t>0.248</w:t>
            </w:r>
          </w:p>
        </w:tc>
      </w:tr>
      <w:tr w:rsidR="00DE0EBC">
        <w:trPr>
          <w:trHeight w:val="262"/>
          <w:jc w:val="center"/>
        </w:trPr>
        <w:tc>
          <w:tcPr>
            <w:tcW w:w="1353" w:type="dxa"/>
            <w:shd w:val="clear" w:color="auto" w:fill="auto"/>
            <w:vAlign w:val="center"/>
          </w:tcPr>
          <w:p w:rsidR="00DE0EBC" w:rsidRDefault="00341FAF">
            <w:pPr>
              <w:spacing w:after="0" w:line="240" w:lineRule="auto"/>
              <w:ind w:left="60" w:right="60"/>
              <w:rPr>
                <w:b/>
                <w:sz w:val="24"/>
                <w:szCs w:val="24"/>
              </w:rPr>
            </w:pPr>
            <w:r>
              <w:rPr>
                <w:b/>
              </w:rPr>
              <w:t>Overweight</w:t>
            </w:r>
          </w:p>
        </w:tc>
        <w:tc>
          <w:tcPr>
            <w:tcW w:w="851" w:type="dxa"/>
            <w:shd w:val="clear" w:color="auto" w:fill="C6D9F1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</w:rPr>
            </w:pPr>
            <w:r>
              <w:t>12</w:t>
            </w:r>
          </w:p>
        </w:tc>
        <w:tc>
          <w:tcPr>
            <w:tcW w:w="1241" w:type="dxa"/>
            <w:shd w:val="clear" w:color="auto" w:fill="C6D9F1"/>
            <w:vAlign w:val="center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</w:rPr>
            </w:pPr>
            <w:r>
              <w:t>78.1 (10.1)</w:t>
            </w:r>
          </w:p>
        </w:tc>
        <w:tc>
          <w:tcPr>
            <w:tcW w:w="1837" w:type="dxa"/>
            <w:shd w:val="clear" w:color="auto" w:fill="C6D9F1"/>
            <w:vAlign w:val="center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</w:rPr>
            </w:pPr>
            <w:r>
              <w:t>-5.4 (2.2)</w:t>
            </w:r>
          </w:p>
        </w:tc>
        <w:tc>
          <w:tcPr>
            <w:tcW w:w="568" w:type="dxa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</w:rPr>
            </w:pPr>
            <w:r>
              <w:t>19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</w:rPr>
            </w:pPr>
            <w:r>
              <w:t>73.7 (7.8)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</w:rPr>
            </w:pPr>
            <w:r>
              <w:t>0.35 (2.5)</w:t>
            </w:r>
          </w:p>
        </w:tc>
        <w:tc>
          <w:tcPr>
            <w:tcW w:w="1058" w:type="dxa"/>
            <w:vAlign w:val="center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</w:rPr>
            </w:pPr>
            <w:r>
              <w:t>0.000*</w:t>
            </w:r>
          </w:p>
        </w:tc>
      </w:tr>
      <w:tr w:rsidR="00DE0EBC">
        <w:trPr>
          <w:trHeight w:val="262"/>
          <w:jc w:val="center"/>
        </w:trPr>
        <w:tc>
          <w:tcPr>
            <w:tcW w:w="1353" w:type="dxa"/>
            <w:shd w:val="clear" w:color="auto" w:fill="auto"/>
            <w:vAlign w:val="center"/>
          </w:tcPr>
          <w:p w:rsidR="00DE0EBC" w:rsidRDefault="00341FAF">
            <w:pPr>
              <w:spacing w:after="0" w:line="240" w:lineRule="auto"/>
              <w:ind w:left="60" w:right="60"/>
              <w:rPr>
                <w:sz w:val="24"/>
                <w:szCs w:val="24"/>
              </w:rPr>
            </w:pPr>
            <w:r>
              <w:rPr>
                <w:b/>
              </w:rPr>
              <w:t>Obese</w:t>
            </w:r>
          </w:p>
        </w:tc>
        <w:tc>
          <w:tcPr>
            <w:tcW w:w="851" w:type="dxa"/>
            <w:shd w:val="clear" w:color="auto" w:fill="C6D9F1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</w:rPr>
            </w:pPr>
            <w:r>
              <w:t>16</w:t>
            </w:r>
          </w:p>
        </w:tc>
        <w:tc>
          <w:tcPr>
            <w:tcW w:w="1241" w:type="dxa"/>
            <w:shd w:val="clear" w:color="auto" w:fill="C6D9F1"/>
            <w:vAlign w:val="center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</w:rPr>
            </w:pPr>
            <w:r>
              <w:t>90.1 (11.8)</w:t>
            </w:r>
          </w:p>
        </w:tc>
        <w:tc>
          <w:tcPr>
            <w:tcW w:w="1837" w:type="dxa"/>
            <w:shd w:val="clear" w:color="auto" w:fill="C6D9F1"/>
            <w:vAlign w:val="center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</w:rPr>
            </w:pPr>
            <w:r>
              <w:t>-7.4 (2.1)</w:t>
            </w:r>
          </w:p>
        </w:tc>
        <w:tc>
          <w:tcPr>
            <w:tcW w:w="568" w:type="dxa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</w:rPr>
            </w:pPr>
            <w:r>
              <w:t>12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</w:rPr>
            </w:pPr>
            <w:r>
              <w:t>90.6 (11.6)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</w:rPr>
            </w:pPr>
            <w:r>
              <w:t>0.35 (1.2)</w:t>
            </w:r>
          </w:p>
        </w:tc>
        <w:tc>
          <w:tcPr>
            <w:tcW w:w="1058" w:type="dxa"/>
            <w:vAlign w:val="center"/>
          </w:tcPr>
          <w:p w:rsidR="00DE0EBC" w:rsidRDefault="00341FAF">
            <w:pPr>
              <w:spacing w:after="0" w:line="240" w:lineRule="auto"/>
              <w:ind w:left="60" w:right="60"/>
              <w:jc w:val="center"/>
              <w:rPr>
                <w:sz w:val="24"/>
                <w:szCs w:val="24"/>
              </w:rPr>
            </w:pPr>
            <w:r>
              <w:t>0.000*</w:t>
            </w:r>
          </w:p>
        </w:tc>
      </w:tr>
    </w:tbl>
    <w:p w:rsidR="00DE0EBC" w:rsidRDefault="00341FAF">
      <w:pPr>
        <w:jc w:val="both"/>
      </w:pPr>
      <w:bookmarkStart w:id="3" w:name="_17dp8vu" w:colFirst="0" w:colLast="0"/>
      <w:bookmarkEnd w:id="3"/>
      <w:r>
        <w:rPr>
          <w:vertAlign w:val="superscript"/>
        </w:rPr>
        <w:t>#</w:t>
      </w:r>
      <w:r>
        <w:t>BMI: Body Mass Index</w:t>
      </w:r>
    </w:p>
    <w:p w:rsidR="00DE0EBC" w:rsidRDefault="00341FAF">
      <w:pPr>
        <w:jc w:val="both"/>
      </w:pPr>
      <w:r>
        <w:rPr>
          <w:vertAlign w:val="superscript"/>
        </w:rPr>
        <w:t>##</w:t>
      </w:r>
      <w:r>
        <w:t xml:space="preserve"> P value:</w:t>
      </w:r>
      <w:r>
        <w:rPr>
          <w:i/>
        </w:rPr>
        <w:t xml:space="preserve"> Mann-Whitney U test</w:t>
      </w:r>
      <w:r>
        <w:t xml:space="preserve"> </w:t>
      </w:r>
    </w:p>
    <w:p w:rsidR="00DE0EBC" w:rsidRDefault="00341FAF">
      <w:pPr>
        <w:keepNext/>
        <w:spacing w:before="120" w:after="120"/>
        <w:jc w:val="both"/>
        <w:rPr>
          <w:i/>
        </w:rPr>
      </w:pPr>
      <w:r>
        <w:rPr>
          <w:i/>
        </w:rPr>
        <w:t>*Significant P value</w:t>
      </w:r>
    </w:p>
    <w:p w:rsidR="00DE0EBC" w:rsidRDefault="00DE0EBC">
      <w:pPr>
        <w:keepNext/>
        <w:spacing w:before="120" w:after="120"/>
        <w:jc w:val="both"/>
        <w:rPr>
          <w:i/>
        </w:rPr>
      </w:pPr>
    </w:p>
    <w:p w:rsidR="00DE0EBC" w:rsidRDefault="00DE0EBC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</w:pPr>
    </w:p>
    <w:sectPr w:rsidR="00DE0EBC">
      <w:pgSz w:w="12240" w:h="15840"/>
      <w:pgMar w:top="1440" w:right="1440" w:bottom="1440" w:left="1440" w:header="720" w:footer="720" w:gutter="0"/>
      <w:pgNumType w:start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200D76"/>
    <w:multiLevelType w:val="multilevel"/>
    <w:tmpl w:val="3A08A6DA"/>
    <w:lvl w:ilvl="0">
      <w:start w:val="1"/>
      <w:numFmt w:val="lowerRoman"/>
      <w:lvlText w:val="%1."/>
      <w:lvlJc w:val="righ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8387C36"/>
    <w:multiLevelType w:val="multilevel"/>
    <w:tmpl w:val="F8882926"/>
    <w:lvl w:ilvl="0">
      <w:start w:val="1"/>
      <w:numFmt w:val="lowerRoman"/>
      <w:lvlText w:val="%1."/>
      <w:lvlJc w:val="righ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AD47CD5"/>
    <w:multiLevelType w:val="multilevel"/>
    <w:tmpl w:val="BB0649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DE0EBC"/>
    <w:rsid w:val="00341FAF"/>
    <w:rsid w:val="00DE0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spacing w:after="16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 w:line="259" w:lineRule="auto"/>
      <w:outlineLvl w:val="1"/>
    </w:pPr>
    <w:rPr>
      <w:rFonts w:ascii="Calibri" w:eastAsia="Calibri" w:hAnsi="Calibri" w:cs="Calibri"/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 w:line="259" w:lineRule="auto"/>
    </w:pPr>
    <w:rPr>
      <w:rFonts w:ascii="Calibri" w:eastAsia="Calibri" w:hAnsi="Calibri" w:cs="Calibri"/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 w:line="259" w:lineRule="auto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pPr>
      <w:spacing w:after="200" w:line="276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pPr>
      <w:spacing w:after="200" w:line="276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41F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1F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spacing w:after="16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 w:line="259" w:lineRule="auto"/>
      <w:outlineLvl w:val="1"/>
    </w:pPr>
    <w:rPr>
      <w:rFonts w:ascii="Calibri" w:eastAsia="Calibri" w:hAnsi="Calibri" w:cs="Calibri"/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 w:line="259" w:lineRule="auto"/>
    </w:pPr>
    <w:rPr>
      <w:rFonts w:ascii="Calibri" w:eastAsia="Calibri" w:hAnsi="Calibri" w:cs="Calibri"/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 w:line="259" w:lineRule="auto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pPr>
      <w:spacing w:after="200" w:line="276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pPr>
      <w:spacing w:after="200" w:line="276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41F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1F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676</Words>
  <Characters>3858</Characters>
  <Application>Microsoft Office Word</Application>
  <DocSecurity>0</DocSecurity>
  <Lines>32</Lines>
  <Paragraphs>9</Paragraphs>
  <ScaleCrop>false</ScaleCrop>
  <Company/>
  <LinksUpToDate>false</LinksUpToDate>
  <CharactersWithSpaces>4525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Mary-Ann Sojor</cp:lastModifiedBy>
  <cp:revision>2</cp:revision>
  <dcterms:created xsi:type="dcterms:W3CDTF">2022-12-16T18:04:00Z</dcterms:created>
  <dcterms:modified xsi:type="dcterms:W3CDTF">2022-12-16T18:06:00Z</dcterms:modified>
</cp:coreProperties>
</file>