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73A3E" w14:textId="32F4E06C" w:rsidR="0019167E" w:rsidRPr="00A00237" w:rsidRDefault="00C75AF0" w:rsidP="0019167E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Additional file</w:t>
      </w:r>
      <w:bookmarkStart w:id="0" w:name="_GoBack"/>
      <w:bookmarkEnd w:id="0"/>
      <w:r w:rsidR="0019167E" w:rsidRPr="00A0023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1. Disability weights and proportion of patients with lifelong consequences applied for the calculation of years lived with disability (YLD)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1"/>
        <w:gridCol w:w="1664"/>
        <w:gridCol w:w="1664"/>
        <w:gridCol w:w="1664"/>
        <w:gridCol w:w="2959"/>
      </w:tblGrid>
      <w:tr w:rsidR="0019167E" w:rsidRPr="00A00237" w14:paraId="1753B784" w14:textId="77777777" w:rsidTr="000D4176"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</w:tcPr>
          <w:p w14:paraId="69724472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Level of injury pyramid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</w:tcPr>
          <w:p w14:paraId="5FB8C724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Subgroup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</w:tcPr>
          <w:p w14:paraId="4EBCA856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0023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Timeperiod</w:t>
            </w:r>
            <w:proofErr w:type="spellEnd"/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</w:tcPr>
          <w:p w14:paraId="3692D98A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Disability weight applied</w:t>
            </w:r>
          </w:p>
        </w:tc>
        <w:tc>
          <w:tcPr>
            <w:tcW w:w="1601" w:type="pct"/>
            <w:tcBorders>
              <w:top w:val="single" w:sz="4" w:space="0" w:color="auto"/>
              <w:bottom w:val="single" w:sz="4" w:space="0" w:color="auto"/>
            </w:tcBorders>
          </w:tcPr>
          <w:p w14:paraId="3AB044FF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b/>
                <w:sz w:val="18"/>
                <w:szCs w:val="18"/>
              </w:rPr>
              <w:t>Proportion with lifelong consequences</w:t>
            </w:r>
          </w:p>
        </w:tc>
      </w:tr>
      <w:tr w:rsidR="0019167E" w:rsidRPr="00A00237" w14:paraId="373FE458" w14:textId="77777777" w:rsidTr="000D4176">
        <w:tc>
          <w:tcPr>
            <w:tcW w:w="699" w:type="pct"/>
          </w:tcPr>
          <w:p w14:paraId="01B4045F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Hospital admission</w:t>
            </w:r>
            <w:r w:rsidRPr="00A00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900" w:type="pct"/>
          </w:tcPr>
          <w:p w14:paraId="72185393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&lt;5% TBSA</w:t>
            </w:r>
            <w:r w:rsidRPr="00A002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burned</w:t>
            </w:r>
            <w:r w:rsidRPr="00A00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%TBSA unknown</w:t>
            </w:r>
          </w:p>
        </w:tc>
        <w:tc>
          <w:tcPr>
            <w:tcW w:w="900" w:type="pct"/>
          </w:tcPr>
          <w:p w14:paraId="2A4B2EE9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0-1 month</w:t>
            </w:r>
          </w:p>
          <w:p w14:paraId="21535878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&gt;1-6 months</w:t>
            </w:r>
          </w:p>
          <w:p w14:paraId="1575B370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&gt;6-12 months</w:t>
            </w:r>
          </w:p>
          <w:p w14:paraId="5F7179DF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&gt;12-24 months</w:t>
            </w:r>
          </w:p>
          <w:p w14:paraId="1F5D43F8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&gt;24 months</w:t>
            </w:r>
          </w:p>
          <w:p w14:paraId="58054068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0" w:type="pct"/>
          </w:tcPr>
          <w:p w14:paraId="5C84C247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0.098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0.082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0.102</w:t>
            </w:r>
          </w:p>
          <w:p w14:paraId="6C1DF83B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1601" w:type="pct"/>
          </w:tcPr>
          <w:p w14:paraId="54C8D27D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20%</w:t>
            </w:r>
          </w:p>
        </w:tc>
      </w:tr>
      <w:tr w:rsidR="0019167E" w:rsidRPr="00A00237" w14:paraId="5F389CCB" w14:textId="77777777" w:rsidTr="000D4176">
        <w:tc>
          <w:tcPr>
            <w:tcW w:w="699" w:type="pct"/>
          </w:tcPr>
          <w:p w14:paraId="2927E321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0" w:type="pct"/>
          </w:tcPr>
          <w:p w14:paraId="7A4136B0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5-20% TBSA</w:t>
            </w:r>
            <w:r w:rsidRPr="00A002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burned</w:t>
            </w:r>
          </w:p>
        </w:tc>
        <w:tc>
          <w:tcPr>
            <w:tcW w:w="900" w:type="pct"/>
          </w:tcPr>
          <w:p w14:paraId="32DBE5A4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0-1 month</w:t>
            </w:r>
          </w:p>
          <w:p w14:paraId="3905870A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&gt;1-6 months</w:t>
            </w:r>
          </w:p>
          <w:p w14:paraId="241A68E5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&gt;6-12 months</w:t>
            </w:r>
          </w:p>
          <w:p w14:paraId="2436E000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&gt;12-24 months</w:t>
            </w:r>
          </w:p>
          <w:p w14:paraId="683C2C6D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&gt;24 months</w:t>
            </w:r>
          </w:p>
          <w:p w14:paraId="678135ED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0" w:type="pct"/>
          </w:tcPr>
          <w:p w14:paraId="62FEA740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0.264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0.139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0.118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0.108</w:t>
            </w:r>
          </w:p>
          <w:p w14:paraId="5E634081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1601" w:type="pct"/>
          </w:tcPr>
          <w:p w14:paraId="20AE712D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25%</w:t>
            </w:r>
          </w:p>
        </w:tc>
      </w:tr>
      <w:tr w:rsidR="0019167E" w:rsidRPr="00A00237" w14:paraId="762EDB82" w14:textId="77777777" w:rsidTr="000D4176">
        <w:tc>
          <w:tcPr>
            <w:tcW w:w="699" w:type="pct"/>
          </w:tcPr>
          <w:p w14:paraId="19E40299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0" w:type="pct"/>
          </w:tcPr>
          <w:p w14:paraId="5B445BCE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&gt;20% TBSA</w:t>
            </w:r>
            <w:r w:rsidRPr="00A002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burned</w:t>
            </w:r>
          </w:p>
        </w:tc>
        <w:tc>
          <w:tcPr>
            <w:tcW w:w="900" w:type="pct"/>
          </w:tcPr>
          <w:p w14:paraId="6882DED3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0-1 month</w:t>
            </w:r>
          </w:p>
          <w:p w14:paraId="7FAB418E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&gt;1-6 months</w:t>
            </w:r>
          </w:p>
          <w:p w14:paraId="67FEDCEB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&gt;6-12 months</w:t>
            </w:r>
          </w:p>
          <w:p w14:paraId="376E18C9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&gt;12-24 months</w:t>
            </w:r>
          </w:p>
          <w:p w14:paraId="15B9A2B3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&gt;24 months</w:t>
            </w:r>
          </w:p>
          <w:p w14:paraId="0DA3720A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0" w:type="pct"/>
          </w:tcPr>
          <w:p w14:paraId="525AA846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0.497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0.262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0.231</w:t>
            </w:r>
            <w:r w:rsidRPr="00A00237">
              <w:rPr>
                <w:rFonts w:ascii="Times New Roman" w:hAnsi="Times New Roman" w:cs="Times New Roman"/>
                <w:sz w:val="20"/>
                <w:szCs w:val="20"/>
              </w:rPr>
              <w:br/>
              <w:t>0.163</w:t>
            </w:r>
          </w:p>
          <w:p w14:paraId="7AF65992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1601" w:type="pct"/>
          </w:tcPr>
          <w:p w14:paraId="57D73591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39%</w:t>
            </w:r>
          </w:p>
        </w:tc>
      </w:tr>
      <w:tr w:rsidR="0019167E" w:rsidRPr="00A00237" w14:paraId="6884ED2C" w14:textId="77777777" w:rsidTr="000D4176">
        <w:tc>
          <w:tcPr>
            <w:tcW w:w="699" w:type="pct"/>
          </w:tcPr>
          <w:p w14:paraId="7EA7F047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 visits</w:t>
            </w:r>
            <w:r w:rsidRPr="00A00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00" w:type="pct"/>
          </w:tcPr>
          <w:p w14:paraId="0BB9BCEC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&lt;20%TBSA</w:t>
            </w:r>
          </w:p>
        </w:tc>
        <w:tc>
          <w:tcPr>
            <w:tcW w:w="900" w:type="pct"/>
          </w:tcPr>
          <w:p w14:paraId="6F915737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months</w:t>
            </w:r>
          </w:p>
        </w:tc>
        <w:tc>
          <w:tcPr>
            <w:tcW w:w="900" w:type="pct"/>
          </w:tcPr>
          <w:p w14:paraId="35CBBCA3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0.055</w:t>
            </w:r>
          </w:p>
        </w:tc>
        <w:tc>
          <w:tcPr>
            <w:tcW w:w="1601" w:type="pct"/>
          </w:tcPr>
          <w:p w14:paraId="6410832B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19167E" w:rsidRPr="00A00237" w14:paraId="48B25BDB" w14:textId="77777777" w:rsidTr="000D4176">
        <w:tc>
          <w:tcPr>
            <w:tcW w:w="699" w:type="pct"/>
            <w:tcBorders>
              <w:bottom w:val="single" w:sz="4" w:space="0" w:color="auto"/>
            </w:tcBorders>
          </w:tcPr>
          <w:p w14:paraId="4E8BA80B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GP visits</w:t>
            </w:r>
            <w:r w:rsidRPr="00A00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00" w:type="pct"/>
            <w:tcBorders>
              <w:bottom w:val="single" w:sz="4" w:space="0" w:color="auto"/>
            </w:tcBorders>
          </w:tcPr>
          <w:p w14:paraId="5EBA9FE3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&lt;20%TBSA</w:t>
            </w:r>
          </w:p>
        </w:tc>
        <w:tc>
          <w:tcPr>
            <w:tcW w:w="900" w:type="pct"/>
            <w:tcBorders>
              <w:bottom w:val="single" w:sz="4" w:space="0" w:color="auto"/>
            </w:tcBorders>
          </w:tcPr>
          <w:p w14:paraId="3894A4E7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months</w:t>
            </w:r>
          </w:p>
        </w:tc>
        <w:tc>
          <w:tcPr>
            <w:tcW w:w="900" w:type="pct"/>
            <w:tcBorders>
              <w:bottom w:val="single" w:sz="4" w:space="0" w:color="auto"/>
            </w:tcBorders>
          </w:tcPr>
          <w:p w14:paraId="3986F8CD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0.055</w:t>
            </w:r>
          </w:p>
        </w:tc>
        <w:tc>
          <w:tcPr>
            <w:tcW w:w="1601" w:type="pct"/>
            <w:tcBorders>
              <w:bottom w:val="single" w:sz="4" w:space="0" w:color="auto"/>
            </w:tcBorders>
          </w:tcPr>
          <w:p w14:paraId="0A03A3DF" w14:textId="77777777" w:rsidR="0019167E" w:rsidRPr="00A00237" w:rsidRDefault="0019167E" w:rsidP="000D41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</w:tbl>
    <w:p w14:paraId="7D7AC316" w14:textId="6859C81E" w:rsidR="0019167E" w:rsidRPr="00A00237" w:rsidRDefault="0019167E" w:rsidP="0019167E">
      <w:pPr>
        <w:pStyle w:val="NoSpacing"/>
        <w:rPr>
          <w:rFonts w:ascii="Times New Roman" w:hAnsi="Times New Roman" w:cs="Times New Roman"/>
          <w:sz w:val="20"/>
          <w:szCs w:val="20"/>
          <w:lang w:val="en-GB"/>
        </w:rPr>
      </w:pPr>
      <w:r w:rsidRPr="00A0023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A00237">
        <w:rPr>
          <w:rFonts w:ascii="Times New Roman" w:hAnsi="Times New Roman" w:cs="Times New Roman"/>
          <w:sz w:val="20"/>
          <w:szCs w:val="20"/>
          <w:lang w:val="en-GB"/>
        </w:rPr>
        <w:t>Based on INTEGRIS-burns method</w:t>
      </w:r>
      <w:r w:rsidRPr="00A00237">
        <w:rPr>
          <w:rFonts w:ascii="Times New Roman" w:hAnsi="Times New Roman" w:cs="Times New Roman"/>
          <w:sz w:val="20"/>
          <w:szCs w:val="20"/>
          <w:lang w:val="en-GB"/>
        </w:rPr>
        <w:fldChar w:fldCharType="begin"/>
      </w:r>
      <w:r w:rsidR="00945D7D">
        <w:rPr>
          <w:rFonts w:ascii="Times New Roman" w:hAnsi="Times New Roman" w:cs="Times New Roman"/>
          <w:sz w:val="20"/>
          <w:szCs w:val="20"/>
          <w:lang w:val="en-GB"/>
        </w:rPr>
        <w:instrText xml:space="preserve"> ADDIN EN.CITE &lt;EndNote&gt;&lt;Cite&gt;&lt;Author&gt;Spronk&lt;/Author&gt;&lt;Year&gt;2020&lt;/Year&gt;&lt;RecNum&gt;6692&lt;/RecNum&gt;&lt;DisplayText&gt;&lt;style face="superscript"&gt;1&lt;/style&gt;&lt;/DisplayText&gt;&lt;record&gt;&lt;rec-number&gt;6692&lt;/rec-number&gt;&lt;foreign-keys&gt;&lt;key app="EN" db-id="z5rrfs5zafs9znevw9pvtdtw2f0v0ree920z" timestamp="1586508523"&gt;6692&lt;/key&gt;&lt;/foreign-keys&gt;&lt;ref-type name="Journal Article"&gt;17&lt;/ref-type&gt;&lt;contributors&gt;&lt;authors&gt;&lt;author&gt;Spronk, Inge&lt;/author&gt;&lt;author&gt;Edgar, Dale W&lt;/author&gt;&lt;author&gt;van Baar, Margriet E&lt;/author&gt;&lt;author&gt;Wood, Fiona M&lt;/author&gt;&lt;author&gt;Van Loey, Nancy EE&lt;/author&gt;&lt;author&gt;Middelkoop, Esther&lt;/author&gt;&lt;author&gt;Renneberg, Babette&lt;/author&gt;&lt;author&gt;Öster, Caisa&lt;/author&gt;&lt;author&gt;Orwelius, Lotti&lt;/author&gt;&lt;author&gt;Moi, Asgjerd L&lt;/author&gt;&lt;author&gt;Polinder, S&lt;/author&gt;&lt;author&gt;Haagsma, J.&lt;/author&gt;&lt;/authors&gt;&lt;/contributors&gt;&lt;titles&gt;&lt;title&gt;Improved and standardized method for assessing years lived with disability after burns and its application to estimate the non-fatal burden of disease of burn injuries in Australia, New Zealand and the Netherlands&lt;/title&gt;&lt;secondary-title&gt;BMC Public Health&lt;/secondary-title&gt;&lt;/titles&gt;&lt;periodical&gt;&lt;full-title&gt;BMC Public Health&lt;/full-title&gt;&lt;/periodical&gt;&lt;pages&gt;121&lt;/pages&gt;&lt;volume&gt;20&lt;/volume&gt;&lt;number&gt;1&lt;/number&gt;&lt;dates&gt;&lt;year&gt;2020&lt;/year&gt;&lt;/dates&gt;&lt;isbn&gt;1471-2458&lt;/isbn&gt;&lt;urls&gt;&lt;/urls&gt;&lt;/record&gt;&lt;/Cite&gt;&lt;/EndNote&gt;</w:instrText>
      </w:r>
      <w:r w:rsidRPr="00A00237">
        <w:rPr>
          <w:rFonts w:ascii="Times New Roman" w:hAnsi="Times New Roman" w:cs="Times New Roman"/>
          <w:sz w:val="20"/>
          <w:szCs w:val="20"/>
          <w:lang w:val="en-GB"/>
        </w:rPr>
        <w:fldChar w:fldCharType="separate"/>
      </w:r>
      <w:r w:rsidR="00945D7D" w:rsidRPr="00945D7D">
        <w:rPr>
          <w:rFonts w:ascii="Times New Roman" w:hAnsi="Times New Roman" w:cs="Times New Roman"/>
          <w:noProof/>
          <w:sz w:val="20"/>
          <w:szCs w:val="20"/>
          <w:vertAlign w:val="superscript"/>
          <w:lang w:val="en-GB"/>
        </w:rPr>
        <w:t>1</w:t>
      </w:r>
      <w:r w:rsidRPr="00A00237">
        <w:rPr>
          <w:rFonts w:ascii="Times New Roman" w:hAnsi="Times New Roman" w:cs="Times New Roman"/>
          <w:sz w:val="20"/>
          <w:szCs w:val="20"/>
          <w:lang w:val="en-GB"/>
        </w:rPr>
        <w:fldChar w:fldCharType="end"/>
      </w:r>
      <w:r w:rsidRPr="00A0023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A00237">
        <w:rPr>
          <w:rFonts w:ascii="Times New Roman" w:hAnsi="Times New Roman" w:cs="Times New Roman"/>
          <w:sz w:val="20"/>
          <w:szCs w:val="20"/>
          <w:lang w:val="en-GB"/>
        </w:rPr>
        <w:br/>
      </w:r>
      <w:r w:rsidRPr="00A0023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A00237">
        <w:rPr>
          <w:rFonts w:ascii="Times New Roman" w:hAnsi="Times New Roman" w:cs="Times New Roman"/>
          <w:sz w:val="20"/>
          <w:szCs w:val="20"/>
          <w:lang w:val="en-GB"/>
        </w:rPr>
        <w:t>Based on INTEGRIS method</w:t>
      </w:r>
      <w:r w:rsidRPr="00A00237">
        <w:rPr>
          <w:rFonts w:ascii="Times New Roman" w:hAnsi="Times New Roman" w:cs="Times New Roman"/>
          <w:bCs/>
          <w:sz w:val="20"/>
          <w:szCs w:val="20"/>
          <w:lang w:val="en-GB"/>
        </w:rPr>
        <w:fldChar w:fldCharType="begin"/>
      </w:r>
      <w:r w:rsidR="00945D7D">
        <w:rPr>
          <w:rFonts w:ascii="Times New Roman" w:hAnsi="Times New Roman" w:cs="Times New Roman"/>
          <w:bCs/>
          <w:sz w:val="20"/>
          <w:szCs w:val="20"/>
          <w:lang w:val="en-GB"/>
        </w:rPr>
        <w:instrText xml:space="preserve"> ADDIN EN.CITE &lt;EndNote&gt;&lt;Cite&gt;&lt;Author&gt;Haagsma&lt;/Author&gt;&lt;Year&gt;2012&lt;/Year&gt;&lt;RecNum&gt;6352&lt;/RecNum&gt;&lt;DisplayText&gt;&lt;style face="superscript"&gt;2&lt;/style&gt;&lt;/DisplayText&gt;&lt;record&gt;&lt;rec-number&gt;6352&lt;/rec-number&gt;&lt;foreign-keys&gt;&lt;key app="EN" db-id="z5rrfs5zafs9znevw9pvtdtw2f0v0ree920z" timestamp="1524640855"&gt;6352&lt;/key&gt;&lt;/foreign-keys&gt;&lt;ref-type name="Journal Article"&gt;17&lt;/ref-type&gt;&lt;contributors&gt;&lt;authors&gt;&lt;author&gt;Haagsma, Juanita Antje&lt;/author&gt;&lt;author&gt;Polinder, Suzanne&lt;/author&gt;&lt;author&gt;Lyons, Ronan Anthony&lt;/author&gt;&lt;author&gt;Lund, Johan&lt;/author&gt;&lt;author&gt;Ditsuwan, V.&lt;/author&gt;&lt;author&gt;Prinsloo, M.&lt;/author&gt;&lt;author&gt;Veerman, J. L.&lt;/author&gt;&lt;author&gt;van Beeck, Eduard F.&lt;/author&gt;&lt;/authors&gt;&lt;/contributors&gt;&lt;titles&gt;&lt;title&gt;Improved and standardized method for assessing years lived with disability after injury&lt;/title&gt;&lt;secondary-title&gt;Bull World Health Organ&lt;/secondary-title&gt;&lt;/titles&gt;&lt;periodical&gt;&lt;full-title&gt;Bull World Health Organ&lt;/full-title&gt;&lt;/periodical&gt;&lt;pages&gt;513-521&lt;/pages&gt;&lt;volume&gt;90&lt;/volume&gt;&lt;number&gt;7&lt;/number&gt;&lt;dates&gt;&lt;year&gt;2012&lt;/year&gt;&lt;/dates&gt;&lt;isbn&gt;0042-9686&lt;/isbn&gt;&lt;urls&gt;&lt;/urls&gt;&lt;/record&gt;&lt;/Cite&gt;&lt;/EndNote&gt;</w:instrText>
      </w:r>
      <w:r w:rsidRPr="00A00237">
        <w:rPr>
          <w:rFonts w:ascii="Times New Roman" w:hAnsi="Times New Roman" w:cs="Times New Roman"/>
          <w:bCs/>
          <w:sz w:val="20"/>
          <w:szCs w:val="20"/>
          <w:lang w:val="en-GB"/>
        </w:rPr>
        <w:fldChar w:fldCharType="separate"/>
      </w:r>
      <w:r w:rsidR="00945D7D" w:rsidRPr="00945D7D">
        <w:rPr>
          <w:rFonts w:ascii="Times New Roman" w:hAnsi="Times New Roman" w:cs="Times New Roman"/>
          <w:bCs/>
          <w:noProof/>
          <w:sz w:val="20"/>
          <w:szCs w:val="20"/>
          <w:vertAlign w:val="superscript"/>
          <w:lang w:val="en-GB"/>
        </w:rPr>
        <w:t>2</w:t>
      </w:r>
      <w:r w:rsidRPr="00A00237">
        <w:rPr>
          <w:rFonts w:ascii="Times New Roman" w:hAnsi="Times New Roman" w:cs="Times New Roman"/>
          <w:bCs/>
          <w:sz w:val="20"/>
          <w:szCs w:val="20"/>
          <w:lang w:val="en-GB"/>
        </w:rPr>
        <w:fldChar w:fldCharType="end"/>
      </w:r>
      <w:r w:rsidRPr="00A00237">
        <w:rPr>
          <w:rFonts w:ascii="Times New Roman" w:hAnsi="Times New Roman" w:cs="Times New Roman"/>
          <w:bCs/>
          <w:sz w:val="20"/>
          <w:szCs w:val="20"/>
          <w:lang w:val="en-GB"/>
        </w:rPr>
        <w:t>.</w:t>
      </w:r>
    </w:p>
    <w:p w14:paraId="7757EE88" w14:textId="77777777" w:rsidR="00945D7D" w:rsidRDefault="00945D7D">
      <w:pPr>
        <w:rPr>
          <w:rFonts w:ascii="Times New Roman" w:hAnsi="Times New Roman" w:cs="Times New Roman"/>
        </w:rPr>
      </w:pPr>
    </w:p>
    <w:p w14:paraId="17653BB8" w14:textId="67C73141" w:rsidR="00945D7D" w:rsidRPr="00945D7D" w:rsidRDefault="00945D7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45D7D"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 w14:paraId="3E00DA6B" w14:textId="77777777" w:rsidR="00945D7D" w:rsidRPr="00945D7D" w:rsidRDefault="00945D7D" w:rsidP="00945D7D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  <w:sz w:val="20"/>
          <w:szCs w:val="20"/>
        </w:rPr>
      </w:pPr>
      <w:r w:rsidRPr="00945D7D">
        <w:rPr>
          <w:rFonts w:ascii="Times New Roman" w:hAnsi="Times New Roman" w:cs="Times New Roman"/>
          <w:noProof w:val="0"/>
          <w:sz w:val="20"/>
          <w:szCs w:val="20"/>
        </w:rPr>
        <w:fldChar w:fldCharType="begin"/>
      </w:r>
      <w:r w:rsidRPr="00945D7D">
        <w:rPr>
          <w:rFonts w:ascii="Times New Roman" w:hAnsi="Times New Roman" w:cs="Times New Roman"/>
          <w:noProof w:val="0"/>
          <w:sz w:val="20"/>
          <w:szCs w:val="20"/>
        </w:rPr>
        <w:instrText xml:space="preserve"> ADDIN EN.REFLIST </w:instrText>
      </w:r>
      <w:r w:rsidRPr="00945D7D">
        <w:rPr>
          <w:rFonts w:ascii="Times New Roman" w:hAnsi="Times New Roman" w:cs="Times New Roman"/>
          <w:noProof w:val="0"/>
          <w:sz w:val="20"/>
          <w:szCs w:val="20"/>
        </w:rPr>
        <w:fldChar w:fldCharType="separate"/>
      </w:r>
      <w:r w:rsidRPr="00945D7D">
        <w:rPr>
          <w:rFonts w:ascii="Times New Roman" w:hAnsi="Times New Roman" w:cs="Times New Roman"/>
          <w:noProof w:val="0"/>
          <w:sz w:val="20"/>
          <w:szCs w:val="20"/>
        </w:rPr>
        <w:t>1.</w:t>
      </w:r>
      <w:r w:rsidRPr="00945D7D">
        <w:rPr>
          <w:rFonts w:ascii="Times New Roman" w:hAnsi="Times New Roman" w:cs="Times New Roman"/>
          <w:noProof w:val="0"/>
          <w:sz w:val="20"/>
          <w:szCs w:val="20"/>
        </w:rPr>
        <w:tab/>
        <w:t>Spronk I, Edgar DW, van Baar ME, et al. Improved and standardized method for assessing years lived with disability after burns and its application to estimate the non-fatal burden of disease of burn injuries in Australia, New Zealand and the Netherlands. BMC Public Health. 2020;20(1):121.</w:t>
      </w:r>
    </w:p>
    <w:p w14:paraId="3370800F" w14:textId="77777777" w:rsidR="00945D7D" w:rsidRPr="00945D7D" w:rsidRDefault="00945D7D" w:rsidP="00945D7D">
      <w:pPr>
        <w:pStyle w:val="EndNoteBibliography"/>
        <w:ind w:left="720" w:hanging="720"/>
        <w:rPr>
          <w:rFonts w:ascii="Times New Roman" w:hAnsi="Times New Roman" w:cs="Times New Roman"/>
          <w:noProof w:val="0"/>
          <w:sz w:val="20"/>
          <w:szCs w:val="20"/>
        </w:rPr>
      </w:pPr>
      <w:r w:rsidRPr="00945D7D">
        <w:rPr>
          <w:rFonts w:ascii="Times New Roman" w:hAnsi="Times New Roman" w:cs="Times New Roman"/>
          <w:noProof w:val="0"/>
          <w:sz w:val="20"/>
          <w:szCs w:val="20"/>
        </w:rPr>
        <w:t>2.</w:t>
      </w:r>
      <w:r w:rsidRPr="00945D7D">
        <w:rPr>
          <w:rFonts w:ascii="Times New Roman" w:hAnsi="Times New Roman" w:cs="Times New Roman"/>
          <w:noProof w:val="0"/>
          <w:sz w:val="20"/>
          <w:szCs w:val="20"/>
        </w:rPr>
        <w:tab/>
        <w:t>Haagsma JA, Polinder S, Lyons RA, et al. Improved and standardized method for assessing years lived with disability after injury. Bull World Health Organ. 2012;90(7):513-521.</w:t>
      </w:r>
    </w:p>
    <w:p w14:paraId="3C3D35BA" w14:textId="41C8123D" w:rsidR="00414927" w:rsidRPr="00A00237" w:rsidRDefault="00945D7D">
      <w:pPr>
        <w:rPr>
          <w:rFonts w:ascii="Times New Roman" w:hAnsi="Times New Roman" w:cs="Times New Roman"/>
        </w:rPr>
      </w:pPr>
      <w:r w:rsidRPr="00945D7D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sectPr w:rsidR="00414927" w:rsidRPr="00A00237" w:rsidSect="00586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5rrfs5zafs9znevw9pvtdtw2f0v0ree920z&quot;&gt;Brandwonden scriptie versie 08-04-2020&lt;record-ids&gt;&lt;item&gt;6352&lt;/item&gt;&lt;item&gt;6692&lt;/item&gt;&lt;/record-ids&gt;&lt;/item&gt;&lt;/Libraries&gt;"/>
  </w:docVars>
  <w:rsids>
    <w:rsidRoot w:val="0019167E"/>
    <w:rsid w:val="0019167E"/>
    <w:rsid w:val="00414927"/>
    <w:rsid w:val="0058669B"/>
    <w:rsid w:val="00945D7D"/>
    <w:rsid w:val="00A00237"/>
    <w:rsid w:val="00C7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8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67E"/>
    <w:pPr>
      <w:spacing w:after="200" w:line="276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167E"/>
    <w:pPr>
      <w:spacing w:after="0" w:line="240" w:lineRule="auto"/>
    </w:pPr>
    <w:rPr>
      <w:lang w:val="nl-NL"/>
    </w:rPr>
  </w:style>
  <w:style w:type="character" w:customStyle="1" w:styleId="NoSpacingChar">
    <w:name w:val="No Spacing Char"/>
    <w:basedOn w:val="DefaultParagraphFont"/>
    <w:link w:val="NoSpacing"/>
    <w:uiPriority w:val="1"/>
    <w:rsid w:val="0019167E"/>
    <w:rPr>
      <w:lang w:val="nl-NL"/>
    </w:rPr>
  </w:style>
  <w:style w:type="table" w:styleId="TableGrid">
    <w:name w:val="Table Grid"/>
    <w:basedOn w:val="TableNormal"/>
    <w:uiPriority w:val="59"/>
    <w:unhideWhenUsed/>
    <w:rsid w:val="0019167E"/>
    <w:pPr>
      <w:spacing w:after="0" w:line="240" w:lineRule="auto"/>
    </w:pPr>
    <w:rPr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945D7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945D7D"/>
    <w:rPr>
      <w:rFonts w:ascii="Calibri" w:hAnsi="Calibri" w:cs="Calibri"/>
      <w:noProof/>
      <w:lang w:val="nl-NL"/>
    </w:rPr>
  </w:style>
  <w:style w:type="paragraph" w:customStyle="1" w:styleId="EndNoteBibliography">
    <w:name w:val="EndNote Bibliography"/>
    <w:basedOn w:val="Normal"/>
    <w:link w:val="EndNoteBibliographyChar"/>
    <w:rsid w:val="00945D7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945D7D"/>
    <w:rPr>
      <w:rFonts w:ascii="Calibri" w:hAnsi="Calibri" w:cs="Calibri"/>
      <w:noProof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67E"/>
    <w:pPr>
      <w:spacing w:after="200" w:line="276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167E"/>
    <w:pPr>
      <w:spacing w:after="0" w:line="240" w:lineRule="auto"/>
    </w:pPr>
    <w:rPr>
      <w:lang w:val="nl-NL"/>
    </w:rPr>
  </w:style>
  <w:style w:type="character" w:customStyle="1" w:styleId="NoSpacingChar">
    <w:name w:val="No Spacing Char"/>
    <w:basedOn w:val="DefaultParagraphFont"/>
    <w:link w:val="NoSpacing"/>
    <w:uiPriority w:val="1"/>
    <w:rsid w:val="0019167E"/>
    <w:rPr>
      <w:lang w:val="nl-NL"/>
    </w:rPr>
  </w:style>
  <w:style w:type="table" w:styleId="TableGrid">
    <w:name w:val="Table Grid"/>
    <w:basedOn w:val="TableNormal"/>
    <w:uiPriority w:val="59"/>
    <w:unhideWhenUsed/>
    <w:rsid w:val="0019167E"/>
    <w:pPr>
      <w:spacing w:after="0" w:line="240" w:lineRule="auto"/>
    </w:pPr>
    <w:rPr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945D7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945D7D"/>
    <w:rPr>
      <w:rFonts w:ascii="Calibri" w:hAnsi="Calibri" w:cs="Calibri"/>
      <w:noProof/>
      <w:lang w:val="nl-NL"/>
    </w:rPr>
  </w:style>
  <w:style w:type="paragraph" w:customStyle="1" w:styleId="EndNoteBibliography">
    <w:name w:val="EndNote Bibliography"/>
    <w:basedOn w:val="Normal"/>
    <w:link w:val="EndNoteBibliographyChar"/>
    <w:rsid w:val="00945D7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945D7D"/>
    <w:rPr>
      <w:rFonts w:ascii="Calibri" w:hAnsi="Calibri" w:cs="Calibri"/>
      <w:noProof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 Spronk</dc:creator>
  <cp:keywords/>
  <dc:description/>
  <cp:lastModifiedBy>GCREDO</cp:lastModifiedBy>
  <cp:revision>4</cp:revision>
  <dcterms:created xsi:type="dcterms:W3CDTF">2020-09-23T11:44:00Z</dcterms:created>
  <dcterms:modified xsi:type="dcterms:W3CDTF">2022-12-29T16:12:00Z</dcterms:modified>
</cp:coreProperties>
</file>